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25DF3">
      <w:pPr>
        <w:spacing w:line="360" w:lineRule="auto"/>
        <w:jc w:val="center"/>
        <w:rPr>
          <w:rFonts w:ascii="宋体" w:hAnsi="宋体" w:cs="宋体"/>
          <w:b/>
          <w:color w:val="auto"/>
          <w:sz w:val="24"/>
          <w:highlight w:val="none"/>
        </w:rPr>
      </w:pPr>
    </w:p>
    <w:p w14:paraId="3292AE6D">
      <w:pPr>
        <w:spacing w:line="360" w:lineRule="auto"/>
        <w:jc w:val="center"/>
        <w:rPr>
          <w:rFonts w:ascii="宋体" w:hAnsi="宋体" w:cs="宋体"/>
          <w:b/>
          <w:color w:val="auto"/>
          <w:sz w:val="24"/>
          <w:highlight w:val="none"/>
        </w:rPr>
      </w:pPr>
    </w:p>
    <w:p w14:paraId="47E6E284">
      <w:pPr>
        <w:adjustRightInd/>
        <w:spacing w:line="360" w:lineRule="auto"/>
        <w:jc w:val="center"/>
        <w:rPr>
          <w:rFonts w:ascii="宋体" w:hAnsi="宋体" w:cs="宋体"/>
          <w:b/>
          <w:color w:val="auto"/>
          <w:sz w:val="44"/>
          <w:szCs w:val="44"/>
          <w:highlight w:val="none"/>
        </w:rPr>
      </w:pPr>
    </w:p>
    <w:p w14:paraId="10C983FC">
      <w:pPr>
        <w:adjustRightInd/>
        <w:spacing w:line="360" w:lineRule="auto"/>
        <w:jc w:val="both"/>
        <w:rPr>
          <w:rFonts w:ascii="宋体" w:hAnsi="宋体" w:cs="宋体"/>
          <w:b/>
          <w:color w:val="auto"/>
          <w:sz w:val="48"/>
          <w:szCs w:val="48"/>
          <w:highlight w:val="none"/>
        </w:rPr>
      </w:pPr>
    </w:p>
    <w:p w14:paraId="3A3D2E3C">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lang w:val="en-US" w:eastAsia="zh-CN"/>
        </w:rPr>
        <w:t>载玻片激光打码机、角膜地形图检查仪等设备购置项目</w:t>
      </w:r>
      <w:r>
        <w:rPr>
          <w:rFonts w:hint="eastAsia" w:ascii="宋体" w:hAnsi="宋体" w:cs="宋体"/>
          <w:color w:val="auto"/>
          <w:sz w:val="48"/>
          <w:szCs w:val="48"/>
          <w:highlight w:val="none"/>
        </w:rPr>
        <w:t xml:space="preserve"> </w:t>
      </w:r>
    </w:p>
    <w:p w14:paraId="5FCDF094">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7DED02E6">
      <w:pPr>
        <w:adjustRightInd/>
        <w:spacing w:line="360" w:lineRule="auto"/>
        <w:jc w:val="center"/>
        <w:rPr>
          <w:rFonts w:hint="eastAsia" w:ascii="宋体" w:hAnsi="宋体" w:cs="宋体"/>
          <w:b/>
          <w:color w:val="auto"/>
          <w:sz w:val="44"/>
          <w:szCs w:val="44"/>
          <w:highlight w:val="none"/>
        </w:rPr>
      </w:pPr>
    </w:p>
    <w:p w14:paraId="0095DD24">
      <w:pPr>
        <w:adjustRightInd/>
        <w:spacing w:line="360" w:lineRule="auto"/>
        <w:jc w:val="center"/>
        <w:rPr>
          <w:rFonts w:hint="eastAsia" w:ascii="宋体" w:hAnsi="宋体" w:cs="宋体"/>
          <w:b w:val="0"/>
          <w:bCs/>
          <w:color w:val="auto"/>
          <w:sz w:val="44"/>
          <w:szCs w:val="44"/>
          <w:highlight w:val="none"/>
          <w:lang w:val="en-US" w:eastAsia="zh-CN"/>
        </w:rPr>
      </w:pPr>
    </w:p>
    <w:p w14:paraId="6D060C42">
      <w:pPr>
        <w:adjustRightInd/>
        <w:spacing w:line="360" w:lineRule="auto"/>
        <w:jc w:val="center"/>
        <w:rPr>
          <w:rFonts w:hint="eastAsia" w:ascii="宋体" w:hAnsi="宋体" w:cs="宋体"/>
          <w:b w:val="0"/>
          <w:bCs/>
          <w:color w:val="auto"/>
          <w:sz w:val="44"/>
          <w:szCs w:val="44"/>
          <w:highlight w:val="none"/>
          <w:lang w:val="en-US" w:eastAsia="zh-CN"/>
        </w:rPr>
      </w:pPr>
    </w:p>
    <w:p w14:paraId="3A9BE991">
      <w:pPr>
        <w:adjustRightInd/>
        <w:spacing w:line="360" w:lineRule="auto"/>
        <w:jc w:val="center"/>
        <w:rPr>
          <w:rFonts w:hint="eastAsia" w:ascii="宋体" w:hAnsi="宋体" w:cs="宋体"/>
          <w:b w:val="0"/>
          <w:bCs/>
          <w:color w:val="auto"/>
          <w:sz w:val="44"/>
          <w:szCs w:val="44"/>
          <w:highlight w:val="none"/>
        </w:rPr>
      </w:pPr>
      <w:r>
        <w:rPr>
          <w:rFonts w:hint="eastAsia" w:ascii="宋体" w:hAnsi="宋体" w:cs="宋体"/>
          <w:b w:val="0"/>
          <w:bCs/>
          <w:color w:val="auto"/>
          <w:sz w:val="44"/>
          <w:szCs w:val="44"/>
          <w:highlight w:val="none"/>
          <w:lang w:val="en-US" w:eastAsia="zh-CN"/>
        </w:rPr>
        <w:t>招标文件</w:t>
      </w:r>
    </w:p>
    <w:p w14:paraId="2B4C7367">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5E0B290B">
      <w:pPr>
        <w:snapToGrid w:val="0"/>
        <w:spacing w:line="360" w:lineRule="auto"/>
        <w:jc w:val="center"/>
        <w:rPr>
          <w:rFonts w:ascii="宋体" w:hAnsi="宋体" w:cs="宋体"/>
          <w:color w:val="auto"/>
          <w:sz w:val="30"/>
          <w:szCs w:val="30"/>
          <w:highlight w:val="none"/>
          <w:u w:val="none"/>
        </w:rPr>
      </w:pPr>
      <w:r>
        <w:rPr>
          <w:rFonts w:hint="eastAsia" w:ascii="宋体" w:hAnsi="宋体" w:cs="宋体"/>
          <w:color w:val="auto"/>
          <w:sz w:val="30"/>
          <w:szCs w:val="30"/>
          <w:highlight w:val="none"/>
          <w:u w:val="none"/>
          <w:lang w:val="en-US" w:eastAsia="zh-CN"/>
        </w:rPr>
        <w:t>项目</w:t>
      </w:r>
      <w:r>
        <w:rPr>
          <w:rFonts w:hint="eastAsia" w:ascii="宋体" w:hAnsi="宋体" w:cs="宋体"/>
          <w:color w:val="auto"/>
          <w:sz w:val="30"/>
          <w:szCs w:val="30"/>
          <w:highlight w:val="none"/>
          <w:u w:val="none"/>
        </w:rPr>
        <w:t>编号:</w:t>
      </w:r>
      <w:r>
        <w:rPr>
          <w:rFonts w:hint="eastAsia" w:ascii="宋体" w:hAnsi="宋体" w:cs="宋体"/>
          <w:color w:val="auto"/>
          <w:sz w:val="30"/>
          <w:szCs w:val="30"/>
          <w:highlight w:val="none"/>
          <w:u w:val="none"/>
          <w:lang w:val="en-US" w:eastAsia="zh-CN"/>
        </w:rPr>
        <w:t>（BHZC2025-G1-990327-GXDH）</w:t>
      </w:r>
    </w:p>
    <w:p w14:paraId="50D2F5B9">
      <w:pPr>
        <w:adjustRightInd/>
        <w:spacing w:line="360" w:lineRule="auto"/>
        <w:rPr>
          <w:rFonts w:ascii="宋体" w:hAnsi="宋体" w:cs="宋体"/>
          <w:color w:val="auto"/>
          <w:sz w:val="28"/>
          <w:szCs w:val="20"/>
          <w:highlight w:val="none"/>
          <w:u w:val="none"/>
        </w:rPr>
      </w:pPr>
    </w:p>
    <w:p w14:paraId="064BC587">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b/>
          <w:color w:val="auto"/>
          <w:sz w:val="44"/>
          <w:szCs w:val="44"/>
          <w:highlight w:val="none"/>
        </w:rPr>
        <w:t xml:space="preserve"> </w:t>
      </w:r>
    </w:p>
    <w:p w14:paraId="2CF79643">
      <w:pPr>
        <w:spacing w:line="360" w:lineRule="auto"/>
        <w:rPr>
          <w:rFonts w:ascii="宋体" w:hAnsi="宋体" w:cs="宋体"/>
          <w:color w:val="auto"/>
          <w:sz w:val="32"/>
          <w:szCs w:val="32"/>
          <w:highlight w:val="none"/>
        </w:rPr>
      </w:pPr>
    </w:p>
    <w:p w14:paraId="3DABBA48">
      <w:pPr>
        <w:pStyle w:val="2"/>
        <w:rPr>
          <w:rFonts w:ascii="宋体" w:hAnsi="宋体" w:cs="宋体"/>
          <w:color w:val="auto"/>
          <w:sz w:val="32"/>
          <w:szCs w:val="32"/>
          <w:highlight w:val="none"/>
        </w:rPr>
      </w:pPr>
    </w:p>
    <w:p w14:paraId="0E8771C5">
      <w:pPr>
        <w:rPr>
          <w:color w:val="auto"/>
        </w:rPr>
      </w:pPr>
    </w:p>
    <w:p w14:paraId="7D86D5B9">
      <w:pPr>
        <w:pStyle w:val="2"/>
        <w:ind w:left="0" w:firstLine="0"/>
        <w:rPr>
          <w:rFonts w:ascii="宋体" w:hAnsi="宋体" w:cs="宋体"/>
          <w:color w:val="auto"/>
          <w:sz w:val="32"/>
          <w:szCs w:val="32"/>
          <w:highlight w:val="none"/>
        </w:rPr>
      </w:pPr>
    </w:p>
    <w:p w14:paraId="3A8A76FF">
      <w:pPr>
        <w:pStyle w:val="2"/>
        <w:ind w:left="0" w:firstLine="0"/>
        <w:rPr>
          <w:color w:val="auto"/>
        </w:rPr>
      </w:pPr>
    </w:p>
    <w:p w14:paraId="7F08A4A3">
      <w:pPr>
        <w:snapToGrid w:val="0"/>
        <w:spacing w:line="360" w:lineRule="auto"/>
        <w:ind w:firstLine="1280" w:firstLineChars="400"/>
        <w:jc w:val="both"/>
        <w:rPr>
          <w:rFonts w:hint="default" w:ascii="宋体" w:hAnsi="宋体" w:eastAsia="宋体" w:cs="宋体"/>
          <w:color w:val="auto"/>
          <w:sz w:val="32"/>
          <w:szCs w:val="32"/>
          <w:highlight w:val="none"/>
          <w:lang w:val="en-US" w:eastAsia="zh-CN"/>
        </w:rPr>
      </w:pPr>
      <w:bookmarkStart w:id="0" w:name="OLE_LINK112"/>
      <w:bookmarkStart w:id="1" w:name="OLE_LINK111"/>
      <w:bookmarkStart w:id="2" w:name="OLE_LINK115"/>
      <w:bookmarkStart w:id="3" w:name="OLE_LINK274"/>
      <w:r>
        <w:rPr>
          <w:rFonts w:hint="eastAsia" w:ascii="宋体" w:hAnsi="宋体" w:cs="宋体"/>
          <w:color w:val="auto"/>
          <w:sz w:val="32"/>
          <w:szCs w:val="32"/>
          <w:highlight w:val="none"/>
          <w:lang w:val="en-US" w:eastAsia="zh-CN"/>
        </w:rPr>
        <w:t>采购人：北海市人民医院</w:t>
      </w:r>
    </w:p>
    <w:bookmarkEnd w:id="0"/>
    <w:bookmarkEnd w:id="1"/>
    <w:bookmarkEnd w:id="2"/>
    <w:bookmarkEnd w:id="3"/>
    <w:p w14:paraId="472F98ED">
      <w:pPr>
        <w:snapToGrid w:val="0"/>
        <w:spacing w:line="360" w:lineRule="auto"/>
        <w:jc w:val="center"/>
        <w:rPr>
          <w:rFonts w:hint="eastAsia" w:ascii="宋体" w:hAnsi="宋体" w:cs="宋体"/>
          <w:bCs/>
          <w:color w:val="auto"/>
          <w:sz w:val="32"/>
          <w:szCs w:val="32"/>
          <w:highlight w:val="none"/>
          <w:lang w:val="en-US" w:eastAsia="zh-CN"/>
        </w:rPr>
      </w:pPr>
      <w:r>
        <w:rPr>
          <w:rFonts w:hint="eastAsia" w:ascii="宋体" w:hAnsi="宋体" w:cs="宋体"/>
          <w:bCs/>
          <w:color w:val="auto"/>
          <w:sz w:val="32"/>
          <w:szCs w:val="32"/>
          <w:highlight w:val="none"/>
          <w:lang w:val="en-US" w:eastAsia="zh-CN"/>
        </w:rPr>
        <w:t>采购代理机构：广西达华工程造价咨询有限责任公司</w:t>
      </w:r>
    </w:p>
    <w:p w14:paraId="529633CE">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二〇二五年</w:t>
      </w:r>
      <w:r>
        <w:rPr>
          <w:rFonts w:hint="eastAsia" w:ascii="宋体" w:hAnsi="宋体" w:cs="宋体"/>
          <w:bCs/>
          <w:color w:val="auto"/>
          <w:sz w:val="32"/>
          <w:szCs w:val="32"/>
          <w:highlight w:val="none"/>
          <w:lang w:val="en-US" w:eastAsia="zh-CN"/>
        </w:rPr>
        <w:t>十二</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八</w:t>
      </w:r>
      <w:r>
        <w:rPr>
          <w:rFonts w:hint="eastAsia" w:ascii="宋体" w:hAnsi="宋体" w:cs="宋体"/>
          <w:bCs/>
          <w:color w:val="auto"/>
          <w:sz w:val="32"/>
          <w:szCs w:val="32"/>
          <w:highlight w:val="none"/>
        </w:rPr>
        <w:t>日</w:t>
      </w:r>
    </w:p>
    <w:p w14:paraId="1C2B0036">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4" w:name="_Hlt67893495"/>
      <w:bookmarkEnd w:id="4"/>
    </w:p>
    <w:p w14:paraId="50438455">
      <w:pPr>
        <w:spacing w:line="360" w:lineRule="auto"/>
        <w:jc w:val="center"/>
        <w:rPr>
          <w:rFonts w:ascii="宋体" w:hAnsi="宋体" w:cs="宋体"/>
          <w:color w:val="auto"/>
          <w:sz w:val="24"/>
          <w:highlight w:val="none"/>
        </w:rPr>
      </w:pPr>
    </w:p>
    <w:p w14:paraId="04AA02E1">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6B7A2A35">
      <w:pPr>
        <w:spacing w:line="360" w:lineRule="auto"/>
        <w:rPr>
          <w:rFonts w:ascii="宋体" w:hAnsi="宋体" w:cs="宋体"/>
          <w:color w:val="auto"/>
          <w:sz w:val="32"/>
          <w:szCs w:val="32"/>
          <w:highlight w:val="none"/>
        </w:rPr>
      </w:pPr>
    </w:p>
    <w:p w14:paraId="68304064">
      <w:pPr>
        <w:spacing w:line="360" w:lineRule="auto"/>
        <w:rPr>
          <w:rFonts w:ascii="宋体" w:hAnsi="宋体" w:cs="宋体"/>
          <w:color w:val="auto"/>
          <w:sz w:val="32"/>
          <w:szCs w:val="32"/>
          <w:highlight w:val="none"/>
        </w:rPr>
      </w:pPr>
    </w:p>
    <w:p w14:paraId="385501E2">
      <w:pPr>
        <w:pStyle w:val="10"/>
        <w:tabs>
          <w:tab w:val="right" w:leader="dot" w:pos="9060"/>
        </w:tabs>
        <w:spacing w:line="360" w:lineRule="auto"/>
        <w:rPr>
          <w:rFonts w:ascii="宋体" w:hAnsi="宋体" w:cstheme="minorBidi"/>
          <w:color w:val="auto"/>
          <w:sz w:val="32"/>
          <w:szCs w:val="32"/>
          <w:highlight w:val="none"/>
        </w:rPr>
      </w:pPr>
      <w:bookmarkStart w:id="5" w:name="_Hlt91233176"/>
      <w:bookmarkEnd w:id="5"/>
      <w:bookmarkStart w:id="6"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TOC \o "1-1" \h \z \u </w:instrText>
      </w:r>
      <w:r>
        <w:rPr>
          <w:rFonts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"_Toc176343848" </w:instrText>
      </w:r>
      <w:r>
        <w:rPr>
          <w:color w:val="auto"/>
          <w:highlight w:val="none"/>
        </w:rPr>
        <w:fldChar w:fldCharType="separate"/>
      </w:r>
      <w:r>
        <w:rPr>
          <w:rStyle w:val="15"/>
          <w:rFonts w:hint="eastAsia" w:ascii="宋体" w:hAnsi="宋体" w:eastAsia="宋体" w:cs="宋体"/>
          <w:color w:val="auto"/>
          <w:sz w:val="32"/>
          <w:szCs w:val="32"/>
          <w:highlight w:val="none"/>
        </w:rPr>
        <w:t>第一部分</w:t>
      </w:r>
      <w:r>
        <w:rPr>
          <w:rStyle w:val="15"/>
          <w:rFonts w:ascii="宋体" w:hAnsi="宋体" w:eastAsia="宋体" w:cs="宋体"/>
          <w:color w:val="auto"/>
          <w:sz w:val="32"/>
          <w:szCs w:val="32"/>
          <w:highlight w:val="none"/>
        </w:rPr>
        <w:t xml:space="preserve">  </w:t>
      </w:r>
      <w:r>
        <w:rPr>
          <w:rStyle w:val="15"/>
          <w:rFonts w:hint="eastAsia" w:ascii="宋体" w:hAnsi="宋体" w:eastAsia="宋体" w:cs="宋体"/>
          <w:color w:val="auto"/>
          <w:sz w:val="32"/>
          <w:szCs w:val="32"/>
          <w:highlight w:val="none"/>
        </w:rPr>
        <w:t>招标公告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_Toc176343848 \h </w:instrText>
      </w:r>
      <w:r>
        <w:rPr>
          <w:rFonts w:ascii="宋体" w:hAnsi="宋体"/>
          <w:color w:val="auto"/>
          <w:sz w:val="32"/>
          <w:szCs w:val="32"/>
          <w:highlight w:val="none"/>
        </w:rPr>
        <w:fldChar w:fldCharType="separate"/>
      </w:r>
      <w:r>
        <w:rPr>
          <w:rFonts w:ascii="宋体" w:hAnsi="宋体"/>
          <w:color w:val="auto"/>
          <w:sz w:val="32"/>
          <w:szCs w:val="32"/>
          <w:highlight w:val="none"/>
        </w:rPr>
        <w:t>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48D45CA">
      <w:pPr>
        <w:pStyle w:val="10"/>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"_Toc176343849" </w:instrText>
      </w:r>
      <w:r>
        <w:rPr>
          <w:color w:val="auto"/>
          <w:highlight w:val="none"/>
        </w:rPr>
        <w:fldChar w:fldCharType="separate"/>
      </w:r>
      <w:r>
        <w:rPr>
          <w:rStyle w:val="15"/>
          <w:rFonts w:hint="eastAsia" w:ascii="宋体" w:hAnsi="宋体" w:eastAsia="宋体" w:cs="宋体"/>
          <w:color w:val="auto"/>
          <w:sz w:val="32"/>
          <w:szCs w:val="32"/>
          <w:highlight w:val="none"/>
        </w:rPr>
        <w:t>第二部分</w:t>
      </w:r>
      <w:r>
        <w:rPr>
          <w:rStyle w:val="15"/>
          <w:rFonts w:ascii="宋体" w:hAnsi="宋体" w:eastAsia="宋体" w:cs="宋体"/>
          <w:color w:val="auto"/>
          <w:sz w:val="32"/>
          <w:szCs w:val="32"/>
          <w:highlight w:val="none"/>
        </w:rPr>
        <w:t xml:space="preserve">  </w:t>
      </w:r>
      <w:r>
        <w:rPr>
          <w:rStyle w:val="15"/>
          <w:rFonts w:hint="eastAsia" w:ascii="宋体" w:hAnsi="宋体" w:eastAsia="宋体" w:cs="宋体"/>
          <w:color w:val="auto"/>
          <w:sz w:val="32"/>
          <w:szCs w:val="32"/>
          <w:highlight w:val="none"/>
        </w:rPr>
        <w:t>投标人须知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_Toc176343849 \h </w:instrText>
      </w:r>
      <w:r>
        <w:rPr>
          <w:rFonts w:ascii="宋体" w:hAnsi="宋体"/>
          <w:color w:val="auto"/>
          <w:sz w:val="32"/>
          <w:szCs w:val="32"/>
          <w:highlight w:val="none"/>
        </w:rPr>
        <w:fldChar w:fldCharType="separate"/>
      </w:r>
      <w:r>
        <w:rPr>
          <w:rFonts w:ascii="宋体" w:hAnsi="宋体"/>
          <w:color w:val="auto"/>
          <w:sz w:val="32"/>
          <w:szCs w:val="32"/>
          <w:highlight w:val="none"/>
        </w:rPr>
        <w:t>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079215F1">
      <w:pPr>
        <w:pStyle w:val="10"/>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"_Toc176343850" </w:instrText>
      </w:r>
      <w:r>
        <w:rPr>
          <w:color w:val="auto"/>
          <w:highlight w:val="none"/>
        </w:rPr>
        <w:fldChar w:fldCharType="separate"/>
      </w:r>
      <w:r>
        <w:rPr>
          <w:rStyle w:val="15"/>
          <w:rFonts w:hint="eastAsia" w:ascii="宋体" w:hAnsi="宋体" w:eastAsia="宋体" w:cs="宋体"/>
          <w:color w:val="auto"/>
          <w:sz w:val="32"/>
          <w:szCs w:val="32"/>
          <w:highlight w:val="none"/>
        </w:rPr>
        <w:t>第三部分</w:t>
      </w:r>
      <w:r>
        <w:rPr>
          <w:rStyle w:val="15"/>
          <w:rFonts w:ascii="宋体" w:hAnsi="宋体" w:eastAsia="宋体" w:cs="宋体"/>
          <w:color w:val="auto"/>
          <w:sz w:val="32"/>
          <w:szCs w:val="32"/>
          <w:highlight w:val="none"/>
        </w:rPr>
        <w:t xml:space="preserve">  </w:t>
      </w:r>
      <w:r>
        <w:rPr>
          <w:rStyle w:val="15"/>
          <w:rFonts w:hint="eastAsia" w:ascii="宋体" w:hAnsi="宋体" w:eastAsia="宋体" w:cs="宋体"/>
          <w:color w:val="auto"/>
          <w:sz w:val="32"/>
          <w:szCs w:val="32"/>
          <w:highlight w:val="none"/>
        </w:rPr>
        <w:t>采购需求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_Toc176343850 \h </w:instrText>
      </w:r>
      <w:r>
        <w:rPr>
          <w:rFonts w:ascii="宋体" w:hAnsi="宋体"/>
          <w:color w:val="auto"/>
          <w:sz w:val="32"/>
          <w:szCs w:val="32"/>
          <w:highlight w:val="none"/>
        </w:rPr>
        <w:fldChar w:fldCharType="separate"/>
      </w:r>
      <w:r>
        <w:rPr>
          <w:rFonts w:ascii="宋体" w:hAnsi="宋体"/>
          <w:color w:val="auto"/>
          <w:sz w:val="32"/>
          <w:szCs w:val="32"/>
          <w:highlight w:val="none"/>
        </w:rPr>
        <w:t>26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CCB2219">
      <w:pPr>
        <w:pStyle w:val="10"/>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"_Toc176343851" </w:instrText>
      </w:r>
      <w:r>
        <w:rPr>
          <w:color w:val="auto"/>
          <w:highlight w:val="none"/>
        </w:rPr>
        <w:fldChar w:fldCharType="separate"/>
      </w:r>
      <w:r>
        <w:rPr>
          <w:rStyle w:val="15"/>
          <w:rFonts w:hint="eastAsia" w:ascii="宋体" w:hAnsi="宋体" w:eastAsia="宋体" w:cs="宋体"/>
          <w:color w:val="auto"/>
          <w:sz w:val="32"/>
          <w:szCs w:val="32"/>
          <w:highlight w:val="none"/>
        </w:rPr>
        <w:t>第四部分</w:t>
      </w:r>
      <w:r>
        <w:rPr>
          <w:rStyle w:val="15"/>
          <w:rFonts w:ascii="宋体" w:hAnsi="宋体" w:eastAsia="宋体" w:cs="宋体"/>
          <w:color w:val="auto"/>
          <w:sz w:val="32"/>
          <w:szCs w:val="32"/>
          <w:highlight w:val="none"/>
        </w:rPr>
        <w:t xml:space="preserve">  </w:t>
      </w:r>
      <w:r>
        <w:rPr>
          <w:rStyle w:val="15"/>
          <w:rFonts w:hint="eastAsia" w:ascii="宋体" w:hAnsi="宋体" w:eastAsia="宋体" w:cs="宋体"/>
          <w:color w:val="auto"/>
          <w:sz w:val="32"/>
          <w:szCs w:val="32"/>
          <w:highlight w:val="none"/>
        </w:rPr>
        <w:t>评标办法</w:t>
      </w:r>
      <w:r>
        <w:rPr>
          <w:rFonts w:ascii="宋体" w:hAnsi="宋体"/>
          <w:color w:val="auto"/>
          <w:sz w:val="32"/>
          <w:szCs w:val="32"/>
          <w:highlight w:val="none"/>
        </w:rPr>
        <w:tab/>
      </w:r>
      <w:r>
        <w:rPr>
          <w:rFonts w:hint="eastAsia" w:ascii="宋体" w:hAnsi="宋体"/>
          <w:color w:val="auto"/>
          <w:sz w:val="32"/>
          <w:szCs w:val="32"/>
          <w:highlight w:val="none"/>
        </w:rPr>
        <w:t>57</w:t>
      </w:r>
      <w:r>
        <w:rPr>
          <w:rFonts w:hint="eastAsia" w:ascii="宋体" w:hAnsi="宋体"/>
          <w:color w:val="auto"/>
          <w:sz w:val="32"/>
          <w:szCs w:val="32"/>
          <w:highlight w:val="none"/>
        </w:rPr>
        <w:fldChar w:fldCharType="end"/>
      </w:r>
    </w:p>
    <w:p w14:paraId="478BE14C">
      <w:pPr>
        <w:pStyle w:val="10"/>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"_Toc176343852" </w:instrText>
      </w:r>
      <w:r>
        <w:rPr>
          <w:color w:val="auto"/>
          <w:highlight w:val="none"/>
        </w:rPr>
        <w:fldChar w:fldCharType="separate"/>
      </w:r>
      <w:r>
        <w:rPr>
          <w:rStyle w:val="15"/>
          <w:rFonts w:hint="eastAsia" w:ascii="宋体" w:hAnsi="宋体" w:eastAsia="宋体" w:cs="宋体"/>
          <w:color w:val="auto"/>
          <w:sz w:val="32"/>
          <w:szCs w:val="32"/>
          <w:highlight w:val="none"/>
        </w:rPr>
        <w:t>第五部分</w:t>
      </w:r>
      <w:r>
        <w:rPr>
          <w:rStyle w:val="15"/>
          <w:rFonts w:ascii="宋体" w:hAnsi="宋体" w:eastAsia="宋体" w:cs="宋体"/>
          <w:color w:val="auto"/>
          <w:sz w:val="32"/>
          <w:szCs w:val="32"/>
          <w:highlight w:val="none"/>
        </w:rPr>
        <w:t xml:space="preserve">  </w:t>
      </w:r>
      <w:r>
        <w:rPr>
          <w:rStyle w:val="15"/>
          <w:rFonts w:hint="eastAsia" w:ascii="宋体" w:hAnsi="宋体" w:eastAsia="宋体" w:cs="宋体"/>
          <w:color w:val="auto"/>
          <w:sz w:val="32"/>
          <w:szCs w:val="32"/>
          <w:highlight w:val="none"/>
        </w:rPr>
        <w:t>拟签订的合同文本</w:t>
      </w:r>
      <w:r>
        <w:rPr>
          <w:rFonts w:ascii="宋体" w:hAnsi="宋体"/>
          <w:color w:val="auto"/>
          <w:sz w:val="32"/>
          <w:szCs w:val="32"/>
          <w:highlight w:val="none"/>
        </w:rPr>
        <w:tab/>
      </w:r>
      <w:r>
        <w:rPr>
          <w:rFonts w:hint="eastAsia" w:ascii="宋体" w:hAnsi="宋体"/>
          <w:color w:val="auto"/>
          <w:sz w:val="32"/>
          <w:szCs w:val="32"/>
          <w:highlight w:val="none"/>
        </w:rPr>
        <w:t>67</w:t>
      </w:r>
      <w:r>
        <w:rPr>
          <w:rFonts w:hint="eastAsia" w:ascii="宋体" w:hAnsi="宋体"/>
          <w:color w:val="auto"/>
          <w:sz w:val="32"/>
          <w:szCs w:val="32"/>
          <w:highlight w:val="none"/>
        </w:rPr>
        <w:fldChar w:fldCharType="end"/>
      </w:r>
    </w:p>
    <w:p w14:paraId="0234CD7A">
      <w:pPr>
        <w:pStyle w:val="10"/>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"_Toc176343853" </w:instrText>
      </w:r>
      <w:r>
        <w:rPr>
          <w:color w:val="auto"/>
          <w:highlight w:val="none"/>
        </w:rPr>
        <w:fldChar w:fldCharType="separate"/>
      </w:r>
      <w:r>
        <w:rPr>
          <w:rStyle w:val="15"/>
          <w:rFonts w:hint="eastAsia" w:ascii="宋体" w:hAnsi="宋体" w:eastAsia="宋体" w:cs="宋体"/>
          <w:color w:val="auto"/>
          <w:sz w:val="32"/>
          <w:szCs w:val="32"/>
          <w:highlight w:val="none"/>
        </w:rPr>
        <w:t>第六部分</w:t>
      </w:r>
      <w:r>
        <w:rPr>
          <w:rStyle w:val="15"/>
          <w:rFonts w:ascii="宋体" w:hAnsi="宋体" w:eastAsia="宋体" w:cs="宋体"/>
          <w:color w:val="auto"/>
          <w:sz w:val="32"/>
          <w:szCs w:val="32"/>
          <w:highlight w:val="none"/>
        </w:rPr>
        <w:t xml:space="preserve">  </w:t>
      </w:r>
      <w:r>
        <w:rPr>
          <w:rStyle w:val="15"/>
          <w:rFonts w:hint="eastAsia" w:ascii="宋体" w:hAnsi="宋体" w:eastAsia="宋体" w:cs="宋体"/>
          <w:color w:val="auto"/>
          <w:sz w:val="32"/>
          <w:szCs w:val="32"/>
          <w:highlight w:val="none"/>
        </w:rPr>
        <w:t>应提交的有关格式范例</w:t>
      </w:r>
      <w:r>
        <w:rPr>
          <w:rFonts w:ascii="宋体" w:hAnsi="宋体"/>
          <w:color w:val="auto"/>
          <w:sz w:val="32"/>
          <w:szCs w:val="32"/>
          <w:highlight w:val="none"/>
        </w:rPr>
        <w:tab/>
      </w:r>
      <w:r>
        <w:rPr>
          <w:rFonts w:hint="eastAsia" w:ascii="宋体" w:hAnsi="宋体"/>
          <w:color w:val="auto"/>
          <w:sz w:val="32"/>
          <w:szCs w:val="32"/>
          <w:highlight w:val="none"/>
        </w:rPr>
        <w:t>85</w:t>
      </w:r>
      <w:r>
        <w:rPr>
          <w:rFonts w:hint="eastAsia" w:ascii="宋体" w:hAnsi="宋体"/>
          <w:color w:val="auto"/>
          <w:sz w:val="32"/>
          <w:szCs w:val="32"/>
          <w:highlight w:val="none"/>
        </w:rPr>
        <w:fldChar w:fldCharType="end"/>
      </w:r>
    </w:p>
    <w:p w14:paraId="1ABBC95E">
      <w:pPr>
        <w:spacing w:line="360" w:lineRule="auto"/>
        <w:ind w:firstLine="732" w:firstLineChars="229"/>
        <w:rPr>
          <w:rFonts w:ascii="宋体" w:hAnsi="宋体" w:cs="宋体"/>
          <w:color w:val="auto"/>
          <w:sz w:val="32"/>
          <w:szCs w:val="32"/>
          <w:highlight w:val="none"/>
        </w:rPr>
      </w:pPr>
      <w:r>
        <w:rPr>
          <w:rFonts w:ascii="宋体" w:hAnsi="宋体" w:cs="宋体"/>
          <w:color w:val="auto"/>
          <w:sz w:val="32"/>
          <w:szCs w:val="32"/>
          <w:highlight w:val="none"/>
        </w:rPr>
        <w:fldChar w:fldCharType="end"/>
      </w:r>
    </w:p>
    <w:p w14:paraId="0F7DAFA2">
      <w:pPr>
        <w:spacing w:line="360" w:lineRule="auto"/>
        <w:ind w:firstLine="549" w:firstLineChars="229"/>
        <w:rPr>
          <w:rFonts w:ascii="宋体" w:hAnsi="宋体" w:cs="宋体"/>
          <w:color w:val="auto"/>
          <w:sz w:val="24"/>
          <w:highlight w:val="none"/>
        </w:rPr>
      </w:pPr>
    </w:p>
    <w:p w14:paraId="05ECE964">
      <w:pPr>
        <w:spacing w:line="360" w:lineRule="auto"/>
        <w:ind w:firstLine="549" w:firstLineChars="229"/>
        <w:rPr>
          <w:rFonts w:ascii="宋体" w:hAnsi="宋体" w:cs="宋体"/>
          <w:color w:val="auto"/>
          <w:sz w:val="24"/>
          <w:highlight w:val="none"/>
        </w:rPr>
      </w:pPr>
    </w:p>
    <w:p w14:paraId="38B8B1C6">
      <w:pPr>
        <w:spacing w:line="360" w:lineRule="auto"/>
        <w:ind w:firstLine="549" w:firstLineChars="229"/>
        <w:rPr>
          <w:rFonts w:ascii="宋体" w:hAnsi="宋体" w:cs="宋体"/>
          <w:color w:val="auto"/>
          <w:sz w:val="24"/>
          <w:highlight w:val="none"/>
        </w:rPr>
      </w:pPr>
    </w:p>
    <w:p w14:paraId="4413DBA7">
      <w:pPr>
        <w:spacing w:line="360" w:lineRule="auto"/>
        <w:ind w:firstLine="549" w:firstLineChars="229"/>
        <w:rPr>
          <w:rFonts w:ascii="宋体" w:hAnsi="宋体" w:cs="宋体"/>
          <w:color w:val="auto"/>
          <w:sz w:val="24"/>
          <w:highlight w:val="none"/>
        </w:rPr>
      </w:pPr>
    </w:p>
    <w:p w14:paraId="65B4AB4E">
      <w:pPr>
        <w:spacing w:line="360" w:lineRule="auto"/>
        <w:ind w:firstLine="549" w:firstLineChars="229"/>
        <w:rPr>
          <w:rFonts w:ascii="宋体" w:hAnsi="宋体" w:cs="宋体"/>
          <w:color w:val="auto"/>
          <w:sz w:val="24"/>
          <w:highlight w:val="none"/>
        </w:rPr>
      </w:pPr>
    </w:p>
    <w:p w14:paraId="603FADCC">
      <w:pPr>
        <w:spacing w:line="360" w:lineRule="auto"/>
        <w:ind w:firstLine="549" w:firstLineChars="229"/>
        <w:rPr>
          <w:rFonts w:ascii="宋体" w:hAnsi="宋体" w:cs="宋体"/>
          <w:color w:val="auto"/>
          <w:sz w:val="24"/>
          <w:highlight w:val="none"/>
        </w:rPr>
      </w:pPr>
    </w:p>
    <w:p w14:paraId="27035EB3">
      <w:pPr>
        <w:spacing w:line="360" w:lineRule="auto"/>
        <w:ind w:firstLine="549" w:firstLineChars="229"/>
        <w:rPr>
          <w:rFonts w:ascii="宋体" w:hAnsi="宋体" w:cs="宋体"/>
          <w:color w:val="auto"/>
          <w:sz w:val="24"/>
          <w:highlight w:val="none"/>
        </w:rPr>
      </w:pPr>
    </w:p>
    <w:p w14:paraId="6502B30F">
      <w:pPr>
        <w:spacing w:line="360" w:lineRule="auto"/>
        <w:ind w:firstLine="549" w:firstLineChars="229"/>
        <w:rPr>
          <w:rFonts w:ascii="宋体" w:hAnsi="宋体" w:cs="宋体"/>
          <w:color w:val="auto"/>
          <w:sz w:val="24"/>
          <w:highlight w:val="none"/>
        </w:rPr>
      </w:pPr>
    </w:p>
    <w:p w14:paraId="308B0AF7">
      <w:pPr>
        <w:spacing w:line="360" w:lineRule="auto"/>
        <w:ind w:firstLine="549" w:firstLineChars="229"/>
        <w:rPr>
          <w:rFonts w:ascii="宋体" w:hAnsi="宋体" w:cs="宋体"/>
          <w:color w:val="auto"/>
          <w:sz w:val="24"/>
          <w:highlight w:val="none"/>
        </w:rPr>
      </w:pPr>
    </w:p>
    <w:p w14:paraId="10746E3B">
      <w:pPr>
        <w:spacing w:line="360" w:lineRule="auto"/>
        <w:ind w:firstLine="549" w:firstLineChars="229"/>
        <w:rPr>
          <w:rFonts w:ascii="宋体" w:hAnsi="宋体" w:cs="宋体"/>
          <w:color w:val="auto"/>
          <w:sz w:val="24"/>
          <w:highlight w:val="none"/>
        </w:rPr>
      </w:pPr>
    </w:p>
    <w:p w14:paraId="12550B72">
      <w:pPr>
        <w:spacing w:line="360" w:lineRule="auto"/>
        <w:ind w:firstLine="549" w:firstLineChars="229"/>
        <w:rPr>
          <w:rFonts w:ascii="宋体" w:hAnsi="宋体" w:cs="宋体"/>
          <w:color w:val="auto"/>
          <w:sz w:val="24"/>
          <w:highlight w:val="none"/>
        </w:rPr>
      </w:pPr>
    </w:p>
    <w:p w14:paraId="79DEDF1F">
      <w:pPr>
        <w:spacing w:line="360" w:lineRule="auto"/>
        <w:rPr>
          <w:rFonts w:ascii="宋体" w:hAnsi="宋体" w:cs="宋体"/>
          <w:color w:val="auto"/>
          <w:sz w:val="24"/>
          <w:highlight w:val="none"/>
        </w:rPr>
      </w:pPr>
    </w:p>
    <w:p w14:paraId="56B537DF">
      <w:pPr>
        <w:adjustRightInd/>
        <w:spacing w:line="360" w:lineRule="auto"/>
        <w:jc w:val="center"/>
        <w:outlineLvl w:val="0"/>
        <w:rPr>
          <w:rFonts w:ascii="宋体" w:hAnsi="宋体" w:cs="宋体"/>
          <w:b/>
          <w:color w:val="auto"/>
          <w:sz w:val="36"/>
          <w:szCs w:val="20"/>
          <w:highlight w:val="none"/>
        </w:rPr>
      </w:pPr>
      <w:bookmarkStart w:id="7" w:name="第一部分"/>
      <w:r>
        <w:rPr>
          <w:rFonts w:hint="eastAsia" w:ascii="宋体" w:hAnsi="宋体" w:cs="宋体"/>
          <w:b/>
          <w:color w:val="auto"/>
          <w:sz w:val="36"/>
          <w:szCs w:val="36"/>
          <w:highlight w:val="none"/>
        </w:rPr>
        <w:br w:type="page"/>
      </w:r>
      <w:bookmarkEnd w:id="6"/>
      <w:bookmarkEnd w:id="7"/>
      <w:bookmarkStart w:id="8" w:name="_Hlt74707423"/>
      <w:bookmarkEnd w:id="8"/>
      <w:bookmarkStart w:id="9" w:name="_Hlt74729822"/>
      <w:bookmarkEnd w:id="9"/>
      <w:bookmarkStart w:id="10" w:name="_Hlt74649545"/>
      <w:bookmarkEnd w:id="10"/>
      <w:bookmarkStart w:id="11" w:name="_Hlt74728647"/>
      <w:bookmarkEnd w:id="11"/>
      <w:bookmarkStart w:id="12" w:name="_Toc176343848"/>
      <w:bookmarkStart w:id="13" w:name="_Toc176185119"/>
      <w:bookmarkStart w:id="14" w:name="第二部分"/>
      <w:bookmarkStart w:id="15" w:name="_Toc91899870"/>
      <w:bookmarkStart w:id="16" w:name="_Toc91899871"/>
      <w:r>
        <w:rPr>
          <w:rFonts w:hint="eastAsia" w:ascii="宋体" w:hAnsi="宋体" w:cs="宋体"/>
          <w:b/>
          <w:color w:val="auto"/>
          <w:sz w:val="36"/>
          <w:szCs w:val="20"/>
          <w:highlight w:val="none"/>
        </w:rPr>
        <w:t>第一部分  招标公告</w:t>
      </w:r>
      <w:bookmarkEnd w:id="12"/>
      <w:bookmarkEnd w:id="13"/>
    </w:p>
    <w:p w14:paraId="597FFD1D">
      <w:pPr>
        <w:pStyle w:val="9"/>
        <w:rPr>
          <w:rFonts w:ascii="宋体" w:hAnsi="宋体" w:cs="宋体"/>
          <w:b/>
          <w:color w:val="auto"/>
          <w:sz w:val="36"/>
          <w:szCs w:val="20"/>
          <w:highlight w:val="none"/>
        </w:rPr>
      </w:pPr>
      <w:bookmarkStart w:id="17" w:name="OLE_LINK40"/>
      <w:bookmarkStart w:id="18" w:name="OLE_LINK41"/>
      <w:bookmarkStart w:id="19" w:name="OLE_LINK92"/>
      <w:bookmarkStart w:id="20" w:name="OLE_LINK93"/>
      <w:bookmarkStart w:id="21" w:name="OLE_LINK94"/>
      <w:bookmarkStart w:id="22" w:name="OLE_LINK202"/>
      <w:r>
        <w:rPr>
          <w:rFonts w:hint="eastAsia" w:ascii="宋体" w:hAnsi="宋体" w:cs="宋体"/>
          <w:b/>
          <w:color w:val="auto"/>
          <w:sz w:val="32"/>
          <w:szCs w:val="32"/>
          <w:highlight w:val="none"/>
          <w:lang w:val="en-US" w:eastAsia="zh-CN"/>
        </w:rPr>
        <w:t>广西达华工程造价咨询有限责任公司关于载玻片激光打码机、角膜地形图检查仪等设备购置项目（项目编号：BHZC2025-G1-990327-GXDH）</w:t>
      </w:r>
      <w:r>
        <w:rPr>
          <w:rFonts w:hint="eastAsia" w:ascii="宋体" w:hAnsi="宋体" w:cs="宋体"/>
          <w:b/>
          <w:color w:val="auto"/>
          <w:sz w:val="32"/>
          <w:szCs w:val="32"/>
          <w:highlight w:val="none"/>
        </w:rPr>
        <w:t>招标公告（远程异地评标）</w:t>
      </w:r>
    </w:p>
    <w:p w14:paraId="64D0E054">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5FF5CCF6">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val="en-US" w:eastAsia="zh-CN"/>
        </w:rPr>
        <w:t>载玻片激光打码机、角膜地形图检查仪等设备购置项目</w:t>
      </w:r>
      <w:r>
        <w:rPr>
          <w:rFonts w:hint="eastAsia" w:asciiTheme="minorEastAsia" w:hAnsiTheme="minorEastAsia" w:eastAsiaTheme="minorEastAsia"/>
          <w:color w:val="auto"/>
          <w:sz w:val="24"/>
          <w:highlight w:val="none"/>
        </w:rPr>
        <w:t>招标项目的潜在投标人应在</w:t>
      </w:r>
      <w:r>
        <w:rPr>
          <w:rFonts w:hint="eastAsia" w:ascii="宋体" w:hAnsi="宋体" w:cs="宋体"/>
          <w:color w:val="auto"/>
          <w:sz w:val="24"/>
          <w:highlight w:val="none"/>
        </w:rPr>
        <w:t>广西政府采购云平台（</w:t>
      </w:r>
      <w:r>
        <w:rPr>
          <w:color w:val="auto"/>
          <w:highlight w:val="none"/>
        </w:rPr>
        <w:fldChar w:fldCharType="begin"/>
      </w:r>
      <w:r>
        <w:rPr>
          <w:color w:val="auto"/>
          <w:highlight w:val="none"/>
        </w:rPr>
        <w:instrText xml:space="preserve"> HYPERLINK "https://www.gcy.zfcg.gxzf.gov.cn/）获取（下载）招标文件，并于2025年" </w:instrText>
      </w:r>
      <w:r>
        <w:rPr>
          <w:color w:val="auto"/>
          <w:highlight w:val="none"/>
        </w:rPr>
        <w:fldChar w:fldCharType="separate"/>
      </w:r>
      <w:r>
        <w:rPr>
          <w:rStyle w:val="15"/>
          <w:rFonts w:hint="eastAsia" w:ascii="宋体" w:hAnsi="宋体" w:eastAsia="宋体" w:cs="宋体"/>
          <w:color w:val="auto"/>
          <w:sz w:val="24"/>
          <w:szCs w:val="24"/>
          <w:highlight w:val="none"/>
        </w:rPr>
        <w:t>https://www.gcy.zfcg.gxzf.gov.cn/）</w:t>
      </w:r>
      <w:r>
        <w:rPr>
          <w:rStyle w:val="15"/>
          <w:rFonts w:cs="Times New Roman" w:asciiTheme="minorEastAsia" w:hAnsiTheme="minorEastAsia" w:eastAsiaTheme="minorEastAsia"/>
          <w:color w:val="auto"/>
          <w:sz w:val="24"/>
          <w:szCs w:val="24"/>
          <w:highlight w:val="none"/>
        </w:rPr>
        <w:t>获取（下载）招标文件，并于</w:t>
      </w:r>
      <w:r>
        <w:rPr>
          <w:rStyle w:val="15"/>
          <w:rFonts w:hint="eastAsia" w:cs="Times New Roman" w:asciiTheme="minorEastAsia" w:hAnsiTheme="minorEastAsia" w:eastAsiaTheme="minorEastAsia"/>
          <w:color w:val="auto"/>
          <w:sz w:val="24"/>
          <w:szCs w:val="24"/>
          <w:highlight w:val="none"/>
        </w:rPr>
        <w:t>202</w:t>
      </w:r>
      <w:r>
        <w:rPr>
          <w:rStyle w:val="15"/>
          <w:rFonts w:hint="eastAsia" w:cs="Times New Roman" w:asciiTheme="minorEastAsia" w:hAnsiTheme="minorEastAsia" w:eastAsiaTheme="minorEastAsia"/>
          <w:color w:val="auto"/>
          <w:sz w:val="24"/>
          <w:szCs w:val="24"/>
          <w:highlight w:val="none"/>
          <w:lang w:val="en-US" w:eastAsia="zh-CN"/>
        </w:rPr>
        <w:t>6</w:t>
      </w:r>
      <w:r>
        <w:rPr>
          <w:rStyle w:val="15"/>
          <w:rFonts w:hint="eastAsia" w:cs="Times New Roman" w:asciiTheme="minorEastAsia" w:hAnsiTheme="minorEastAsia" w:eastAsiaTheme="minorEastAsia"/>
          <w:color w:val="auto"/>
          <w:sz w:val="24"/>
          <w:szCs w:val="24"/>
          <w:highlight w:val="none"/>
        </w:rPr>
        <w:t>年</w:t>
      </w:r>
      <w:r>
        <w:rPr>
          <w:rStyle w:val="15"/>
          <w:rFonts w:hint="eastAsia" w:cs="Times New Roman" w:asciiTheme="minorEastAsia" w:hAnsiTheme="minorEastAsia" w:eastAsiaTheme="minorEastAsia"/>
          <w:color w:val="auto"/>
          <w:sz w:val="24"/>
          <w:szCs w:val="24"/>
          <w:highlight w:val="none"/>
        </w:rPr>
        <w:fldChar w:fldCharType="end"/>
      </w:r>
      <w:r>
        <w:rPr>
          <w:rStyle w:val="15"/>
          <w:rFonts w:hint="eastAsia" w:cs="Times New Roman"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日9点00分00秒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5E3E325A">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721A5DC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项目编号：</w:t>
      </w:r>
    </w:p>
    <w:p w14:paraId="27DBF3A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项目名称：</w:t>
      </w:r>
      <w:bookmarkStart w:id="23" w:name="OLE_LINK99"/>
      <w:bookmarkStart w:id="24" w:name="OLE_LINK100"/>
      <w:bookmarkStart w:id="25" w:name="OLE_LINK276"/>
      <w:r>
        <w:rPr>
          <w:rFonts w:hint="eastAsia" w:ascii="宋体" w:hAnsi="宋体" w:cs="宋体"/>
          <w:color w:val="auto"/>
          <w:sz w:val="24"/>
          <w:highlight w:val="none"/>
          <w:lang w:val="en-US" w:eastAsia="zh-CN"/>
        </w:rPr>
        <w:t>载玻片激光打码机、角膜地形图检查仪等设备购置项目</w:t>
      </w:r>
    </w:p>
    <w:bookmarkEnd w:id="23"/>
    <w:bookmarkEnd w:id="24"/>
    <w:bookmarkEnd w:id="25"/>
    <w:p w14:paraId="16214E6A">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预算金额（元）：</w:t>
      </w:r>
      <w:r>
        <w:rPr>
          <w:rFonts w:hint="eastAsia" w:ascii="宋体" w:hAnsi="宋体" w:cs="宋体"/>
          <w:color w:val="auto"/>
          <w:sz w:val="24"/>
          <w:highlight w:val="none"/>
          <w:lang w:val="en-US" w:eastAsia="zh-CN"/>
        </w:rPr>
        <w:t>2915000</w:t>
      </w:r>
    </w:p>
    <w:p w14:paraId="01F075C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采购需求：</w:t>
      </w:r>
    </w:p>
    <w:p w14:paraId="4A386D77">
      <w:pPr>
        <w:spacing w:line="32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标项一</w:t>
      </w:r>
    </w:p>
    <w:p w14:paraId="50640A38">
      <w:pPr>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 xml:space="preserve">标项名称: </w:t>
      </w:r>
      <w:r>
        <w:rPr>
          <w:rFonts w:hint="eastAsia" w:ascii="宋体" w:hAnsi="宋体" w:cs="宋体"/>
          <w:color w:val="auto"/>
          <w:sz w:val="24"/>
          <w:highlight w:val="none"/>
          <w:lang w:val="en-US" w:eastAsia="zh-CN"/>
        </w:rPr>
        <w:t>载玻片激光打码机、角膜地形图检查仪等设备购置项目01分标</w:t>
      </w:r>
    </w:p>
    <w:p w14:paraId="74CA0D56">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数量:1项</w:t>
      </w:r>
    </w:p>
    <w:p w14:paraId="1C053E34">
      <w:pPr>
        <w:pStyle w:val="4"/>
        <w:spacing w:line="360" w:lineRule="auto"/>
        <w:ind w:firstLine="480"/>
        <w:rPr>
          <w:rFonts w:hint="default" w:hAnsi="宋体" w:cs="宋体"/>
          <w:snapToGrid/>
          <w:color w:val="auto"/>
          <w:kern w:val="2"/>
          <w:sz w:val="24"/>
          <w:szCs w:val="24"/>
          <w:highlight w:val="none"/>
          <w:lang w:val="en-US" w:eastAsia="zh-CN"/>
        </w:rPr>
      </w:pPr>
      <w:r>
        <w:rPr>
          <w:rFonts w:hint="eastAsia" w:hAnsi="宋体" w:cs="宋体"/>
          <w:color w:val="auto"/>
          <w:kern w:val="0"/>
          <w:sz w:val="24"/>
          <w:highlight w:val="none"/>
        </w:rPr>
        <w:t>预算金额（元）</w:t>
      </w:r>
      <w:r>
        <w:rPr>
          <w:rFonts w:hint="eastAsia" w:hAnsi="宋体" w:cs="宋体"/>
          <w:snapToGrid/>
          <w:color w:val="auto"/>
          <w:kern w:val="2"/>
          <w:sz w:val="24"/>
          <w:szCs w:val="24"/>
          <w:highlight w:val="none"/>
        </w:rPr>
        <w:t xml:space="preserve">: </w:t>
      </w:r>
      <w:r>
        <w:rPr>
          <w:rFonts w:hint="eastAsia" w:hAnsi="宋体" w:cs="宋体"/>
          <w:snapToGrid/>
          <w:color w:val="auto"/>
          <w:kern w:val="2"/>
          <w:sz w:val="24"/>
          <w:szCs w:val="24"/>
          <w:highlight w:val="none"/>
          <w:lang w:val="en-US" w:eastAsia="zh-CN"/>
        </w:rPr>
        <w:t>856000</w:t>
      </w:r>
    </w:p>
    <w:p w14:paraId="48E5C819">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简要规格描述或项目基本概况介绍、用途：</w:t>
      </w:r>
      <w:bookmarkStart w:id="26" w:name="OLE_LINK139"/>
      <w:r>
        <w:rPr>
          <w:rFonts w:hint="eastAsia" w:hAnsi="宋体" w:cs="宋体"/>
          <w:color w:val="auto"/>
          <w:kern w:val="0"/>
          <w:sz w:val="24"/>
          <w:highlight w:val="none"/>
          <w:lang w:val="en-US" w:eastAsia="zh-CN"/>
        </w:rPr>
        <w:t>载玻片激光打码机1台、包埋盒激光打码机1台、血细胞分离机1台、碘131全自动分装仪1台、甲状腺功能测定仪一部</w:t>
      </w:r>
      <w:r>
        <w:rPr>
          <w:rFonts w:hint="eastAsia" w:hAnsi="宋体" w:cs="宋体"/>
          <w:color w:val="auto"/>
          <w:kern w:val="0"/>
          <w:sz w:val="24"/>
          <w:highlight w:val="none"/>
        </w:rPr>
        <w:t>，</w:t>
      </w:r>
      <w:r>
        <w:rPr>
          <w:rFonts w:hint="eastAsia" w:hAnsi="宋体" w:cs="宋体"/>
          <w:color w:val="auto"/>
          <w:kern w:val="0"/>
          <w:sz w:val="24"/>
          <w:highlight w:val="none"/>
          <w:lang w:val="en-US" w:eastAsia="zh-CN"/>
        </w:rPr>
        <w:t>其中血细胞分离机为进口产品，已办理采购进口产品备案，</w:t>
      </w:r>
      <w:r>
        <w:rPr>
          <w:rFonts w:hint="eastAsia" w:hAnsi="宋体" w:cs="宋体"/>
          <w:color w:val="auto"/>
          <w:kern w:val="0"/>
          <w:sz w:val="24"/>
          <w:highlight w:val="none"/>
        </w:rPr>
        <w:t>具体以招标文件第三部分采购需求为准。</w:t>
      </w:r>
    </w:p>
    <w:bookmarkEnd w:id="26"/>
    <w:p w14:paraId="483D6945">
      <w:pPr>
        <w:pStyle w:val="4"/>
        <w:spacing w:line="360" w:lineRule="auto"/>
        <w:ind w:firstLine="480"/>
        <w:rPr>
          <w:rFonts w:hint="default" w:hAnsi="宋体" w:eastAsia="宋体" w:cs="宋体"/>
          <w:color w:val="auto"/>
          <w:kern w:val="0"/>
          <w:sz w:val="24"/>
          <w:highlight w:val="none"/>
          <w:lang w:val="en-US" w:eastAsia="zh-CN"/>
        </w:rPr>
      </w:pPr>
      <w:r>
        <w:rPr>
          <w:rFonts w:hint="eastAsia" w:hAnsi="宋体" w:cs="宋体"/>
          <w:color w:val="auto"/>
          <w:kern w:val="0"/>
          <w:sz w:val="24"/>
          <w:highlight w:val="none"/>
        </w:rPr>
        <w:t>最高限价（如有）：</w:t>
      </w:r>
      <w:r>
        <w:rPr>
          <w:rFonts w:hint="eastAsia" w:hAnsi="宋体" w:cs="宋体"/>
          <w:color w:val="auto"/>
          <w:kern w:val="0"/>
          <w:sz w:val="24"/>
          <w:highlight w:val="none"/>
          <w:lang w:val="en-US" w:eastAsia="zh-CN"/>
        </w:rPr>
        <w:t>856000</w:t>
      </w:r>
    </w:p>
    <w:p w14:paraId="58758BAB">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合同履约期限：</w:t>
      </w:r>
      <w:bookmarkStart w:id="27" w:name="OLE_LINK141"/>
      <w:bookmarkStart w:id="28" w:name="OLE_LINK22"/>
      <w:bookmarkStart w:id="29" w:name="OLE_LINK140"/>
      <w:r>
        <w:rPr>
          <w:rFonts w:hint="eastAsia" w:hAnsi="宋体" w:cs="宋体"/>
          <w:color w:val="auto"/>
          <w:kern w:val="0"/>
          <w:sz w:val="24"/>
          <w:highlight w:val="none"/>
        </w:rPr>
        <w:t>自签订合同之日起</w:t>
      </w:r>
      <w:r>
        <w:rPr>
          <w:rFonts w:hint="eastAsia" w:hAnsi="宋体" w:cs="宋体"/>
          <w:color w:val="auto"/>
          <w:kern w:val="0"/>
          <w:sz w:val="24"/>
          <w:highlight w:val="none"/>
          <w:lang w:val="en-US" w:eastAsia="zh-CN"/>
        </w:rPr>
        <w:t>60</w:t>
      </w:r>
      <w:r>
        <w:rPr>
          <w:rFonts w:hint="eastAsia" w:hAnsi="宋体" w:cs="宋体"/>
          <w:color w:val="auto"/>
          <w:kern w:val="0"/>
          <w:sz w:val="24"/>
          <w:highlight w:val="none"/>
        </w:rPr>
        <w:t>天内安装调试并交付使用。</w:t>
      </w:r>
      <w:bookmarkEnd w:id="27"/>
      <w:bookmarkEnd w:id="28"/>
      <w:bookmarkEnd w:id="29"/>
    </w:p>
    <w:p w14:paraId="3F6EC3AD">
      <w:pPr>
        <w:pStyle w:val="4"/>
        <w:spacing w:line="360" w:lineRule="auto"/>
        <w:ind w:firstLine="480"/>
        <w:rPr>
          <w:rFonts w:hint="eastAsia" w:hAnsi="宋体" w:cs="宋体"/>
          <w:color w:val="auto"/>
          <w:kern w:val="0"/>
          <w:sz w:val="24"/>
          <w:highlight w:val="none"/>
        </w:rPr>
      </w:pPr>
      <w:r>
        <w:rPr>
          <w:rFonts w:hint="eastAsia" w:hAnsi="宋体" w:cs="宋体"/>
          <w:color w:val="auto"/>
          <w:kern w:val="0"/>
          <w:sz w:val="24"/>
          <w:highlight w:val="none"/>
        </w:rPr>
        <w:t>本标项（否）接受联合体投标</w:t>
      </w:r>
    </w:p>
    <w:p w14:paraId="7606038B">
      <w:pPr>
        <w:pStyle w:val="4"/>
        <w:spacing w:line="360" w:lineRule="auto"/>
        <w:ind w:firstLine="480"/>
        <w:rPr>
          <w:rFonts w:hint="eastAsia" w:hAnsi="宋体" w:eastAsia="宋体" w:cs="宋体"/>
          <w:color w:val="auto"/>
          <w:kern w:val="0"/>
          <w:sz w:val="24"/>
          <w:highlight w:val="none"/>
          <w:lang w:val="en-US" w:eastAsia="zh-CN"/>
        </w:rPr>
      </w:pPr>
      <w:r>
        <w:rPr>
          <w:rFonts w:hint="eastAsia" w:hAnsi="宋体" w:cs="宋体"/>
          <w:color w:val="auto"/>
          <w:kern w:val="0"/>
          <w:sz w:val="24"/>
          <w:highlight w:val="none"/>
        </w:rPr>
        <w:t>备注：</w:t>
      </w:r>
    </w:p>
    <w:p w14:paraId="082CCA27">
      <w:pPr>
        <w:spacing w:line="32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标项二</w:t>
      </w:r>
    </w:p>
    <w:p w14:paraId="1245CB25">
      <w:pPr>
        <w:pStyle w:val="4"/>
        <w:spacing w:line="360" w:lineRule="auto"/>
        <w:ind w:firstLine="480"/>
        <w:rPr>
          <w:rFonts w:hint="eastAsia" w:ascii="宋体" w:hAnsi="宋体" w:cs="宋体"/>
          <w:color w:val="auto"/>
          <w:sz w:val="24"/>
          <w:highlight w:val="none"/>
          <w:lang w:val="en-US"/>
        </w:rPr>
      </w:pPr>
      <w:r>
        <w:rPr>
          <w:rFonts w:hint="eastAsia" w:ascii="宋体" w:hAnsi="宋体" w:cs="宋体"/>
          <w:color w:val="auto"/>
          <w:sz w:val="24"/>
          <w:highlight w:val="none"/>
        </w:rPr>
        <w:t xml:space="preserve">标项名称: </w:t>
      </w:r>
      <w:r>
        <w:rPr>
          <w:rFonts w:hint="eastAsia" w:ascii="宋体" w:hAnsi="宋体" w:cs="宋体"/>
          <w:color w:val="auto"/>
          <w:sz w:val="24"/>
          <w:highlight w:val="none"/>
          <w:lang w:val="en-US" w:eastAsia="zh-CN"/>
        </w:rPr>
        <w:t>载玻片激光打码机、角膜地形图检查仪等设备购置项目02分标</w:t>
      </w:r>
    </w:p>
    <w:p w14:paraId="2DDF7CBB">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数量:1项</w:t>
      </w:r>
    </w:p>
    <w:p w14:paraId="0296E9DA">
      <w:pPr>
        <w:pStyle w:val="4"/>
        <w:spacing w:line="360" w:lineRule="auto"/>
        <w:ind w:firstLine="480"/>
        <w:rPr>
          <w:rFonts w:hint="default" w:hAnsi="宋体" w:eastAsia="宋体" w:cs="宋体"/>
          <w:snapToGrid/>
          <w:color w:val="auto"/>
          <w:kern w:val="2"/>
          <w:sz w:val="24"/>
          <w:szCs w:val="24"/>
          <w:highlight w:val="none"/>
          <w:lang w:val="en-US" w:eastAsia="zh-CN"/>
        </w:rPr>
      </w:pPr>
      <w:r>
        <w:rPr>
          <w:rFonts w:hint="eastAsia" w:hAnsi="宋体" w:cs="宋体"/>
          <w:color w:val="auto"/>
          <w:kern w:val="0"/>
          <w:sz w:val="24"/>
          <w:highlight w:val="none"/>
        </w:rPr>
        <w:t>预算金额（元）</w:t>
      </w:r>
      <w:r>
        <w:rPr>
          <w:rFonts w:hint="eastAsia" w:hAnsi="宋体" w:cs="宋体"/>
          <w:snapToGrid/>
          <w:color w:val="auto"/>
          <w:kern w:val="2"/>
          <w:sz w:val="24"/>
          <w:szCs w:val="24"/>
          <w:highlight w:val="none"/>
        </w:rPr>
        <w:t xml:space="preserve">: </w:t>
      </w:r>
      <w:r>
        <w:rPr>
          <w:rFonts w:hint="eastAsia" w:hAnsi="宋体" w:cs="宋体"/>
          <w:snapToGrid/>
          <w:color w:val="auto"/>
          <w:kern w:val="2"/>
          <w:sz w:val="24"/>
          <w:szCs w:val="24"/>
          <w:highlight w:val="none"/>
          <w:lang w:val="en-US" w:eastAsia="zh-CN"/>
        </w:rPr>
        <w:t>809000</w:t>
      </w:r>
    </w:p>
    <w:p w14:paraId="1441C463">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简要规格描述或项目基本概况介绍、用途：</w:t>
      </w:r>
      <w:r>
        <w:rPr>
          <w:rFonts w:hint="eastAsia" w:hAnsi="宋体" w:cs="宋体"/>
          <w:color w:val="auto"/>
          <w:kern w:val="0"/>
          <w:sz w:val="24"/>
          <w:highlight w:val="none"/>
          <w:lang w:val="en-US" w:eastAsia="zh-CN"/>
        </w:rPr>
        <w:t>综合电脑验光组合1台、</w:t>
      </w:r>
      <w:r>
        <w:rPr>
          <w:rFonts w:hint="eastAsia" w:ascii="宋体" w:hAnsi="宋体" w:eastAsia="宋体" w:cs="宋体"/>
          <w:i w:val="0"/>
          <w:iCs w:val="0"/>
          <w:color w:val="auto"/>
          <w:kern w:val="0"/>
          <w:sz w:val="24"/>
          <w:szCs w:val="24"/>
          <w:highlight w:val="none"/>
          <w:u w:val="none"/>
          <w:lang w:val="en-US" w:eastAsia="zh-CN" w:bidi="ar"/>
        </w:rPr>
        <w:t>电脑验光仪（有角膜曲率）</w:t>
      </w:r>
      <w:r>
        <w:rPr>
          <w:rFonts w:hint="eastAsia" w:hAnsi="宋体" w:cs="宋体"/>
          <w:color w:val="auto"/>
          <w:kern w:val="0"/>
          <w:sz w:val="24"/>
          <w:highlight w:val="none"/>
          <w:lang w:val="en-US" w:eastAsia="zh-CN"/>
        </w:rPr>
        <w:t>1台</w:t>
      </w:r>
      <w:r>
        <w:rPr>
          <w:rFonts w:hint="eastAsia" w:ascii="宋体" w:hAnsi="宋体" w:eastAsia="宋体" w:cs="宋体"/>
          <w:i w:val="0"/>
          <w:iCs w:val="0"/>
          <w:color w:val="auto"/>
          <w:kern w:val="0"/>
          <w:sz w:val="24"/>
          <w:szCs w:val="24"/>
          <w:highlight w:val="none"/>
          <w:u w:val="none"/>
          <w:lang w:val="en-US" w:eastAsia="zh-CN" w:bidi="ar"/>
        </w:rPr>
        <w:t>、角膜地形图检查仪</w:t>
      </w:r>
      <w:r>
        <w:rPr>
          <w:rFonts w:hint="eastAsia" w:hAnsi="宋体" w:cs="宋体"/>
          <w:color w:val="auto"/>
          <w:kern w:val="0"/>
          <w:sz w:val="24"/>
          <w:highlight w:val="none"/>
          <w:lang w:val="en-US" w:eastAsia="zh-CN"/>
        </w:rPr>
        <w:t>1台</w:t>
      </w:r>
      <w:r>
        <w:rPr>
          <w:rFonts w:hint="eastAsia" w:ascii="宋体" w:hAnsi="宋体" w:eastAsia="宋体" w:cs="宋体"/>
          <w:i w:val="0"/>
          <w:iCs w:val="0"/>
          <w:color w:val="auto"/>
          <w:kern w:val="0"/>
          <w:sz w:val="24"/>
          <w:szCs w:val="24"/>
          <w:highlight w:val="none"/>
          <w:u w:val="none"/>
          <w:lang w:val="en-US" w:eastAsia="zh-CN" w:bidi="ar"/>
        </w:rPr>
        <w:t>、非接触眼压计</w:t>
      </w:r>
      <w:r>
        <w:rPr>
          <w:rFonts w:hint="eastAsia" w:hAnsi="宋体" w:cs="宋体"/>
          <w:color w:val="auto"/>
          <w:kern w:val="0"/>
          <w:sz w:val="24"/>
          <w:highlight w:val="none"/>
          <w:lang w:val="en-US" w:eastAsia="zh-CN"/>
        </w:rPr>
        <w:t>1台</w:t>
      </w:r>
      <w:r>
        <w:rPr>
          <w:rFonts w:hint="eastAsia" w:ascii="宋体" w:hAnsi="宋体" w:eastAsia="宋体" w:cs="宋体"/>
          <w:i w:val="0"/>
          <w:iCs w:val="0"/>
          <w:color w:val="auto"/>
          <w:kern w:val="0"/>
          <w:sz w:val="24"/>
          <w:szCs w:val="24"/>
          <w:highlight w:val="none"/>
          <w:u w:val="none"/>
          <w:lang w:val="en-US" w:eastAsia="zh-CN" w:bidi="ar"/>
        </w:rPr>
        <w:t>、视觉功能训练治疗软件系统- VR专业版（包括：弱视、斜视训练）1套</w:t>
      </w:r>
      <w:r>
        <w:rPr>
          <w:rFonts w:hint="eastAsia" w:hAnsi="宋体" w:cs="宋体"/>
          <w:color w:val="auto"/>
          <w:kern w:val="0"/>
          <w:sz w:val="24"/>
          <w:highlight w:val="none"/>
        </w:rPr>
        <w:t>，</w:t>
      </w:r>
      <w:r>
        <w:rPr>
          <w:rFonts w:hint="eastAsia" w:hAnsi="宋体" w:cs="宋体"/>
          <w:color w:val="auto"/>
          <w:kern w:val="0"/>
          <w:sz w:val="24"/>
          <w:highlight w:val="none"/>
          <w:lang w:val="en-US" w:eastAsia="zh-CN"/>
        </w:rPr>
        <w:t>其中综合电脑验光组合为进口产品，已办理采购进口产品备案，</w:t>
      </w:r>
      <w:r>
        <w:rPr>
          <w:rFonts w:hint="eastAsia" w:hAnsi="宋体" w:cs="宋体"/>
          <w:color w:val="auto"/>
          <w:kern w:val="0"/>
          <w:sz w:val="24"/>
          <w:highlight w:val="none"/>
        </w:rPr>
        <w:t>具体以招标文件第三部分采购需求为准。</w:t>
      </w:r>
    </w:p>
    <w:p w14:paraId="2897AE2C">
      <w:pPr>
        <w:pStyle w:val="4"/>
        <w:spacing w:line="360" w:lineRule="auto"/>
        <w:ind w:firstLine="480"/>
        <w:rPr>
          <w:rFonts w:hint="default" w:hAnsi="宋体" w:eastAsia="宋体" w:cs="宋体"/>
          <w:color w:val="auto"/>
          <w:kern w:val="0"/>
          <w:sz w:val="24"/>
          <w:highlight w:val="none"/>
          <w:lang w:val="en-US" w:eastAsia="zh-CN"/>
        </w:rPr>
      </w:pPr>
      <w:r>
        <w:rPr>
          <w:rFonts w:hint="eastAsia" w:hAnsi="宋体" w:cs="宋体"/>
          <w:color w:val="auto"/>
          <w:kern w:val="0"/>
          <w:sz w:val="24"/>
          <w:highlight w:val="none"/>
        </w:rPr>
        <w:t>最高限价（如有）：</w:t>
      </w:r>
      <w:r>
        <w:rPr>
          <w:rFonts w:hint="eastAsia" w:hAnsi="宋体" w:cs="宋体"/>
          <w:color w:val="auto"/>
          <w:kern w:val="0"/>
          <w:sz w:val="24"/>
          <w:highlight w:val="none"/>
          <w:lang w:val="en-US" w:eastAsia="zh-CN"/>
        </w:rPr>
        <w:t>809000</w:t>
      </w:r>
    </w:p>
    <w:p w14:paraId="3CA6D6CA">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合同履约期限：自签订合同之日起</w:t>
      </w:r>
      <w:r>
        <w:rPr>
          <w:rFonts w:hint="eastAsia" w:hAnsi="宋体" w:cs="宋体"/>
          <w:color w:val="auto"/>
          <w:kern w:val="0"/>
          <w:sz w:val="24"/>
          <w:highlight w:val="none"/>
          <w:lang w:val="en-US" w:eastAsia="zh-CN"/>
        </w:rPr>
        <w:t>60</w:t>
      </w:r>
      <w:r>
        <w:rPr>
          <w:rFonts w:hint="eastAsia" w:hAnsi="宋体" w:cs="宋体"/>
          <w:color w:val="auto"/>
          <w:kern w:val="0"/>
          <w:sz w:val="24"/>
          <w:highlight w:val="none"/>
        </w:rPr>
        <w:t>天内安装调试并交付使用。</w:t>
      </w:r>
    </w:p>
    <w:p w14:paraId="7FABDC24">
      <w:pPr>
        <w:pStyle w:val="4"/>
        <w:spacing w:line="360" w:lineRule="auto"/>
        <w:ind w:firstLine="480"/>
        <w:rPr>
          <w:rFonts w:hint="eastAsia" w:hAnsi="宋体" w:cs="宋体"/>
          <w:color w:val="auto"/>
          <w:kern w:val="0"/>
          <w:sz w:val="24"/>
          <w:highlight w:val="none"/>
        </w:rPr>
      </w:pPr>
      <w:r>
        <w:rPr>
          <w:rFonts w:hint="eastAsia" w:hAnsi="宋体" w:cs="宋体"/>
          <w:color w:val="auto"/>
          <w:kern w:val="0"/>
          <w:sz w:val="24"/>
          <w:highlight w:val="none"/>
        </w:rPr>
        <w:t>本标项（否）接受联合体投标</w:t>
      </w:r>
    </w:p>
    <w:p w14:paraId="0104D80B">
      <w:pPr>
        <w:pStyle w:val="4"/>
        <w:spacing w:line="360" w:lineRule="auto"/>
        <w:ind w:firstLine="480"/>
        <w:rPr>
          <w:rFonts w:hint="eastAsia" w:hAnsi="宋体" w:eastAsia="宋体" w:cs="宋体"/>
          <w:color w:val="auto"/>
          <w:kern w:val="0"/>
          <w:sz w:val="24"/>
          <w:highlight w:val="none"/>
          <w:lang w:val="en-US" w:eastAsia="zh-CN"/>
        </w:rPr>
      </w:pPr>
      <w:r>
        <w:rPr>
          <w:rFonts w:hint="eastAsia" w:hAnsi="宋体" w:cs="宋体"/>
          <w:color w:val="auto"/>
          <w:kern w:val="0"/>
          <w:sz w:val="24"/>
          <w:highlight w:val="none"/>
        </w:rPr>
        <w:t>备注：</w:t>
      </w:r>
    </w:p>
    <w:p w14:paraId="3DC84F3D">
      <w:pPr>
        <w:spacing w:line="32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标项三</w:t>
      </w:r>
    </w:p>
    <w:p w14:paraId="5B7B4264">
      <w:pPr>
        <w:pStyle w:val="4"/>
        <w:spacing w:line="360" w:lineRule="auto"/>
        <w:ind w:firstLine="480"/>
        <w:rPr>
          <w:rFonts w:hint="eastAsia" w:ascii="宋体" w:hAnsi="宋体" w:cs="宋体"/>
          <w:color w:val="auto"/>
          <w:sz w:val="24"/>
          <w:highlight w:val="none"/>
          <w:lang w:val="en-US"/>
        </w:rPr>
      </w:pPr>
      <w:r>
        <w:rPr>
          <w:rFonts w:hint="eastAsia" w:ascii="宋体" w:hAnsi="宋体" w:cs="宋体"/>
          <w:color w:val="auto"/>
          <w:sz w:val="24"/>
          <w:highlight w:val="none"/>
        </w:rPr>
        <w:t xml:space="preserve">标项名称: </w:t>
      </w:r>
      <w:r>
        <w:rPr>
          <w:rFonts w:hint="eastAsia" w:ascii="宋体" w:hAnsi="宋体" w:cs="宋体"/>
          <w:color w:val="auto"/>
          <w:sz w:val="24"/>
          <w:highlight w:val="none"/>
          <w:lang w:val="en-US" w:eastAsia="zh-CN"/>
        </w:rPr>
        <w:t>载玻片激光打码机、角膜地形图检查仪等设备购置项目03分标</w:t>
      </w:r>
    </w:p>
    <w:p w14:paraId="02DE2528">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数量:1项</w:t>
      </w:r>
    </w:p>
    <w:p w14:paraId="4DDC9D11">
      <w:pPr>
        <w:pStyle w:val="4"/>
        <w:spacing w:line="360" w:lineRule="auto"/>
        <w:ind w:firstLine="480"/>
        <w:rPr>
          <w:rFonts w:hint="default" w:hAnsi="宋体" w:eastAsia="宋体" w:cs="宋体"/>
          <w:snapToGrid/>
          <w:color w:val="auto"/>
          <w:kern w:val="2"/>
          <w:sz w:val="24"/>
          <w:szCs w:val="24"/>
          <w:highlight w:val="none"/>
          <w:lang w:val="en-US" w:eastAsia="zh-CN"/>
        </w:rPr>
      </w:pPr>
      <w:r>
        <w:rPr>
          <w:rFonts w:hint="eastAsia" w:hAnsi="宋体" w:cs="宋体"/>
          <w:color w:val="auto"/>
          <w:kern w:val="0"/>
          <w:sz w:val="24"/>
          <w:highlight w:val="none"/>
        </w:rPr>
        <w:t>预算金额（元）</w:t>
      </w:r>
      <w:r>
        <w:rPr>
          <w:rFonts w:hint="eastAsia" w:hAnsi="宋体" w:cs="宋体"/>
          <w:snapToGrid/>
          <w:color w:val="auto"/>
          <w:kern w:val="2"/>
          <w:sz w:val="24"/>
          <w:szCs w:val="24"/>
          <w:highlight w:val="none"/>
        </w:rPr>
        <w:t xml:space="preserve">: </w:t>
      </w:r>
      <w:r>
        <w:rPr>
          <w:rFonts w:hint="eastAsia" w:hAnsi="宋体" w:cs="宋体"/>
          <w:snapToGrid/>
          <w:color w:val="auto"/>
          <w:kern w:val="2"/>
          <w:sz w:val="24"/>
          <w:szCs w:val="24"/>
          <w:highlight w:val="none"/>
          <w:lang w:val="en-US" w:eastAsia="zh-CN"/>
        </w:rPr>
        <w:t>1250000</w:t>
      </w:r>
    </w:p>
    <w:p w14:paraId="1578FB27">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简要规格描述或项目基本概况介绍、用途：</w:t>
      </w:r>
      <w:r>
        <w:rPr>
          <w:rFonts w:hint="eastAsia" w:hAnsi="宋体" w:cs="宋体"/>
          <w:color w:val="auto"/>
          <w:kern w:val="0"/>
          <w:sz w:val="24"/>
          <w:highlight w:val="none"/>
          <w:lang w:val="en-US" w:eastAsia="zh-CN"/>
        </w:rPr>
        <w:t>高通量测序平台1台</w:t>
      </w:r>
      <w:r>
        <w:rPr>
          <w:rFonts w:hint="eastAsia" w:hAnsi="宋体" w:cs="宋体"/>
          <w:color w:val="auto"/>
          <w:kern w:val="0"/>
          <w:sz w:val="24"/>
          <w:highlight w:val="none"/>
        </w:rPr>
        <w:t>，具体以招标文件第三部分采购需求为准。</w:t>
      </w:r>
    </w:p>
    <w:p w14:paraId="1E4DC47C">
      <w:pPr>
        <w:pStyle w:val="4"/>
        <w:spacing w:line="360" w:lineRule="auto"/>
        <w:ind w:firstLine="480"/>
        <w:rPr>
          <w:rFonts w:hint="default" w:hAnsi="宋体" w:eastAsia="宋体" w:cs="宋体"/>
          <w:color w:val="auto"/>
          <w:kern w:val="0"/>
          <w:sz w:val="24"/>
          <w:highlight w:val="none"/>
          <w:lang w:val="en-US" w:eastAsia="zh-CN"/>
        </w:rPr>
      </w:pPr>
      <w:r>
        <w:rPr>
          <w:rFonts w:hint="eastAsia" w:hAnsi="宋体" w:cs="宋体"/>
          <w:color w:val="auto"/>
          <w:kern w:val="0"/>
          <w:sz w:val="24"/>
          <w:highlight w:val="none"/>
        </w:rPr>
        <w:t>最高限价（如有）：</w:t>
      </w:r>
      <w:r>
        <w:rPr>
          <w:rFonts w:hint="eastAsia" w:hAnsi="宋体" w:cs="宋体"/>
          <w:color w:val="auto"/>
          <w:kern w:val="0"/>
          <w:sz w:val="24"/>
          <w:highlight w:val="none"/>
          <w:lang w:val="en-US" w:eastAsia="zh-CN"/>
        </w:rPr>
        <w:t>1250000</w:t>
      </w:r>
    </w:p>
    <w:p w14:paraId="6E09372F">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合同履约期限：自签订合同之日起</w:t>
      </w:r>
      <w:r>
        <w:rPr>
          <w:rFonts w:hint="eastAsia" w:hAnsi="宋体" w:cs="宋体"/>
          <w:color w:val="auto"/>
          <w:kern w:val="0"/>
          <w:sz w:val="24"/>
          <w:highlight w:val="none"/>
          <w:lang w:val="en-US" w:eastAsia="zh-CN"/>
        </w:rPr>
        <w:t>30</w:t>
      </w:r>
      <w:r>
        <w:rPr>
          <w:rFonts w:hint="eastAsia" w:hAnsi="宋体" w:cs="宋体"/>
          <w:color w:val="auto"/>
          <w:kern w:val="0"/>
          <w:sz w:val="24"/>
          <w:highlight w:val="none"/>
        </w:rPr>
        <w:t>天内安装调试并交付使用。</w:t>
      </w:r>
    </w:p>
    <w:p w14:paraId="24BE7E11">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本标项（否）接受联合体投标</w:t>
      </w:r>
    </w:p>
    <w:p w14:paraId="38C55E11">
      <w:pPr>
        <w:spacing w:line="440" w:lineRule="exact"/>
        <w:ind w:firstLine="480" w:firstLineChars="200"/>
        <w:jc w:val="left"/>
        <w:rPr>
          <w:rFonts w:ascii="宋体" w:hAnsi="宋体" w:cs="宋体"/>
          <w:b/>
          <w:color w:val="auto"/>
          <w:sz w:val="24"/>
          <w:highlight w:val="none"/>
        </w:rPr>
      </w:pPr>
      <w:r>
        <w:rPr>
          <w:rFonts w:hint="eastAsia" w:hAnsi="宋体" w:cs="宋体"/>
          <w:color w:val="auto"/>
          <w:kern w:val="0"/>
          <w:sz w:val="24"/>
          <w:highlight w:val="none"/>
        </w:rPr>
        <w:t>备注：</w:t>
      </w:r>
    </w:p>
    <w:p w14:paraId="6C16ADEA">
      <w:pPr>
        <w:numPr>
          <w:ilvl w:val="0"/>
          <w:numId w:val="1"/>
        </w:numPr>
        <w:spacing w:line="360" w:lineRule="auto"/>
        <w:rPr>
          <w:rFonts w:hint="eastAsia" w:ascii="宋体" w:hAnsi="宋体" w:cs="宋体"/>
          <w:b/>
          <w:color w:val="auto"/>
          <w:sz w:val="24"/>
          <w:highlight w:val="none"/>
        </w:rPr>
      </w:pPr>
      <w:bookmarkStart w:id="30" w:name="_Hlk101132948"/>
      <w:r>
        <w:rPr>
          <w:rFonts w:hint="eastAsia" w:ascii="宋体" w:hAnsi="宋体" w:cs="宋体"/>
          <w:b/>
          <w:color w:val="auto"/>
          <w:sz w:val="24"/>
          <w:highlight w:val="none"/>
        </w:rPr>
        <w:t>申请人的资格要求</w:t>
      </w:r>
      <w:bookmarkEnd w:id="30"/>
      <w:r>
        <w:rPr>
          <w:rFonts w:hint="eastAsia" w:ascii="宋体" w:hAnsi="宋体" w:cs="宋体"/>
          <w:b/>
          <w:color w:val="auto"/>
          <w:sz w:val="24"/>
          <w:highlight w:val="none"/>
        </w:rPr>
        <w:t>：</w:t>
      </w:r>
    </w:p>
    <w:p w14:paraId="2436AEAC">
      <w:pPr>
        <w:numPr>
          <w:ilvl w:val="0"/>
          <w:numId w:val="2"/>
        </w:numPr>
        <w:wordWrap w:val="0"/>
        <w:spacing w:line="360" w:lineRule="auto"/>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满足《中华人民共和国政府采购法》第二十二条规定；</w:t>
      </w:r>
    </w:p>
    <w:p w14:paraId="581469CE">
      <w:pPr>
        <w:spacing w:line="360" w:lineRule="auto"/>
        <w:ind w:firstLine="480" w:firstLineChars="200"/>
        <w:rPr>
          <w:color w:val="auto"/>
          <w:highlight w:val="none"/>
        </w:rPr>
      </w:pPr>
      <w:r>
        <w:rPr>
          <w:rFonts w:hint="eastAsia" w:ascii="宋体" w:hAnsi="宋体" w:cs="宋体"/>
          <w:snapToGrid w:val="0"/>
          <w:color w:val="auto"/>
          <w:kern w:val="28"/>
          <w:sz w:val="24"/>
          <w:szCs w:val="20"/>
          <w:highlight w:val="none"/>
        </w:rPr>
        <w:t>2.落实政府采购政策需满足的资格要求：分标</w:t>
      </w:r>
      <w:r>
        <w:rPr>
          <w:rFonts w:hint="eastAsia" w:ascii="宋体" w:hAnsi="宋体" w:cs="宋体"/>
          <w:snapToGrid w:val="0"/>
          <w:color w:val="auto"/>
          <w:kern w:val="28"/>
          <w:sz w:val="24"/>
          <w:szCs w:val="20"/>
          <w:highlight w:val="none"/>
          <w:lang w:val="en-US" w:eastAsia="zh-CN"/>
        </w:rPr>
        <w:t>0</w:t>
      </w:r>
      <w:r>
        <w:rPr>
          <w:rFonts w:hint="eastAsia" w:ascii="宋体" w:hAnsi="宋体" w:cs="宋体"/>
          <w:snapToGrid w:val="0"/>
          <w:color w:val="auto"/>
          <w:kern w:val="28"/>
          <w:sz w:val="24"/>
          <w:szCs w:val="20"/>
          <w:highlight w:val="none"/>
        </w:rPr>
        <w:t>1、</w:t>
      </w:r>
      <w:r>
        <w:rPr>
          <w:rFonts w:hint="eastAsia" w:ascii="宋体" w:hAnsi="宋体" w:cs="宋体"/>
          <w:snapToGrid w:val="0"/>
          <w:color w:val="auto"/>
          <w:kern w:val="28"/>
          <w:sz w:val="24"/>
          <w:szCs w:val="20"/>
          <w:highlight w:val="none"/>
          <w:lang w:val="en-US" w:eastAsia="zh-CN"/>
        </w:rPr>
        <w:t>0</w:t>
      </w:r>
      <w:r>
        <w:rPr>
          <w:rFonts w:hint="eastAsia"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lang w:val="en-US" w:eastAsia="zh-CN"/>
        </w:rPr>
        <w:t>0</w:t>
      </w:r>
      <w:r>
        <w:rPr>
          <w:rFonts w:hint="eastAsia" w:ascii="宋体" w:hAnsi="宋体" w:cs="宋体"/>
          <w:snapToGrid w:val="0"/>
          <w:color w:val="auto"/>
          <w:kern w:val="28"/>
          <w:sz w:val="24"/>
          <w:szCs w:val="20"/>
          <w:highlight w:val="none"/>
        </w:rPr>
        <w:t>3：非专门面向中小企业采购的项目</w:t>
      </w:r>
      <w:r>
        <w:rPr>
          <w:rFonts w:hint="eastAsia" w:ascii="宋体" w:hAnsi="宋体" w:cs="宋体"/>
          <w:snapToGrid w:val="0"/>
          <w:color w:val="auto"/>
          <w:kern w:val="28"/>
          <w:sz w:val="24"/>
          <w:szCs w:val="20"/>
          <w:highlight w:val="none"/>
          <w:lang w:eastAsia="zh-CN"/>
        </w:rPr>
        <w:t>；</w:t>
      </w:r>
    </w:p>
    <w:p w14:paraId="04432274">
      <w:pPr>
        <w:wordWrap w:val="0"/>
        <w:spacing w:line="360" w:lineRule="auto"/>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val="en-US" w:eastAsia="zh-CN"/>
        </w:rPr>
        <w:t>3</w:t>
      </w:r>
      <w:r>
        <w:rPr>
          <w:rFonts w:hint="eastAsia" w:ascii="宋体" w:hAnsi="宋体" w:cs="宋体"/>
          <w:color w:val="auto"/>
          <w:kern w:val="0"/>
          <w:sz w:val="24"/>
          <w:highlight w:val="none"/>
          <w:shd w:val="clear" w:color="auto" w:fill="FFFFFF"/>
        </w:rPr>
        <w:t>.本项目的特定资格要求：</w:t>
      </w:r>
      <w:r>
        <w:rPr>
          <w:rFonts w:hint="eastAsia" w:ascii="宋体" w:hAnsi="宋体" w:cs="宋体"/>
          <w:color w:val="auto"/>
          <w:kern w:val="0"/>
          <w:sz w:val="24"/>
          <w:highlight w:val="none"/>
          <w:shd w:val="clear" w:color="auto" w:fill="FFFFFF"/>
          <w:lang w:val="en-US" w:eastAsia="zh-CN"/>
        </w:rPr>
        <w:t>01分标、03分标：投标人按《医疗器械监督管理条例》（国务院令第739号）医疗器械分类管理要求具备第二类医疗器械经营备案凭证及医疗器械经营许可证，且经营范围必须包含采购标的[符合《医疗器械监督管理条例》第四十一条第二款规定的除外]；或者投标人具有满足《医疗器械监督管理条例》第四十三条规定的注册人凭证</w:t>
      </w:r>
      <w:r>
        <w:rPr>
          <w:rFonts w:hint="eastAsia" w:ascii="宋体" w:hAnsi="宋体" w:cs="宋体"/>
          <w:color w:val="auto"/>
          <w:kern w:val="0"/>
          <w:sz w:val="24"/>
          <w:highlight w:val="none"/>
          <w:shd w:val="clear" w:color="auto" w:fill="FFFFFF"/>
        </w:rPr>
        <w:t>。</w:t>
      </w:r>
    </w:p>
    <w:p w14:paraId="58EE0224">
      <w:pPr>
        <w:pStyle w:val="2"/>
        <w:rPr>
          <w:rFonts w:hint="eastAsia" w:ascii="宋体" w:hAnsi="宋体" w:eastAsia="宋体" w:cs="宋体"/>
          <w:b w:val="0"/>
          <w:bCs w:val="0"/>
          <w:color w:val="auto"/>
          <w:kern w:val="0"/>
          <w:sz w:val="24"/>
          <w:szCs w:val="24"/>
          <w:highlight w:val="none"/>
          <w:shd w:val="clear" w:color="auto" w:fill="FFFFFF"/>
          <w:lang w:val="en-US" w:eastAsia="zh-CN"/>
        </w:rPr>
      </w:pPr>
      <w:r>
        <w:rPr>
          <w:rFonts w:hint="eastAsia" w:ascii="宋体" w:hAnsi="宋体" w:eastAsia="宋体" w:cs="宋体"/>
          <w:b w:val="0"/>
          <w:bCs w:val="0"/>
          <w:color w:val="auto"/>
          <w:kern w:val="0"/>
          <w:sz w:val="24"/>
          <w:szCs w:val="24"/>
          <w:highlight w:val="none"/>
          <w:shd w:val="clear" w:color="auto" w:fill="FFFFFF"/>
          <w:lang w:val="en-US" w:eastAsia="zh-CN"/>
        </w:rPr>
        <w:t>02分标：投标人按《医疗器械监督管理条例》（国务院令第739号）医疗器械分类管理要求</w:t>
      </w:r>
    </w:p>
    <w:p w14:paraId="358B1225">
      <w:pPr>
        <w:pStyle w:val="2"/>
        <w:rPr>
          <w:rFonts w:hint="eastAsia" w:ascii="宋体" w:hAnsi="宋体" w:eastAsia="宋体" w:cs="宋体"/>
          <w:b w:val="0"/>
          <w:bCs w:val="0"/>
          <w:color w:val="auto"/>
          <w:kern w:val="0"/>
          <w:sz w:val="24"/>
          <w:szCs w:val="24"/>
          <w:highlight w:val="none"/>
          <w:shd w:val="clear" w:color="auto" w:fill="FFFFFF"/>
          <w:lang w:val="en-US" w:eastAsia="zh-CN"/>
        </w:rPr>
      </w:pPr>
      <w:r>
        <w:rPr>
          <w:rFonts w:hint="eastAsia" w:ascii="宋体" w:hAnsi="宋体" w:eastAsia="宋体" w:cs="宋体"/>
          <w:b w:val="0"/>
          <w:bCs w:val="0"/>
          <w:color w:val="auto"/>
          <w:kern w:val="0"/>
          <w:sz w:val="24"/>
          <w:szCs w:val="24"/>
          <w:highlight w:val="none"/>
          <w:shd w:val="clear" w:color="auto" w:fill="FFFFFF"/>
          <w:lang w:val="en-US" w:eastAsia="zh-CN"/>
        </w:rPr>
        <w:t>具备第二类医疗器械经营备案凭证，且经营范围必须包含采购标的[符合《医疗器械监督管理</w:t>
      </w:r>
    </w:p>
    <w:p w14:paraId="5402F215">
      <w:pPr>
        <w:pStyle w:val="2"/>
        <w:rPr>
          <w:rFonts w:hint="eastAsia" w:ascii="宋体" w:hAnsi="宋体" w:eastAsia="宋体" w:cs="宋体"/>
          <w:b w:val="0"/>
          <w:bCs w:val="0"/>
          <w:color w:val="auto"/>
          <w:kern w:val="0"/>
          <w:sz w:val="24"/>
          <w:szCs w:val="24"/>
          <w:highlight w:val="none"/>
          <w:shd w:val="clear" w:color="auto" w:fill="FFFFFF"/>
          <w:lang w:val="en-US" w:eastAsia="zh-CN"/>
        </w:rPr>
      </w:pPr>
      <w:r>
        <w:rPr>
          <w:rFonts w:hint="eastAsia" w:ascii="宋体" w:hAnsi="宋体" w:eastAsia="宋体" w:cs="宋体"/>
          <w:b w:val="0"/>
          <w:bCs w:val="0"/>
          <w:color w:val="auto"/>
          <w:kern w:val="0"/>
          <w:sz w:val="24"/>
          <w:szCs w:val="24"/>
          <w:highlight w:val="none"/>
          <w:shd w:val="clear" w:color="auto" w:fill="FFFFFF"/>
          <w:lang w:val="en-US" w:eastAsia="zh-CN"/>
        </w:rPr>
        <w:t>条例》第四十一条第二款规定的除外]；或者投标人具有满足《医疗器械监督管理条例》第四</w:t>
      </w:r>
    </w:p>
    <w:p w14:paraId="1F520C18">
      <w:pPr>
        <w:pStyle w:val="2"/>
        <w:rPr>
          <w:rFonts w:hint="eastAsia" w:ascii="宋体" w:hAnsi="宋体" w:eastAsia="宋体" w:cs="宋体"/>
          <w:b w:val="0"/>
          <w:bCs w:val="0"/>
          <w:color w:val="auto"/>
          <w:kern w:val="0"/>
          <w:sz w:val="24"/>
          <w:szCs w:val="24"/>
          <w:highlight w:val="none"/>
          <w:shd w:val="clear" w:color="auto" w:fill="FFFFFF"/>
          <w:lang w:val="en-US" w:eastAsia="zh-CN"/>
        </w:rPr>
      </w:pPr>
      <w:r>
        <w:rPr>
          <w:rFonts w:hint="eastAsia" w:ascii="宋体" w:hAnsi="宋体" w:eastAsia="宋体" w:cs="宋体"/>
          <w:b w:val="0"/>
          <w:bCs w:val="0"/>
          <w:color w:val="auto"/>
          <w:kern w:val="0"/>
          <w:sz w:val="24"/>
          <w:szCs w:val="24"/>
          <w:highlight w:val="none"/>
          <w:shd w:val="clear" w:color="auto" w:fill="FFFFFF"/>
          <w:lang w:val="en-US" w:eastAsia="zh-CN"/>
        </w:rPr>
        <w:t>十三条规定的注册人凭证。</w:t>
      </w:r>
    </w:p>
    <w:p w14:paraId="5DB02973">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bookmarkStart w:id="501" w:name="_GoBack"/>
      <w:bookmarkEnd w:id="501"/>
    </w:p>
    <w:p w14:paraId="2ADC0A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9</w:t>
      </w:r>
      <w:r>
        <w:rPr>
          <w:rFonts w:hint="eastAsia" w:ascii="宋体" w:hAnsi="宋体" w:cs="宋体"/>
          <w:color w:val="auto"/>
          <w:sz w:val="24"/>
          <w:highlight w:val="none"/>
          <w:u w:val="single"/>
        </w:rPr>
        <w:t>日至2025年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14:paraId="260867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地点（网址）：</w:t>
      </w:r>
      <w:bookmarkStart w:id="31" w:name="OLE_LINK150"/>
      <w:bookmarkStart w:id="32" w:name="OLE_LINK25"/>
      <w:bookmarkStart w:id="33" w:name="OLE_LINK149"/>
      <w:r>
        <w:rPr>
          <w:rFonts w:hint="eastAsia" w:ascii="宋体" w:hAnsi="宋体" w:cs="宋体"/>
          <w:color w:val="auto"/>
          <w:sz w:val="24"/>
          <w:highlight w:val="none"/>
        </w:rPr>
        <w:t>广西政府采购云平台（https://www.gcy.zfcg.gxzf.gov.cn/）</w:t>
      </w:r>
      <w:bookmarkEnd w:id="31"/>
      <w:bookmarkEnd w:id="32"/>
      <w:bookmarkEnd w:id="33"/>
      <w:r>
        <w:rPr>
          <w:rFonts w:hint="eastAsia" w:ascii="宋体" w:hAnsi="宋体" w:cs="宋体"/>
          <w:color w:val="auto"/>
          <w:sz w:val="24"/>
          <w:highlight w:val="none"/>
        </w:rPr>
        <w:t xml:space="preserve"> </w:t>
      </w:r>
    </w:p>
    <w:p w14:paraId="494B7C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w:t>
      </w:r>
      <w:bookmarkStart w:id="34" w:name="OLE_LINK151"/>
      <w:bookmarkStart w:id="35" w:name="OLE_LINK26"/>
      <w:bookmarkStart w:id="36" w:name="OLE_LINK152"/>
      <w:bookmarkStart w:id="37" w:name="OLE_LINK153"/>
      <w:bookmarkStart w:id="38" w:name="OLE_LINK155"/>
      <w:bookmarkStart w:id="39" w:name="OLE_LINK154"/>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bookmarkEnd w:id="34"/>
      <w:bookmarkEnd w:id="35"/>
      <w:bookmarkEnd w:id="36"/>
      <w:r>
        <w:rPr>
          <w:rFonts w:hint="eastAsia" w:ascii="宋体" w:hAnsi="宋体" w:cs="宋体"/>
          <w:color w:val="auto"/>
          <w:sz w:val="24"/>
          <w:highlight w:val="none"/>
        </w:rPr>
        <w:t xml:space="preserve"> </w:t>
      </w:r>
      <w:bookmarkEnd w:id="37"/>
      <w:bookmarkEnd w:id="38"/>
      <w:bookmarkEnd w:id="39"/>
    </w:p>
    <w:p w14:paraId="0441B4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售价（元）：0 </w:t>
      </w:r>
      <w:r>
        <w:rPr>
          <w:rFonts w:hint="eastAsia" w:ascii="宋体" w:hAnsi="宋体" w:cs="宋体"/>
          <w:color w:val="auto"/>
          <w:sz w:val="24"/>
          <w:highlight w:val="none"/>
        </w:rPr>
        <w:tab/>
      </w:r>
    </w:p>
    <w:p w14:paraId="7B92EE55">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5D01AA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bookmarkStart w:id="40" w:name="OLE_LINK17"/>
      <w:bookmarkStart w:id="41" w:name="OLE_LINK9"/>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4 </w:t>
      </w:r>
      <w:r>
        <w:rPr>
          <w:rFonts w:hint="eastAsia" w:ascii="宋体" w:hAnsi="宋体" w:cs="宋体"/>
          <w:color w:val="auto"/>
          <w:sz w:val="24"/>
          <w:highlight w:val="none"/>
          <w:u w:val="single"/>
        </w:rPr>
        <w:t>日</w:t>
      </w:r>
      <w:bookmarkEnd w:id="40"/>
      <w:bookmarkEnd w:id="41"/>
      <w:r>
        <w:rPr>
          <w:rFonts w:hint="eastAsia" w:ascii="宋体" w:hAnsi="宋体" w:cs="宋体"/>
          <w:color w:val="auto"/>
          <w:sz w:val="24"/>
          <w:highlight w:val="none"/>
          <w:u w:val="single"/>
        </w:rPr>
        <w:t>9点00分00秒</w:t>
      </w:r>
      <w:r>
        <w:rPr>
          <w:rFonts w:hint="eastAsia" w:ascii="宋体" w:hAnsi="宋体" w:cs="宋体"/>
          <w:color w:val="auto"/>
          <w:sz w:val="24"/>
          <w:highlight w:val="none"/>
        </w:rPr>
        <w:t>（北京时间）</w:t>
      </w:r>
    </w:p>
    <w:p w14:paraId="0AFCC1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投标地点（网址）：</w:t>
      </w:r>
      <w:bookmarkStart w:id="42" w:name="OLE_LINK163"/>
      <w:bookmarkStart w:id="43" w:name="OLE_LINK29"/>
      <w:bookmarkStart w:id="44" w:name="OLE_LINK166"/>
      <w:bookmarkStart w:id="45" w:name="OLE_LINK27"/>
      <w:r>
        <w:rPr>
          <w:rFonts w:hint="eastAsia" w:ascii="宋体" w:hAnsi="宋体" w:cs="宋体"/>
          <w:color w:val="auto"/>
          <w:sz w:val="24"/>
          <w:highlight w:val="none"/>
        </w:rPr>
        <w:t xml:space="preserve">广西政府采购云平台（https://www.gcy.zfcg.gxzf.gov.cn/） </w:t>
      </w:r>
      <w:bookmarkEnd w:id="42"/>
      <w:bookmarkEnd w:id="43"/>
      <w:bookmarkEnd w:id="44"/>
      <w:bookmarkEnd w:id="45"/>
    </w:p>
    <w:p w14:paraId="1EB1F7C6">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1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4 </w:t>
      </w:r>
      <w:r>
        <w:rPr>
          <w:rFonts w:hint="eastAsia" w:ascii="宋体" w:hAnsi="宋体" w:cs="宋体"/>
          <w:color w:val="auto"/>
          <w:sz w:val="24"/>
          <w:highlight w:val="none"/>
          <w:u w:val="single"/>
        </w:rPr>
        <w:t>日9点00分00秒</w:t>
      </w:r>
      <w:r>
        <w:rPr>
          <w:rFonts w:hint="eastAsia" w:ascii="宋体" w:hAnsi="宋体" w:cs="宋体"/>
          <w:color w:val="auto"/>
          <w:sz w:val="24"/>
          <w:highlight w:val="none"/>
        </w:rPr>
        <w:t>（北京时间）</w:t>
      </w:r>
    </w:p>
    <w:p w14:paraId="6BDDB9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w:t>
      </w:r>
      <w:bookmarkStart w:id="46" w:name="OLE_LINK157"/>
      <w:bookmarkStart w:id="47" w:name="OLE_LINK28"/>
      <w:bookmarkStart w:id="48" w:name="OLE_LINK156"/>
      <w:r>
        <w:rPr>
          <w:rFonts w:hint="eastAsia" w:ascii="宋体" w:hAnsi="宋体" w:cs="宋体"/>
          <w:color w:val="auto"/>
          <w:sz w:val="24"/>
          <w:highlight w:val="none"/>
        </w:rPr>
        <w:t>广西政府采购云平台（https://www.gcy.zfcg.gxzf.gov.cn/）</w:t>
      </w:r>
      <w:bookmarkEnd w:id="46"/>
      <w:bookmarkEnd w:id="47"/>
      <w:bookmarkEnd w:id="48"/>
    </w:p>
    <w:p w14:paraId="3A46BA02">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680C51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D437400">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127ABF38">
      <w:pPr>
        <w:spacing w:line="360" w:lineRule="auto"/>
        <w:ind w:firstLine="480" w:firstLineChars="200"/>
        <w:rPr>
          <w:rFonts w:ascii="宋体" w:hAnsi="宋体" w:cs="宋体"/>
          <w:color w:val="auto"/>
          <w:sz w:val="24"/>
          <w:highlight w:val="none"/>
        </w:rPr>
      </w:pPr>
      <w:bookmarkStart w:id="49" w:name="OLE_LINK135"/>
      <w:bookmarkStart w:id="50" w:name="OLE_LINK133"/>
      <w:bookmarkStart w:id="51" w:name="OLE_LINK134"/>
      <w:bookmarkStart w:id="52" w:name="OLE_LINK35"/>
      <w:bookmarkStart w:id="53" w:name="OLE_LINK34"/>
      <w:bookmarkStart w:id="54" w:name="OLE_LINK158"/>
      <w:r>
        <w:rPr>
          <w:rFonts w:hint="eastAsia" w:ascii="宋体" w:hAnsi="宋体" w:cs="宋体"/>
          <w:color w:val="auto"/>
          <w:sz w:val="24"/>
          <w:highlight w:val="none"/>
        </w:rPr>
        <w:t>1.本项目不收取投标保证金。</w:t>
      </w:r>
    </w:p>
    <w:p w14:paraId="4BF625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660DA600">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08D695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4.网上公告媒体查询：中国政府采购网（http://www.ccgp.gov.cn）、广西壮族自治区政府采购网（http://zfcg.gxzf.gov.cn）、全 国 公 共 资 源 交 易 平 台 （ 广 西 • 北 海 ）（http://ggzy.jgswj.gxzf.gov.cn/bhggzy/）。</w:t>
      </w:r>
    </w:p>
    <w:p w14:paraId="323CD9C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68055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364E73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7.本项目采用远程异地评标。</w:t>
      </w:r>
    </w:p>
    <w:bookmarkEnd w:id="49"/>
    <w:bookmarkEnd w:id="50"/>
    <w:bookmarkEnd w:id="51"/>
    <w:bookmarkEnd w:id="52"/>
    <w:bookmarkEnd w:id="53"/>
    <w:bookmarkEnd w:id="54"/>
    <w:p w14:paraId="646CBCFA">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57C60A6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198F907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北海市人民医院</w:t>
      </w:r>
      <w:r>
        <w:rPr>
          <w:rFonts w:hint="eastAsia" w:ascii="宋体" w:hAnsi="宋体" w:cs="宋体"/>
          <w:color w:val="auto"/>
          <w:sz w:val="24"/>
          <w:highlight w:val="none"/>
        </w:rPr>
        <w:t xml:space="preserve"> </w:t>
      </w:r>
    </w:p>
    <w:p w14:paraId="5745B20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广西北海市和平路83号</w:t>
      </w:r>
      <w:r>
        <w:rPr>
          <w:rFonts w:hint="eastAsia" w:ascii="宋体" w:hAnsi="宋体" w:cs="宋体"/>
          <w:color w:val="auto"/>
          <w:sz w:val="24"/>
          <w:highlight w:val="none"/>
        </w:rPr>
        <w:t xml:space="preserve">      </w:t>
      </w:r>
    </w:p>
    <w:p w14:paraId="355F4CE3">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叶科</w:t>
      </w:r>
    </w:p>
    <w:p w14:paraId="3327A6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项目联系方式：0779-2022189 </w:t>
      </w:r>
    </w:p>
    <w:p w14:paraId="1AEF4E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5BE2CA1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广西达华工程造价咨询有限责任公司</w:t>
      </w:r>
      <w:r>
        <w:rPr>
          <w:rFonts w:hint="eastAsia" w:ascii="宋体" w:hAnsi="宋体" w:cs="宋体"/>
          <w:color w:val="auto"/>
          <w:sz w:val="24"/>
          <w:highlight w:val="none"/>
        </w:rPr>
        <w:t xml:space="preserve">             </w:t>
      </w:r>
    </w:p>
    <w:p w14:paraId="704E0BD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北海市北海大道振业中央华府四单元九楼0910室</w:t>
      </w:r>
      <w:r>
        <w:rPr>
          <w:rFonts w:hint="eastAsia" w:ascii="宋体" w:hAnsi="宋体" w:cs="宋体"/>
          <w:color w:val="auto"/>
          <w:sz w:val="24"/>
          <w:highlight w:val="none"/>
        </w:rPr>
        <w:t xml:space="preserve">              </w:t>
      </w:r>
    </w:p>
    <w:p w14:paraId="6B09DCE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王</w:t>
      </w:r>
      <w:r>
        <w:rPr>
          <w:rFonts w:hint="eastAsia" w:ascii="宋体" w:hAnsi="宋体" w:cs="宋体"/>
          <w:color w:val="auto"/>
          <w:sz w:val="24"/>
          <w:highlight w:val="none"/>
        </w:rPr>
        <w:t xml:space="preserve">工          </w:t>
      </w:r>
    </w:p>
    <w:p w14:paraId="672C9FA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项目联系方式(询问)：0779-3</w:t>
      </w:r>
      <w:r>
        <w:rPr>
          <w:rFonts w:hint="eastAsia" w:ascii="宋体" w:hAnsi="宋体" w:cs="宋体"/>
          <w:color w:val="auto"/>
          <w:sz w:val="24"/>
          <w:highlight w:val="none"/>
          <w:lang w:val="en-US" w:eastAsia="zh-CN"/>
        </w:rPr>
        <w:t>218821</w:t>
      </w:r>
    </w:p>
    <w:p w14:paraId="3700FEA9">
      <w:pPr>
        <w:spacing w:line="360" w:lineRule="auto"/>
        <w:rPr>
          <w:rFonts w:ascii="宋体" w:hAnsi="宋体" w:cs="宋体"/>
          <w:color w:val="auto"/>
          <w:sz w:val="24"/>
          <w:highlight w:val="none"/>
        </w:rPr>
      </w:pPr>
    </w:p>
    <w:p w14:paraId="71A4C3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7"/>
    <w:bookmarkEnd w:id="18"/>
    <w:p w14:paraId="4771E6A5">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bookmarkEnd w:id="19"/>
    <w:bookmarkEnd w:id="20"/>
    <w:bookmarkEnd w:id="21"/>
    <w:bookmarkEnd w:id="22"/>
    <w:p w14:paraId="0A2D7F8C">
      <w:pPr>
        <w:spacing w:line="360" w:lineRule="auto"/>
        <w:ind w:firstLine="480" w:firstLineChars="200"/>
        <w:rPr>
          <w:rFonts w:ascii="宋体" w:hAnsi="宋体" w:cs="宋体"/>
          <w:color w:val="auto"/>
          <w:sz w:val="24"/>
          <w:highlight w:val="none"/>
        </w:rPr>
      </w:pPr>
    </w:p>
    <w:p w14:paraId="1294BB9C">
      <w:pPr>
        <w:pStyle w:val="7"/>
        <w:spacing w:line="360" w:lineRule="auto"/>
        <w:jc w:val="center"/>
        <w:rPr>
          <w:rFonts w:hAnsi="宋体" w:cs="宋体"/>
          <w:b/>
          <w:color w:val="auto"/>
          <w:sz w:val="36"/>
          <w:szCs w:val="20"/>
          <w:highlight w:val="none"/>
        </w:rPr>
      </w:pPr>
      <w:bookmarkStart w:id="55" w:name="_Toc176185120"/>
      <w:bookmarkStart w:id="56" w:name="_Toc176343849"/>
      <w:r>
        <w:rPr>
          <w:rFonts w:hint="eastAsia" w:hAnsi="宋体" w:cs="宋体"/>
          <w:b/>
          <w:color w:val="auto"/>
          <w:sz w:val="36"/>
          <w:szCs w:val="20"/>
          <w:highlight w:val="none"/>
        </w:rPr>
        <w:t>第二部分</w:t>
      </w:r>
      <w:bookmarkEnd w:id="14"/>
      <w:r>
        <w:rPr>
          <w:rFonts w:hint="eastAsia" w:hAnsi="宋体" w:cs="宋体"/>
          <w:b/>
          <w:color w:val="auto"/>
          <w:sz w:val="36"/>
          <w:szCs w:val="20"/>
          <w:highlight w:val="none"/>
        </w:rPr>
        <w:t xml:space="preserve">  投标人须知</w:t>
      </w:r>
      <w:bookmarkEnd w:id="15"/>
      <w:bookmarkEnd w:id="55"/>
      <w:bookmarkEnd w:id="56"/>
    </w:p>
    <w:p w14:paraId="53884E94">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11"/>
        <w:tblW w:w="85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5BA7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14:paraId="688F6E5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BFBC0C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8A4AFA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7208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D4573F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C3B5FD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391D4FB">
            <w:pPr>
              <w:spacing w:line="360" w:lineRule="auto"/>
              <w:rPr>
                <w:rFonts w:hint="default" w:ascii="宋体" w:hAnsi="宋体" w:eastAsia="宋体" w:cs="宋体"/>
                <w:color w:val="auto"/>
                <w:sz w:val="24"/>
                <w:highlight w:val="none"/>
                <w:u w:val="single"/>
                <w:lang w:val="en-US" w:eastAsia="zh-CN"/>
              </w:rPr>
            </w:pPr>
            <w:bookmarkStart w:id="57" w:name="OLE_LINK3"/>
            <w:bookmarkStart w:id="58" w:name="OLE_LINK1"/>
            <w:r>
              <w:rPr>
                <w:rFonts w:hint="eastAsia" w:ascii="宋体" w:hAnsi="宋体" w:cs="宋体"/>
                <w:color w:val="auto"/>
                <w:sz w:val="24"/>
                <w:highlight w:val="none"/>
              </w:rPr>
              <w:t>货物类，单一产品或核心产品为：</w:t>
            </w:r>
            <w:bookmarkEnd w:id="57"/>
            <w:bookmarkEnd w:id="58"/>
            <w:r>
              <w:rPr>
                <w:rFonts w:hint="eastAsia" w:ascii="宋体" w:hAnsi="宋体" w:cs="宋体"/>
                <w:color w:val="auto"/>
                <w:sz w:val="24"/>
                <w:highlight w:val="none"/>
                <w:u w:val="single"/>
                <w:lang w:val="en-US" w:eastAsia="zh-CN"/>
              </w:rPr>
              <w:t>高通量测序平台</w:t>
            </w:r>
          </w:p>
          <w:p w14:paraId="76240AF5">
            <w:pPr>
              <w:spacing w:line="360" w:lineRule="auto"/>
              <w:rPr>
                <w:color w:val="auto"/>
                <w:highlight w:val="none"/>
              </w:rPr>
            </w:pPr>
          </w:p>
        </w:tc>
      </w:tr>
      <w:tr w14:paraId="374A8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2CB0B7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2AAC80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5C4C5C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w:t>
            </w:r>
            <w:bookmarkStart w:id="59" w:name="OLE_LINK77"/>
            <w:bookmarkStart w:id="60" w:name="OLE_LINK49"/>
            <w:r>
              <w:rPr>
                <w:rFonts w:hint="eastAsia" w:ascii="宋体" w:hAnsi="宋体" w:cs="宋体"/>
                <w:color w:val="auto"/>
                <w:kern w:val="0"/>
                <w:sz w:val="24"/>
                <w:highlight w:val="none"/>
                <w:u w:val="single"/>
              </w:rPr>
              <w:t>采购需求所列的各项货物</w:t>
            </w:r>
            <w:bookmarkEnd w:id="59"/>
            <w:bookmarkEnd w:id="60"/>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p w14:paraId="1820982A">
            <w:pPr>
              <w:pStyle w:val="2"/>
              <w:rPr>
                <w:color w:val="auto"/>
                <w:highlight w:val="none"/>
                <w:lang w:val="en-US"/>
              </w:rPr>
            </w:pPr>
          </w:p>
          <w:p w14:paraId="3D002BE1">
            <w:pPr>
              <w:pStyle w:val="2"/>
              <w:rPr>
                <w:rFonts w:ascii="宋体" w:hAnsi="宋体" w:eastAsia="宋体" w:cs="宋体"/>
                <w:color w:val="auto"/>
                <w:highlight w:val="none"/>
                <w:lang w:val="en-US"/>
              </w:rPr>
            </w:pPr>
          </w:p>
        </w:tc>
      </w:tr>
      <w:tr w14:paraId="4FE38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B25292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1181DA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932BDE3">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本项目不允许采购进口产品。</w:t>
            </w:r>
          </w:p>
          <w:p w14:paraId="64BB4514">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血细胞分离机、综合电脑验光组合</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75262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4F584A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2022989">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434BC0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20F82F19">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50F30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EA3267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004C29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F4AEE4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831710A">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6C1CD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7E239E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C0EDB6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9C80CEF">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E47E31A">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7F9676A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FCACC7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F5ECE6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55807FD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B75E13C">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5EF5A6E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D831F70">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066E0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D3DB68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83081E1">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08EAD5B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2AC36CF">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3E677CE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人。讲解演示结束后按要求解答评标委员会提问。</w:t>
            </w:r>
          </w:p>
          <w:p w14:paraId="04A6AB6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1D65762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14:paraId="463C848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4A750FBF">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14:paraId="547D8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3124DDF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1F727B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EC22436">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77FA36D">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352EF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14:paraId="15A655E2">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02E885FA">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1FB8AFF">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14:paraId="3E53A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6F6984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0035EC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9E3180F">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E518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362BC16">
            <w:pPr>
              <w:snapToGrid w:val="0"/>
              <w:spacing w:line="360" w:lineRule="auto"/>
              <w:jc w:val="center"/>
              <w:rPr>
                <w:color w:val="auto"/>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293E4E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2D62CB6E">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14:paraId="5C386321">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投标报价出现下列情形的，投标无效：</w:t>
            </w:r>
          </w:p>
          <w:p w14:paraId="48EEF7C1">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投标文件出现不是唯一的、有选择性投标报价的；</w:t>
            </w:r>
          </w:p>
          <w:p w14:paraId="1410443D">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投标报价超过招标文件中规定的预算金额或者最高限价的;</w:t>
            </w:r>
          </w:p>
          <w:p w14:paraId="77375525">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1"/>
                <w:highlight w:val="none"/>
              </w:rPr>
              <w:t>报价明显低于其他通过符合性审查投标人的报价，有可能影响产品质量或者不能诚信履约的，未能按要求提供书面说明或者提交相关证明材料证明其报价合理性的;</w:t>
            </w:r>
          </w:p>
          <w:p w14:paraId="67FE155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14:paraId="2C19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42FF9BD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E2AD03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F9F5D50">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2B253A6">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14:paraId="0C059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CAC4FE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6C9A510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14:paraId="538BD3F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05882441">
            <w:pPr>
              <w:spacing w:line="360" w:lineRule="auto"/>
              <w:rPr>
                <w:rFonts w:hAnsi="宋体" w:cs="宋体"/>
                <w:color w:val="auto"/>
                <w:kern w:val="28"/>
                <w:sz w:val="24"/>
                <w:highlight w:val="none"/>
              </w:rPr>
            </w:pPr>
            <w:sdt>
              <w:sdtPr>
                <w:rPr>
                  <w:rFonts w:hint="eastAsia" w:ascii="宋体" w:hAnsi="宋体" w:cs="宋体"/>
                  <w:color w:val="auto"/>
                  <w:kern w:val="0"/>
                  <w:sz w:val="24"/>
                  <w:highlight w:val="none"/>
                </w:rPr>
                <w:id w:val="12066048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接受</w:t>
            </w:r>
            <w:r>
              <w:rPr>
                <w:rFonts w:hint="eastAsia" w:ascii="宋体"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sz w:val="24"/>
                <w:highlight w:val="none"/>
                <w:u w:val="single"/>
                <w:lang w:eastAsia="zh-CN"/>
              </w:rPr>
              <w:t>北海市北海大道振业中央华府四单元九楼0910室</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ascii="宋体" w:hAnsi="宋体" w:cs="宋体"/>
                <w:color w:val="auto"/>
                <w:sz w:val="24"/>
                <w:szCs w:val="20"/>
                <w:highlight w:val="none"/>
                <w:u w:val="single"/>
                <w:lang w:val="en-US" w:eastAsia="zh-CN"/>
              </w:rPr>
              <w:t xml:space="preserve">0779-3218821 </w:t>
            </w:r>
            <w:r>
              <w:rPr>
                <w:rFonts w:hint="eastAsia" w:hAnsi="宋体" w:cs="宋体"/>
                <w:color w:val="auto"/>
                <w:sz w:val="24"/>
                <w:highlight w:val="none"/>
              </w:rPr>
              <w:t>。采购人、采购代理机构不强制或变相强制投标人提交备份投标文件。</w:t>
            </w:r>
          </w:p>
        </w:tc>
      </w:tr>
      <w:tr w14:paraId="46969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41A97E9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F496C7D">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34A05AD1">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33D5E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04C1D3F8">
            <w:pPr>
              <w:snapToGrid w:val="0"/>
              <w:spacing w:line="360" w:lineRule="auto"/>
              <w:jc w:val="center"/>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985F58C">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auto" w:sz="4" w:space="0"/>
              <w:bottom w:val="single" w:color="auto" w:sz="4" w:space="0"/>
              <w:right w:val="single" w:color="auto" w:sz="4" w:space="0"/>
            </w:tcBorders>
            <w:vAlign w:val="center"/>
          </w:tcPr>
          <w:p w14:paraId="22F544A0">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26FED667">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64CF9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E4684A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5A47005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5CAF4A11">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14:paraId="63301173">
      <w:pPr>
        <w:snapToGrid w:val="0"/>
        <w:spacing w:line="360" w:lineRule="auto"/>
        <w:jc w:val="center"/>
        <w:rPr>
          <w:rFonts w:ascii="宋体" w:hAnsi="宋体" w:cs="宋体"/>
          <w:b/>
          <w:color w:val="auto"/>
          <w:sz w:val="32"/>
          <w:szCs w:val="20"/>
          <w:highlight w:val="none"/>
        </w:rPr>
      </w:pPr>
    </w:p>
    <w:bookmarkEnd w:id="16"/>
    <w:p w14:paraId="7D562A60">
      <w:pPr>
        <w:adjustRightInd/>
        <w:spacing w:line="360" w:lineRule="auto"/>
        <w:ind w:firstLine="3845" w:firstLineChars="1197"/>
        <w:outlineLvl w:val="1"/>
        <w:rPr>
          <w:rFonts w:ascii="宋体" w:hAnsi="宋体" w:cs="宋体"/>
          <w:b/>
          <w:color w:val="auto"/>
          <w:sz w:val="32"/>
          <w:szCs w:val="20"/>
          <w:highlight w:val="none"/>
        </w:rPr>
      </w:pPr>
      <w:bookmarkStart w:id="61" w:name="_Toc164416483"/>
      <w:bookmarkStart w:id="62" w:name="第三部分"/>
    </w:p>
    <w:p w14:paraId="0CB4F448">
      <w:pPr>
        <w:adjustRightInd/>
        <w:spacing w:line="360" w:lineRule="auto"/>
        <w:ind w:firstLine="3845" w:firstLineChars="1197"/>
        <w:outlineLvl w:val="1"/>
        <w:rPr>
          <w:rFonts w:ascii="宋体" w:hAnsi="宋体" w:cs="宋体"/>
          <w:b/>
          <w:color w:val="auto"/>
          <w:sz w:val="32"/>
          <w:szCs w:val="20"/>
          <w:highlight w:val="none"/>
        </w:rPr>
      </w:pPr>
    </w:p>
    <w:p w14:paraId="5300FA0E">
      <w:pPr>
        <w:adjustRightInd/>
        <w:spacing w:line="360" w:lineRule="auto"/>
        <w:ind w:firstLine="3845" w:firstLineChars="1197"/>
        <w:outlineLvl w:val="1"/>
        <w:rPr>
          <w:rFonts w:ascii="宋体" w:hAnsi="宋体" w:cs="宋体"/>
          <w:b/>
          <w:color w:val="auto"/>
          <w:sz w:val="32"/>
          <w:szCs w:val="20"/>
          <w:highlight w:val="none"/>
        </w:rPr>
      </w:pPr>
    </w:p>
    <w:p w14:paraId="70825C12">
      <w:pPr>
        <w:pStyle w:val="2"/>
        <w:rPr>
          <w:color w:val="auto"/>
          <w:highlight w:val="none"/>
          <w:lang w:val="en-US"/>
        </w:rPr>
      </w:pPr>
    </w:p>
    <w:p w14:paraId="53260A17">
      <w:pPr>
        <w:adjustRightInd/>
        <w:spacing w:line="360" w:lineRule="auto"/>
        <w:ind w:firstLine="3845" w:firstLineChars="1197"/>
        <w:outlineLvl w:val="1"/>
        <w:rPr>
          <w:rFonts w:ascii="宋体" w:hAnsi="宋体" w:cs="宋体"/>
          <w:b/>
          <w:color w:val="auto"/>
          <w:sz w:val="32"/>
          <w:szCs w:val="20"/>
          <w:highlight w:val="none"/>
        </w:rPr>
      </w:pPr>
    </w:p>
    <w:p w14:paraId="06B1BCA5">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8911AAC">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329884E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4803B18E">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2.定义</w:t>
      </w:r>
    </w:p>
    <w:p w14:paraId="57C09F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30394F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53977B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7752E4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1BF793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42A5D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69EA6B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7893C9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15A60C01">
      <w:pPr>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614D87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5B0B43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6AEEA1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21D226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1ECB8E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63"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621069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63"/>
    </w:p>
    <w:p w14:paraId="5A18E0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441E00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43AC0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6988BE45">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E99F7B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7135534B">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64" w:name="_Hlk101132181"/>
      <w:r>
        <w:rPr>
          <w:rFonts w:hint="eastAsia" w:ascii="宋体" w:hAnsi="宋体" w:cs="宋体"/>
          <w:color w:val="auto"/>
          <w:sz w:val="24"/>
          <w:highlight w:val="none"/>
        </w:rPr>
        <w:t>联合协议或者分包意向协议约定小微企业的合同份额占到合同总金额30%以上的</w:t>
      </w:r>
      <w:bookmarkEnd w:id="64"/>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40F0C2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61A62B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813D8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39EDB6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5900C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38C854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14:paraId="43F826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286B09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14:paraId="0CD815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115957C">
      <w:pPr>
        <w:pStyle w:val="16"/>
        <w:rPr>
          <w:bCs/>
          <w:color w:val="auto"/>
          <w:highlight w:val="none"/>
        </w:rPr>
      </w:pPr>
      <w:r>
        <w:rPr>
          <w:rFonts w:hint="eastAsia"/>
          <w:color w:val="auto"/>
          <w:highlight w:val="none"/>
        </w:rPr>
        <w:t>3.6平等对待符合条件的破产重整企业</w:t>
      </w:r>
    </w:p>
    <w:p w14:paraId="74478B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162250ED">
      <w:pPr>
        <w:spacing w:line="360" w:lineRule="auto"/>
        <w:ind w:firstLine="482" w:firstLineChars="200"/>
        <w:rPr>
          <w:rFonts w:asciiTheme="minorEastAsia" w:hAnsiTheme="minorEastAsia" w:eastAsiaTheme="minorEastAsia"/>
          <w:b/>
          <w:color w:val="auto"/>
          <w:highlight w:val="none"/>
        </w:rPr>
      </w:pPr>
      <w:r>
        <w:rPr>
          <w:rFonts w:hint="eastAsia" w:ascii="宋体" w:hAnsi="宋体"/>
          <w:b/>
          <w:color w:val="auto"/>
          <w:sz w:val="24"/>
          <w:highlight w:val="none"/>
        </w:rPr>
        <w:t>4. 询问、质疑、投诉</w:t>
      </w:r>
    </w:p>
    <w:p w14:paraId="01FA2225">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4.1在线询问、质疑、投诉</w:t>
      </w:r>
    </w:p>
    <w:p w14:paraId="59FC9AF9">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C3FCEE4">
      <w:pPr>
        <w:pStyle w:val="16"/>
        <w:rPr>
          <w:rFonts w:hint="eastAsia"/>
          <w:color w:val="auto"/>
          <w:highlight w:val="none"/>
        </w:rPr>
      </w:pPr>
      <w:r>
        <w:rPr>
          <w:rFonts w:hint="eastAsia"/>
          <w:color w:val="auto"/>
          <w:highlight w:val="none"/>
        </w:rPr>
        <w:t>询问联系部门：</w:t>
      </w:r>
      <w:r>
        <w:rPr>
          <w:rFonts w:hint="eastAsia"/>
          <w:color w:val="auto"/>
          <w:highlight w:val="none"/>
          <w:lang w:eastAsia="zh-CN"/>
        </w:rPr>
        <w:t>广西达华工程造价咨询有限责任公司</w:t>
      </w:r>
      <w:r>
        <w:rPr>
          <w:rFonts w:hint="eastAsia"/>
          <w:color w:val="auto"/>
          <w:highlight w:val="none"/>
        </w:rPr>
        <w:t>，联系电话：</w:t>
      </w:r>
      <w:r>
        <w:rPr>
          <w:rFonts w:hint="eastAsia" w:cs="宋体"/>
          <w:color w:val="auto"/>
          <w:szCs w:val="24"/>
          <w:highlight w:val="none"/>
        </w:rPr>
        <w:t>0779-3</w:t>
      </w:r>
      <w:r>
        <w:rPr>
          <w:rFonts w:hint="eastAsia" w:cs="宋体"/>
          <w:color w:val="auto"/>
          <w:szCs w:val="24"/>
          <w:highlight w:val="none"/>
          <w:lang w:val="en-US" w:eastAsia="zh-CN"/>
        </w:rPr>
        <w:t>218821</w:t>
      </w:r>
      <w:r>
        <w:rPr>
          <w:rFonts w:hint="eastAsia"/>
          <w:color w:val="auto"/>
          <w:highlight w:val="none"/>
        </w:rPr>
        <w:t>，地址：</w:t>
      </w:r>
      <w:r>
        <w:rPr>
          <w:rFonts w:hint="eastAsia"/>
          <w:color w:val="auto"/>
          <w:highlight w:val="none"/>
          <w:lang w:eastAsia="zh-CN"/>
        </w:rPr>
        <w:t>北海市北海大道振业中央华府四单元九楼0910室</w:t>
      </w:r>
      <w:r>
        <w:rPr>
          <w:rFonts w:hint="eastAsia"/>
          <w:color w:val="auto"/>
          <w:highlight w:val="none"/>
        </w:rPr>
        <w:t>。</w:t>
      </w:r>
    </w:p>
    <w:p w14:paraId="4342F0FC">
      <w:pPr>
        <w:pStyle w:val="16"/>
        <w:rPr>
          <w:rFonts w:hint="eastAsia"/>
          <w:color w:val="auto"/>
          <w:highlight w:val="none"/>
        </w:rPr>
      </w:pPr>
      <w:r>
        <w:rPr>
          <w:rFonts w:hint="eastAsia"/>
          <w:color w:val="auto"/>
          <w:highlight w:val="none"/>
        </w:rPr>
        <w:t>质疑联系部门：</w:t>
      </w:r>
      <w:r>
        <w:rPr>
          <w:rFonts w:hint="eastAsia"/>
          <w:color w:val="auto"/>
          <w:highlight w:val="none"/>
          <w:lang w:eastAsia="zh-CN"/>
        </w:rPr>
        <w:t>广西达华工程造价咨询有限责任公司</w:t>
      </w:r>
      <w:r>
        <w:rPr>
          <w:rFonts w:hint="eastAsia"/>
          <w:color w:val="auto"/>
          <w:highlight w:val="none"/>
        </w:rPr>
        <w:t>，联系电话：</w:t>
      </w:r>
      <w:r>
        <w:rPr>
          <w:rFonts w:hint="eastAsia" w:cs="宋体"/>
          <w:color w:val="auto"/>
          <w:szCs w:val="24"/>
          <w:highlight w:val="none"/>
        </w:rPr>
        <w:t>0779-3</w:t>
      </w:r>
      <w:r>
        <w:rPr>
          <w:rFonts w:hint="eastAsia" w:cs="宋体"/>
          <w:color w:val="auto"/>
          <w:szCs w:val="24"/>
          <w:highlight w:val="none"/>
          <w:lang w:val="en-US" w:eastAsia="zh-CN"/>
        </w:rPr>
        <w:t>218821</w:t>
      </w:r>
      <w:r>
        <w:rPr>
          <w:rFonts w:hint="eastAsia"/>
          <w:color w:val="auto"/>
          <w:highlight w:val="none"/>
        </w:rPr>
        <w:t>，地址：</w:t>
      </w:r>
      <w:r>
        <w:rPr>
          <w:rFonts w:hint="eastAsia"/>
          <w:color w:val="auto"/>
          <w:highlight w:val="none"/>
          <w:lang w:eastAsia="zh-CN"/>
        </w:rPr>
        <w:t>北海市北海大道振业中央华府四单元九楼0910室</w:t>
      </w:r>
      <w:r>
        <w:rPr>
          <w:rFonts w:hint="eastAsia"/>
          <w:color w:val="auto"/>
          <w:highlight w:val="none"/>
        </w:rPr>
        <w:t>。</w:t>
      </w:r>
    </w:p>
    <w:p w14:paraId="540D2CEA">
      <w:pPr>
        <w:pStyle w:val="16"/>
        <w:rPr>
          <w:color w:val="auto"/>
          <w:highlight w:val="none"/>
        </w:rPr>
      </w:pPr>
      <w:r>
        <w:rPr>
          <w:rFonts w:hint="eastAsia"/>
          <w:color w:val="auto"/>
          <w:highlight w:val="none"/>
        </w:rPr>
        <w:t>投诉联系部门：北海市财政局，联系电话：0779-3063975，地址：北海市海城区北部湾西路19号。</w:t>
      </w:r>
    </w:p>
    <w:p w14:paraId="1E22B5B6">
      <w:pPr>
        <w:pStyle w:val="1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4.2供应商询问</w:t>
      </w:r>
    </w:p>
    <w:p w14:paraId="6CC05131">
      <w:pPr>
        <w:pStyle w:val="1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24EB9F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7CF169D3">
      <w:pPr>
        <w:pStyle w:val="7"/>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38581C2">
      <w:pPr>
        <w:pStyle w:val="7"/>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CA78EE8">
      <w:pPr>
        <w:pStyle w:val="4"/>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256CECB2">
      <w:pPr>
        <w:pStyle w:val="7"/>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4E15952A">
      <w:pPr>
        <w:pStyle w:val="7"/>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5A8AE6B8">
      <w:pPr>
        <w:pStyle w:val="7"/>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205F2376">
      <w:pPr>
        <w:pStyle w:val="7"/>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4C7AE712">
      <w:pPr>
        <w:pStyle w:val="7"/>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4DA77CE2">
      <w:pPr>
        <w:pStyle w:val="7"/>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1256CEFD">
      <w:pPr>
        <w:pStyle w:val="7"/>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17909839">
      <w:pPr>
        <w:pStyle w:val="7"/>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390461C5">
      <w:pPr>
        <w:pStyle w:val="1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79DAD9FC">
      <w:pPr>
        <w:pStyle w:val="1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14:paraId="6AC34BBC">
      <w:pPr>
        <w:pStyle w:val="1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25C4EC9E">
      <w:pPr>
        <w:pStyle w:val="1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118ED22">
      <w:pPr>
        <w:pStyle w:val="7"/>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14:paraId="7E4179F1">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5B61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4B23E03">
            <w:pPr>
              <w:pStyle w:val="7"/>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69B0C69C">
            <w:pPr>
              <w:pStyle w:val="7"/>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3FAF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57CA2B54">
            <w:pPr>
              <w:pStyle w:val="7"/>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7555CD8">
            <w:pPr>
              <w:pStyle w:val="7"/>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8B260D6">
            <w:pPr>
              <w:pStyle w:val="7"/>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5964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tcBorders>
              <w:top w:val="single" w:color="auto" w:sz="4" w:space="0"/>
              <w:left w:val="single" w:color="auto" w:sz="4" w:space="0"/>
              <w:bottom w:val="single" w:color="auto" w:sz="4" w:space="0"/>
              <w:right w:val="single" w:color="auto" w:sz="4" w:space="0"/>
            </w:tcBorders>
            <w:vAlign w:val="center"/>
          </w:tcPr>
          <w:p w14:paraId="74A397E7">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5EDA968C">
            <w:pPr>
              <w:pStyle w:val="7"/>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435AA0">
            <w:pPr>
              <w:pStyle w:val="7"/>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0999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520D8B64">
            <w:pPr>
              <w:pStyle w:val="7"/>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A191B8F">
            <w:pPr>
              <w:pStyle w:val="7"/>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34F43D8">
            <w:pPr>
              <w:pStyle w:val="7"/>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182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tcBorders>
              <w:top w:val="single" w:color="auto" w:sz="4" w:space="0"/>
              <w:left w:val="single" w:color="auto" w:sz="4" w:space="0"/>
              <w:bottom w:val="single" w:color="auto" w:sz="4" w:space="0"/>
              <w:right w:val="single" w:color="auto" w:sz="4" w:space="0"/>
            </w:tcBorders>
            <w:vAlign w:val="center"/>
          </w:tcPr>
          <w:p w14:paraId="05D30364">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520544C">
            <w:pPr>
              <w:pStyle w:val="7"/>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505C1DE">
            <w:pPr>
              <w:pStyle w:val="7"/>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3026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24A4B20A">
            <w:pPr>
              <w:pStyle w:val="7"/>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B7A6DFF">
            <w:pPr>
              <w:pStyle w:val="7"/>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B844657">
            <w:pPr>
              <w:pStyle w:val="7"/>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49AB64E8">
      <w:pPr>
        <w:pStyle w:val="1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采购人或代理机构应当协助质疑答复责任主体及时答复</w:t>
      </w:r>
      <w:r>
        <w:rPr>
          <w:rFonts w:hint="eastAsia"/>
          <w:color w:val="auto"/>
          <w:highlight w:val="none"/>
        </w:rPr>
        <w:t>供应商的书面质疑。</w:t>
      </w:r>
    </w:p>
    <w:p w14:paraId="582940E8">
      <w:pPr>
        <w:pStyle w:val="1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14:paraId="6D61EC20">
      <w:pPr>
        <w:pStyle w:val="17"/>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4CE33572">
      <w:pPr>
        <w:pStyle w:val="1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3A7775C7">
      <w:pPr>
        <w:pStyle w:val="1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16E3ABD9">
      <w:pPr>
        <w:pStyle w:val="1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1591D7BA">
      <w:pPr>
        <w:pStyle w:val="1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 以联合体形式参加政府采购活动的，其投诉应当由组成联合体的所有供应商共同提出。</w:t>
      </w:r>
    </w:p>
    <w:p w14:paraId="56F96730">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27D4C85E">
      <w:pPr>
        <w:pStyle w:val="7"/>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229C03C">
      <w:pPr>
        <w:pStyle w:val="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206FB2E1">
      <w:pPr>
        <w:pStyle w:val="7"/>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14:paraId="0F1C59B4">
      <w:pPr>
        <w:pStyle w:val="7"/>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14:paraId="678CCE79">
      <w:pPr>
        <w:pStyle w:val="7"/>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14:paraId="5AB144E7">
      <w:pPr>
        <w:pStyle w:val="7"/>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14:paraId="7FE808FA">
      <w:pPr>
        <w:pStyle w:val="7"/>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14:paraId="1E5D80E0">
      <w:pPr>
        <w:pStyle w:val="7"/>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74BDC2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3D3D71A">
      <w:pPr>
        <w:pStyle w:val="7"/>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62C4912C">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75248469">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41DF7D5">
      <w:pPr>
        <w:pStyle w:val="5"/>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337F2E70">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7EB562A1">
      <w:pPr>
        <w:pStyle w:val="7"/>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786C4599">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18BBA2D1">
      <w:pPr>
        <w:pStyle w:val="7"/>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1C0EDF80">
      <w:pPr>
        <w:pStyle w:val="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488AB907">
      <w:pPr>
        <w:pStyle w:val="7"/>
        <w:spacing w:line="360" w:lineRule="auto"/>
        <w:rPr>
          <w:rFonts w:hAnsi="宋体" w:cs="宋体"/>
          <w:b/>
          <w:color w:val="auto"/>
          <w:kern w:val="28"/>
          <w:sz w:val="24"/>
          <w:szCs w:val="24"/>
          <w:highlight w:val="none"/>
        </w:rPr>
      </w:pPr>
      <w:r>
        <w:rPr>
          <w:rFonts w:hint="eastAsia" w:hAnsi="宋体" w:cs="宋体"/>
          <w:b/>
          <w:color w:val="auto"/>
          <w:kern w:val="28"/>
          <w:sz w:val="24"/>
          <w:szCs w:val="24"/>
          <w:highlight w:val="none"/>
        </w:rPr>
        <w:t>9.投标保证金</w:t>
      </w:r>
    </w:p>
    <w:p w14:paraId="56AE38F1">
      <w:pPr>
        <w:pStyle w:val="4"/>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本项目不收取投标保证金。</w:t>
      </w:r>
    </w:p>
    <w:p w14:paraId="552E9EB8">
      <w:pPr>
        <w:pStyle w:val="7"/>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45F36E42">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6B55139">
      <w:pPr>
        <w:pStyle w:val="7"/>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14:paraId="2F7F4E1D">
      <w:pPr>
        <w:snapToGrid w:val="0"/>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2B1D97A">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11.1.1符合参加政府采购活动应当具备的一般条件的承诺函；</w:t>
      </w:r>
    </w:p>
    <w:p w14:paraId="309B7A1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65" w:name="_Hlk101259339"/>
      <w:r>
        <w:rPr>
          <w:rFonts w:hint="eastAsia" w:ascii="宋体" w:hAnsi="宋体" w:cs="宋体"/>
          <w:snapToGrid w:val="0"/>
          <w:color w:val="auto"/>
          <w:kern w:val="28"/>
          <w:sz w:val="24"/>
          <w:szCs w:val="20"/>
          <w:highlight w:val="none"/>
        </w:rPr>
        <w:t>联合协议</w:t>
      </w:r>
      <w:bookmarkEnd w:id="65"/>
      <w:r>
        <w:rPr>
          <w:rFonts w:hint="eastAsia" w:ascii="宋体" w:hAnsi="宋体" w:cs="宋体"/>
          <w:snapToGrid w:val="0"/>
          <w:color w:val="auto"/>
          <w:kern w:val="28"/>
          <w:sz w:val="24"/>
          <w:szCs w:val="20"/>
          <w:highlight w:val="none"/>
        </w:rPr>
        <w:t>（如果有)；</w:t>
      </w:r>
    </w:p>
    <w:p w14:paraId="62DF289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D89AB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18BE4BD">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1D5AC371">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211FDCA8">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w:t>
      </w:r>
      <w:bookmarkStart w:id="66" w:name="OLE_LINK167"/>
      <w:bookmarkStart w:id="67" w:name="OLE_LINK168"/>
      <w:r>
        <w:rPr>
          <w:rFonts w:hint="eastAsia" w:ascii="宋体" w:hAnsi="宋体" w:cs="宋体"/>
          <w:color w:val="auto"/>
          <w:sz w:val="24"/>
          <w:highlight w:val="none"/>
        </w:rPr>
        <w:t>授权委托书或法定代表人（单位负责人、自然人本人）身份证</w:t>
      </w:r>
      <w:bookmarkEnd w:id="66"/>
      <w:bookmarkEnd w:id="67"/>
      <w:r>
        <w:rPr>
          <w:rFonts w:hint="eastAsia" w:ascii="宋体" w:hAnsi="宋体" w:cs="宋体"/>
          <w:color w:val="auto"/>
          <w:sz w:val="24"/>
          <w:highlight w:val="none"/>
        </w:rPr>
        <w:t>明；</w:t>
      </w:r>
    </w:p>
    <w:p w14:paraId="4D210D4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60376C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B7E82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DCD55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285EA4D">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w:t>
      </w:r>
      <w:bookmarkStart w:id="68" w:name="OLE_LINK171"/>
      <w:bookmarkStart w:id="69" w:name="OLE_LINK172"/>
      <w:r>
        <w:rPr>
          <w:rFonts w:hint="eastAsia" w:ascii="宋体" w:hAnsi="宋体" w:cs="宋体"/>
          <w:color w:val="auto"/>
          <w:sz w:val="24"/>
          <w:highlight w:val="none"/>
        </w:rPr>
        <w:t>.2.</w:t>
      </w:r>
      <w:r>
        <w:rPr>
          <w:rFonts w:ascii="宋体" w:hAnsi="宋体" w:cs="宋体"/>
          <w:color w:val="auto"/>
          <w:sz w:val="24"/>
          <w:highlight w:val="none"/>
        </w:rPr>
        <w:t>7</w:t>
      </w:r>
      <w:r>
        <w:rPr>
          <w:rFonts w:hint="eastAsia" w:ascii="宋体" w:hAnsi="宋体" w:cs="宋体"/>
          <w:color w:val="auto"/>
          <w:sz w:val="24"/>
          <w:highlight w:val="none"/>
        </w:rPr>
        <w:t>商务技术偏离</w:t>
      </w:r>
      <w:bookmarkEnd w:id="68"/>
      <w:bookmarkEnd w:id="69"/>
      <w:r>
        <w:rPr>
          <w:rFonts w:hint="eastAsia" w:ascii="宋体" w:hAnsi="宋体" w:cs="宋体"/>
          <w:color w:val="auto"/>
          <w:sz w:val="24"/>
          <w:highlight w:val="none"/>
        </w:rPr>
        <w:t>表；</w:t>
      </w:r>
    </w:p>
    <w:p w14:paraId="037F44E9">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7BF1BE6">
      <w:pPr>
        <w:pStyle w:val="16"/>
        <w:rPr>
          <w:color w:val="auto"/>
          <w:highlight w:val="none"/>
        </w:rPr>
      </w:pPr>
      <w:r>
        <w:rPr>
          <w:rFonts w:hint="eastAsia" w:cs="宋体"/>
          <w:b/>
          <w:color w:val="auto"/>
          <w:szCs w:val="24"/>
          <w:highlight w:val="none"/>
        </w:rPr>
        <w:t>▲</w:t>
      </w:r>
      <w:r>
        <w:rPr>
          <w:rFonts w:hint="eastAsia"/>
          <w:color w:val="auto"/>
          <w:highlight w:val="none"/>
        </w:rPr>
        <w:t>11.2.9承诺函；</w:t>
      </w:r>
    </w:p>
    <w:p w14:paraId="4C2C9A60">
      <w:pPr>
        <w:pStyle w:val="16"/>
        <w:rPr>
          <w:color w:val="auto"/>
          <w:highlight w:val="none"/>
        </w:rPr>
      </w:pPr>
      <w:r>
        <w:rPr>
          <w:rFonts w:hint="eastAsia"/>
          <w:color w:val="auto"/>
          <w:highlight w:val="none"/>
        </w:rPr>
        <w:t>11.2.10技术解决方案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14:paraId="65741A84">
      <w:pPr>
        <w:pStyle w:val="16"/>
        <w:rPr>
          <w:color w:val="auto"/>
          <w:highlight w:val="none"/>
        </w:rPr>
      </w:pPr>
      <w:r>
        <w:rPr>
          <w:rFonts w:hint="eastAsia"/>
          <w:color w:val="auto"/>
          <w:highlight w:val="none"/>
        </w:rPr>
        <w:t>11.2.11组织实施方案</w:t>
      </w:r>
      <w:r>
        <w:rPr>
          <w:rFonts w:hint="eastAsia" w:cs="宋体"/>
          <w:snapToGrid w:val="0"/>
          <w:color w:val="auto"/>
          <w:kern w:val="28"/>
          <w:highlight w:val="none"/>
        </w:rPr>
        <w:t>（如果有)</w:t>
      </w:r>
      <w:r>
        <w:rPr>
          <w:rFonts w:hint="eastAsia"/>
          <w:color w:val="auto"/>
          <w:highlight w:val="none"/>
        </w:rPr>
        <w:t>。可以是本项目详细工作实施组织方案，包括(但不限于)以下内容：组织机构、工作时间进度表、工作程序和步骤、管理和协调方法、关键步骤的思路和要点；</w:t>
      </w:r>
    </w:p>
    <w:p w14:paraId="4451B24F">
      <w:pPr>
        <w:pStyle w:val="16"/>
        <w:rPr>
          <w:color w:val="auto"/>
          <w:highlight w:val="none"/>
        </w:rPr>
      </w:pPr>
      <w:bookmarkStart w:id="70" w:name="OLE_LINK221"/>
      <w:bookmarkStart w:id="71" w:name="OLE_LINK216"/>
      <w:bookmarkStart w:id="72" w:name="OLE_LINK213"/>
      <w:r>
        <w:rPr>
          <w:rFonts w:hint="eastAsia" w:cs="宋体"/>
          <w:b/>
          <w:color w:val="auto"/>
          <w:szCs w:val="24"/>
          <w:highlight w:val="none"/>
        </w:rPr>
        <w:t>▲</w:t>
      </w:r>
      <w:bookmarkEnd w:id="70"/>
      <w:bookmarkEnd w:id="71"/>
      <w:bookmarkEnd w:id="72"/>
      <w:r>
        <w:rPr>
          <w:rFonts w:hint="eastAsia"/>
          <w:color w:val="auto"/>
          <w:highlight w:val="none"/>
        </w:rPr>
        <w:t>11.2.12</w:t>
      </w:r>
      <w:bookmarkStart w:id="73" w:name="OLE_LINK169"/>
      <w:bookmarkStart w:id="74" w:name="OLE_LINK170"/>
      <w:r>
        <w:rPr>
          <w:rFonts w:hint="eastAsia"/>
          <w:color w:val="auto"/>
          <w:highlight w:val="none"/>
        </w:rPr>
        <w:t>售后服务方案。</w:t>
      </w:r>
      <w:bookmarkEnd w:id="73"/>
      <w:bookmarkEnd w:id="74"/>
      <w:r>
        <w:rPr>
          <w:rFonts w:hint="eastAsia"/>
          <w:color w:val="auto"/>
          <w:highlight w:val="none"/>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44EB7EDE">
      <w:pPr>
        <w:snapToGrid w:val="0"/>
        <w:spacing w:line="360" w:lineRule="auto"/>
        <w:ind w:firstLine="482" w:firstLineChars="200"/>
        <w:rPr>
          <w:rFonts w:ascii="宋体" w:hAnsi="宋体" w:cs="宋体"/>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F10DF0E">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p>
    <w:p w14:paraId="2F940AB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11.3.2中小企业声明函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7BC99C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28D1A078">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71B589C8">
      <w:pPr>
        <w:pStyle w:val="1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04FC4BE">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91402A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2251814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2CCEB8F0">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C0EE0AA">
      <w:pPr>
        <w:pStyle w:val="18"/>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5FAB951B">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14:paraId="4015E979">
      <w:pPr>
        <w:pStyle w:val="18"/>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14:paraId="20964C9A">
      <w:pPr>
        <w:pStyle w:val="1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1655273C">
      <w:pPr>
        <w:pStyle w:val="18"/>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A474D42">
      <w:pPr>
        <w:pStyle w:val="18"/>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3F8B6D19">
      <w:pPr>
        <w:pStyle w:val="18"/>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4AC98215">
      <w:pPr>
        <w:pStyle w:val="7"/>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6CCB5A5B">
      <w:pPr>
        <w:pStyle w:val="7"/>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20B7354B">
      <w:pPr>
        <w:pStyle w:val="7"/>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15.2备份投标文件须在“广西政府采购云平台投标客户端”制作生成，并储存在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20F5AF45">
      <w:pPr>
        <w:pStyle w:val="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3A1FCAF5">
      <w:pPr>
        <w:pStyle w:val="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1F0D3EC1">
      <w:pPr>
        <w:pStyle w:val="7"/>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28423838">
      <w:pPr>
        <w:pStyle w:val="1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35EB20A8">
      <w:pPr>
        <w:pStyle w:val="6"/>
        <w:spacing w:line="360" w:lineRule="auto"/>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57798F6E">
      <w:pPr>
        <w:pStyle w:val="1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243DFF8E">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76C6AE98">
      <w:pPr>
        <w:pStyle w:val="18"/>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356CA881">
      <w:pPr>
        <w:pStyle w:val="18"/>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14:paraId="16CD9D1D">
      <w:pPr>
        <w:pStyle w:val="18"/>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2076030B">
      <w:pPr>
        <w:pStyle w:val="19"/>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365B4760">
      <w:pPr>
        <w:pStyle w:val="19"/>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2E8E9096">
      <w:pPr>
        <w:pStyle w:val="19"/>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0AEDAEF2">
      <w:pPr>
        <w:pStyle w:val="19"/>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1AD03281">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3F673A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18AF6146">
      <w:pPr>
        <w:pStyle w:val="18"/>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79B4BDA2">
      <w:pPr>
        <w:pStyle w:val="1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68BF1AA0">
      <w:pPr>
        <w:pStyle w:val="1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4720B681">
      <w:pPr>
        <w:pStyle w:val="1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2DFE0C42">
      <w:pPr>
        <w:pStyle w:val="1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highlight w:val="none"/>
        </w:rPr>
        <w:t>采购人或采购代理机构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33F5DDFF">
      <w:pPr>
        <w:pStyle w:val="1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D648E82">
      <w:pPr>
        <w:pStyle w:val="1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936D636">
      <w:pPr>
        <w:pStyle w:val="18"/>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8F3FEE2">
      <w:pPr>
        <w:pStyle w:val="18"/>
        <w:spacing w:before="0"/>
        <w:ind w:firstLine="0" w:firstLineChars="0"/>
        <w:rPr>
          <w:rFonts w:ascii="宋体" w:hAnsi="宋体" w:cs="宋体"/>
          <w:color w:val="auto"/>
          <w:kern w:val="0"/>
          <w:szCs w:val="24"/>
          <w:highlight w:val="none"/>
        </w:rPr>
      </w:pPr>
    </w:p>
    <w:p w14:paraId="28E43690">
      <w:pPr>
        <w:snapToGrid w:val="0"/>
        <w:spacing w:line="360" w:lineRule="auto"/>
        <w:jc w:val="center"/>
        <w:outlineLvl w:val="1"/>
        <w:rPr>
          <w:rFonts w:ascii="宋体" w:hAnsi="宋体" w:cs="宋体"/>
          <w:b/>
          <w:color w:val="auto"/>
          <w:sz w:val="36"/>
          <w:szCs w:val="36"/>
          <w:highlight w:val="none"/>
        </w:rPr>
      </w:pPr>
    </w:p>
    <w:p w14:paraId="0065F0A0">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0C841B01">
      <w:pPr>
        <w:spacing w:line="360" w:lineRule="auto"/>
        <w:rPr>
          <w:rFonts w:ascii="宋体" w:hAnsi="宋体" w:cs="宋体"/>
          <w:b/>
          <w:color w:val="auto"/>
          <w:sz w:val="24"/>
          <w:highlight w:val="none"/>
        </w:rPr>
      </w:pPr>
      <w:bookmarkStart w:id="75" w:name="_Toc91899903"/>
      <w:r>
        <w:rPr>
          <w:rFonts w:hint="eastAsia" w:ascii="宋体" w:hAnsi="宋体" w:cs="宋体"/>
          <w:b/>
          <w:color w:val="auto"/>
          <w:sz w:val="24"/>
          <w:highlight w:val="none"/>
        </w:rPr>
        <w:t>21.评标</w:t>
      </w:r>
    </w:p>
    <w:p w14:paraId="2338A5C8">
      <w:pPr>
        <w:pStyle w:val="16"/>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395BA119">
      <w:pPr>
        <w:pStyle w:val="16"/>
        <w:rPr>
          <w:rFonts w:cs="宋体"/>
          <w:b/>
          <w:color w:val="auto"/>
          <w:highlight w:val="none"/>
        </w:rPr>
      </w:pPr>
      <w:r>
        <w:rPr>
          <w:rFonts w:hint="eastAsia" w:cs="宋体"/>
          <w:b/>
          <w:color w:val="auto"/>
          <w:highlight w:val="none"/>
        </w:rPr>
        <w:t>21.2</w:t>
      </w:r>
      <w:r>
        <w:rPr>
          <w:rFonts w:hint="eastAsia" w:cs="宋体"/>
          <w:color w:val="auto"/>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color w:val="auto"/>
          <w:highlight w:val="none"/>
        </w:rPr>
        <w:t>详见招标文件第四部分评标办法。</w:t>
      </w:r>
    </w:p>
    <w:p w14:paraId="2E831F66">
      <w:pPr>
        <w:spacing w:line="360" w:lineRule="auto"/>
        <w:rPr>
          <w:rFonts w:ascii="宋体" w:hAnsi="宋体" w:cs="宋体"/>
          <w:b/>
          <w:color w:val="auto"/>
          <w:sz w:val="24"/>
          <w:highlight w:val="none"/>
        </w:rPr>
      </w:pPr>
    </w:p>
    <w:p w14:paraId="44B5D9BF">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B8D3A8E">
      <w:pPr>
        <w:pStyle w:val="6"/>
        <w:spacing w:line="360" w:lineRule="auto"/>
        <w:ind w:left="479" w:hanging="479" w:hangingChars="199"/>
        <w:rPr>
          <w:rFonts w:cs="宋体"/>
          <w:b/>
          <w:color w:val="auto"/>
          <w:highlight w:val="none"/>
        </w:rPr>
      </w:pPr>
      <w:r>
        <w:rPr>
          <w:rFonts w:hint="eastAsia" w:cs="宋体"/>
          <w:b/>
          <w:color w:val="auto"/>
          <w:highlight w:val="none"/>
        </w:rPr>
        <w:t>22. 确定中标供应商</w:t>
      </w:r>
    </w:p>
    <w:p w14:paraId="19F5AC60">
      <w:pPr>
        <w:pStyle w:val="18"/>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14EFBFA1">
      <w:pPr>
        <w:pStyle w:val="1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12247BE1">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258E783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066FEA6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006E74A2">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21FD7D0A">
      <w:pPr>
        <w:pStyle w:val="6"/>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6E4B1C6A">
      <w:pPr>
        <w:pStyle w:val="6"/>
        <w:spacing w:line="360" w:lineRule="auto"/>
        <w:ind w:left="479" w:hanging="479" w:hangingChars="199"/>
        <w:rPr>
          <w:rFonts w:cs="宋体"/>
          <w:b/>
          <w:color w:val="auto"/>
          <w:highlight w:val="none"/>
        </w:rPr>
      </w:pPr>
      <w:r>
        <w:rPr>
          <w:rFonts w:hint="eastAsia" w:cs="宋体"/>
          <w:b/>
          <w:color w:val="auto"/>
          <w:highlight w:val="none"/>
        </w:rPr>
        <w:t>25. 合同的签订</w:t>
      </w:r>
    </w:p>
    <w:p w14:paraId="48F7184C">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3ECB3AD">
      <w:pPr>
        <w:pStyle w:val="18"/>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1AD3718">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071D9640">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14:paraId="4A8BA967">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78386DA6">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14:paraId="3E153C63">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9D1D903">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4BCCBEAB">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8F31FFC">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E0BDE3D">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14:paraId="64E5CDCB">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231B89D0">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76BABE64">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725E4034">
      <w:pPr>
        <w:pStyle w:val="18"/>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0949193A">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14:paraId="79945515">
      <w:pPr>
        <w:pStyle w:val="16"/>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15"/>
          <w:rFonts w:ascii="宋体" w:hAnsi="宋体" w:eastAsia="宋体" w:cs="Times New Roman"/>
          <w:snapToGrid/>
          <w:color w:val="auto"/>
          <w:sz w:val="24"/>
          <w:szCs w:val="20"/>
          <w:highlight w:val="none"/>
        </w:rPr>
        <w:t>https://jinrong.gcy.zfcg.gxzf.gov.cn/finance/loan/gx</w:t>
      </w:r>
      <w:r>
        <w:rPr>
          <w:rStyle w:val="15"/>
          <w:rFonts w:ascii="宋体" w:hAnsi="宋体" w:eastAsia="宋体" w:cs="Times New Roman"/>
          <w:snapToGrid/>
          <w:color w:val="auto"/>
          <w:sz w:val="24"/>
          <w:szCs w:val="20"/>
          <w:highlight w:val="none"/>
        </w:rPr>
        <w:fldChar w:fldCharType="end"/>
      </w:r>
      <w:r>
        <w:rPr>
          <w:rFonts w:hint="eastAsia"/>
          <w:color w:val="auto"/>
          <w:highlight w:val="none"/>
        </w:rPr>
        <w:t>）</w:t>
      </w:r>
    </w:p>
    <w:p w14:paraId="36E3CCD9">
      <w:pPr>
        <w:pStyle w:val="16"/>
        <w:rPr>
          <w:color w:val="auto"/>
          <w:highlight w:val="none"/>
        </w:rPr>
      </w:pPr>
      <w:r>
        <w:rPr>
          <w:rFonts w:hint="eastAsia"/>
          <w:color w:val="auto"/>
          <w:highlight w:val="none"/>
        </w:rPr>
        <w:t>2.合作银行咨询办理</w:t>
      </w:r>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684D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29D16B6">
            <w:pPr>
              <w:pStyle w:val="16"/>
              <w:ind w:firstLine="0"/>
              <w:jc w:val="center"/>
              <w:rPr>
                <w:color w:val="auto"/>
                <w:highlight w:val="none"/>
              </w:rPr>
            </w:pPr>
            <w:r>
              <w:rPr>
                <w:rFonts w:hint="eastAsia"/>
                <w:color w:val="auto"/>
                <w:highlight w:val="none"/>
              </w:rPr>
              <w:t>银行名称</w:t>
            </w:r>
          </w:p>
        </w:tc>
        <w:tc>
          <w:tcPr>
            <w:tcW w:w="1134" w:type="dxa"/>
            <w:vAlign w:val="center"/>
          </w:tcPr>
          <w:p w14:paraId="72A610DE">
            <w:pPr>
              <w:pStyle w:val="16"/>
              <w:ind w:firstLine="0"/>
              <w:jc w:val="center"/>
              <w:rPr>
                <w:color w:val="auto"/>
                <w:highlight w:val="none"/>
              </w:rPr>
            </w:pPr>
            <w:r>
              <w:rPr>
                <w:rFonts w:hint="eastAsia"/>
                <w:color w:val="auto"/>
                <w:highlight w:val="none"/>
              </w:rPr>
              <w:t>联系电话</w:t>
            </w:r>
          </w:p>
        </w:tc>
        <w:tc>
          <w:tcPr>
            <w:tcW w:w="1701" w:type="dxa"/>
            <w:vAlign w:val="center"/>
          </w:tcPr>
          <w:p w14:paraId="44638BDD">
            <w:pPr>
              <w:pStyle w:val="16"/>
              <w:ind w:firstLine="0"/>
              <w:jc w:val="center"/>
              <w:rPr>
                <w:color w:val="auto"/>
                <w:highlight w:val="none"/>
              </w:rPr>
            </w:pPr>
            <w:r>
              <w:rPr>
                <w:rFonts w:hint="eastAsia"/>
                <w:color w:val="auto"/>
                <w:highlight w:val="none"/>
              </w:rPr>
              <w:t>最高授信金额</w:t>
            </w:r>
          </w:p>
        </w:tc>
        <w:tc>
          <w:tcPr>
            <w:tcW w:w="993" w:type="dxa"/>
            <w:vAlign w:val="center"/>
          </w:tcPr>
          <w:p w14:paraId="2E626C53">
            <w:pPr>
              <w:pStyle w:val="16"/>
              <w:ind w:firstLine="0"/>
              <w:jc w:val="center"/>
              <w:rPr>
                <w:color w:val="auto"/>
                <w:highlight w:val="none"/>
              </w:rPr>
            </w:pPr>
            <w:r>
              <w:rPr>
                <w:rFonts w:hint="eastAsia"/>
                <w:color w:val="auto"/>
                <w:highlight w:val="none"/>
              </w:rPr>
              <w:t>最长授信期限</w:t>
            </w:r>
          </w:p>
        </w:tc>
        <w:tc>
          <w:tcPr>
            <w:tcW w:w="850" w:type="dxa"/>
            <w:vAlign w:val="center"/>
          </w:tcPr>
          <w:p w14:paraId="5CAEE466">
            <w:pPr>
              <w:pStyle w:val="16"/>
              <w:ind w:firstLine="0"/>
              <w:jc w:val="center"/>
              <w:rPr>
                <w:color w:val="auto"/>
                <w:highlight w:val="none"/>
              </w:rPr>
            </w:pPr>
            <w:r>
              <w:rPr>
                <w:rFonts w:hint="eastAsia"/>
                <w:color w:val="auto"/>
                <w:highlight w:val="none"/>
              </w:rPr>
              <w:t>最低利率</w:t>
            </w:r>
          </w:p>
        </w:tc>
        <w:tc>
          <w:tcPr>
            <w:tcW w:w="3366" w:type="dxa"/>
            <w:vAlign w:val="center"/>
          </w:tcPr>
          <w:p w14:paraId="32317216">
            <w:pPr>
              <w:pStyle w:val="16"/>
              <w:ind w:firstLine="0"/>
              <w:jc w:val="center"/>
              <w:rPr>
                <w:color w:val="auto"/>
                <w:highlight w:val="none"/>
              </w:rPr>
            </w:pPr>
            <w:r>
              <w:rPr>
                <w:rFonts w:hint="eastAsia"/>
                <w:color w:val="auto"/>
                <w:highlight w:val="none"/>
              </w:rPr>
              <w:t>流程简介</w:t>
            </w:r>
          </w:p>
        </w:tc>
      </w:tr>
      <w:tr w14:paraId="2C83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A5B0138">
            <w:pPr>
              <w:pStyle w:val="16"/>
              <w:ind w:firstLine="0"/>
              <w:jc w:val="center"/>
              <w:rPr>
                <w:color w:val="auto"/>
                <w:highlight w:val="none"/>
              </w:rPr>
            </w:pPr>
            <w:r>
              <w:rPr>
                <w:rFonts w:hint="eastAsia"/>
                <w:color w:val="auto"/>
                <w:highlight w:val="none"/>
              </w:rPr>
              <w:t>建设银行</w:t>
            </w:r>
          </w:p>
        </w:tc>
        <w:tc>
          <w:tcPr>
            <w:tcW w:w="1134" w:type="dxa"/>
            <w:vAlign w:val="center"/>
          </w:tcPr>
          <w:p w14:paraId="30F1F214">
            <w:pPr>
              <w:pStyle w:val="16"/>
              <w:ind w:firstLine="0"/>
              <w:jc w:val="center"/>
              <w:rPr>
                <w:color w:val="auto"/>
                <w:highlight w:val="none"/>
              </w:rPr>
            </w:pPr>
            <w:r>
              <w:rPr>
                <w:rFonts w:hint="eastAsia"/>
                <w:color w:val="auto"/>
                <w:highlight w:val="none"/>
              </w:rPr>
              <w:t>13077729988</w:t>
            </w:r>
          </w:p>
        </w:tc>
        <w:tc>
          <w:tcPr>
            <w:tcW w:w="1701" w:type="dxa"/>
            <w:vAlign w:val="center"/>
          </w:tcPr>
          <w:p w14:paraId="79ECBECF">
            <w:pPr>
              <w:pStyle w:val="16"/>
              <w:ind w:firstLine="0"/>
              <w:rPr>
                <w:color w:val="auto"/>
                <w:highlight w:val="none"/>
              </w:rPr>
            </w:pPr>
            <w:r>
              <w:rPr>
                <w:rFonts w:hint="eastAsia"/>
                <w:color w:val="auto"/>
                <w:highlight w:val="none"/>
              </w:rPr>
              <w:t>最高3千万</w:t>
            </w:r>
          </w:p>
        </w:tc>
        <w:tc>
          <w:tcPr>
            <w:tcW w:w="993" w:type="dxa"/>
            <w:vAlign w:val="center"/>
          </w:tcPr>
          <w:p w14:paraId="3CF4BA70">
            <w:pPr>
              <w:pStyle w:val="16"/>
              <w:ind w:firstLine="0"/>
              <w:jc w:val="center"/>
              <w:rPr>
                <w:color w:val="auto"/>
                <w:highlight w:val="none"/>
              </w:rPr>
            </w:pPr>
            <w:r>
              <w:rPr>
                <w:rFonts w:hint="eastAsia"/>
                <w:color w:val="auto"/>
                <w:highlight w:val="none"/>
              </w:rPr>
              <w:t>1年</w:t>
            </w:r>
          </w:p>
        </w:tc>
        <w:tc>
          <w:tcPr>
            <w:tcW w:w="850" w:type="dxa"/>
            <w:vAlign w:val="center"/>
          </w:tcPr>
          <w:p w14:paraId="696886A9">
            <w:pPr>
              <w:pStyle w:val="16"/>
              <w:ind w:firstLine="0"/>
              <w:jc w:val="center"/>
              <w:rPr>
                <w:color w:val="auto"/>
                <w:highlight w:val="none"/>
              </w:rPr>
            </w:pPr>
            <w:r>
              <w:rPr>
                <w:rFonts w:hint="eastAsia"/>
                <w:color w:val="auto"/>
                <w:highlight w:val="none"/>
              </w:rPr>
              <w:t>4%</w:t>
            </w:r>
          </w:p>
        </w:tc>
        <w:tc>
          <w:tcPr>
            <w:tcW w:w="3366" w:type="dxa"/>
            <w:vAlign w:val="center"/>
          </w:tcPr>
          <w:p w14:paraId="4E1C5409">
            <w:pPr>
              <w:pStyle w:val="16"/>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30B8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5DDD66F">
            <w:pPr>
              <w:pStyle w:val="16"/>
              <w:ind w:firstLine="0"/>
              <w:jc w:val="center"/>
              <w:rPr>
                <w:color w:val="auto"/>
                <w:highlight w:val="none"/>
              </w:rPr>
            </w:pPr>
            <w:r>
              <w:rPr>
                <w:rFonts w:hint="eastAsia"/>
                <w:color w:val="auto"/>
                <w:highlight w:val="none"/>
              </w:rPr>
              <w:t>中国银行</w:t>
            </w:r>
          </w:p>
        </w:tc>
        <w:tc>
          <w:tcPr>
            <w:tcW w:w="1134" w:type="dxa"/>
            <w:vAlign w:val="center"/>
          </w:tcPr>
          <w:p w14:paraId="46FECAB7">
            <w:pPr>
              <w:pStyle w:val="16"/>
              <w:ind w:firstLine="0"/>
              <w:jc w:val="center"/>
              <w:rPr>
                <w:color w:val="auto"/>
                <w:highlight w:val="none"/>
              </w:rPr>
            </w:pPr>
            <w:r>
              <w:rPr>
                <w:rFonts w:hint="eastAsia"/>
                <w:color w:val="auto"/>
                <w:highlight w:val="none"/>
              </w:rPr>
              <w:t>0779-3997084</w:t>
            </w:r>
          </w:p>
        </w:tc>
        <w:tc>
          <w:tcPr>
            <w:tcW w:w="1701" w:type="dxa"/>
            <w:vAlign w:val="center"/>
          </w:tcPr>
          <w:p w14:paraId="25A4280C">
            <w:pPr>
              <w:pStyle w:val="16"/>
              <w:ind w:firstLine="0"/>
              <w:rPr>
                <w:color w:val="auto"/>
                <w:highlight w:val="none"/>
              </w:rPr>
            </w:pPr>
            <w:r>
              <w:rPr>
                <w:rFonts w:hint="eastAsia"/>
                <w:color w:val="auto"/>
                <w:highlight w:val="none"/>
              </w:rPr>
              <w:t>最高1千万</w:t>
            </w:r>
          </w:p>
        </w:tc>
        <w:tc>
          <w:tcPr>
            <w:tcW w:w="993" w:type="dxa"/>
            <w:vAlign w:val="center"/>
          </w:tcPr>
          <w:p w14:paraId="55E47193">
            <w:pPr>
              <w:pStyle w:val="16"/>
              <w:ind w:firstLine="0"/>
              <w:jc w:val="center"/>
              <w:rPr>
                <w:color w:val="auto"/>
                <w:highlight w:val="none"/>
              </w:rPr>
            </w:pPr>
            <w:r>
              <w:rPr>
                <w:rFonts w:hint="eastAsia"/>
                <w:color w:val="auto"/>
                <w:highlight w:val="none"/>
              </w:rPr>
              <w:t>3年</w:t>
            </w:r>
          </w:p>
        </w:tc>
        <w:tc>
          <w:tcPr>
            <w:tcW w:w="850" w:type="dxa"/>
            <w:vAlign w:val="center"/>
          </w:tcPr>
          <w:p w14:paraId="705C4391">
            <w:pPr>
              <w:pStyle w:val="16"/>
              <w:ind w:firstLine="0"/>
              <w:jc w:val="center"/>
              <w:rPr>
                <w:color w:val="auto"/>
                <w:highlight w:val="none"/>
              </w:rPr>
            </w:pPr>
            <w:r>
              <w:rPr>
                <w:rFonts w:hint="eastAsia"/>
                <w:color w:val="auto"/>
                <w:highlight w:val="none"/>
              </w:rPr>
              <w:t>1.93%</w:t>
            </w:r>
          </w:p>
        </w:tc>
        <w:tc>
          <w:tcPr>
            <w:tcW w:w="3366" w:type="dxa"/>
            <w:vAlign w:val="center"/>
          </w:tcPr>
          <w:p w14:paraId="5EE405D0">
            <w:pPr>
              <w:pStyle w:val="16"/>
              <w:ind w:firstLine="0"/>
              <w:rPr>
                <w:color w:val="auto"/>
                <w:highlight w:val="none"/>
              </w:rPr>
            </w:pPr>
            <w:r>
              <w:rPr>
                <w:rFonts w:hint="eastAsia"/>
                <w:color w:val="auto"/>
                <w:highlight w:val="none"/>
              </w:rPr>
              <w:t>在银行开户，线上申请，上传所需材料，等待审批，审批通过后可直接在手机银行提款。</w:t>
            </w:r>
          </w:p>
        </w:tc>
      </w:tr>
      <w:tr w14:paraId="6D6D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8E3A1DC">
            <w:pPr>
              <w:pStyle w:val="16"/>
              <w:ind w:firstLine="0"/>
              <w:jc w:val="center"/>
              <w:rPr>
                <w:color w:val="auto"/>
                <w:highlight w:val="none"/>
              </w:rPr>
            </w:pPr>
            <w:r>
              <w:rPr>
                <w:rFonts w:hint="eastAsia"/>
                <w:color w:val="auto"/>
                <w:highlight w:val="none"/>
              </w:rPr>
              <w:t>兴业银行</w:t>
            </w:r>
          </w:p>
        </w:tc>
        <w:tc>
          <w:tcPr>
            <w:tcW w:w="1134" w:type="dxa"/>
            <w:vAlign w:val="center"/>
          </w:tcPr>
          <w:p w14:paraId="0CE29F3F">
            <w:pPr>
              <w:pStyle w:val="16"/>
              <w:ind w:firstLine="0"/>
              <w:jc w:val="center"/>
              <w:rPr>
                <w:color w:val="auto"/>
                <w:highlight w:val="none"/>
              </w:rPr>
            </w:pPr>
            <w:r>
              <w:rPr>
                <w:rFonts w:hint="eastAsia"/>
                <w:color w:val="auto"/>
                <w:highlight w:val="none"/>
              </w:rPr>
              <w:t>0779-3158330</w:t>
            </w:r>
          </w:p>
        </w:tc>
        <w:tc>
          <w:tcPr>
            <w:tcW w:w="1701" w:type="dxa"/>
            <w:vAlign w:val="center"/>
          </w:tcPr>
          <w:p w14:paraId="31F4FB9F">
            <w:pPr>
              <w:pStyle w:val="16"/>
              <w:ind w:firstLine="0"/>
              <w:rPr>
                <w:color w:val="auto"/>
                <w:highlight w:val="none"/>
              </w:rPr>
            </w:pPr>
            <w:r>
              <w:rPr>
                <w:rFonts w:hint="eastAsia"/>
                <w:color w:val="auto"/>
                <w:highlight w:val="none"/>
              </w:rPr>
              <w:t>最高1千万（单笔提款金额达合同金额70%）</w:t>
            </w:r>
          </w:p>
        </w:tc>
        <w:tc>
          <w:tcPr>
            <w:tcW w:w="993" w:type="dxa"/>
            <w:vAlign w:val="center"/>
          </w:tcPr>
          <w:p w14:paraId="287C750D">
            <w:pPr>
              <w:pStyle w:val="16"/>
              <w:ind w:firstLine="0"/>
              <w:jc w:val="center"/>
              <w:rPr>
                <w:color w:val="auto"/>
                <w:highlight w:val="none"/>
              </w:rPr>
            </w:pPr>
            <w:r>
              <w:rPr>
                <w:rFonts w:hint="eastAsia"/>
                <w:color w:val="auto"/>
                <w:highlight w:val="none"/>
              </w:rPr>
              <w:t>1年</w:t>
            </w:r>
          </w:p>
        </w:tc>
        <w:tc>
          <w:tcPr>
            <w:tcW w:w="850" w:type="dxa"/>
            <w:vAlign w:val="center"/>
          </w:tcPr>
          <w:p w14:paraId="5982ADAD">
            <w:pPr>
              <w:pStyle w:val="16"/>
              <w:ind w:firstLine="0"/>
              <w:jc w:val="center"/>
              <w:rPr>
                <w:color w:val="auto"/>
                <w:highlight w:val="none"/>
              </w:rPr>
            </w:pPr>
            <w:r>
              <w:rPr>
                <w:rFonts w:hint="eastAsia"/>
                <w:color w:val="auto"/>
                <w:highlight w:val="none"/>
              </w:rPr>
              <w:t>3.70%</w:t>
            </w:r>
          </w:p>
        </w:tc>
        <w:tc>
          <w:tcPr>
            <w:tcW w:w="3366" w:type="dxa"/>
            <w:vAlign w:val="center"/>
          </w:tcPr>
          <w:p w14:paraId="0252E496">
            <w:pPr>
              <w:pStyle w:val="16"/>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06DC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9018CCA">
            <w:pPr>
              <w:pStyle w:val="16"/>
              <w:ind w:firstLine="0"/>
              <w:jc w:val="center"/>
              <w:rPr>
                <w:color w:val="auto"/>
                <w:highlight w:val="none"/>
              </w:rPr>
            </w:pPr>
            <w:r>
              <w:rPr>
                <w:rFonts w:hint="eastAsia"/>
                <w:color w:val="auto"/>
                <w:highlight w:val="none"/>
              </w:rPr>
              <w:t>工商银行</w:t>
            </w:r>
          </w:p>
        </w:tc>
        <w:tc>
          <w:tcPr>
            <w:tcW w:w="1134" w:type="dxa"/>
            <w:vAlign w:val="center"/>
          </w:tcPr>
          <w:p w14:paraId="7260F8A7">
            <w:pPr>
              <w:pStyle w:val="16"/>
              <w:ind w:firstLine="0"/>
              <w:jc w:val="center"/>
              <w:rPr>
                <w:color w:val="auto"/>
                <w:highlight w:val="none"/>
              </w:rPr>
            </w:pPr>
            <w:r>
              <w:rPr>
                <w:rFonts w:hint="eastAsia"/>
                <w:color w:val="auto"/>
                <w:highlight w:val="none"/>
              </w:rPr>
              <w:t>0779-3050645</w:t>
            </w:r>
          </w:p>
        </w:tc>
        <w:tc>
          <w:tcPr>
            <w:tcW w:w="1701" w:type="dxa"/>
            <w:vAlign w:val="center"/>
          </w:tcPr>
          <w:p w14:paraId="6EEFA3B7">
            <w:pPr>
              <w:pStyle w:val="16"/>
              <w:ind w:firstLine="0"/>
              <w:rPr>
                <w:color w:val="auto"/>
                <w:highlight w:val="none"/>
              </w:rPr>
            </w:pPr>
            <w:r>
              <w:rPr>
                <w:rFonts w:hint="eastAsia"/>
                <w:color w:val="auto"/>
                <w:highlight w:val="none"/>
              </w:rPr>
              <w:t>最高1千万且不超过合同金额70%</w:t>
            </w:r>
          </w:p>
        </w:tc>
        <w:tc>
          <w:tcPr>
            <w:tcW w:w="993" w:type="dxa"/>
            <w:vAlign w:val="center"/>
          </w:tcPr>
          <w:p w14:paraId="2DD89777">
            <w:pPr>
              <w:pStyle w:val="16"/>
              <w:ind w:firstLine="0"/>
              <w:jc w:val="center"/>
              <w:rPr>
                <w:color w:val="auto"/>
                <w:highlight w:val="none"/>
              </w:rPr>
            </w:pPr>
            <w:r>
              <w:rPr>
                <w:rFonts w:hint="eastAsia"/>
                <w:color w:val="auto"/>
                <w:highlight w:val="none"/>
              </w:rPr>
              <w:t>货物类1年</w:t>
            </w:r>
          </w:p>
          <w:p w14:paraId="2938FAD9">
            <w:pPr>
              <w:pStyle w:val="16"/>
              <w:ind w:firstLine="0"/>
              <w:jc w:val="center"/>
              <w:rPr>
                <w:color w:val="auto"/>
                <w:highlight w:val="none"/>
              </w:rPr>
            </w:pPr>
            <w:r>
              <w:rPr>
                <w:rFonts w:hint="eastAsia"/>
                <w:color w:val="auto"/>
                <w:highlight w:val="none"/>
              </w:rPr>
              <w:t>服务类3年</w:t>
            </w:r>
          </w:p>
          <w:p w14:paraId="76482CD2">
            <w:pPr>
              <w:pStyle w:val="16"/>
              <w:ind w:firstLine="0"/>
              <w:jc w:val="center"/>
              <w:rPr>
                <w:color w:val="auto"/>
                <w:highlight w:val="none"/>
              </w:rPr>
            </w:pPr>
            <w:r>
              <w:rPr>
                <w:rFonts w:hint="eastAsia"/>
                <w:color w:val="auto"/>
                <w:highlight w:val="none"/>
              </w:rPr>
              <w:t>工程类5年</w:t>
            </w:r>
          </w:p>
        </w:tc>
        <w:tc>
          <w:tcPr>
            <w:tcW w:w="850" w:type="dxa"/>
            <w:vAlign w:val="center"/>
          </w:tcPr>
          <w:p w14:paraId="37C28377">
            <w:pPr>
              <w:pStyle w:val="16"/>
              <w:ind w:firstLine="0"/>
              <w:jc w:val="center"/>
              <w:rPr>
                <w:color w:val="auto"/>
                <w:highlight w:val="none"/>
              </w:rPr>
            </w:pPr>
            <w:r>
              <w:rPr>
                <w:rFonts w:hint="eastAsia"/>
                <w:color w:val="auto"/>
                <w:highlight w:val="none"/>
              </w:rPr>
              <w:t>3.45%</w:t>
            </w:r>
          </w:p>
        </w:tc>
        <w:tc>
          <w:tcPr>
            <w:tcW w:w="3366" w:type="dxa"/>
            <w:vAlign w:val="center"/>
          </w:tcPr>
          <w:p w14:paraId="3C355AD9">
            <w:pPr>
              <w:pStyle w:val="16"/>
              <w:ind w:firstLine="0"/>
              <w:rPr>
                <w:color w:val="auto"/>
                <w:highlight w:val="none"/>
              </w:rPr>
            </w:pPr>
            <w:r>
              <w:rPr>
                <w:rFonts w:hint="eastAsia"/>
                <w:color w:val="auto"/>
                <w:highlight w:val="none"/>
              </w:rPr>
              <w:t>为中征系统白名单企业，提供相关要求材料，内部审批后放款自主借还。</w:t>
            </w:r>
          </w:p>
        </w:tc>
      </w:tr>
      <w:tr w14:paraId="0D3C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C1A258D">
            <w:pPr>
              <w:pStyle w:val="16"/>
              <w:ind w:firstLine="0"/>
              <w:jc w:val="center"/>
              <w:rPr>
                <w:color w:val="auto"/>
                <w:highlight w:val="none"/>
              </w:rPr>
            </w:pPr>
            <w:r>
              <w:rPr>
                <w:rFonts w:hint="eastAsia"/>
                <w:color w:val="auto"/>
                <w:highlight w:val="none"/>
              </w:rPr>
              <w:t>国民村镇银行</w:t>
            </w:r>
          </w:p>
        </w:tc>
        <w:tc>
          <w:tcPr>
            <w:tcW w:w="1134" w:type="dxa"/>
            <w:vAlign w:val="center"/>
          </w:tcPr>
          <w:p w14:paraId="4445A256">
            <w:pPr>
              <w:pStyle w:val="16"/>
              <w:ind w:firstLine="0"/>
              <w:jc w:val="center"/>
              <w:rPr>
                <w:color w:val="auto"/>
                <w:highlight w:val="none"/>
              </w:rPr>
            </w:pPr>
            <w:r>
              <w:rPr>
                <w:rFonts w:hint="eastAsia"/>
                <w:color w:val="auto"/>
                <w:highlight w:val="none"/>
              </w:rPr>
              <w:t>0779-2668801</w:t>
            </w:r>
          </w:p>
        </w:tc>
        <w:tc>
          <w:tcPr>
            <w:tcW w:w="1701" w:type="dxa"/>
            <w:vAlign w:val="center"/>
          </w:tcPr>
          <w:p w14:paraId="78EC92B4">
            <w:pPr>
              <w:pStyle w:val="16"/>
              <w:ind w:firstLine="0"/>
              <w:rPr>
                <w:color w:val="auto"/>
                <w:highlight w:val="none"/>
              </w:rPr>
            </w:pPr>
            <w:r>
              <w:rPr>
                <w:rFonts w:hint="eastAsia"/>
                <w:color w:val="auto"/>
                <w:highlight w:val="none"/>
              </w:rPr>
              <w:t>最高500万</w:t>
            </w:r>
          </w:p>
        </w:tc>
        <w:tc>
          <w:tcPr>
            <w:tcW w:w="993" w:type="dxa"/>
            <w:vAlign w:val="center"/>
          </w:tcPr>
          <w:p w14:paraId="770C1D6F">
            <w:pPr>
              <w:pStyle w:val="16"/>
              <w:ind w:firstLine="0"/>
              <w:jc w:val="center"/>
              <w:rPr>
                <w:color w:val="auto"/>
                <w:highlight w:val="none"/>
              </w:rPr>
            </w:pPr>
            <w:r>
              <w:rPr>
                <w:rFonts w:hint="eastAsia"/>
                <w:color w:val="auto"/>
                <w:highlight w:val="none"/>
              </w:rPr>
              <w:t>5年</w:t>
            </w:r>
          </w:p>
        </w:tc>
        <w:tc>
          <w:tcPr>
            <w:tcW w:w="850" w:type="dxa"/>
            <w:vAlign w:val="center"/>
          </w:tcPr>
          <w:p w14:paraId="432F2E7E">
            <w:pPr>
              <w:pStyle w:val="16"/>
              <w:ind w:firstLine="0"/>
              <w:jc w:val="center"/>
              <w:rPr>
                <w:color w:val="auto"/>
                <w:highlight w:val="none"/>
              </w:rPr>
            </w:pPr>
            <w:r>
              <w:rPr>
                <w:rFonts w:hint="eastAsia"/>
                <w:color w:val="auto"/>
                <w:highlight w:val="none"/>
              </w:rPr>
              <w:t>2.80%</w:t>
            </w:r>
          </w:p>
        </w:tc>
        <w:tc>
          <w:tcPr>
            <w:tcW w:w="3366" w:type="dxa"/>
            <w:vAlign w:val="center"/>
          </w:tcPr>
          <w:p w14:paraId="71D4E901">
            <w:pPr>
              <w:pStyle w:val="16"/>
              <w:ind w:firstLine="0"/>
              <w:rPr>
                <w:color w:val="auto"/>
                <w:highlight w:val="none"/>
              </w:rPr>
            </w:pPr>
            <w:r>
              <w:rPr>
                <w:rFonts w:hint="eastAsia"/>
                <w:color w:val="auto"/>
                <w:highlight w:val="none"/>
              </w:rPr>
              <w:t>银行开户，线下申请并提供材料，信用良好企业最快1天获批即可提款</w:t>
            </w:r>
          </w:p>
        </w:tc>
      </w:tr>
      <w:tr w14:paraId="3387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8FEDDB0">
            <w:pPr>
              <w:pStyle w:val="16"/>
              <w:ind w:firstLine="0"/>
              <w:jc w:val="center"/>
              <w:rPr>
                <w:color w:val="auto"/>
                <w:highlight w:val="none"/>
              </w:rPr>
            </w:pPr>
            <w:r>
              <w:rPr>
                <w:rFonts w:hint="eastAsia"/>
                <w:color w:val="auto"/>
                <w:highlight w:val="none"/>
              </w:rPr>
              <w:t>桂林银行</w:t>
            </w:r>
          </w:p>
        </w:tc>
        <w:tc>
          <w:tcPr>
            <w:tcW w:w="1134" w:type="dxa"/>
            <w:vAlign w:val="center"/>
          </w:tcPr>
          <w:p w14:paraId="5B4D35F8">
            <w:pPr>
              <w:pStyle w:val="16"/>
              <w:ind w:firstLine="0"/>
              <w:jc w:val="center"/>
              <w:rPr>
                <w:color w:val="auto"/>
                <w:highlight w:val="none"/>
              </w:rPr>
            </w:pPr>
            <w:r>
              <w:rPr>
                <w:rFonts w:hint="eastAsia"/>
                <w:color w:val="auto"/>
                <w:highlight w:val="none"/>
              </w:rPr>
              <w:t>18577993959</w:t>
            </w:r>
          </w:p>
        </w:tc>
        <w:tc>
          <w:tcPr>
            <w:tcW w:w="1701" w:type="dxa"/>
            <w:vAlign w:val="center"/>
          </w:tcPr>
          <w:p w14:paraId="4D57549E">
            <w:pPr>
              <w:pStyle w:val="16"/>
              <w:ind w:firstLine="0"/>
              <w:rPr>
                <w:color w:val="auto"/>
                <w:highlight w:val="none"/>
              </w:rPr>
            </w:pPr>
            <w:r>
              <w:rPr>
                <w:rFonts w:hint="eastAsia"/>
                <w:color w:val="auto"/>
                <w:highlight w:val="none"/>
              </w:rPr>
              <w:t>最高1千万</w:t>
            </w:r>
          </w:p>
        </w:tc>
        <w:tc>
          <w:tcPr>
            <w:tcW w:w="993" w:type="dxa"/>
            <w:vAlign w:val="center"/>
          </w:tcPr>
          <w:p w14:paraId="4CBDDF77">
            <w:pPr>
              <w:pStyle w:val="16"/>
              <w:ind w:firstLine="0"/>
              <w:jc w:val="center"/>
              <w:rPr>
                <w:color w:val="auto"/>
                <w:highlight w:val="none"/>
              </w:rPr>
            </w:pPr>
            <w:r>
              <w:rPr>
                <w:rFonts w:hint="eastAsia"/>
                <w:color w:val="auto"/>
                <w:highlight w:val="none"/>
              </w:rPr>
              <w:t>1年</w:t>
            </w:r>
          </w:p>
        </w:tc>
        <w:tc>
          <w:tcPr>
            <w:tcW w:w="850" w:type="dxa"/>
            <w:vAlign w:val="center"/>
          </w:tcPr>
          <w:p w14:paraId="3ADB3979">
            <w:pPr>
              <w:pStyle w:val="16"/>
              <w:ind w:firstLine="0"/>
              <w:jc w:val="center"/>
              <w:rPr>
                <w:color w:val="auto"/>
                <w:highlight w:val="none"/>
              </w:rPr>
            </w:pPr>
            <w:r>
              <w:rPr>
                <w:rFonts w:hint="eastAsia"/>
                <w:color w:val="auto"/>
                <w:highlight w:val="none"/>
              </w:rPr>
              <w:t>3.45%</w:t>
            </w:r>
          </w:p>
        </w:tc>
        <w:tc>
          <w:tcPr>
            <w:tcW w:w="3366" w:type="dxa"/>
            <w:vAlign w:val="center"/>
          </w:tcPr>
          <w:p w14:paraId="5D7C5C72">
            <w:pPr>
              <w:pStyle w:val="16"/>
              <w:ind w:firstLine="0"/>
              <w:rPr>
                <w:color w:val="auto"/>
                <w:highlight w:val="none"/>
              </w:rPr>
            </w:pPr>
            <w:r>
              <w:rPr>
                <w:rFonts w:hint="eastAsia"/>
                <w:color w:val="auto"/>
                <w:highlight w:val="none"/>
              </w:rPr>
              <w:t>线下申请，材料齐全最快1周内即可放款。</w:t>
            </w:r>
          </w:p>
        </w:tc>
      </w:tr>
      <w:tr w14:paraId="13B5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E44B8A7">
            <w:pPr>
              <w:pStyle w:val="16"/>
              <w:ind w:firstLine="0"/>
              <w:jc w:val="center"/>
              <w:rPr>
                <w:color w:val="auto"/>
                <w:highlight w:val="none"/>
              </w:rPr>
            </w:pPr>
            <w:r>
              <w:rPr>
                <w:rFonts w:hint="eastAsia"/>
                <w:color w:val="auto"/>
                <w:highlight w:val="none"/>
              </w:rPr>
              <w:t>中小微商务服务公司</w:t>
            </w:r>
          </w:p>
        </w:tc>
        <w:tc>
          <w:tcPr>
            <w:tcW w:w="1134" w:type="dxa"/>
            <w:vAlign w:val="center"/>
          </w:tcPr>
          <w:p w14:paraId="503598DA">
            <w:pPr>
              <w:pStyle w:val="16"/>
              <w:ind w:firstLine="0"/>
              <w:jc w:val="center"/>
              <w:rPr>
                <w:color w:val="auto"/>
                <w:highlight w:val="none"/>
              </w:rPr>
            </w:pPr>
            <w:r>
              <w:rPr>
                <w:rFonts w:hint="eastAsia"/>
                <w:color w:val="auto"/>
                <w:highlight w:val="none"/>
              </w:rPr>
              <w:t>19907799988</w:t>
            </w:r>
          </w:p>
        </w:tc>
        <w:tc>
          <w:tcPr>
            <w:tcW w:w="1701" w:type="dxa"/>
            <w:vAlign w:val="center"/>
          </w:tcPr>
          <w:p w14:paraId="66F7F273">
            <w:pPr>
              <w:pStyle w:val="16"/>
              <w:ind w:firstLine="0"/>
              <w:rPr>
                <w:color w:val="auto"/>
                <w:highlight w:val="none"/>
              </w:rPr>
            </w:pPr>
          </w:p>
        </w:tc>
        <w:tc>
          <w:tcPr>
            <w:tcW w:w="993" w:type="dxa"/>
            <w:vAlign w:val="center"/>
          </w:tcPr>
          <w:p w14:paraId="36B06D60">
            <w:pPr>
              <w:pStyle w:val="16"/>
              <w:ind w:firstLine="0"/>
              <w:jc w:val="center"/>
              <w:rPr>
                <w:color w:val="auto"/>
                <w:highlight w:val="none"/>
              </w:rPr>
            </w:pPr>
          </w:p>
        </w:tc>
        <w:tc>
          <w:tcPr>
            <w:tcW w:w="850" w:type="dxa"/>
            <w:vAlign w:val="center"/>
          </w:tcPr>
          <w:p w14:paraId="51DBC27B">
            <w:pPr>
              <w:pStyle w:val="16"/>
              <w:ind w:firstLine="0"/>
              <w:jc w:val="center"/>
              <w:rPr>
                <w:color w:val="auto"/>
                <w:highlight w:val="none"/>
              </w:rPr>
            </w:pPr>
          </w:p>
        </w:tc>
        <w:tc>
          <w:tcPr>
            <w:tcW w:w="3366" w:type="dxa"/>
            <w:vAlign w:val="center"/>
          </w:tcPr>
          <w:p w14:paraId="777C920B">
            <w:pPr>
              <w:pStyle w:val="16"/>
              <w:ind w:firstLine="0"/>
              <w:rPr>
                <w:color w:val="auto"/>
                <w:highlight w:val="none"/>
              </w:rPr>
            </w:pPr>
            <w:r>
              <w:rPr>
                <w:rFonts w:hint="eastAsia"/>
                <w:color w:val="auto"/>
                <w:highlight w:val="none"/>
              </w:rPr>
              <w:t>具体业务可电话咨询。</w:t>
            </w:r>
          </w:p>
        </w:tc>
      </w:tr>
    </w:tbl>
    <w:p w14:paraId="2B325BA2">
      <w:pPr>
        <w:pStyle w:val="16"/>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3BD57BBA">
      <w:pPr>
        <w:pStyle w:val="6"/>
        <w:spacing w:after="120" w:line="360" w:lineRule="auto"/>
        <w:ind w:firstLine="482"/>
        <w:rPr>
          <w:rFonts w:cs="宋体"/>
          <w:b/>
          <w:color w:val="auto"/>
          <w:highlight w:val="none"/>
        </w:rPr>
      </w:pPr>
      <w:r>
        <w:rPr>
          <w:rFonts w:hint="eastAsia" w:cs="宋体"/>
          <w:b/>
          <w:color w:val="auto"/>
          <w:highlight w:val="none"/>
        </w:rPr>
        <w:t>26. 履约保证金：</w:t>
      </w:r>
      <w:bookmarkStart w:id="76" w:name="OLE_LINK214"/>
      <w:bookmarkStart w:id="77" w:name="OLE_LINK215"/>
      <w:bookmarkStart w:id="78" w:name="OLE_LINK103"/>
      <w:bookmarkStart w:id="79" w:name="OLE_LINK104"/>
      <w:r>
        <w:rPr>
          <w:rFonts w:hint="eastAsia" w:cs="宋体"/>
          <w:b/>
          <w:color w:val="auto"/>
          <w:highlight w:val="none"/>
        </w:rPr>
        <w:t>本项目不收取履约保证金。中标供应商未按合同约定履行合同义务，给采购人造成损失的，按实际损失进行赔偿。</w:t>
      </w:r>
      <w:bookmarkEnd w:id="76"/>
      <w:bookmarkEnd w:id="77"/>
      <w:bookmarkEnd w:id="78"/>
      <w:bookmarkEnd w:id="79"/>
    </w:p>
    <w:p w14:paraId="70C9EE8E">
      <w:pPr>
        <w:pStyle w:val="6"/>
        <w:spacing w:line="360" w:lineRule="auto"/>
        <w:ind w:left="315" w:leftChars="150" w:firstLine="120" w:firstLineChars="50"/>
        <w:rPr>
          <w:rFonts w:cs="宋体"/>
          <w:b/>
          <w:color w:val="auto"/>
          <w:highlight w:val="none"/>
        </w:rPr>
      </w:pPr>
      <w:r>
        <w:rPr>
          <w:rFonts w:cs="宋体"/>
          <w:b/>
          <w:color w:val="auto"/>
          <w:highlight w:val="none"/>
        </w:rPr>
        <w:t>27.预付款</w:t>
      </w:r>
    </w:p>
    <w:p w14:paraId="34E91444">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B18FD63">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B176F1E">
      <w:pPr>
        <w:snapToGrid w:val="0"/>
        <w:spacing w:line="460" w:lineRule="exact"/>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618B2394">
      <w:pPr>
        <w:pStyle w:val="18"/>
        <w:snapToGrid w:val="0"/>
        <w:spacing w:before="0" w:line="460" w:lineRule="exact"/>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F8E937B">
      <w:pPr>
        <w:pStyle w:val="1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7BBE3841">
      <w:pPr>
        <w:pStyle w:val="1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0B12886F">
      <w:pPr>
        <w:pStyle w:val="1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294EB938">
      <w:pPr>
        <w:pStyle w:val="1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2BFDFE9F">
      <w:pPr>
        <w:pStyle w:val="1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4A420339">
      <w:pPr>
        <w:pStyle w:val="18"/>
        <w:snapToGrid w:val="0"/>
        <w:spacing w:before="0" w:line="460" w:lineRule="exact"/>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6B96FF8">
      <w:pPr>
        <w:snapToGrid w:val="0"/>
        <w:spacing w:line="460" w:lineRule="exact"/>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37520ED1">
      <w:pPr>
        <w:pStyle w:val="6"/>
        <w:spacing w:line="460" w:lineRule="exact"/>
        <w:ind w:firstLine="0" w:firstLineChars="0"/>
        <w:rPr>
          <w:rFonts w:cs="宋体"/>
          <w:b/>
          <w:color w:val="auto"/>
          <w:highlight w:val="none"/>
        </w:rPr>
      </w:pPr>
      <w:r>
        <w:rPr>
          <w:rFonts w:hint="eastAsia" w:cs="宋体"/>
          <w:b/>
          <w:color w:val="auto"/>
          <w:highlight w:val="none"/>
        </w:rPr>
        <w:t>30.验收</w:t>
      </w:r>
    </w:p>
    <w:p w14:paraId="5656EDE0">
      <w:pPr>
        <w:tabs>
          <w:tab w:val="left" w:pos="0"/>
        </w:tabs>
        <w:spacing w:line="46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4A1F044">
      <w:pPr>
        <w:tabs>
          <w:tab w:val="left" w:pos="0"/>
        </w:tabs>
        <w:spacing w:line="46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7CD73A74">
      <w:pPr>
        <w:tabs>
          <w:tab w:val="left" w:pos="0"/>
        </w:tabs>
        <w:spacing w:line="46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DED26DF">
      <w:pPr>
        <w:tabs>
          <w:tab w:val="left" w:pos="0"/>
        </w:tabs>
        <w:spacing w:line="460" w:lineRule="exact"/>
        <w:ind w:firstLine="480"/>
        <w:rPr>
          <w:rFonts w:ascii="宋体" w:hAnsi="宋体" w:cs="宋体"/>
          <w:color w:val="auto"/>
          <w:sz w:val="18"/>
          <w:szCs w:val="18"/>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75"/>
      <w:bookmarkStart w:id="80" w:name="_Hlt74729768"/>
      <w:bookmarkEnd w:id="80"/>
      <w:bookmarkStart w:id="81" w:name="_Hlt74714665"/>
      <w:bookmarkEnd w:id="81"/>
      <w:bookmarkStart w:id="82" w:name="_Hlt75236011"/>
      <w:bookmarkEnd w:id="82"/>
      <w:bookmarkStart w:id="83" w:name="_Hlt68073093"/>
      <w:bookmarkEnd w:id="83"/>
      <w:bookmarkStart w:id="84" w:name="_Hlt75236101"/>
      <w:bookmarkEnd w:id="84"/>
      <w:bookmarkStart w:id="85" w:name="_Hlt74707468"/>
      <w:bookmarkEnd w:id="85"/>
      <w:bookmarkStart w:id="86" w:name="_Hlt75236290"/>
      <w:bookmarkEnd w:id="86"/>
      <w:bookmarkStart w:id="87" w:name="_Hlt68072990"/>
      <w:bookmarkEnd w:id="87"/>
      <w:bookmarkStart w:id="88" w:name="_Hlt74730295"/>
      <w:bookmarkEnd w:id="88"/>
      <w:bookmarkStart w:id="89" w:name="_Hlt68057669"/>
      <w:bookmarkEnd w:id="89"/>
      <w:bookmarkStart w:id="90" w:name="_Hlt68403820"/>
      <w:bookmarkEnd w:id="90"/>
      <w:bookmarkStart w:id="91" w:name="_Hlt68072998"/>
      <w:bookmarkEnd w:id="91"/>
    </w:p>
    <w:p w14:paraId="3AC9D711">
      <w:pPr>
        <w:snapToGrid w:val="0"/>
        <w:spacing w:line="460" w:lineRule="exact"/>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14:paraId="2678831D">
      <w:pPr>
        <w:pStyle w:val="6"/>
        <w:spacing w:line="460" w:lineRule="exact"/>
        <w:ind w:firstLine="0" w:firstLineChars="0"/>
        <w:rPr>
          <w:rFonts w:cs="宋体"/>
          <w:b/>
          <w:color w:val="auto"/>
          <w:highlight w:val="none"/>
        </w:rPr>
      </w:pPr>
      <w:r>
        <w:rPr>
          <w:rFonts w:hint="eastAsia" w:cs="宋体"/>
          <w:b/>
          <w:color w:val="auto"/>
          <w:highlight w:val="none"/>
        </w:rPr>
        <w:t>31.代理费用的收取标准和方式</w:t>
      </w:r>
    </w:p>
    <w:bookmarkEnd w:id="61"/>
    <w:bookmarkEnd w:id="62"/>
    <w:p w14:paraId="426120B2">
      <w:pPr>
        <w:pStyle w:val="16"/>
        <w:ind w:firstLine="480" w:firstLineChars="200"/>
        <w:rPr>
          <w:rFonts w:cs="宋体"/>
          <w:color w:val="auto"/>
          <w:kern w:val="2"/>
          <w:szCs w:val="24"/>
          <w:highlight w:val="none"/>
        </w:rPr>
      </w:pPr>
      <w:bookmarkStart w:id="92" w:name="_Toc176343850"/>
      <w:bookmarkStart w:id="93" w:name="_Toc176185121"/>
      <w:bookmarkStart w:id="94" w:name="第四部分"/>
      <w:r>
        <w:rPr>
          <w:rFonts w:hint="eastAsia" w:cs="宋体"/>
          <w:color w:val="auto"/>
          <w:kern w:val="2"/>
          <w:szCs w:val="24"/>
          <w:highlight w:val="none"/>
        </w:rPr>
        <w:t>1.1采购代理费支付方式：</w:t>
      </w:r>
    </w:p>
    <w:p w14:paraId="267FA1A2">
      <w:pPr>
        <w:pStyle w:val="16"/>
        <w:ind w:firstLine="480" w:firstLineChars="200"/>
        <w:rPr>
          <w:rFonts w:cs="宋体"/>
          <w:color w:val="auto"/>
          <w:kern w:val="2"/>
          <w:szCs w:val="24"/>
          <w:highlight w:val="none"/>
        </w:rPr>
      </w:pPr>
      <w:r>
        <w:rPr>
          <w:rFonts w:hint="eastAsia" w:cs="宋体"/>
          <w:color w:val="auto"/>
          <w:kern w:val="2"/>
          <w:szCs w:val="24"/>
          <w:highlight w:val="none"/>
          <w:lang w:eastAsia="zh-CN"/>
        </w:rPr>
        <w:t>☑</w:t>
      </w:r>
      <w:r>
        <w:rPr>
          <w:rFonts w:hint="eastAsia" w:cs="宋体"/>
          <w:color w:val="auto"/>
          <w:kern w:val="2"/>
          <w:szCs w:val="24"/>
          <w:highlight w:val="none"/>
        </w:rPr>
        <w:t>本项目代理服务费由成交供应商一次性向采购代理机构支付。</w:t>
      </w:r>
    </w:p>
    <w:p w14:paraId="1BCE8763">
      <w:pPr>
        <w:pStyle w:val="16"/>
        <w:ind w:firstLine="480" w:firstLineChars="200"/>
        <w:rPr>
          <w:rFonts w:cs="宋体"/>
          <w:color w:val="auto"/>
          <w:kern w:val="2"/>
          <w:szCs w:val="24"/>
          <w:highlight w:val="none"/>
        </w:rPr>
      </w:pPr>
      <w:r>
        <w:rPr>
          <w:rFonts w:hint="eastAsia" w:cs="宋体"/>
          <w:color w:val="auto"/>
          <w:kern w:val="2"/>
          <w:szCs w:val="24"/>
          <w:highlight w:val="none"/>
        </w:rPr>
        <w:t>□采购人支付。</w:t>
      </w:r>
    </w:p>
    <w:p w14:paraId="0C28CEEE">
      <w:pPr>
        <w:pStyle w:val="16"/>
        <w:ind w:firstLine="480" w:firstLineChars="200"/>
        <w:rPr>
          <w:rFonts w:cs="宋体"/>
          <w:color w:val="auto"/>
          <w:kern w:val="2"/>
          <w:szCs w:val="24"/>
          <w:highlight w:val="none"/>
        </w:rPr>
      </w:pPr>
      <w:r>
        <w:rPr>
          <w:rFonts w:hint="eastAsia" w:cs="宋体"/>
          <w:color w:val="auto"/>
          <w:kern w:val="2"/>
          <w:szCs w:val="24"/>
          <w:highlight w:val="none"/>
        </w:rPr>
        <w:t>1.2采购代理费收取标准：</w:t>
      </w:r>
    </w:p>
    <w:p w14:paraId="6BC632FB">
      <w:pPr>
        <w:pStyle w:val="16"/>
        <w:ind w:firstLine="480" w:firstLineChars="200"/>
        <w:rPr>
          <w:rFonts w:cs="宋体"/>
          <w:color w:val="auto"/>
          <w:kern w:val="2"/>
          <w:szCs w:val="24"/>
          <w:highlight w:val="none"/>
        </w:rPr>
      </w:pPr>
      <w:r>
        <w:rPr>
          <w:rFonts w:hint="eastAsia" w:cs="宋体"/>
          <w:color w:val="auto"/>
          <w:kern w:val="2"/>
          <w:szCs w:val="24"/>
          <w:highlight w:val="none"/>
          <w:lang w:eastAsia="zh-CN"/>
        </w:rPr>
        <w:t>☑采购代理服务费的收取。领取中标(成交)通知书前，中标(成交)供应商应向采购代理机构一次性付清代理服务费，服务费按广西住建厅发布的《广西壮族自治区工程建设其他费用定额》(桂建标[2018]37号)收费规定，以差额定率累进法计算后以六折计取，不足3000元的，按</w:t>
      </w:r>
      <w:r>
        <w:rPr>
          <w:rFonts w:hint="eastAsia" w:cs="宋体"/>
          <w:color w:val="auto"/>
          <w:kern w:val="2"/>
          <w:szCs w:val="24"/>
          <w:highlight w:val="none"/>
          <w:lang w:val="en-US" w:eastAsia="zh-CN"/>
        </w:rPr>
        <w:t>3000元</w:t>
      </w:r>
      <w:r>
        <w:rPr>
          <w:rFonts w:hint="eastAsia" w:cs="宋体"/>
          <w:color w:val="auto"/>
          <w:kern w:val="2"/>
          <w:szCs w:val="24"/>
          <w:highlight w:val="none"/>
          <w:lang w:eastAsia="zh-CN"/>
        </w:rPr>
        <w:t>计收。</w:t>
      </w:r>
    </w:p>
    <w:p w14:paraId="43CEB10A">
      <w:pPr>
        <w:pStyle w:val="16"/>
        <w:ind w:firstLine="480" w:firstLineChars="200"/>
        <w:rPr>
          <w:rFonts w:cs="宋体"/>
          <w:color w:val="auto"/>
          <w:kern w:val="2"/>
          <w:szCs w:val="24"/>
          <w:highlight w:val="none"/>
        </w:rPr>
      </w:pPr>
      <w:r>
        <w:rPr>
          <w:rFonts w:hint="eastAsia" w:cs="宋体"/>
          <w:color w:val="auto"/>
          <w:kern w:val="2"/>
          <w:szCs w:val="24"/>
          <w:highlight w:val="none"/>
        </w:rPr>
        <w:t>□固定采购代理收费。</w:t>
      </w:r>
    </w:p>
    <w:p w14:paraId="39757E6B">
      <w:pPr>
        <w:pStyle w:val="16"/>
        <w:ind w:firstLine="480" w:firstLineChars="200"/>
        <w:rPr>
          <w:rFonts w:cs="宋体"/>
          <w:color w:val="auto"/>
          <w:kern w:val="2"/>
          <w:szCs w:val="24"/>
          <w:highlight w:val="none"/>
        </w:rPr>
      </w:pPr>
      <w:r>
        <w:rPr>
          <w:rFonts w:hint="eastAsia" w:cs="宋体"/>
          <w:color w:val="auto"/>
          <w:kern w:val="2"/>
          <w:szCs w:val="24"/>
          <w:highlight w:val="none"/>
        </w:rPr>
        <w:t>1.3采购代理费收取银行账户</w:t>
      </w:r>
    </w:p>
    <w:p w14:paraId="128D7AF5">
      <w:pPr>
        <w:pStyle w:val="16"/>
        <w:ind w:firstLine="480" w:firstLineChars="200"/>
        <w:rPr>
          <w:rFonts w:cs="宋体"/>
          <w:color w:val="auto"/>
          <w:kern w:val="2"/>
          <w:szCs w:val="24"/>
          <w:highlight w:val="none"/>
        </w:rPr>
      </w:pPr>
      <w:r>
        <w:rPr>
          <w:rFonts w:hint="eastAsia" w:cs="宋体"/>
          <w:color w:val="auto"/>
          <w:kern w:val="2"/>
          <w:szCs w:val="24"/>
          <w:highlight w:val="none"/>
        </w:rPr>
        <w:t xml:space="preserve">开户名称： </w:t>
      </w:r>
      <w:r>
        <w:rPr>
          <w:rFonts w:hint="eastAsia" w:cs="宋体"/>
          <w:color w:val="auto"/>
          <w:kern w:val="2"/>
          <w:szCs w:val="24"/>
          <w:highlight w:val="none"/>
          <w:lang w:eastAsia="zh-CN"/>
        </w:rPr>
        <w:t>广西达华工程造价咨询有限责任公司</w:t>
      </w:r>
    </w:p>
    <w:p w14:paraId="6DF15B8B">
      <w:pPr>
        <w:pStyle w:val="16"/>
        <w:ind w:firstLine="480" w:firstLineChars="200"/>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eastAsia="zh-CN"/>
        </w:rPr>
        <w:t>中国建设银行北海海城支行</w:t>
      </w:r>
      <w:r>
        <w:rPr>
          <w:rFonts w:hint="eastAsia" w:cs="宋体"/>
          <w:color w:val="auto"/>
          <w:kern w:val="2"/>
          <w:szCs w:val="24"/>
          <w:highlight w:val="none"/>
        </w:rPr>
        <w:t xml:space="preserve"> </w:t>
      </w:r>
    </w:p>
    <w:p w14:paraId="50781ED7">
      <w:pPr>
        <w:pStyle w:val="16"/>
        <w:ind w:firstLine="480" w:firstLineChars="200"/>
        <w:rPr>
          <w:rFonts w:cs="宋体"/>
          <w:color w:val="auto"/>
          <w:kern w:val="2"/>
          <w:szCs w:val="24"/>
          <w:highlight w:val="none"/>
        </w:rPr>
      </w:pPr>
      <w:r>
        <w:rPr>
          <w:rFonts w:hint="eastAsia" w:cs="宋体"/>
          <w:color w:val="auto"/>
          <w:kern w:val="2"/>
          <w:szCs w:val="24"/>
          <w:highlight w:val="none"/>
        </w:rPr>
        <w:t>银行账号：</w:t>
      </w:r>
      <w:r>
        <w:rPr>
          <w:rFonts w:hint="eastAsia" w:cs="宋体"/>
          <w:color w:val="auto"/>
          <w:kern w:val="2"/>
          <w:szCs w:val="24"/>
          <w:highlight w:val="none"/>
          <w:lang w:eastAsia="zh-CN"/>
        </w:rPr>
        <w:t>4500 1655 1150 5950 5098</w:t>
      </w:r>
    </w:p>
    <w:p w14:paraId="4089DEB1">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5492559A">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第三部分  采购需求</w:t>
      </w:r>
      <w:bookmarkEnd w:id="92"/>
      <w:bookmarkEnd w:id="93"/>
    </w:p>
    <w:p w14:paraId="430866B6">
      <w:pPr>
        <w:spacing w:line="300" w:lineRule="exact"/>
        <w:rPr>
          <w:rFonts w:ascii="宋体" w:hAnsi="宋体" w:cs="宋体"/>
          <w:bCs/>
          <w:color w:val="auto"/>
          <w:sz w:val="24"/>
          <w:highlight w:val="none"/>
        </w:rPr>
      </w:pPr>
      <w:bookmarkStart w:id="95" w:name="OLE_LINK19"/>
      <w:bookmarkStart w:id="96" w:name="OLE_LINK84"/>
      <w:bookmarkStart w:id="97" w:name="_Toc9838479"/>
      <w:r>
        <w:rPr>
          <w:rFonts w:hint="eastAsia" w:ascii="宋体" w:hAnsi="宋体" w:cs="宋体"/>
          <w:bCs/>
          <w:color w:val="auto"/>
          <w:sz w:val="24"/>
          <w:highlight w:val="none"/>
        </w:rPr>
        <w:t>说明：</w:t>
      </w:r>
    </w:p>
    <w:p w14:paraId="1B1DF480">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1.下表中的品牌型号、技术参数仅起参考作用，投标人可选用其他品牌型号替代，但这些替代的产品要实质上相当于或优于参考品牌型号及其技术参数性能（配置）要求。</w:t>
      </w:r>
    </w:p>
    <w:p w14:paraId="00C2B998">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14:paraId="73DEB61C">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14:paraId="6255C4AF">
      <w:pPr>
        <w:snapToGrid w:val="0"/>
        <w:spacing w:line="300" w:lineRule="exact"/>
        <w:ind w:firstLine="480" w:firstLineChars="200"/>
        <w:rPr>
          <w:rFonts w:ascii="宋体" w:hAnsi="宋体"/>
          <w:b/>
          <w:bCs/>
          <w:color w:val="auto"/>
          <w:sz w:val="24"/>
          <w:highlight w:val="none"/>
        </w:rPr>
      </w:pPr>
      <w:bookmarkStart w:id="98" w:name="OLE_LINK80"/>
      <w:bookmarkStart w:id="99" w:name="OLE_LINK79"/>
      <w:r>
        <w:rPr>
          <w:rFonts w:hint="eastAsia" w:ascii="宋体" w:hAnsi="宋体"/>
          <w:bCs/>
          <w:color w:val="auto"/>
          <w:sz w:val="24"/>
          <w:highlight w:val="none"/>
        </w:rPr>
        <w:t>4.</w:t>
      </w:r>
      <w:r>
        <w:rPr>
          <w:rFonts w:hint="eastAsia" w:ascii="宋体" w:hAnsi="宋体" w:cs="宋体"/>
          <w:bCs/>
          <w:color w:val="auto"/>
          <w:sz w:val="24"/>
          <w:highlight w:val="none"/>
        </w:rPr>
        <w:t>采购需求一览表中标注“</w:t>
      </w:r>
      <w:r>
        <w:rPr>
          <w:rFonts w:hint="eastAsia" w:cs="宋体" w:asciiTheme="minorEastAsia" w:hAnsiTheme="minorEastAsia" w:eastAsiaTheme="minorEastAsia"/>
          <w:color w:val="auto"/>
          <w:sz w:val="24"/>
          <w:highlight w:val="none"/>
        </w:rPr>
        <w:t>▲</w:t>
      </w:r>
      <w:r>
        <w:rPr>
          <w:rFonts w:hint="eastAsia" w:ascii="宋体" w:hAnsi="宋体" w:cs="宋体"/>
          <w:bCs/>
          <w:color w:val="auto"/>
          <w:sz w:val="24"/>
          <w:highlight w:val="none"/>
        </w:rPr>
        <w:t>”详细技术参数及配备要求、商务要求必须响应满足或优于，否则</w:t>
      </w:r>
      <w:r>
        <w:rPr>
          <w:rFonts w:hint="eastAsia" w:ascii="宋体" w:hAnsi="宋体" w:cs="宋体"/>
          <w:b/>
          <w:bCs/>
          <w:color w:val="auto"/>
          <w:sz w:val="24"/>
          <w:highlight w:val="none"/>
        </w:rPr>
        <w:t>投标无效</w:t>
      </w:r>
      <w:r>
        <w:rPr>
          <w:rFonts w:hint="eastAsia" w:ascii="宋体" w:hAnsi="宋体" w:cs="宋体"/>
          <w:bCs/>
          <w:color w:val="auto"/>
          <w:sz w:val="24"/>
          <w:highlight w:val="none"/>
        </w:rPr>
        <w:t>。</w:t>
      </w:r>
    </w:p>
    <w:bookmarkEnd w:id="98"/>
    <w:bookmarkEnd w:id="99"/>
    <w:p w14:paraId="7DC6660C">
      <w:pPr>
        <w:spacing w:line="3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5.本项目的政府采购预算</w:t>
      </w:r>
      <w:r>
        <w:rPr>
          <w:rFonts w:hint="eastAsia" w:ascii="宋体" w:hAnsi="宋体" w:cs="宋体"/>
          <w:bCs/>
          <w:color w:val="auto"/>
          <w:sz w:val="24"/>
          <w:highlight w:val="none"/>
          <w:lang w:val="en-US" w:eastAsia="zh-CN"/>
        </w:rPr>
        <w:t>总金额</w:t>
      </w:r>
      <w:r>
        <w:rPr>
          <w:rFonts w:hint="eastAsia" w:ascii="宋体" w:hAnsi="宋体" w:cs="宋体"/>
          <w:bCs/>
          <w:color w:val="auto"/>
          <w:sz w:val="24"/>
          <w:highlight w:val="none"/>
        </w:rPr>
        <w:t>为（人民币）：</w:t>
      </w:r>
      <w:r>
        <w:rPr>
          <w:rFonts w:hint="eastAsia" w:ascii="宋体" w:hAnsi="宋体" w:cs="宋体"/>
          <w:color w:val="auto"/>
          <w:sz w:val="24"/>
          <w:highlight w:val="none"/>
          <w:lang w:val="en-US" w:eastAsia="zh-CN"/>
        </w:rPr>
        <w:t>2915000</w:t>
      </w:r>
      <w:r>
        <w:rPr>
          <w:rFonts w:hint="eastAsia" w:ascii="宋体" w:hAnsi="宋体" w:cs="宋体"/>
          <w:bCs/>
          <w:color w:val="auto"/>
          <w:sz w:val="24"/>
          <w:highlight w:val="none"/>
          <w:lang w:val="en-US" w:eastAsia="zh-CN"/>
        </w:rPr>
        <w:t>.00</w:t>
      </w:r>
      <w:r>
        <w:rPr>
          <w:rFonts w:hint="eastAsia" w:ascii="宋体" w:hAnsi="宋体" w:cs="宋体"/>
          <w:bCs/>
          <w:color w:val="auto"/>
          <w:sz w:val="24"/>
          <w:highlight w:val="none"/>
        </w:rPr>
        <w:t>元,</w:t>
      </w:r>
      <w:r>
        <w:rPr>
          <w:rFonts w:hint="eastAsia" w:ascii="宋体" w:hAnsi="宋体" w:cs="宋体"/>
          <w:bCs/>
          <w:color w:val="auto"/>
          <w:sz w:val="24"/>
          <w:highlight w:val="none"/>
          <w:lang w:val="en-US" w:eastAsia="zh-CN"/>
        </w:rPr>
        <w:t>（载玻片激光打码机10万元</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eastAsia="zh-CN"/>
        </w:rPr>
        <w:t>、包埋盒激光打码机</w:t>
      </w:r>
      <w:r>
        <w:rPr>
          <w:rFonts w:hint="eastAsia" w:ascii="宋体" w:hAnsi="宋体" w:cs="宋体"/>
          <w:bCs/>
          <w:color w:val="auto"/>
          <w:sz w:val="24"/>
          <w:highlight w:val="none"/>
          <w:lang w:val="en-US" w:eastAsia="zh-CN"/>
        </w:rPr>
        <w:t>10万元、血细胞分离机47万元、碘131全自动分装仪11.6万元、甲状腺功能测定仪7万元、综合电脑验光组合23万元、电脑验光仪（有角膜曲率）12.9万元、角膜地形图检查仪12万元、非接触眼压计15万元、视觉功能训练治疗软件系统- VR专业版（包括：弱视、斜视训练）18万元、高通量测序平台125万元）。</w:t>
      </w:r>
    </w:p>
    <w:p w14:paraId="24B30A3D">
      <w:pPr>
        <w:spacing w:line="300" w:lineRule="exact"/>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01分标预算金额：人民币85.6万元（载玻片激光打码机10万元</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eastAsia="zh-CN"/>
        </w:rPr>
        <w:t>、包埋盒激光打码机</w:t>
      </w:r>
      <w:r>
        <w:rPr>
          <w:rFonts w:hint="eastAsia" w:ascii="宋体" w:hAnsi="宋体" w:cs="宋体"/>
          <w:bCs/>
          <w:color w:val="auto"/>
          <w:sz w:val="24"/>
          <w:highlight w:val="none"/>
          <w:lang w:val="en-US" w:eastAsia="zh-CN"/>
        </w:rPr>
        <w:t>10万元、血细胞分离机47万元、碘131全自动分装仪11.6万元、甲状腺功能测定仪7万元）。</w:t>
      </w:r>
    </w:p>
    <w:p w14:paraId="1DA8BE02">
      <w:pPr>
        <w:spacing w:line="300" w:lineRule="exact"/>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02分标预算金额：人民币80.9万元（综合电脑验光组合23万元、电脑验光仪（有角膜曲率）12.9万元、角膜地形图检查仪12万元、非接触眼压计15万元、视觉功能训练治疗软件系统- VR专业版（包括：弱视、斜视训练）18万元）。</w:t>
      </w:r>
    </w:p>
    <w:p w14:paraId="7B8BA6C7">
      <w:pPr>
        <w:spacing w:line="3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03分标预算金额：人民币125万元</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eastAsia="zh-CN"/>
        </w:rPr>
        <w:t>。</w:t>
      </w:r>
    </w:p>
    <w:p w14:paraId="06DD9076">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投标报价超过预算</w:t>
      </w:r>
      <w:r>
        <w:rPr>
          <w:rFonts w:hint="eastAsia" w:ascii="宋体" w:hAnsi="宋体" w:cs="宋体"/>
          <w:bCs/>
          <w:color w:val="auto"/>
          <w:sz w:val="24"/>
          <w:highlight w:val="none"/>
          <w:lang w:val="en-US" w:eastAsia="zh-CN"/>
        </w:rPr>
        <w:t>金额</w:t>
      </w:r>
      <w:r>
        <w:rPr>
          <w:rFonts w:hint="eastAsia" w:ascii="宋体" w:hAnsi="宋体" w:cs="宋体"/>
          <w:bCs/>
          <w:color w:val="auto"/>
          <w:sz w:val="24"/>
          <w:highlight w:val="none"/>
        </w:rPr>
        <w:t>的投标无效。</w:t>
      </w:r>
    </w:p>
    <w:p w14:paraId="4CBA8DA6">
      <w:pPr>
        <w:spacing w:line="300" w:lineRule="exact"/>
        <w:ind w:firstLine="480" w:firstLineChars="200"/>
        <w:rPr>
          <w:rFonts w:hint="eastAsia" w:ascii="宋体" w:hAnsi="宋体" w:eastAsia="宋体" w:cs="宋体"/>
          <w:b w:val="0"/>
          <w:bCs w:val="0"/>
          <w:color w:val="auto"/>
          <w:sz w:val="24"/>
          <w:highlight w:val="yellow"/>
          <w:lang w:val="en-US" w:eastAsia="zh-CN"/>
        </w:rPr>
      </w:pPr>
      <w:r>
        <w:rPr>
          <w:rFonts w:hint="eastAsia" w:ascii="宋体" w:hAnsi="宋体" w:cs="宋体"/>
          <w:b w:val="0"/>
          <w:bCs w:val="0"/>
          <w:color w:val="auto"/>
          <w:kern w:val="0"/>
          <w:sz w:val="24"/>
          <w:highlight w:val="none"/>
          <w:u w:val="none"/>
          <w:lang w:bidi="ar"/>
        </w:rPr>
        <w:t>6.本项目核心产品：</w:t>
      </w:r>
      <w:r>
        <w:rPr>
          <w:rFonts w:hint="eastAsia" w:ascii="宋体" w:hAnsi="宋体" w:cs="宋体"/>
          <w:bCs/>
          <w:color w:val="auto"/>
          <w:sz w:val="24"/>
          <w:highlight w:val="none"/>
          <w:u w:val="none"/>
          <w:lang w:val="en-US" w:eastAsia="zh-CN"/>
        </w:rPr>
        <w:t>高通量</w:t>
      </w:r>
      <w:r>
        <w:rPr>
          <w:rFonts w:hint="eastAsia" w:ascii="宋体" w:hAnsi="宋体" w:cs="宋体"/>
          <w:bCs/>
          <w:color w:val="auto"/>
          <w:sz w:val="24"/>
          <w:highlight w:val="none"/>
          <w:lang w:val="en-US" w:eastAsia="zh-CN"/>
        </w:rPr>
        <w:t>测序平台</w:t>
      </w:r>
    </w:p>
    <w:p w14:paraId="78A84BE6">
      <w:pPr>
        <w:spacing w:line="3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7.根据《关于印发中小企业划型标准规定的通知》（工信部联企业〔2011〕300号）规定的划分标准，本项目采购所有标的对应的中小企业划分标准所属行业为：工业。</w:t>
      </w:r>
    </w:p>
    <w:p w14:paraId="4575070D">
      <w:pPr>
        <w:spacing w:line="300" w:lineRule="exact"/>
        <w:ind w:firstLine="480" w:firstLineChars="20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8.本项目需采购的</w:t>
      </w:r>
      <w:r>
        <w:rPr>
          <w:rFonts w:hint="eastAsia" w:hAnsi="宋体" w:cs="宋体"/>
          <w:color w:val="auto"/>
          <w:kern w:val="0"/>
          <w:sz w:val="24"/>
          <w:highlight w:val="none"/>
          <w:lang w:val="en-US" w:eastAsia="zh-CN"/>
        </w:rPr>
        <w:t>血细胞分离机、综合电脑验光组合为</w:t>
      </w:r>
      <w:r>
        <w:rPr>
          <w:rFonts w:hint="eastAsia" w:ascii="宋体" w:hAnsi="宋体" w:cs="宋体"/>
          <w:bCs/>
          <w:color w:val="auto"/>
          <w:sz w:val="24"/>
          <w:highlight w:val="none"/>
          <w:lang w:val="en-US" w:eastAsia="zh-CN"/>
        </w:rPr>
        <w:t>进口设备，已办理采购进口产品备案，接受进口产品投标。</w:t>
      </w:r>
    </w:p>
    <w:p w14:paraId="58C2BA84">
      <w:pPr>
        <w:spacing w:line="300" w:lineRule="exact"/>
        <w:ind w:firstLine="1205" w:firstLineChars="500"/>
        <w:rPr>
          <w:rFonts w:hint="default" w:ascii="宋体" w:hAnsi="宋体" w:cs="宋体"/>
          <w:b/>
          <w:bCs w:val="0"/>
          <w:color w:val="auto"/>
          <w:sz w:val="24"/>
          <w:highlight w:val="none"/>
          <w:lang w:val="en-US"/>
        </w:rPr>
      </w:pPr>
      <w:r>
        <w:rPr>
          <w:rFonts w:hint="eastAsia" w:ascii="宋体" w:hAnsi="宋体" w:cs="宋体"/>
          <w:b/>
          <w:bCs w:val="0"/>
          <w:color w:val="auto"/>
          <w:sz w:val="24"/>
          <w:highlight w:val="none"/>
          <w:lang w:val="en-US" w:eastAsia="zh-CN"/>
        </w:rPr>
        <w:t>载玻片激光打码机、角膜地形图检查仪等设备购置项目01分标</w:t>
      </w:r>
    </w:p>
    <w:tbl>
      <w:tblPr>
        <w:tblStyle w:val="11"/>
        <w:tblpPr w:leftFromText="180" w:rightFromText="180" w:vertAnchor="text" w:horzAnchor="page" w:tblpX="1291" w:tblpY="662"/>
        <w:tblOverlap w:val="never"/>
        <w:tblW w:w="10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55"/>
        <w:gridCol w:w="750"/>
        <w:gridCol w:w="750"/>
        <w:gridCol w:w="6522"/>
      </w:tblGrid>
      <w:tr w14:paraId="2090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dxa"/>
            <w:shd w:val="clear" w:color="auto" w:fill="auto"/>
            <w:vAlign w:val="center"/>
          </w:tcPr>
          <w:p w14:paraId="2FCF476F">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序号</w:t>
            </w:r>
          </w:p>
        </w:tc>
        <w:tc>
          <w:tcPr>
            <w:tcW w:w="1255" w:type="dxa"/>
            <w:shd w:val="clear" w:color="auto" w:fill="auto"/>
            <w:vAlign w:val="center"/>
          </w:tcPr>
          <w:p w14:paraId="0F0C1DAF">
            <w:pPr>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货物名称</w:t>
            </w:r>
          </w:p>
        </w:tc>
        <w:tc>
          <w:tcPr>
            <w:tcW w:w="750" w:type="dxa"/>
            <w:vAlign w:val="center"/>
          </w:tcPr>
          <w:p w14:paraId="463A43C0">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50" w:type="dxa"/>
            <w:vAlign w:val="center"/>
          </w:tcPr>
          <w:p w14:paraId="7C73376A">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522" w:type="dxa"/>
            <w:vAlign w:val="center"/>
          </w:tcPr>
          <w:p w14:paraId="43DA65B8">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w:t>
            </w:r>
          </w:p>
        </w:tc>
      </w:tr>
      <w:tr w14:paraId="1D60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761" w:type="dxa"/>
            <w:shd w:val="clear" w:color="auto" w:fill="auto"/>
            <w:vAlign w:val="center"/>
          </w:tcPr>
          <w:p w14:paraId="035EC5A2">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255" w:type="dxa"/>
            <w:shd w:val="clear" w:color="auto" w:fill="auto"/>
            <w:vAlign w:val="center"/>
          </w:tcPr>
          <w:p w14:paraId="615AD767">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载玻片激光打码机</w:t>
            </w:r>
          </w:p>
        </w:tc>
        <w:tc>
          <w:tcPr>
            <w:tcW w:w="750" w:type="dxa"/>
            <w:shd w:val="clear" w:color="auto" w:fill="auto"/>
            <w:vAlign w:val="center"/>
          </w:tcPr>
          <w:p w14:paraId="1035C34D">
            <w:pPr>
              <w:keepNext w:val="0"/>
              <w:keepLines w:val="0"/>
              <w:pageBreakBefore w:val="0"/>
              <w:widowControl w:val="0"/>
              <w:kinsoku/>
              <w:wordWrap w:val="0"/>
              <w:overflowPunct/>
              <w:topLinePunct w:val="0"/>
              <w:autoSpaceDE/>
              <w:autoSpaceDN/>
              <w:bidi w:val="0"/>
              <w:adjustRightInd/>
              <w:snapToGrid/>
              <w:spacing w:line="400" w:lineRule="exact"/>
              <w:ind w:left="240" w:leftChars="0" w:hanging="240" w:hangingChars="10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1</w:t>
            </w:r>
          </w:p>
        </w:tc>
        <w:tc>
          <w:tcPr>
            <w:tcW w:w="750" w:type="dxa"/>
            <w:shd w:val="clear" w:color="auto" w:fill="auto"/>
            <w:vAlign w:val="center"/>
          </w:tcPr>
          <w:p w14:paraId="5A613CE0">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台</w:t>
            </w:r>
          </w:p>
        </w:tc>
        <w:tc>
          <w:tcPr>
            <w:tcW w:w="6522" w:type="dxa"/>
            <w:shd w:val="clear" w:color="auto" w:fill="auto"/>
            <w:vAlign w:val="center"/>
          </w:tcPr>
          <w:p w14:paraId="790976A4">
            <w:pPr>
              <w:keepNext w:val="0"/>
              <w:keepLines w:val="0"/>
              <w:pageBreakBefore w:val="0"/>
              <w:widowControl w:val="0"/>
              <w:kinsoku/>
              <w:wordWrap w:val="0"/>
              <w:overflowPunct/>
              <w:topLinePunct w:val="0"/>
              <w:autoSpaceDE/>
              <w:autoSpaceDN/>
              <w:bidi w:val="0"/>
              <w:adjustRightInd/>
              <w:snapToGrid/>
              <w:spacing w:line="500" w:lineRule="exact"/>
              <w:ind w:left="0"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1、采用非接触式激光标刻技术原理实现对包埋盒打码，无需墨盒和色带，不需要打印耗材。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2、自主研发的控制系统软件，具有软件著作权证书，全中文界面，简洁实用，与现行医院所有的LIS或HIS兼容，可标识各种中西文字、字母、符号、图形及二维码等。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3、无需预热开机即可打标，标识字迹清晰精细，永不褪色和掉色；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▲4、采用低能耗冷光源激光器，4.6±0.2ns窄脉宽、激光器中心波长≤380nm、激光器重复频率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25±1kHz，输出功率＜2W。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▲5、采用侧翻、弹匣式可互换上料装置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▲6、采用弹匣式预包装玻片装料盒，100张/盒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▲7、采用弹珠式卡位、不锈钢材质可抽拔出料收集盒。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8、载玻片出料输送采用高精密丝杠传动+线性导轨支撑和精密电机驱动方式，实现打码精密定位和设备高速高效率工作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▲9、载玻片推料装置采取弹顶复位结构，推料回程推板与载玻片不接触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10、具有前侧可开闭的半透明观察窗，用快拧螺丝固定。</w:t>
            </w:r>
            <w:r>
              <w:rPr>
                <w:rFonts w:hint="eastAsia" w:ascii="宋体" w:hAnsi="宋体" w:eastAsia="宋体" w:cs="宋体"/>
                <w:color w:val="auto"/>
                <w:sz w:val="24"/>
                <w:szCs w:val="24"/>
                <w:highlight w:val="none"/>
              </w:rPr>
              <w:br w:type="textWrapping"/>
            </w:r>
            <w:r>
              <w:rPr>
                <w:rFonts w:hint="eastAsia" w:ascii="宋体" w:hAnsi="宋体" w:eastAsia="宋体" w:cs="宋体"/>
                <w:strike w:val="0"/>
                <w:dstrike w:val="0"/>
                <w:color w:val="auto"/>
                <w:sz w:val="24"/>
                <w:szCs w:val="24"/>
                <w:highlight w:val="none"/>
                <w:lang w:val="en-US" w:eastAsia="zh-CN"/>
              </w:rPr>
              <w:t>11、</w:t>
            </w:r>
            <w:r>
              <w:rPr>
                <w:rFonts w:hint="eastAsia" w:ascii="宋体" w:hAnsi="宋体" w:eastAsia="宋体" w:cs="宋体"/>
                <w:color w:val="auto"/>
                <w:sz w:val="24"/>
                <w:szCs w:val="24"/>
                <w:highlight w:val="none"/>
              </w:rPr>
              <w:t>打标速度：3秒/玻片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strike w:val="0"/>
                <w:dstrike w:val="0"/>
                <w:color w:val="auto"/>
                <w:sz w:val="24"/>
                <w:szCs w:val="24"/>
                <w:highlight w:val="none"/>
                <w:lang w:val="en-US" w:eastAsia="zh-CN"/>
              </w:rPr>
              <w:t>12、</w:t>
            </w:r>
            <w:r>
              <w:rPr>
                <w:rFonts w:hint="eastAsia" w:ascii="宋体" w:hAnsi="宋体" w:eastAsia="宋体" w:cs="宋体"/>
                <w:color w:val="auto"/>
                <w:sz w:val="24"/>
                <w:szCs w:val="24"/>
                <w:highlight w:val="none"/>
              </w:rPr>
              <w:t>耐二甲苯、酒精，经HE染色、特染或免疫组化染色后均不出现晕染现象。</w:t>
            </w:r>
            <w:r>
              <w:rPr>
                <w:rFonts w:hint="eastAsia" w:ascii="宋体" w:hAnsi="宋体" w:eastAsia="宋体" w:cs="宋体"/>
                <w:color w:val="auto"/>
                <w:sz w:val="24"/>
                <w:szCs w:val="24"/>
                <w:highlight w:val="none"/>
              </w:rPr>
              <w:br w:type="textWrapping"/>
            </w:r>
            <w:r>
              <w:rPr>
                <w:rFonts w:hint="eastAsia" w:ascii="宋体" w:hAnsi="宋体" w:eastAsia="宋体" w:cs="宋体"/>
                <w:strike w:val="0"/>
                <w:dstrike w:val="0"/>
                <w:color w:val="auto"/>
                <w:sz w:val="24"/>
                <w:szCs w:val="24"/>
                <w:highlight w:val="none"/>
                <w:lang w:val="en-US" w:eastAsia="zh-CN"/>
              </w:rPr>
              <w:t>13、</w:t>
            </w:r>
            <w:r>
              <w:rPr>
                <w:rFonts w:hint="eastAsia" w:ascii="宋体" w:hAnsi="宋体" w:eastAsia="宋体" w:cs="宋体"/>
                <w:color w:val="auto"/>
                <w:sz w:val="24"/>
                <w:szCs w:val="24"/>
                <w:highlight w:val="none"/>
              </w:rPr>
              <w:t>可打印各种油漆面玻片（带激光粉和不带激光粉玻片都可），漆面不打透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strike w:val="0"/>
                <w:dstrike w:val="0"/>
                <w:color w:val="auto"/>
                <w:sz w:val="24"/>
                <w:szCs w:val="24"/>
                <w:highlight w:val="none"/>
                <w:lang w:val="en-US" w:eastAsia="zh-CN"/>
              </w:rPr>
              <w:t>14、</w:t>
            </w:r>
            <w:r>
              <w:rPr>
                <w:rFonts w:hint="eastAsia" w:ascii="宋体" w:hAnsi="宋体" w:eastAsia="宋体" w:cs="宋体"/>
                <w:color w:val="auto"/>
                <w:sz w:val="24"/>
                <w:szCs w:val="24"/>
                <w:highlight w:val="none"/>
              </w:rPr>
              <w:t>打印清晰度高，可确保打印出的二维码能可靠扫描，激光器最小光斑值≤0.02mm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可打印出最小0.5mm*0.5mm的汉字。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可配备移动式扫描仪，实现扫包埋盒条码自动打印玻片信息。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采用化学滤料空气净化系统，去除异味和过滤灰尘，非活性碳净化装置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打标位置有可移动不锈钢防护罩，收集异味和灰尘，导入净化系统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仪器内部结构使用高密度铝合金材质。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支持一台电脑控制多个打码机，多进程同时打印功能，软件可分配不同任务给打印机。</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支持用户打印小号，可自定义将数字自动转换为字母打印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采用权限管理，用户采用账号登录，对各项功能进行权限管理，避免误操作数据删除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采用数据加密功能，防止患者个人信息泄密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多台打码机可实现数据网络共享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软件可控制打码机暂停、重启、取消、继续打印，打印工作状态实时显示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可自定义打印格式和模板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支持用户自定义病理号和小号之间的分符，支持单双小号打印和指定号打印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打码信息支持用户自定义录入并打印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支持用户字典定义和查询功能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支持与HIS、LIS、PACS等系统接口联接，实现数据共享功能；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支持自动打印功能：增加数据同时自动打印，各系统接口获得数据自动打印。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支持用户打印窗口更改打印模板、支持多种模板切换打印。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支持用户增加、修改病理号前缀。</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支持用户增加数据时，病理号自动递增功能，并自动打印功能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支持数据追溯功能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质保期≥2年，激光光源质保≥3年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配置清单</w:t>
            </w:r>
          </w:p>
          <w:tbl>
            <w:tblPr>
              <w:tblStyle w:val="12"/>
              <w:tblW w:w="5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714"/>
              <w:gridCol w:w="2004"/>
            </w:tblGrid>
            <w:tr w14:paraId="5A11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429B8047">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序号</w:t>
                  </w:r>
                </w:p>
              </w:tc>
              <w:tc>
                <w:tcPr>
                  <w:tcW w:w="2714" w:type="dxa"/>
                </w:tcPr>
                <w:p w14:paraId="17A4EBAE">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项目</w:t>
                  </w:r>
                </w:p>
              </w:tc>
              <w:tc>
                <w:tcPr>
                  <w:tcW w:w="2004" w:type="dxa"/>
                </w:tcPr>
                <w:p w14:paraId="2AB0D300">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及单位</w:t>
                  </w:r>
                </w:p>
              </w:tc>
            </w:tr>
            <w:tr w14:paraId="5AC7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DF18657">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c>
                <w:tcPr>
                  <w:tcW w:w="2714" w:type="dxa"/>
                </w:tcPr>
                <w:p w14:paraId="5AA4C0C8">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载玻片激光打码机主机</w:t>
                  </w:r>
                </w:p>
              </w:tc>
              <w:tc>
                <w:tcPr>
                  <w:tcW w:w="2004" w:type="dxa"/>
                </w:tcPr>
                <w:p w14:paraId="6EBAD527">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一台</w:t>
                  </w:r>
                </w:p>
              </w:tc>
            </w:tr>
            <w:tr w14:paraId="7D58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925C74F">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c>
                <w:tcPr>
                  <w:tcW w:w="2714" w:type="dxa"/>
                </w:tcPr>
                <w:p w14:paraId="71ECC2E0">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玻片弹匣盒</w:t>
                  </w:r>
                </w:p>
              </w:tc>
              <w:tc>
                <w:tcPr>
                  <w:tcW w:w="2004" w:type="dxa"/>
                </w:tcPr>
                <w:p w14:paraId="031854DA">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2个</w:t>
                  </w:r>
                </w:p>
              </w:tc>
            </w:tr>
            <w:tr w14:paraId="7594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B96FF42">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3</w:t>
                  </w:r>
                </w:p>
              </w:tc>
              <w:tc>
                <w:tcPr>
                  <w:tcW w:w="2714" w:type="dxa"/>
                </w:tcPr>
                <w:p w14:paraId="0AC3AE66">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玻片收集盒</w:t>
                  </w:r>
                </w:p>
              </w:tc>
              <w:tc>
                <w:tcPr>
                  <w:tcW w:w="2004" w:type="dxa"/>
                </w:tcPr>
                <w:p w14:paraId="266BDB3E">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两个</w:t>
                  </w:r>
                </w:p>
              </w:tc>
            </w:tr>
            <w:tr w14:paraId="0365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7526187E">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4</w:t>
                  </w:r>
                </w:p>
              </w:tc>
              <w:tc>
                <w:tcPr>
                  <w:tcW w:w="2714" w:type="dxa"/>
                </w:tcPr>
                <w:p w14:paraId="2FE3F858">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化学滤料净化装置</w:t>
                  </w:r>
                </w:p>
              </w:tc>
              <w:tc>
                <w:tcPr>
                  <w:tcW w:w="2004" w:type="dxa"/>
                </w:tcPr>
                <w:p w14:paraId="3AAB1A6D">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一个</w:t>
                  </w:r>
                </w:p>
              </w:tc>
            </w:tr>
            <w:tr w14:paraId="07E5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442D58E">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5</w:t>
                  </w:r>
                </w:p>
              </w:tc>
              <w:tc>
                <w:tcPr>
                  <w:tcW w:w="2714" w:type="dxa"/>
                </w:tcPr>
                <w:p w14:paraId="676F3ADF">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打码软件</w:t>
                  </w:r>
                </w:p>
              </w:tc>
              <w:tc>
                <w:tcPr>
                  <w:tcW w:w="2004" w:type="dxa"/>
                </w:tcPr>
                <w:p w14:paraId="2B65203D">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一套</w:t>
                  </w:r>
                </w:p>
              </w:tc>
            </w:tr>
            <w:tr w14:paraId="4E18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03357ED7">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6</w:t>
                  </w:r>
                </w:p>
              </w:tc>
              <w:tc>
                <w:tcPr>
                  <w:tcW w:w="2714" w:type="dxa"/>
                </w:tcPr>
                <w:p w14:paraId="42E5818E">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USB数据线</w:t>
                  </w:r>
                </w:p>
              </w:tc>
              <w:tc>
                <w:tcPr>
                  <w:tcW w:w="2004" w:type="dxa"/>
                </w:tcPr>
                <w:p w14:paraId="26090580">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一根</w:t>
                  </w:r>
                </w:p>
              </w:tc>
            </w:tr>
            <w:tr w14:paraId="77EF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46EB626">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w:t>
                  </w:r>
                </w:p>
              </w:tc>
              <w:tc>
                <w:tcPr>
                  <w:tcW w:w="2714" w:type="dxa"/>
                </w:tcPr>
                <w:p w14:paraId="0DE8BBBC">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电源线</w:t>
                  </w:r>
                </w:p>
              </w:tc>
              <w:tc>
                <w:tcPr>
                  <w:tcW w:w="2004" w:type="dxa"/>
                </w:tcPr>
                <w:p w14:paraId="1A20F537">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一根</w:t>
                  </w:r>
                </w:p>
              </w:tc>
            </w:tr>
            <w:tr w14:paraId="73A7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32C9BE25">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w:t>
                  </w:r>
                </w:p>
              </w:tc>
              <w:tc>
                <w:tcPr>
                  <w:tcW w:w="2714" w:type="dxa"/>
                </w:tcPr>
                <w:p w14:paraId="1971985A">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合格证</w:t>
                  </w:r>
                </w:p>
              </w:tc>
              <w:tc>
                <w:tcPr>
                  <w:tcW w:w="2004" w:type="dxa"/>
                </w:tcPr>
                <w:p w14:paraId="22C482E5">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一个</w:t>
                  </w:r>
                </w:p>
              </w:tc>
            </w:tr>
            <w:tr w14:paraId="0CEC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4BE7CBAB">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w:t>
                  </w:r>
                </w:p>
              </w:tc>
              <w:tc>
                <w:tcPr>
                  <w:tcW w:w="2714" w:type="dxa"/>
                </w:tcPr>
                <w:p w14:paraId="55E5EAC4">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说明书</w:t>
                  </w:r>
                </w:p>
              </w:tc>
              <w:tc>
                <w:tcPr>
                  <w:tcW w:w="2004" w:type="dxa"/>
                </w:tcPr>
                <w:p w14:paraId="0FBD47D1">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一本</w:t>
                  </w:r>
                </w:p>
              </w:tc>
            </w:tr>
          </w:tbl>
          <w:p w14:paraId="3E2F38CE">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p>
        </w:tc>
      </w:tr>
      <w:tr w14:paraId="1584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761" w:type="dxa"/>
            <w:shd w:val="clear" w:color="auto" w:fill="auto"/>
            <w:vAlign w:val="center"/>
          </w:tcPr>
          <w:p w14:paraId="2B41C6EF">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255" w:type="dxa"/>
            <w:shd w:val="clear" w:color="auto" w:fill="auto"/>
            <w:vAlign w:val="center"/>
          </w:tcPr>
          <w:p w14:paraId="3A94ADDF">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包埋盒激光打码机</w:t>
            </w:r>
          </w:p>
        </w:tc>
        <w:tc>
          <w:tcPr>
            <w:tcW w:w="750" w:type="dxa"/>
            <w:shd w:val="clear" w:color="auto" w:fill="auto"/>
            <w:vAlign w:val="center"/>
          </w:tcPr>
          <w:p w14:paraId="5D544A2E">
            <w:pPr>
              <w:keepNext w:val="0"/>
              <w:keepLines w:val="0"/>
              <w:pageBreakBefore w:val="0"/>
              <w:widowControl w:val="0"/>
              <w:kinsoku/>
              <w:wordWrap w:val="0"/>
              <w:overflowPunct/>
              <w:topLinePunct w:val="0"/>
              <w:autoSpaceDE/>
              <w:autoSpaceDN/>
              <w:bidi w:val="0"/>
              <w:adjustRightInd/>
              <w:snapToGrid/>
              <w:spacing w:line="400" w:lineRule="exact"/>
              <w:ind w:left="240" w:leftChars="0" w:hanging="240" w:hangingChars="10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1</w:t>
            </w:r>
          </w:p>
        </w:tc>
        <w:tc>
          <w:tcPr>
            <w:tcW w:w="750" w:type="dxa"/>
            <w:shd w:val="clear" w:color="auto" w:fill="auto"/>
            <w:vAlign w:val="center"/>
          </w:tcPr>
          <w:p w14:paraId="6C3D528D">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台</w:t>
            </w:r>
          </w:p>
        </w:tc>
        <w:tc>
          <w:tcPr>
            <w:tcW w:w="6522" w:type="dxa"/>
            <w:shd w:val="clear" w:color="auto" w:fill="auto"/>
            <w:vAlign w:val="center"/>
          </w:tcPr>
          <w:p w14:paraId="282DDA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rPr>
              <w:t>◆1、打印原理：采用紫外冷激光打印技术，拒绝色带、喷墨的打印方式。日常使用中无需色带或油墨耗材，开机即可用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◆2、打印效果：打印的包埋盒字符抗酸抗碱、耐二甲苯、福尔马林、酒精腐蚀，耐刮擦，保存时间大于15年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▲3、打印类型，同时可打印带盖平面展开包埋盒和不带盖包埋盒，字迹表面光洁度可达到6.0±10%微米、表面光滑、无凹凸感，永不掉色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打印分辨率≥2500dpi。</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4、扫码效果：用蜡块批量扫描仪和扫码枪1秒内识别其二维码。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▲5、激光器：激光器中心波长≤360nm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激光器重复频率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21kHz±5kHz</w:t>
            </w:r>
            <w:r>
              <w:rPr>
                <w:rFonts w:hint="eastAsia" w:ascii="宋体" w:hAnsi="宋体" w:eastAsia="宋体" w:cs="宋体"/>
                <w:strike w:val="0"/>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6、上料装置：不少于六工位自动旋转装料，可同时打印≥6种颜色的包埋盒，采用分度定位精度≤5弧分电机驱动；上料槽采用塑料或铝合金两种，均为开模成型；料管和料槽一体或分离。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7、下料装置：采用漏斗式接料方式，通过独立的C3级精密丝杆电机（应用于切片机）驱动，采用丝杆传动+线性导轨支撑传送。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8、出料收集：具有红外感应装置，呈45度角出料，满料后自动暂停，取料后自动启动打印；设备后置红外感应装置自动启停控制开关。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◆9、收集托盘：内置标配一次成型托盘，且有300个以上（含300）的唯一坐标，每个坐标对应一个包埋盒直立排放，且包埋盒之间不接触</w:t>
            </w: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rPr>
              <w:br w:type="textWrapping"/>
            </w:r>
            <w:r>
              <w:rPr>
                <w:rFonts w:hint="eastAsia" w:ascii="宋体" w:hAnsi="宋体" w:eastAsia="宋体" w:cs="宋体"/>
                <w:strike w:val="0"/>
                <w:dstrike w:val="0"/>
                <w:color w:val="auto"/>
                <w:sz w:val="24"/>
                <w:szCs w:val="24"/>
                <w:highlight w:val="none"/>
              </w:rPr>
              <w:t>10、打码速度：≤3秒/个包埋盒。</w:t>
            </w:r>
            <w:r>
              <w:rPr>
                <w:rFonts w:hint="eastAsia" w:ascii="宋体" w:hAnsi="宋体" w:eastAsia="宋体" w:cs="宋体"/>
                <w:strike w:val="0"/>
                <w:dstrike w:val="0"/>
                <w:color w:val="auto"/>
                <w:sz w:val="24"/>
                <w:szCs w:val="24"/>
                <w:highlight w:val="none"/>
              </w:rPr>
              <w:br w:type="textWrapping"/>
            </w:r>
            <w:r>
              <w:rPr>
                <w:rFonts w:hint="eastAsia" w:ascii="宋体" w:hAnsi="宋体" w:eastAsia="宋体" w:cs="宋体"/>
                <w:strike w:val="0"/>
                <w:dstrike w:val="0"/>
                <w:color w:val="auto"/>
                <w:sz w:val="24"/>
                <w:szCs w:val="24"/>
                <w:highlight w:val="none"/>
              </w:rPr>
              <w:t>▲11、物联网功能：扫码连接专业售后APP（非微信平台），随时提交售后服务、查看进度、服务评价以及产品知识库</w:t>
            </w:r>
            <w:r>
              <w:rPr>
                <w:rFonts w:hint="eastAsia" w:ascii="宋体" w:hAnsi="宋体" w:eastAsia="宋体" w:cs="宋体"/>
                <w:strike w:val="0"/>
                <w:dstrike w:val="0"/>
                <w:color w:val="auto"/>
                <w:sz w:val="24"/>
                <w:szCs w:val="24"/>
                <w:highlight w:val="none"/>
                <w:lang w:eastAsia="zh-CN"/>
              </w:rPr>
              <w:t>。</w:t>
            </w:r>
          </w:p>
        </w:tc>
      </w:tr>
      <w:tr w14:paraId="1C15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761" w:type="dxa"/>
            <w:shd w:val="clear" w:color="auto" w:fill="auto"/>
            <w:vAlign w:val="center"/>
          </w:tcPr>
          <w:p w14:paraId="2CD877BB">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255" w:type="dxa"/>
            <w:shd w:val="clear" w:color="auto" w:fill="auto"/>
            <w:vAlign w:val="center"/>
          </w:tcPr>
          <w:p w14:paraId="0A757498">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血细胞分离机</w:t>
            </w:r>
          </w:p>
        </w:tc>
        <w:tc>
          <w:tcPr>
            <w:tcW w:w="750" w:type="dxa"/>
            <w:shd w:val="clear" w:color="auto" w:fill="auto"/>
            <w:vAlign w:val="center"/>
          </w:tcPr>
          <w:p w14:paraId="54486CEE">
            <w:pPr>
              <w:keepNext w:val="0"/>
              <w:keepLines w:val="0"/>
              <w:pageBreakBefore w:val="0"/>
              <w:widowControl w:val="0"/>
              <w:kinsoku/>
              <w:wordWrap w:val="0"/>
              <w:overflowPunct/>
              <w:topLinePunct w:val="0"/>
              <w:autoSpaceDE/>
              <w:autoSpaceDN/>
              <w:bidi w:val="0"/>
              <w:adjustRightInd/>
              <w:snapToGrid/>
              <w:spacing w:line="400" w:lineRule="exact"/>
              <w:ind w:left="240" w:leftChars="0" w:hanging="240" w:hangingChars="10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1</w:t>
            </w:r>
          </w:p>
        </w:tc>
        <w:tc>
          <w:tcPr>
            <w:tcW w:w="750" w:type="dxa"/>
            <w:shd w:val="clear" w:color="auto" w:fill="auto"/>
            <w:vAlign w:val="center"/>
          </w:tcPr>
          <w:p w14:paraId="436D9FBF">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台</w:t>
            </w:r>
          </w:p>
        </w:tc>
        <w:tc>
          <w:tcPr>
            <w:tcW w:w="6522" w:type="dxa"/>
            <w:shd w:val="clear" w:color="auto" w:fill="auto"/>
            <w:vAlign w:val="center"/>
          </w:tcPr>
          <w:p w14:paraId="3BC38E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▲1、具有多种血细胞分离程序，包括：干细胞采集、白细胞采集/去除、淋巴细胞采集、红细胞采集/去除、血浆置换、血小板采集/去除、血浆吸附。</w:t>
            </w:r>
          </w:p>
          <w:p w14:paraId="658BAE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2、设备可移动，可进行床边采集。</w:t>
            </w:r>
          </w:p>
          <w:p w14:paraId="24E5E6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3、离心式血细胞分离机，工作方式：单针、双针全血连续流动式分离模式。</w:t>
            </w:r>
          </w:p>
          <w:p w14:paraId="3E898C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4、离心机转数：≤2200rpm，转数误差：±1%。</w:t>
            </w:r>
          </w:p>
          <w:p w14:paraId="11E09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5、全血流速：10-120ml/min。</w:t>
            </w:r>
          </w:p>
          <w:p w14:paraId="531889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6、体外循环量：≤180ml，最低循环血量为120ml。</w:t>
            </w:r>
          </w:p>
          <w:p w14:paraId="2C3AC3A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7、五泵系统，设有独立抗凝剂泵，能全自动计算并控制抗凝剂剂量，抗凝剂全血比例调节范围1:6～1:25。</w:t>
            </w:r>
          </w:p>
          <w:p w14:paraId="3D19D39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8、具有CCD相机和红外探测器，能有效预防细胞污染。</w:t>
            </w:r>
          </w:p>
          <w:p w14:paraId="504E03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9、大液晶显示屏，全中文操作界面。全自动人机对话操作模式，动态显示实时分离数据与帮助提示信息。</w:t>
            </w:r>
          </w:p>
          <w:p w14:paraId="3D1685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10、自动保持静脉开放功能：全自动维持入路和回路静脉开放，无须手动调节。</w:t>
            </w:r>
          </w:p>
          <w:p w14:paraId="7B380D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▲11、自动预测计算CD34＋细胞收率功能。</w:t>
            </w:r>
          </w:p>
          <w:p w14:paraId="3C9282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12、自动或者手动截取白膜层，实现红细胞混入量可控。</w:t>
            </w:r>
          </w:p>
          <w:p w14:paraId="379485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13、软件模式：程序操作及设备硬件诊断检测自动化，具有升级拓展功能。</w:t>
            </w:r>
          </w:p>
          <w:p w14:paraId="16C9DB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14、具备血浆吸附程序及有注册证的血浆吸附耗材、具备血浆吸附压力探测器。</w:t>
            </w:r>
          </w:p>
          <w:p w14:paraId="464E8D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15、采集血小板时，可使用单针、双针连续采集方式，可采集一至三份3×1011血小板，采集时间：单针模式≤60min，双针模式≤40min。</w:t>
            </w:r>
          </w:p>
          <w:p w14:paraId="03E81A1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16、采集血小板/血浆时，采集效率，平均效率≥60%，单针≥75％，白细胞含量：≤5.5X105/单位，红细胞含量：≤8.0X109/单位。</w:t>
            </w:r>
          </w:p>
          <w:p w14:paraId="5C317F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17、外周血CD34阳性细胞采集效率：≥92%，红细胞及血小板丢失水平：可调整。</w:t>
            </w:r>
          </w:p>
          <w:p w14:paraId="090CEB5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18、治疗性血浆置换时，机器自动计算去除血浆量及置换量，置换液体平衡：范围50%—150%，可选择置换液类型，机器本身自动调整抗凝剂用量，血浆置换过程中，血小板损失量＜3%。</w:t>
            </w:r>
          </w:p>
          <w:p w14:paraId="04D8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19、治疗性红细胞去除与置换时，自动计算去除或置换的红细胞量，可设定去除后的目标红细胞压积，内置红细胞压积计算器。</w:t>
            </w:r>
          </w:p>
          <w:p w14:paraId="68976E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20、去除白细胞或血小板时，可设定去除的容量与细胞数，可调节红细胞丢失水平。</w:t>
            </w:r>
          </w:p>
          <w:p w14:paraId="1441E8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▲21、使用血浆吸附程序时，可作免疫吸附治疗，可作低密度脂蛋白吸附分离去除。</w:t>
            </w:r>
          </w:p>
          <w:p w14:paraId="42DA179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22、具备空气探测器、具备细胞监测器、具备自动界面探测器、具备血浆管路溶血监测器。</w:t>
            </w:r>
          </w:p>
          <w:p w14:paraId="7A2E4A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23、具备红外精确抗凝剂滴速监测器，同时通过独立的抗凝剂泵精确控制抗凝剂入量。</w:t>
            </w:r>
          </w:p>
          <w:p w14:paraId="37621E0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24、具有离心室漏液（漏血）监测功能、具有离心室温度监测功能、具有离体血容量监测功能、具有置换液空管监测功能。</w:t>
            </w:r>
          </w:p>
          <w:p w14:paraId="1B39CF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25、整机电池：内置一体式整机电池，真正断电保护，断电时能继续运行至少15分钟，保证将体外血液安全回输给患者；恢复供电后保留原先参数并继续分离。</w:t>
            </w:r>
          </w:p>
        </w:tc>
      </w:tr>
      <w:tr w14:paraId="468E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761" w:type="dxa"/>
            <w:shd w:val="clear" w:color="auto" w:fill="auto"/>
            <w:vAlign w:val="center"/>
          </w:tcPr>
          <w:p w14:paraId="48C91F26">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w:t>
            </w:r>
          </w:p>
        </w:tc>
        <w:tc>
          <w:tcPr>
            <w:tcW w:w="1255" w:type="dxa"/>
            <w:shd w:val="clear" w:color="auto" w:fill="auto"/>
            <w:vAlign w:val="center"/>
          </w:tcPr>
          <w:p w14:paraId="4B86B54E">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碘131全自动分装仪</w:t>
            </w:r>
          </w:p>
        </w:tc>
        <w:tc>
          <w:tcPr>
            <w:tcW w:w="750" w:type="dxa"/>
            <w:shd w:val="clear" w:color="auto" w:fill="auto"/>
            <w:vAlign w:val="center"/>
          </w:tcPr>
          <w:p w14:paraId="7CEC4FC5">
            <w:pPr>
              <w:keepNext w:val="0"/>
              <w:keepLines w:val="0"/>
              <w:pageBreakBefore w:val="0"/>
              <w:widowControl w:val="0"/>
              <w:kinsoku/>
              <w:wordWrap w:val="0"/>
              <w:overflowPunct/>
              <w:topLinePunct w:val="0"/>
              <w:autoSpaceDE/>
              <w:autoSpaceDN/>
              <w:bidi w:val="0"/>
              <w:adjustRightInd/>
              <w:snapToGrid/>
              <w:spacing w:line="400" w:lineRule="exact"/>
              <w:ind w:left="240" w:leftChars="0" w:hanging="240" w:hangingChars="10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1</w:t>
            </w:r>
          </w:p>
        </w:tc>
        <w:tc>
          <w:tcPr>
            <w:tcW w:w="750" w:type="dxa"/>
            <w:shd w:val="clear" w:color="auto" w:fill="auto"/>
            <w:vAlign w:val="center"/>
          </w:tcPr>
          <w:p w14:paraId="5FA3E2E6">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台</w:t>
            </w:r>
          </w:p>
        </w:tc>
        <w:tc>
          <w:tcPr>
            <w:tcW w:w="6522" w:type="dxa"/>
            <w:shd w:val="clear" w:color="auto" w:fill="auto"/>
            <w:vAlign w:val="center"/>
          </w:tcPr>
          <w:p w14:paraId="70526B5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1、两种全自动分装方式：活度分装、体积分装。</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2、浓度稀释：自动进行注射用水稀释体积。</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3、移入量、移出量误差率：2%以内。</w:t>
            </w:r>
          </w:p>
          <w:p w14:paraId="1C350D8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4、射线防护：≥50mmPb。</w:t>
            </w:r>
          </w:p>
          <w:p w14:paraId="558549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5、放射性同位素衰变量自动计算。</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6、设备通信：与各型号活度计兼容。</w:t>
            </w:r>
          </w:p>
          <w:p w14:paraId="60CFA6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7、具备出药口患者盛药杯自动识别功能。</w:t>
            </w:r>
          </w:p>
          <w:p w14:paraId="7CD6B5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8、支持远距离隔室操作，提供全过程多路视频监控。</w:t>
            </w:r>
          </w:p>
          <w:p w14:paraId="00A0163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9、具备现场照片拍摄、录入、存档功能。</w:t>
            </w:r>
          </w:p>
          <w:p w14:paraId="1DAA68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10、配置操作电脑、打印机、PC系统工作站（数据库：录入、保存、查询、打印数据信息功能；支持HIS和LIS系统）。</w:t>
            </w:r>
          </w:p>
        </w:tc>
      </w:tr>
      <w:tr w14:paraId="0282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761" w:type="dxa"/>
            <w:shd w:val="clear" w:color="auto" w:fill="auto"/>
            <w:vAlign w:val="center"/>
          </w:tcPr>
          <w:p w14:paraId="54DDF132">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255" w:type="dxa"/>
            <w:shd w:val="clear" w:color="auto" w:fill="auto"/>
            <w:vAlign w:val="center"/>
          </w:tcPr>
          <w:p w14:paraId="2DBA3A84">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甲状腺功能测定仪</w:t>
            </w:r>
          </w:p>
        </w:tc>
        <w:tc>
          <w:tcPr>
            <w:tcW w:w="750" w:type="dxa"/>
            <w:shd w:val="clear" w:color="auto" w:fill="auto"/>
            <w:vAlign w:val="center"/>
          </w:tcPr>
          <w:p w14:paraId="0C5ECCED">
            <w:pPr>
              <w:keepNext w:val="0"/>
              <w:keepLines w:val="0"/>
              <w:pageBreakBefore w:val="0"/>
              <w:widowControl w:val="0"/>
              <w:kinsoku/>
              <w:wordWrap w:val="0"/>
              <w:overflowPunct/>
              <w:topLinePunct w:val="0"/>
              <w:autoSpaceDE/>
              <w:autoSpaceDN/>
              <w:bidi w:val="0"/>
              <w:adjustRightInd/>
              <w:snapToGrid/>
              <w:spacing w:line="400" w:lineRule="exact"/>
              <w:ind w:left="240" w:leftChars="0" w:hanging="240" w:hangingChars="10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1</w:t>
            </w:r>
          </w:p>
        </w:tc>
        <w:tc>
          <w:tcPr>
            <w:tcW w:w="750" w:type="dxa"/>
            <w:shd w:val="clear" w:color="auto" w:fill="auto"/>
            <w:vAlign w:val="center"/>
          </w:tcPr>
          <w:p w14:paraId="36BED5B3">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部</w:t>
            </w:r>
          </w:p>
        </w:tc>
        <w:tc>
          <w:tcPr>
            <w:tcW w:w="6522" w:type="dxa"/>
            <w:shd w:val="clear" w:color="auto" w:fill="auto"/>
            <w:vAlign w:val="center"/>
          </w:tcPr>
          <w:p w14:paraId="4D50C0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1、窗口本底：≤900cpm。</w:t>
            </w:r>
          </w:p>
          <w:p w14:paraId="07D7EA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2、点源灵敏度：≥0.18(min×Bq)-1。</w:t>
            </w:r>
          </w:p>
          <w:p w14:paraId="11416D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3、窗口计数度：≥0.14(min×Bq)-1。</w:t>
            </w:r>
          </w:p>
          <w:p w14:paraId="74A2770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4、8小时稳定性：3%以内。</w:t>
            </w:r>
          </w:p>
          <w:p w14:paraId="4DF8A84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5、探头高度可电动调节。</w:t>
            </w:r>
          </w:p>
          <w:p w14:paraId="425107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6、通过同位素调节旋钮，选择131I和99mTc。</w:t>
            </w:r>
          </w:p>
          <w:p w14:paraId="50D9CC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7、配置随机电脑（含操作系统）、打印机、蜡膜及支架等。</w:t>
            </w:r>
          </w:p>
          <w:p w14:paraId="75598A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8、具有甲状腺摄碘率、甲状腺抑制率、过氯酸钾排泌实验、有效半衰期测定功能。</w:t>
            </w:r>
          </w:p>
        </w:tc>
      </w:tr>
    </w:tbl>
    <w:p w14:paraId="53F967FF">
      <w:pPr>
        <w:pStyle w:val="2"/>
        <w:rPr>
          <w:color w:val="auto"/>
          <w:highlight w:val="none"/>
          <w:lang w:val="en-US"/>
        </w:rPr>
      </w:pPr>
    </w:p>
    <w:p w14:paraId="06036CD9">
      <w:pPr>
        <w:rPr>
          <w:color w:val="auto"/>
          <w:highlight w:val="none"/>
        </w:rPr>
      </w:pPr>
    </w:p>
    <w:p w14:paraId="7CB324A1">
      <w:pPr>
        <w:pStyle w:val="2"/>
        <w:rPr>
          <w:color w:val="auto"/>
          <w:highlight w:val="none"/>
          <w:lang w:val="en-US"/>
        </w:rPr>
      </w:pPr>
    </w:p>
    <w:p w14:paraId="5258618D">
      <w:pPr>
        <w:rPr>
          <w:color w:val="auto"/>
          <w:highlight w:val="none"/>
        </w:rPr>
      </w:pPr>
    </w:p>
    <w:bookmarkEnd w:id="95"/>
    <w:bookmarkEnd w:id="96"/>
    <w:bookmarkEnd w:id="97"/>
    <w:p w14:paraId="23384CFA">
      <w:pPr>
        <w:adjustRightInd/>
        <w:spacing w:before="25" w:after="25"/>
        <w:jc w:val="left"/>
        <w:rPr>
          <w:rFonts w:ascii="宋体" w:hAnsi="宋体" w:cs="宋体"/>
          <w:bCs/>
          <w:color w:val="auto"/>
          <w:spacing w:val="10"/>
          <w:kern w:val="0"/>
          <w:sz w:val="24"/>
          <w:highlight w:val="none"/>
        </w:rPr>
      </w:pPr>
    </w:p>
    <w:p w14:paraId="52BF4CFD">
      <w:pPr>
        <w:pStyle w:val="2"/>
        <w:jc w:val="center"/>
        <w:rPr>
          <w:color w:val="auto"/>
          <w:highlight w:val="none"/>
        </w:rPr>
      </w:pPr>
      <w:r>
        <w:rPr>
          <w:rFonts w:hint="eastAsia"/>
          <w:color w:val="auto"/>
          <w:highlight w:val="none"/>
          <w:lang w:val="en-US" w:eastAsia="zh-CN"/>
        </w:rPr>
        <w:t>商务要求</w:t>
      </w:r>
    </w:p>
    <w:tbl>
      <w:tblPr>
        <w:tblStyle w:val="11"/>
        <w:tblpPr w:leftFromText="180" w:rightFromText="180" w:vertAnchor="text" w:horzAnchor="page" w:tblpX="1020" w:tblpY="560"/>
        <w:tblOverlap w:val="never"/>
        <w:tblW w:w="10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8022"/>
      </w:tblGrid>
      <w:tr w14:paraId="2731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016" w:type="dxa"/>
            <w:shd w:val="clear" w:color="auto" w:fill="auto"/>
            <w:vAlign w:val="center"/>
          </w:tcPr>
          <w:p w14:paraId="11D1C7FC">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保修期</w:t>
            </w:r>
          </w:p>
        </w:tc>
        <w:tc>
          <w:tcPr>
            <w:tcW w:w="8022" w:type="dxa"/>
            <w:shd w:val="clear" w:color="auto" w:fill="auto"/>
            <w:vAlign w:val="center"/>
          </w:tcPr>
          <w:p w14:paraId="71B8A634">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按国家有关产品“三包”规定执行“三包”，自交付验收合格之日起保修期不少于12个月，项目需求中有特殊要求的，按项目需求执行。保修期内出现故障，需派出技术工程师到达现场处理故障，并承担一切费用。</w:t>
            </w:r>
          </w:p>
        </w:tc>
      </w:tr>
      <w:tr w14:paraId="622C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016" w:type="dxa"/>
            <w:shd w:val="clear" w:color="auto" w:fill="auto"/>
            <w:vAlign w:val="center"/>
          </w:tcPr>
          <w:p w14:paraId="7958FF73">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售后技术服务要求</w:t>
            </w:r>
          </w:p>
        </w:tc>
        <w:tc>
          <w:tcPr>
            <w:tcW w:w="8022" w:type="dxa"/>
            <w:shd w:val="clear" w:color="auto" w:fill="auto"/>
            <w:vAlign w:val="center"/>
          </w:tcPr>
          <w:p w14:paraId="1B867584">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1.负责送货上门、为用户安装、调试仪器；售后服务人员现场负责培训操作人员到能熟练操作（保证使用人员正常操作产品的各种功能；提供培训时长、内容等说明），由此产生的一切费用均由中标人承担。</w:t>
            </w:r>
          </w:p>
          <w:p w14:paraId="542327A4">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2.售后服务：</w:t>
            </w:r>
          </w:p>
          <w:p w14:paraId="4329A3FF">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在安装调试过程中，中标人负责派合格的工程师到现场进行设备安装、调试，达到正常运作要求，保证机器正常使用，达到验收要求。在保修期内，设备出现问题或采购人有服务需求的，中标人应在2小时内电话响应，4小时内提供解决方案，一般问题应在</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小时内解决；重大问题或其它无法迅速解决的问题，应在</w:t>
            </w:r>
            <w:r>
              <w:rPr>
                <w:rFonts w:hint="eastAsia" w:ascii="宋体" w:hAnsi="宋体" w:eastAsia="宋体" w:cs="宋体"/>
                <w:color w:val="auto"/>
                <w:sz w:val="24"/>
                <w:szCs w:val="24"/>
                <w:highlight w:val="none"/>
                <w:lang w:val="en-US" w:eastAsia="zh-CN"/>
              </w:rPr>
              <w:t>24小时</w:t>
            </w:r>
            <w:r>
              <w:rPr>
                <w:rFonts w:hint="eastAsia" w:ascii="宋体" w:hAnsi="宋体" w:eastAsia="宋体" w:cs="宋体"/>
                <w:color w:val="auto"/>
                <w:sz w:val="24"/>
                <w:szCs w:val="24"/>
                <w:highlight w:val="none"/>
              </w:rPr>
              <w:t>内到达仪器现场；一周内未维修好的重大问题或其它无法迅速解决的问题须提供质量同等或以上的备用机给采购人使用，并在一周内解决或提出明确解决方案。保修期内提供维护和保养服务并提供技术援助电话和售后服务电话，维修、换货中所有产生的一切费用由中标人承担。</w:t>
            </w:r>
          </w:p>
          <w:p w14:paraId="67206160">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3.中标人需向采购人开放该设备所有数字接口，不得额外收取费用；如果使用科室要求设备接入医院信息系统，接入信息系统端口费用由中标人支付，允许现场踏勘。</w:t>
            </w:r>
          </w:p>
          <w:p w14:paraId="18AA1C08">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4.如果采购人需要时，中标人须提供与采购人信息系统对接的接口转换装置，不得额外收取费用。</w:t>
            </w:r>
          </w:p>
          <w:p w14:paraId="12CBA19D">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5.设备生产时间：中标人提供不符合本项目规定的货物，或提供货物生产日期自合同签订之日超过六个月(国产）的库存货物，</w:t>
            </w:r>
            <w:r>
              <w:rPr>
                <w:rFonts w:hint="eastAsia" w:ascii="宋体" w:hAnsi="宋体" w:eastAsia="宋体" w:cs="宋体"/>
                <w:color w:val="auto"/>
                <w:sz w:val="24"/>
                <w:szCs w:val="24"/>
                <w:highlight w:val="none"/>
                <w:lang w:eastAsia="zh-CN"/>
              </w:rPr>
              <w:t>超过九个月（进口）的库存货物，</w:t>
            </w:r>
            <w:r>
              <w:rPr>
                <w:rFonts w:hint="eastAsia" w:ascii="宋体" w:hAnsi="宋体" w:eastAsia="宋体" w:cs="宋体"/>
                <w:color w:val="auto"/>
                <w:sz w:val="24"/>
                <w:szCs w:val="24"/>
                <w:highlight w:val="none"/>
              </w:rPr>
              <w:t>采购人有权拒绝接受。</w:t>
            </w:r>
          </w:p>
          <w:p w14:paraId="0C826BF1">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6.中标人承诺保修期内提供保修服务须原厂保修。</w:t>
            </w:r>
          </w:p>
          <w:p w14:paraId="536BEA69">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7.中标人提供24小时365天维修服务热线支持。保修期内每半年至少提供一次维护保养，并提供保养报告单；定期的维护保养服务包括：设备的安全检查、影像质量检查、设备清洁保养、性能测试及校准、 运行状态检查等。保修期内需更换的损耗品由中标人负责提供，不得额外收取费用。</w:t>
            </w:r>
          </w:p>
          <w:p w14:paraId="62EF8D8E">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8.提供中文操作手册、维护手册、维修手册、软件备份、故障代码表、备件清单、零部件、维修密码等维护维修必需的材料和信息。</w:t>
            </w:r>
          </w:p>
          <w:p w14:paraId="745DEB18">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9.售后服务承诺书中根据采购人的实际情况对质量保证及售后服务方案做出详细服务承诺、提供详细的保养计划。</w:t>
            </w:r>
          </w:p>
          <w:p w14:paraId="0AEF40EB">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10.在保修期满后，中标人应继续提供备件和维修服务。</w:t>
            </w:r>
          </w:p>
        </w:tc>
      </w:tr>
      <w:tr w14:paraId="1727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016" w:type="dxa"/>
            <w:shd w:val="clear" w:color="auto" w:fill="auto"/>
            <w:vAlign w:val="center"/>
          </w:tcPr>
          <w:p w14:paraId="47488814">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质量要求</w:t>
            </w:r>
          </w:p>
        </w:tc>
        <w:tc>
          <w:tcPr>
            <w:tcW w:w="8022" w:type="dxa"/>
            <w:shd w:val="clear" w:color="auto" w:fill="auto"/>
            <w:vAlign w:val="center"/>
          </w:tcPr>
          <w:p w14:paraId="38EF0C4F">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1.质量达到国家验收合格标准。</w:t>
            </w:r>
          </w:p>
          <w:p w14:paraId="3A6FD6E6">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2.投标人所提供的货物型号、技术规格、技术参数等质量必须与招投标文件和承诺相一致。</w:t>
            </w:r>
          </w:p>
          <w:p w14:paraId="6A0CE497">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3.投标人所提供的货物必须是全新、未使用的原装产品，且在正常安装、使用和保养条件下，其使用寿命期内各项指标均达到质量要求。</w:t>
            </w:r>
          </w:p>
          <w:p w14:paraId="49AFF8A8">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4.测试及检验：检验和测试在产品使用地进行；如果任何被检验或测试的产品不能满足采购要求的，采购人可以拒绝接受该产品，中标人需承担被采购人终止合同的一切风险和费用。</w:t>
            </w:r>
          </w:p>
        </w:tc>
      </w:tr>
      <w:tr w14:paraId="7E95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016" w:type="dxa"/>
            <w:shd w:val="clear" w:color="auto" w:fill="auto"/>
            <w:vAlign w:val="center"/>
          </w:tcPr>
          <w:p w14:paraId="2395C7F6">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验收标准及要求</w:t>
            </w:r>
          </w:p>
        </w:tc>
        <w:tc>
          <w:tcPr>
            <w:tcW w:w="8022" w:type="dxa"/>
            <w:shd w:val="clear" w:color="auto" w:fill="auto"/>
            <w:vAlign w:val="center"/>
          </w:tcPr>
          <w:p w14:paraId="1F865C21">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1.采购人对中标人提交的货物依据招</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标文件</w:t>
            </w:r>
            <w:r>
              <w:rPr>
                <w:rFonts w:hint="eastAsia" w:ascii="宋体" w:hAnsi="宋体" w:eastAsia="宋体" w:cs="宋体"/>
                <w:color w:val="auto"/>
                <w:sz w:val="24"/>
                <w:szCs w:val="24"/>
                <w:highlight w:val="none"/>
                <w:lang w:val="en-US" w:eastAsia="zh-CN"/>
              </w:rPr>
              <w:t>和合同文件</w:t>
            </w:r>
            <w:r>
              <w:rPr>
                <w:rFonts w:hint="eastAsia" w:ascii="宋体" w:hAnsi="宋体" w:eastAsia="宋体" w:cs="宋体"/>
                <w:color w:val="auto"/>
                <w:sz w:val="24"/>
                <w:szCs w:val="24"/>
                <w:highlight w:val="none"/>
              </w:rPr>
              <w:t>上的技术规格要求和国家有关质量标准进行现场初步验收，外观、说明书符合招标文件技术要求的，给予签收，初步验收不合格的不予签收。货到后，采购人应当在到货（安装、调试完）后七个工作日内进行验收。</w:t>
            </w:r>
          </w:p>
          <w:p w14:paraId="3FD92ABD">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2.中标人交货前应对产品作出全面检查和对验收文件进行整理，并列出清单，作为采购人收货验收和使用的技术条件依据，检验的结果应随货物交采购人。</w:t>
            </w:r>
          </w:p>
          <w:p w14:paraId="5270D7A7">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3.采购人对中标人提供的货物在使用前进行调试时，中标人须负责安装并培训采购人的使用操作人员，直到符合技术要求，采购人才做最终验收。</w:t>
            </w:r>
          </w:p>
          <w:p w14:paraId="58A64B8F">
            <w:pPr>
              <w:spacing w:line="5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4.对技术复杂的货物，采购人可请国家认可的专业检测机构参与初步验收及最终验收，并由其出具质量检测报告。如验收合格，费用由采购人承担，验收不合格，费用由中标人承担</w:t>
            </w:r>
            <w:r>
              <w:rPr>
                <w:rFonts w:hint="eastAsia" w:ascii="宋体" w:hAnsi="宋体" w:eastAsia="宋体" w:cs="宋体"/>
                <w:color w:val="auto"/>
                <w:sz w:val="24"/>
                <w:szCs w:val="24"/>
                <w:highlight w:val="none"/>
                <w:lang w:eastAsia="zh-CN"/>
              </w:rPr>
              <w:t>。</w:t>
            </w:r>
          </w:p>
          <w:p w14:paraId="0BEB7482">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5.项目实施过程中，非中标人责任发生不可履约情况的，中标人须立即通知采购人，且在5个工作日内提交书面情况说明及应对措施给采购人。</w:t>
            </w:r>
          </w:p>
          <w:p w14:paraId="5D3303C5">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6.验收时中标人必须在现场，验收完毕后作出验收结果报告；验收费用由中标人负责。</w:t>
            </w:r>
          </w:p>
          <w:p w14:paraId="0C591DD8">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7.其余未尽事项按相关法律规定及售后服务承诺书及招标、投标文件相应约定办理。</w:t>
            </w:r>
          </w:p>
        </w:tc>
      </w:tr>
      <w:tr w14:paraId="0EF4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016" w:type="dxa"/>
            <w:shd w:val="clear" w:color="auto" w:fill="auto"/>
            <w:vAlign w:val="center"/>
          </w:tcPr>
          <w:p w14:paraId="4BB4A5EC">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交货时间及地点</w:t>
            </w:r>
          </w:p>
        </w:tc>
        <w:tc>
          <w:tcPr>
            <w:tcW w:w="8022" w:type="dxa"/>
            <w:shd w:val="clear" w:color="auto" w:fill="auto"/>
            <w:vAlign w:val="center"/>
          </w:tcPr>
          <w:p w14:paraId="10752B38">
            <w:pPr>
              <w:spacing w:line="5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1.交货时间：自签订合同之日起</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天内安装调试并交付使用</w:t>
            </w:r>
            <w:r>
              <w:rPr>
                <w:rFonts w:hint="eastAsia" w:ascii="宋体" w:hAnsi="宋体" w:eastAsia="宋体" w:cs="宋体"/>
                <w:color w:val="auto"/>
                <w:sz w:val="24"/>
                <w:szCs w:val="24"/>
                <w:highlight w:val="none"/>
                <w:lang w:eastAsia="zh-CN"/>
              </w:rPr>
              <w:t>。</w:t>
            </w:r>
          </w:p>
          <w:p w14:paraId="4F6F031D">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 xml:space="preserve">2.交付地点：广西北海市人民医院，具体安装地点由采购人指定           </w:t>
            </w:r>
          </w:p>
        </w:tc>
      </w:tr>
      <w:tr w14:paraId="30AA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016" w:type="dxa"/>
            <w:shd w:val="clear" w:color="auto" w:fill="auto"/>
            <w:vAlign w:val="center"/>
          </w:tcPr>
          <w:p w14:paraId="1510EDAB">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付款方式</w:t>
            </w:r>
          </w:p>
        </w:tc>
        <w:tc>
          <w:tcPr>
            <w:tcW w:w="8022" w:type="dxa"/>
            <w:shd w:val="clear" w:color="auto" w:fill="auto"/>
            <w:vAlign w:val="center"/>
          </w:tcPr>
          <w:p w14:paraId="02A2A3FB">
            <w:pPr>
              <w:numPr>
                <w:ilvl w:val="0"/>
                <w:numId w:val="0"/>
              </w:num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当采购数量与实际使用数量不一致时，中标人应根据实际使用量供货，合同的最终结算金额按实际使用量乘以中标单价进行计算。</w:t>
            </w:r>
          </w:p>
          <w:p w14:paraId="56F1BE2F">
            <w:pPr>
              <w:numPr>
                <w:ilvl w:val="0"/>
                <w:numId w:val="0"/>
              </w:numPr>
              <w:spacing w:line="5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2.自合同签订之日起 10 个工作日内，采购人向中标人支付合同总金额的 30%货款；设备安装验收合格并交付使用后 10 个工作日内,采购人向中标人支付至合同结算总金额的80%货款；设备安装验收合格并交付使用后满6个月之日起10个工作日内，采购人向中标人支付至合同结算总金额的95%货款；设备安装验收合格并交付使用后满18个月之日起10个工作日内，采购人向中标人支付至合同结算总金额的100%货款(不计利息，按要求保修)。</w:t>
            </w:r>
          </w:p>
          <w:p w14:paraId="4ED19FCC">
            <w:pPr>
              <w:numPr>
                <w:ilvl w:val="0"/>
                <w:numId w:val="0"/>
              </w:numPr>
              <w:spacing w:line="56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3.转账前中标人需向采购人提供合法的等额普通发票。</w:t>
            </w:r>
          </w:p>
        </w:tc>
      </w:tr>
    </w:tbl>
    <w:p w14:paraId="7727D7EA">
      <w:pPr>
        <w:spacing w:line="300" w:lineRule="exact"/>
        <w:ind w:firstLine="1205" w:firstLineChars="500"/>
        <w:rPr>
          <w:rFonts w:hint="eastAsia" w:ascii="宋体" w:hAnsi="宋体" w:cs="宋体"/>
          <w:b/>
          <w:bCs w:val="0"/>
          <w:color w:val="auto"/>
          <w:sz w:val="24"/>
          <w:highlight w:val="none"/>
          <w:lang w:val="en-US" w:eastAsia="zh-CN"/>
        </w:rPr>
      </w:pPr>
    </w:p>
    <w:p w14:paraId="379AD01D">
      <w:pPr>
        <w:spacing w:line="300" w:lineRule="exact"/>
        <w:ind w:firstLine="1205" w:firstLineChars="500"/>
        <w:rPr>
          <w:rFonts w:hint="eastAsia" w:ascii="宋体" w:hAnsi="宋体" w:cs="宋体"/>
          <w:b/>
          <w:bCs w:val="0"/>
          <w:color w:val="auto"/>
          <w:sz w:val="24"/>
          <w:highlight w:val="none"/>
          <w:lang w:val="en-US" w:eastAsia="zh-CN"/>
        </w:rPr>
      </w:pPr>
    </w:p>
    <w:p w14:paraId="635C1D45">
      <w:pPr>
        <w:spacing w:line="300" w:lineRule="exact"/>
        <w:ind w:firstLine="1205" w:firstLineChars="500"/>
        <w:rPr>
          <w:rFonts w:hint="eastAsia" w:ascii="宋体" w:hAnsi="宋体" w:cs="宋体"/>
          <w:b/>
          <w:bCs w:val="0"/>
          <w:color w:val="auto"/>
          <w:sz w:val="24"/>
          <w:highlight w:val="none"/>
          <w:lang w:val="en-US" w:eastAsia="zh-CN"/>
        </w:rPr>
      </w:pPr>
    </w:p>
    <w:p w14:paraId="1CED6EA0">
      <w:pPr>
        <w:spacing w:line="300" w:lineRule="exact"/>
        <w:ind w:firstLine="1205" w:firstLineChars="500"/>
        <w:rPr>
          <w:rFonts w:hint="default" w:ascii="宋体" w:hAnsi="宋体" w:cs="宋体"/>
          <w:b/>
          <w:bCs w:val="0"/>
          <w:color w:val="auto"/>
          <w:sz w:val="24"/>
          <w:highlight w:val="none"/>
          <w:lang w:val="en-US"/>
        </w:rPr>
      </w:pPr>
      <w:r>
        <w:rPr>
          <w:rFonts w:hint="eastAsia" w:ascii="宋体" w:hAnsi="宋体" w:cs="宋体"/>
          <w:b/>
          <w:bCs w:val="0"/>
          <w:color w:val="auto"/>
          <w:sz w:val="24"/>
          <w:highlight w:val="none"/>
          <w:lang w:val="en-US" w:eastAsia="zh-CN"/>
        </w:rPr>
        <w:t>载玻片激光打码机、角膜地形图检查仪等设备购置项目02分标</w:t>
      </w:r>
    </w:p>
    <w:p w14:paraId="68B97BF8">
      <w:pPr>
        <w:pStyle w:val="2"/>
        <w:rPr>
          <w:color w:val="auto"/>
          <w:highlight w:val="none"/>
          <w:lang w:val="en-US"/>
        </w:rPr>
      </w:pPr>
    </w:p>
    <w:tbl>
      <w:tblPr>
        <w:tblStyle w:val="11"/>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15"/>
        <w:gridCol w:w="750"/>
        <w:gridCol w:w="750"/>
        <w:gridCol w:w="6522"/>
      </w:tblGrid>
      <w:tr w14:paraId="50C4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shd w:val="clear" w:color="auto" w:fill="auto"/>
            <w:vAlign w:val="center"/>
          </w:tcPr>
          <w:p w14:paraId="3F1363B3">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序号</w:t>
            </w:r>
          </w:p>
        </w:tc>
        <w:tc>
          <w:tcPr>
            <w:tcW w:w="1315" w:type="dxa"/>
            <w:shd w:val="clear" w:color="auto" w:fill="auto"/>
            <w:vAlign w:val="center"/>
          </w:tcPr>
          <w:p w14:paraId="145521CA">
            <w:pPr>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货物名称</w:t>
            </w:r>
          </w:p>
        </w:tc>
        <w:tc>
          <w:tcPr>
            <w:tcW w:w="750" w:type="dxa"/>
            <w:vAlign w:val="center"/>
          </w:tcPr>
          <w:p w14:paraId="2C87CEE4">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50" w:type="dxa"/>
            <w:vAlign w:val="center"/>
          </w:tcPr>
          <w:p w14:paraId="2B89E566">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522" w:type="dxa"/>
            <w:vAlign w:val="center"/>
          </w:tcPr>
          <w:p w14:paraId="61588624">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w:t>
            </w:r>
          </w:p>
        </w:tc>
      </w:tr>
      <w:tr w14:paraId="45F7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720" w:type="dxa"/>
            <w:shd w:val="clear" w:color="auto" w:fill="auto"/>
            <w:vAlign w:val="center"/>
          </w:tcPr>
          <w:p w14:paraId="34FABDD2">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315" w:type="dxa"/>
            <w:shd w:val="clear" w:color="auto" w:fill="auto"/>
            <w:vAlign w:val="center"/>
          </w:tcPr>
          <w:p w14:paraId="2FDA8185">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综合电脑验光组合</w:t>
            </w:r>
          </w:p>
        </w:tc>
        <w:tc>
          <w:tcPr>
            <w:tcW w:w="750" w:type="dxa"/>
            <w:shd w:val="clear" w:color="auto" w:fill="auto"/>
            <w:vAlign w:val="center"/>
          </w:tcPr>
          <w:p w14:paraId="55F70363">
            <w:pPr>
              <w:keepNext w:val="0"/>
              <w:keepLines w:val="0"/>
              <w:pageBreakBefore w:val="0"/>
              <w:widowControl w:val="0"/>
              <w:kinsoku/>
              <w:wordWrap w:val="0"/>
              <w:overflowPunct/>
              <w:topLinePunct w:val="0"/>
              <w:autoSpaceDE/>
              <w:autoSpaceDN/>
              <w:bidi w:val="0"/>
              <w:adjustRightInd/>
              <w:snapToGrid/>
              <w:spacing w:line="400" w:lineRule="exact"/>
              <w:ind w:left="240" w:leftChars="0" w:hanging="240" w:hangingChars="10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1</w:t>
            </w:r>
          </w:p>
        </w:tc>
        <w:tc>
          <w:tcPr>
            <w:tcW w:w="750" w:type="dxa"/>
            <w:shd w:val="clear" w:color="auto" w:fill="auto"/>
            <w:vAlign w:val="center"/>
          </w:tcPr>
          <w:p w14:paraId="26A3EC19">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台</w:t>
            </w:r>
          </w:p>
        </w:tc>
        <w:tc>
          <w:tcPr>
            <w:tcW w:w="6522" w:type="dxa"/>
            <w:shd w:val="clear" w:color="auto" w:fill="auto"/>
            <w:vAlign w:val="center"/>
          </w:tcPr>
          <w:p w14:paraId="5F63C4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（一）电脑视力检查器：</w:t>
            </w:r>
          </w:p>
          <w:p w14:paraId="1BFF46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1、可与电脑自动验光仪连接并导入对应的检查数据。</w:t>
            </w:r>
          </w:p>
          <w:p w14:paraId="02F794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2、具有自动视力检查器，能通过控制盘进行快速的镜片切换，无需手动更换镜片。</w:t>
            </w:r>
          </w:p>
          <w:p w14:paraId="5726B1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3、检查范围：球 镜：0～±27.00D（步长：0.25D/1.00D/2.00D/3.00D）柱镜：0～±8.00D（步长：0.25D/1.00D）柱镜轴向：0～180º（步长：1º/5º/15º）棱镜：-20Δ～0～+20Δ（步长：0.1/0.2/0.5/1.0Δ）。</w:t>
            </w:r>
          </w:p>
          <w:p w14:paraId="1F9861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▲4、除了常规交叉柱镜以外，还有红绿颜色同面交叉柱镜功能，在做散光检查时不需要反转镜片，患者可以同时观察到±25°交叉柱镜的图像。有效减少对比次数，也避免不同泪膜条件下所导致的误差。</w:t>
            </w:r>
          </w:p>
          <w:p w14:paraId="166C1C5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5、具有近视力检查照明。</w:t>
            </w:r>
          </w:p>
          <w:p w14:paraId="13EE13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6、近视力检查模式时，瞳距会自动减小，调节为近距离检查状态。</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7、在近距离检查时，验光头可以倾斜，更加贴近真实情境。</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8、双眼平衡测试：棱镜分离法，红绿片分和偏光片。</w:t>
            </w:r>
          </w:p>
          <w:p w14:paraId="114E1C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9、交叉柱镜：±0.25D 和±0.50D。</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10、瞳距：48～80mm（步长：1/0.5mm）。</w:t>
            </w:r>
          </w:p>
          <w:p w14:paraId="5217A0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11、检眼镜补偿片：+2.00D 或+1.50D内置。</w:t>
            </w:r>
          </w:p>
          <w:p w14:paraId="3C9A63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12、视野范围：35º。</w:t>
            </w:r>
          </w:p>
          <w:p w14:paraId="05749F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13、棱镜基底方向：向上、向下、向内、向外。</w:t>
            </w:r>
          </w:p>
          <w:p w14:paraId="3C6D08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▲14、在 AC/A 等视功能检查时，程序可自动计算最终结果。</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15、可外接视力投影仪、电脑验光仪、查片仪，进行联网数据交流。</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16、具有患教功能，提供3D图像演示近视、远视、老视等屈光不正机理，便于教学和医患沟通。</w:t>
            </w:r>
          </w:p>
          <w:p w14:paraId="2F8F82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17、可以预设≥5种自动验光程序，满足不同医生的验光流程习惯，也方便医院的规范化流程管理。</w:t>
            </w:r>
          </w:p>
          <w:p w14:paraId="021026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▲18、可用中文自定义自动验光程序名称。</w:t>
            </w:r>
          </w:p>
          <w:p w14:paraId="16FFD8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▲19、操控面板：≥10.4英寸LCD 彩色触摸屏。</w:t>
            </w:r>
          </w:p>
          <w:p w14:paraId="3828BC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20、镜眼距：12mm，13.75mm，16mm，18mm，20mm。</w:t>
            </w:r>
          </w:p>
          <w:p w14:paraId="7E9148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21、前额空隙调整范围：15mm。</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（二）液晶视力表：</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1、检测视力表：（视力检查）朗多环、数字、字母、E视标（视觉功能）红/绿检测、散光、隐斜视、立体视觉、影像不等、双眼视觉。</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2、检测距离：标准5米（2.5米－6米，25厘米步长）。</w:t>
            </w:r>
          </w:p>
          <w:p w14:paraId="4FA209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3、亮度：80～320 cd/㎡。</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4、对比度：85％或以上。</w:t>
            </w:r>
          </w:p>
          <w:p w14:paraId="58695F3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5、可以显示视标：0.03-2.0。</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6、视标对比度可调。</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7、可配合综合视力检查器控制台展示动态图像。</w:t>
            </w:r>
          </w:p>
          <w:p w14:paraId="2F1DA9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▲8、可配合综合视力检查器控制台操作，与视力检查器镜片联动，无需单独遥控器。</w:t>
            </w:r>
          </w:p>
          <w:p w14:paraId="1D6EB4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9、可配合综合视力检查器控制台单独显示纵向，横向，单独的视标。</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10、高分辨率 LCD 显示屏：≥19英寸。</w:t>
            </w:r>
          </w:p>
          <w:p w14:paraId="7594CC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（三）检查台:</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1、顶灯：9W LED 灯。</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2、摇臂升降范围：1300-1650mm，旋转角度：0°-90°。</w:t>
            </w:r>
          </w:p>
          <w:p w14:paraId="4ED7344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3、桌面旋转角度：0°-90°。</w:t>
            </w:r>
          </w:p>
          <w:p w14:paraId="7784CA8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4、桌面上配有小托板，可放置电脑验光仪或其他检查设备。桌面下部有保护装置，以防止压到顾客的腿部。</w:t>
            </w:r>
          </w:p>
          <w:p w14:paraId="3A37EE8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5、主机：为设备提供稳固的支持，并具有升降功能。</w:t>
            </w:r>
          </w:p>
          <w:p w14:paraId="0CD4D4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6、接触式控制面板：功能全面的控制面板可以用来控制顶灯、升降椅、投影仪、控制摆臂及桌面的升降。</w:t>
            </w:r>
          </w:p>
          <w:p w14:paraId="7A577F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7、电动悬臂：可悬挂电脑视力检查器，并可使用电磁触动锁定在合适的高度进行检查。</w:t>
            </w:r>
          </w:p>
          <w:p w14:paraId="4FE3E3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8、升降椅：豪华舒适的升降椅，升降平稳，方便被检者进出。</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9、工作台：座椅升降范围：520－670（mm）、主机升降范围：约830－980（mm）、抽屉尺寸（宽*深*高）：590*380*55（mm）、大桌面尺寸（长*宽）：约1130*520（mm）。</w:t>
            </w:r>
          </w:p>
          <w:p w14:paraId="4459C1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10、输入电源：220V/50Hz。</w:t>
            </w:r>
          </w:p>
        </w:tc>
      </w:tr>
      <w:tr w14:paraId="799B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720" w:type="dxa"/>
            <w:shd w:val="clear" w:color="auto" w:fill="auto"/>
            <w:vAlign w:val="center"/>
          </w:tcPr>
          <w:p w14:paraId="127454DA">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315" w:type="dxa"/>
            <w:shd w:val="clear" w:color="auto" w:fill="auto"/>
            <w:vAlign w:val="center"/>
          </w:tcPr>
          <w:p w14:paraId="5FB8405B">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电脑验光仪（有角膜曲率）</w:t>
            </w:r>
          </w:p>
        </w:tc>
        <w:tc>
          <w:tcPr>
            <w:tcW w:w="750" w:type="dxa"/>
            <w:shd w:val="clear" w:color="auto" w:fill="auto"/>
            <w:vAlign w:val="center"/>
          </w:tcPr>
          <w:p w14:paraId="6BAE9D3F">
            <w:pPr>
              <w:keepNext w:val="0"/>
              <w:keepLines w:val="0"/>
              <w:pageBreakBefore w:val="0"/>
              <w:widowControl w:val="0"/>
              <w:kinsoku/>
              <w:wordWrap w:val="0"/>
              <w:overflowPunct/>
              <w:topLinePunct w:val="0"/>
              <w:autoSpaceDE/>
              <w:autoSpaceDN/>
              <w:bidi w:val="0"/>
              <w:adjustRightInd/>
              <w:snapToGrid/>
              <w:spacing w:line="400" w:lineRule="exact"/>
              <w:ind w:left="240" w:leftChars="0" w:hanging="240" w:hangingChars="10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1</w:t>
            </w:r>
          </w:p>
        </w:tc>
        <w:tc>
          <w:tcPr>
            <w:tcW w:w="750" w:type="dxa"/>
            <w:shd w:val="clear" w:color="auto" w:fill="auto"/>
            <w:vAlign w:val="center"/>
          </w:tcPr>
          <w:p w14:paraId="01944D96">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台</w:t>
            </w:r>
          </w:p>
        </w:tc>
        <w:tc>
          <w:tcPr>
            <w:tcW w:w="6522" w:type="dxa"/>
            <w:shd w:val="clear" w:color="auto" w:fill="auto"/>
            <w:vAlign w:val="center"/>
          </w:tcPr>
          <w:p w14:paraId="1AAB62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一、验光仪参数</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1、球镜：-22D～+22D（0.12D/0.25D 精度）。</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2、柱镜：0D～±10D（0.12D/0.25D 精度）。</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3、轴向：0°～180°（1°或 5°精度）。</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▲4、最小瞳孔直径：φ2.0mm。</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二、角膜曲率模式</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1、角膜曲率半径：5.00mm～10.00mm（0.01mm 精度）。</w:t>
            </w:r>
          </w:p>
          <w:p w14:paraId="2E4A38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2、角膜折射率参数：1.3375。</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3、角膜屈光参数：67.5D～33.75D（0.12D/0.25D 精度）。</w:t>
            </w:r>
          </w:p>
          <w:p w14:paraId="307F846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4、角膜散光：0D～±10D（0.12D/0.25D 精度）。</w:t>
            </w:r>
          </w:p>
          <w:p w14:paraId="4D0E70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5、角膜散光轴向：0°至 180°（1°和 5°精度）。</w:t>
            </w:r>
          </w:p>
          <w:p w14:paraId="503642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三、其他</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▲1、显示屏：≥8英寸彩色触摸屏。</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▲2、具有旋转棱镜测量系统，确保测量数据的高度准确性和可靠性。</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3、打印纸切纸方式：自动切纸。</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4、瞳距测量范围：20～85mm（0.5 mm 精度）。</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5、数据传输方式：USB（输入），RS-232C（输出），LAN（输出）。</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6、尺寸：317～341 mm（前后）*521～538 mm（左右）*447～477 mm（垂直）。</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7、重量：≤15.0kg。</w:t>
            </w:r>
            <w:r>
              <w:rPr>
                <w:rFonts w:hint="eastAsia" w:ascii="宋体" w:hAnsi="宋体" w:eastAsia="宋体" w:cs="宋体"/>
                <w:b w:val="0"/>
                <w:bCs w:val="0"/>
                <w:color w:val="auto"/>
                <w:kern w:val="2"/>
                <w:sz w:val="24"/>
                <w:szCs w:val="24"/>
                <w:highlight w:val="none"/>
                <w:vertAlign w:val="baseline"/>
                <w:lang w:val="en-US" w:eastAsia="zh-CN" w:bidi="ar-SA"/>
              </w:rPr>
              <w:br w:type="textWrapping"/>
            </w:r>
            <w:r>
              <w:rPr>
                <w:rFonts w:hint="eastAsia" w:ascii="宋体" w:hAnsi="宋体" w:eastAsia="宋体" w:cs="宋体"/>
                <w:b w:val="0"/>
                <w:bCs w:val="0"/>
                <w:color w:val="auto"/>
                <w:kern w:val="2"/>
                <w:sz w:val="24"/>
                <w:szCs w:val="24"/>
                <w:highlight w:val="none"/>
                <w:vertAlign w:val="baseline"/>
                <w:lang w:val="en-US" w:eastAsia="zh-CN" w:bidi="ar-SA"/>
              </w:rPr>
              <w:t>8、电源：100-240V交流，50-60Hz，30-70VA。</w:t>
            </w:r>
          </w:p>
        </w:tc>
      </w:tr>
      <w:tr w14:paraId="3222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720" w:type="dxa"/>
            <w:shd w:val="clear" w:color="auto" w:fill="auto"/>
            <w:vAlign w:val="center"/>
          </w:tcPr>
          <w:p w14:paraId="25EE58D3">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315" w:type="dxa"/>
            <w:shd w:val="clear" w:color="auto" w:fill="auto"/>
            <w:vAlign w:val="center"/>
          </w:tcPr>
          <w:p w14:paraId="6F8DAB61">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角膜地形图检查仪</w:t>
            </w:r>
          </w:p>
        </w:tc>
        <w:tc>
          <w:tcPr>
            <w:tcW w:w="750" w:type="dxa"/>
            <w:shd w:val="clear" w:color="auto" w:fill="auto"/>
            <w:vAlign w:val="center"/>
          </w:tcPr>
          <w:p w14:paraId="3429BDB2">
            <w:pPr>
              <w:keepNext w:val="0"/>
              <w:keepLines w:val="0"/>
              <w:pageBreakBefore w:val="0"/>
              <w:widowControl w:val="0"/>
              <w:kinsoku/>
              <w:wordWrap w:val="0"/>
              <w:overflowPunct/>
              <w:topLinePunct w:val="0"/>
              <w:autoSpaceDE/>
              <w:autoSpaceDN/>
              <w:bidi w:val="0"/>
              <w:adjustRightInd/>
              <w:snapToGrid/>
              <w:spacing w:line="400" w:lineRule="exact"/>
              <w:ind w:left="240" w:leftChars="0" w:hanging="240" w:hangingChars="10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1</w:t>
            </w:r>
          </w:p>
        </w:tc>
        <w:tc>
          <w:tcPr>
            <w:tcW w:w="750" w:type="dxa"/>
            <w:shd w:val="clear" w:color="auto" w:fill="auto"/>
            <w:vAlign w:val="center"/>
          </w:tcPr>
          <w:p w14:paraId="10D7967B">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台</w:t>
            </w:r>
          </w:p>
        </w:tc>
        <w:tc>
          <w:tcPr>
            <w:tcW w:w="6522" w:type="dxa"/>
            <w:shd w:val="clear" w:color="auto" w:fill="auto"/>
            <w:vAlign w:val="center"/>
          </w:tcPr>
          <w:p w14:paraId="1D3B2B0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（一）设备用途：角膜地形图分析。</w:t>
            </w:r>
          </w:p>
          <w:p w14:paraId="7703A3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（二）技术参数：</w:t>
            </w:r>
          </w:p>
          <w:p w14:paraId="78B82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1、数据采集方式：placido环（小头 placido环不受环境影响）。</w:t>
            </w:r>
          </w:p>
          <w:p w14:paraId="44A7886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2、照明系统：低亮度照明（绿色低亮度照明病人检查时感觉舒服）。</w:t>
            </w:r>
          </w:p>
          <w:p w14:paraId="181A592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 3、环的数目：25环，31环。</w:t>
            </w:r>
          </w:p>
          <w:p w14:paraId="439738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 4、数据点数：6400（25环）7300（31环）。</w:t>
            </w:r>
          </w:p>
          <w:p w14:paraId="042EDB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5、环上的数据数：256点。</w:t>
            </w:r>
          </w:p>
          <w:p w14:paraId="7792BD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6、最大角膜范围：直径8.8mm（25环），直径10.9mm（31环）。</w:t>
            </w:r>
          </w:p>
          <w:p w14:paraId="24599D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7、最小角膜范围：直径0.46mm（25环），直径0.57mm（31环）。</w:t>
            </w:r>
          </w:p>
          <w:p w14:paraId="13AEB0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8、操作方式：直接面对病人，主机带观察显示屏便于操作。</w:t>
            </w:r>
          </w:p>
          <w:p w14:paraId="4F7DE0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9、校准、拍摄、对焦：操作杆对位，自动/手动拍摄，软件调整对焦。</w:t>
            </w:r>
          </w:p>
          <w:p w14:paraId="34BBE1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10、捕获时间：33毫秒/次。</w:t>
            </w:r>
          </w:p>
          <w:p w14:paraId="598EC2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11、平均获像时间：小于3秒。</w:t>
            </w:r>
          </w:p>
          <w:p w14:paraId="3553E46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12、单眼图像文件大小：407Kb。</w:t>
            </w:r>
          </w:p>
          <w:p w14:paraId="5B6D79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13、屈折力范围：33.75D—61.36D。</w:t>
            </w:r>
          </w:p>
          <w:p w14:paraId="7BD75A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14、最小刻度间隔：0.1D。</w:t>
            </w:r>
          </w:p>
          <w:p w14:paraId="16253A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15、地形图类型：标准图（轴向图），瞬间曲率半径（正切图），屈光图，顶点图（增加和差值图）。</w:t>
            </w:r>
          </w:p>
          <w:p w14:paraId="71FE44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16、地形图显示方式：单图、双图、多图，差值图、子午线图、三维立体图，数值图、傅里叶分析。</w:t>
            </w:r>
          </w:p>
          <w:p w14:paraId="0A331F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◆17、散光显示方式：互相垂直散光轴，瞬态分布散光轴3、5、7mm分段，klyce氏角膜统计资料。</w:t>
            </w:r>
          </w:p>
          <w:p w14:paraId="1B675F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18、圆锥角膜检测统计包：klyce/Maeda氏多重回归分析，Smolek-Klyce氏分级，Neural网络。</w:t>
            </w:r>
          </w:p>
          <w:p w14:paraId="429E1EC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◆19、角膜接触镜软件：用户自定义配镜方案、自定义镜片类型、模拟荧光素图，矢状泪膜指示图、位置调节、旋转和倾斜，用户可修改数据库，打印订货单，将资料自动发送到光学实验室。</w:t>
            </w:r>
          </w:p>
          <w:p w14:paraId="63C225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20、幻灯片：bmp位图格式图像。</w:t>
            </w:r>
          </w:p>
          <w:p w14:paraId="38FD92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21、计算机：外接PC机（USB端口）。</w:t>
            </w:r>
          </w:p>
          <w:p w14:paraId="0F49D9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22、操作系统：中文Windows7。</w:t>
            </w:r>
          </w:p>
          <w:p w14:paraId="1BC28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23、操作界面：有8种语言选择，其中有中文操作界面，独有的中文操作界面方便操作。</w:t>
            </w:r>
          </w:p>
        </w:tc>
      </w:tr>
      <w:tr w14:paraId="66F9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720" w:type="dxa"/>
            <w:shd w:val="clear" w:color="auto" w:fill="auto"/>
            <w:vAlign w:val="center"/>
          </w:tcPr>
          <w:p w14:paraId="0CB2056A">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w:t>
            </w:r>
          </w:p>
        </w:tc>
        <w:tc>
          <w:tcPr>
            <w:tcW w:w="1315" w:type="dxa"/>
            <w:shd w:val="clear" w:color="auto" w:fill="auto"/>
            <w:vAlign w:val="center"/>
          </w:tcPr>
          <w:p w14:paraId="4EEDBA55">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非接触眼压计</w:t>
            </w:r>
          </w:p>
        </w:tc>
        <w:tc>
          <w:tcPr>
            <w:tcW w:w="750" w:type="dxa"/>
            <w:shd w:val="clear" w:color="auto" w:fill="auto"/>
            <w:vAlign w:val="center"/>
          </w:tcPr>
          <w:p w14:paraId="797722BF">
            <w:pPr>
              <w:keepNext w:val="0"/>
              <w:keepLines w:val="0"/>
              <w:pageBreakBefore w:val="0"/>
              <w:widowControl w:val="0"/>
              <w:kinsoku/>
              <w:wordWrap w:val="0"/>
              <w:overflowPunct/>
              <w:topLinePunct w:val="0"/>
              <w:autoSpaceDE/>
              <w:autoSpaceDN/>
              <w:bidi w:val="0"/>
              <w:adjustRightInd/>
              <w:snapToGrid/>
              <w:spacing w:line="400" w:lineRule="exact"/>
              <w:ind w:left="240" w:leftChars="0" w:hanging="240" w:hangingChars="10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1</w:t>
            </w:r>
          </w:p>
        </w:tc>
        <w:tc>
          <w:tcPr>
            <w:tcW w:w="750" w:type="dxa"/>
            <w:shd w:val="clear" w:color="auto" w:fill="auto"/>
            <w:vAlign w:val="center"/>
          </w:tcPr>
          <w:p w14:paraId="52BA5BD8">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台</w:t>
            </w:r>
          </w:p>
        </w:tc>
        <w:tc>
          <w:tcPr>
            <w:tcW w:w="6522" w:type="dxa"/>
            <w:shd w:val="clear" w:color="auto" w:fill="auto"/>
            <w:vAlign w:val="center"/>
          </w:tcPr>
          <w:p w14:paraId="788440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1、测量范围：1mmHg-60mmHg（1mmHg精度）；测量幅度：平均指示1mmHg/0.1mmHg步幅变化。</w:t>
            </w:r>
          </w:p>
          <w:p w14:paraId="78E65C5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◆2、操作模式：自动/手动（可选），两种测量模式。</w:t>
            </w:r>
          </w:p>
          <w:p w14:paraId="344F7E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3、工作距离：11mm。</w:t>
            </w:r>
          </w:p>
          <w:p w14:paraId="7390D3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4、自动检测和显示：R/L（眼别）。</w:t>
            </w:r>
          </w:p>
          <w:p w14:paraId="064CB7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◆5、IOL（人工晶状体）模式：可测量人工晶体眼患者。</w:t>
            </w:r>
          </w:p>
          <w:p w14:paraId="1DB6DC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6、可输入角膜厚度，自动优化校正眼压值。</w:t>
            </w:r>
          </w:p>
          <w:p w14:paraId="0107A85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7、测量模式：1-30mmHg/1-60mmHg。</w:t>
            </w:r>
          </w:p>
          <w:p w14:paraId="1277C0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8、显示方式：可在荧屏上显示每次测量的结果及测量的平均值，数值精确到小数点后一位。</w:t>
            </w:r>
          </w:p>
          <w:p w14:paraId="72F451F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9、测量气流量：气流量小，对病人眼睛无伤害，并设有气压的选择，气流压力符合国家标准。</w:t>
            </w:r>
          </w:p>
          <w:p w14:paraId="3E5080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10、工作电压：220-240V  50/60Hz。</w:t>
            </w:r>
          </w:p>
          <w:p w14:paraId="484F63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◆11、下巴托功能，手动升降。</w:t>
            </w:r>
          </w:p>
          <w:p w14:paraId="6660E6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◆12、显示器：≥8.5寸WVGA彩色LED显示器，触摸屏。</w:t>
            </w:r>
          </w:p>
          <w:p w14:paraId="36EC5E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◆13、数据传输终端：USB（进口），RS-232C（出口），LAN（出口）。</w:t>
            </w:r>
          </w:p>
        </w:tc>
      </w:tr>
      <w:tr w14:paraId="601C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720" w:type="dxa"/>
            <w:shd w:val="clear" w:color="auto" w:fill="auto"/>
            <w:vAlign w:val="center"/>
          </w:tcPr>
          <w:p w14:paraId="7440F7A0">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315" w:type="dxa"/>
            <w:shd w:val="clear" w:color="auto" w:fill="auto"/>
            <w:vAlign w:val="center"/>
          </w:tcPr>
          <w:p w14:paraId="05283BCC">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视觉功能训练治疗软件系统- VR专业版（包括：弱视、斜视训练）</w:t>
            </w:r>
          </w:p>
        </w:tc>
        <w:tc>
          <w:tcPr>
            <w:tcW w:w="750" w:type="dxa"/>
            <w:shd w:val="clear" w:color="auto" w:fill="auto"/>
            <w:vAlign w:val="center"/>
          </w:tcPr>
          <w:p w14:paraId="52624CA8">
            <w:pPr>
              <w:keepNext w:val="0"/>
              <w:keepLines w:val="0"/>
              <w:pageBreakBefore w:val="0"/>
              <w:widowControl w:val="0"/>
              <w:kinsoku/>
              <w:wordWrap w:val="0"/>
              <w:overflowPunct/>
              <w:topLinePunct w:val="0"/>
              <w:autoSpaceDE/>
              <w:autoSpaceDN/>
              <w:bidi w:val="0"/>
              <w:adjustRightInd/>
              <w:snapToGrid/>
              <w:spacing w:line="400" w:lineRule="exact"/>
              <w:ind w:left="240" w:leftChars="0" w:hanging="240" w:hangingChars="10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1</w:t>
            </w:r>
          </w:p>
        </w:tc>
        <w:tc>
          <w:tcPr>
            <w:tcW w:w="750" w:type="dxa"/>
            <w:shd w:val="clear" w:color="auto" w:fill="auto"/>
            <w:vAlign w:val="center"/>
          </w:tcPr>
          <w:p w14:paraId="7DE9383B">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套</w:t>
            </w:r>
          </w:p>
        </w:tc>
        <w:tc>
          <w:tcPr>
            <w:tcW w:w="6522" w:type="dxa"/>
            <w:shd w:val="clear" w:color="auto" w:fill="auto"/>
            <w:vAlign w:val="center"/>
          </w:tcPr>
          <w:p w14:paraId="06090B7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1、软件环境：全面支持Windows操作系统，如Windows 2000、Windows 2000 Server、Windows XP，Windows 2003、Windows Vista、Windows 7、Windows 8等。</w:t>
            </w:r>
          </w:p>
          <w:p w14:paraId="7B931DB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2、硬件环境：CPU：PI500 MHz以上。内存：≥512MB。显卡：标准VGA，32位真彩色。分辨率：1024*768以上。其他：CDROM或DVD光驱、鼠标、键盘、声卡、音箱或耳机。3D模式：红蓝3D需要红蓝眼镜（左蓝右红）：偏振光3D需要显示器支持不闪式3D，分辨率1920*1080及以上，支持左右格式模式切换。语言环境：支持简体中文和繁体中文。</w:t>
            </w:r>
          </w:p>
          <w:p w14:paraId="765722B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产品模块：分为精细刺激训练、视觉技巧训练、双眼视功能训练、Gobar类训练、对比敏感度训练与信息提取训练6个模板。各个模块可针对患者的不同年龄、性别、视力、屈光、注视性质、弱视类型等，采用“智能专家系统”对患者进行个性化自动配方，并根据以往配方产生的疗效，自动校正和改进新的配方数据，具有自主学习功能。</w:t>
            </w:r>
          </w:p>
          <w:p w14:paraId="2BDFC0A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4、产品架构：软件应包含斜弱视的检查、训练与管理几大部分（医院训练系统、检查系统、网页版）。</w:t>
            </w:r>
          </w:p>
          <w:p w14:paraId="3EFB0B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具有智能专家系统：系统根据思者的年龄、性别、屈光、注视性质、斜弱视性质等参数可以自动制定训练方案。只要导入检查结果、输入电子病历立即能制定出针对性强的个性化弱视训练方案。也可医生自主的定制训练方案。</w:t>
            </w:r>
          </w:p>
          <w:p w14:paraId="2824E4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6、训练内容：精细刺激训练、视觉技巧训练、同时视训练、融合训练、立体视训练、Gabor类训练、对比敏感度训练、信息提取视功能训练。训练项目丰富异常，趣味性强，斜弱视训练依从性强，视力与视功能提升恢复快。</w:t>
            </w:r>
          </w:p>
        </w:tc>
      </w:tr>
    </w:tbl>
    <w:p w14:paraId="2B776352">
      <w:pPr>
        <w:jc w:val="center"/>
        <w:rPr>
          <w:rFonts w:hint="eastAsia"/>
          <w:color w:val="auto"/>
          <w:highlight w:val="none"/>
          <w:lang w:val="en-US" w:eastAsia="zh-CN"/>
        </w:rPr>
      </w:pPr>
    </w:p>
    <w:p w14:paraId="5EE86581">
      <w:pPr>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商务要求</w:t>
      </w:r>
    </w:p>
    <w:p w14:paraId="7A1C8933">
      <w:pPr>
        <w:jc w:val="center"/>
        <w:rPr>
          <w:rFonts w:hint="eastAsia"/>
          <w:color w:val="auto"/>
          <w:highlight w:val="none"/>
          <w:lang w:val="en-US" w:eastAsia="zh-CN"/>
        </w:rPr>
      </w:pPr>
    </w:p>
    <w:tbl>
      <w:tblPr>
        <w:tblStyle w:val="11"/>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8022"/>
      </w:tblGrid>
      <w:tr w14:paraId="79FA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016" w:type="dxa"/>
            <w:shd w:val="clear" w:color="auto" w:fill="auto"/>
            <w:vAlign w:val="center"/>
          </w:tcPr>
          <w:p w14:paraId="6AAF7F2C">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保修期</w:t>
            </w:r>
          </w:p>
        </w:tc>
        <w:tc>
          <w:tcPr>
            <w:tcW w:w="8022" w:type="dxa"/>
            <w:shd w:val="clear" w:color="auto" w:fill="auto"/>
            <w:vAlign w:val="center"/>
          </w:tcPr>
          <w:p w14:paraId="5B07BDC3">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按国家有关产品“三包”规定执行“三包”，自交付验收合格之日起保修期不少于12个月，项目需求中有特殊要求的，按项目需求执行。保修期内出现故障，需派出技术工程师到达现场处理故障，并承担一切费用。</w:t>
            </w:r>
          </w:p>
        </w:tc>
      </w:tr>
      <w:tr w14:paraId="2799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016" w:type="dxa"/>
            <w:shd w:val="clear" w:color="auto" w:fill="auto"/>
            <w:vAlign w:val="center"/>
          </w:tcPr>
          <w:p w14:paraId="400F2627">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售后技术服务要求</w:t>
            </w:r>
          </w:p>
        </w:tc>
        <w:tc>
          <w:tcPr>
            <w:tcW w:w="8022" w:type="dxa"/>
            <w:shd w:val="clear" w:color="auto" w:fill="auto"/>
            <w:vAlign w:val="center"/>
          </w:tcPr>
          <w:p w14:paraId="6AA97DFB">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1.负责送货上门、为用户安装、调试仪器；售后服务人员现场负责培训操作人员到能熟练操作（保证使用人员正常操作产品的各种功能；提供培训时长、内容等说明），由此产生的一切费用均由中标人承担。</w:t>
            </w:r>
          </w:p>
          <w:p w14:paraId="785C045B">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2.售后服务：</w:t>
            </w:r>
          </w:p>
          <w:p w14:paraId="2190D8F1">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在安装调试过程中，中标人负责派合格的工程师到现场进行设备安装、调试，达到正常运作要求，保证机器正常使用，达到验收要求。在保修期内，设备出现问题或采购人有服务需求的，中标人应在2小时内电话响应，4小时内提供解决方案，一般问题应在</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小时内解决；重大问题或其它无法迅速解决的问题，应在</w:t>
            </w:r>
            <w:r>
              <w:rPr>
                <w:rFonts w:hint="eastAsia" w:ascii="宋体" w:hAnsi="宋体" w:eastAsia="宋体" w:cs="宋体"/>
                <w:color w:val="auto"/>
                <w:sz w:val="24"/>
                <w:szCs w:val="24"/>
                <w:highlight w:val="none"/>
                <w:lang w:val="en-US" w:eastAsia="zh-CN"/>
              </w:rPr>
              <w:t>24小时</w:t>
            </w:r>
            <w:r>
              <w:rPr>
                <w:rFonts w:hint="eastAsia" w:ascii="宋体" w:hAnsi="宋体" w:eastAsia="宋体" w:cs="宋体"/>
                <w:color w:val="auto"/>
                <w:sz w:val="24"/>
                <w:szCs w:val="24"/>
                <w:highlight w:val="none"/>
              </w:rPr>
              <w:t>内到达仪器现场；一周内未维修好的重大问题或其它无法迅速解决的问题须提供质量同等或以上的备用机给采购人使用，并在一周内解决或提出明确解决方案。保修期内提供维护和保养服务并提供技术援助电话和售后服务电话，维修、换货中所有产生的一切费用由中标人承担。</w:t>
            </w:r>
          </w:p>
          <w:p w14:paraId="591F4D29">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3.中标人需向采购人开放该设备所有数字接口，不得额外收取费用；如果使用科室要求设备接入医院信息系统，接入信息系统端口费用由中标人支付，允许现场踏勘。</w:t>
            </w:r>
          </w:p>
          <w:p w14:paraId="37188D12">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4.如果采购人需要时，中标人须提供与采购人信息系统对接的接口转换装置，不得额外收取费用。</w:t>
            </w:r>
          </w:p>
          <w:p w14:paraId="242C7D19">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5.设备生产时间：中标人提供不符合本项目规定的货物，或提供货物生产日期自合同签订之日超过六个月(国产）的库存货物，</w:t>
            </w:r>
            <w:r>
              <w:rPr>
                <w:rFonts w:hint="eastAsia" w:ascii="宋体" w:hAnsi="宋体" w:eastAsia="宋体" w:cs="宋体"/>
                <w:color w:val="auto"/>
                <w:sz w:val="24"/>
                <w:szCs w:val="24"/>
                <w:highlight w:val="none"/>
                <w:lang w:eastAsia="zh-CN"/>
              </w:rPr>
              <w:t>超过九个月（进口）的库存货物，</w:t>
            </w:r>
            <w:r>
              <w:rPr>
                <w:rFonts w:hint="eastAsia" w:ascii="宋体" w:hAnsi="宋体" w:eastAsia="宋体" w:cs="宋体"/>
                <w:color w:val="auto"/>
                <w:sz w:val="24"/>
                <w:szCs w:val="24"/>
                <w:highlight w:val="none"/>
              </w:rPr>
              <w:t>采购人有权拒绝接受。</w:t>
            </w:r>
          </w:p>
          <w:p w14:paraId="1E53AD03">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6.中标人承诺保修期内提供保修服务须原厂保修。</w:t>
            </w:r>
          </w:p>
          <w:p w14:paraId="281D798E">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7.中标人提供24小时365天维修服务热线支持。保修期内每半年至少提供一次维护保养，并提供保养报告单；定期的维护保养服务包括：设备的安全检查、影像质量检查、设备清洁保养、性能测试及校准、 运行状态检查等。保修期内需更换的损耗品由中标人负责提供，不得额外收取费用。</w:t>
            </w:r>
          </w:p>
          <w:p w14:paraId="02F8D4AF">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8.提供中文操作手册、维护手册、维修手册、软件备份、故障代码表、备件清单、零部件、维修密码等维护维修必需的材料和信息。</w:t>
            </w:r>
          </w:p>
          <w:p w14:paraId="1BE3B77B">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9.售后服务承诺书中根据采购人的实际情况对质量保证及售后服务方案做出详细服务承诺、提供详细的保养计划。</w:t>
            </w:r>
          </w:p>
          <w:p w14:paraId="610D202E">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10.在保修期满后，中标人应继续提供备件和维修服务。</w:t>
            </w:r>
          </w:p>
        </w:tc>
      </w:tr>
      <w:tr w14:paraId="38A2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016" w:type="dxa"/>
            <w:shd w:val="clear" w:color="auto" w:fill="auto"/>
            <w:vAlign w:val="center"/>
          </w:tcPr>
          <w:p w14:paraId="0718F6E8">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质量要求</w:t>
            </w:r>
          </w:p>
        </w:tc>
        <w:tc>
          <w:tcPr>
            <w:tcW w:w="8022" w:type="dxa"/>
            <w:shd w:val="clear" w:color="auto" w:fill="auto"/>
            <w:vAlign w:val="center"/>
          </w:tcPr>
          <w:p w14:paraId="463F5292">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1.质量达到国家验收合格标准。</w:t>
            </w:r>
          </w:p>
          <w:p w14:paraId="4AB2D0FB">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2.投标人所提供的货物型号、技术规格、技术参数等质量必须与招投标文件和承诺相一致。</w:t>
            </w:r>
          </w:p>
          <w:p w14:paraId="22A309AA">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3.投标人所提供的货物必须是全新、未使用的原装产品，且在正常安装、使用和保养条件下，其使用寿命期内各项指标均达到质量要求。</w:t>
            </w:r>
          </w:p>
          <w:p w14:paraId="058BB66F">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4.测试及检验：检验和测试在产品使用地进行；如果任何被检验或测试的产品不能满足采购要求的，采购人可以拒绝接受该产品，中标人需承担被采购人终止合同的一切风险和费用。</w:t>
            </w:r>
          </w:p>
        </w:tc>
      </w:tr>
      <w:tr w14:paraId="0239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016" w:type="dxa"/>
            <w:shd w:val="clear" w:color="auto" w:fill="auto"/>
            <w:vAlign w:val="center"/>
          </w:tcPr>
          <w:p w14:paraId="54729F85">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验收标准及要求</w:t>
            </w:r>
          </w:p>
        </w:tc>
        <w:tc>
          <w:tcPr>
            <w:tcW w:w="8022" w:type="dxa"/>
            <w:shd w:val="clear" w:color="auto" w:fill="auto"/>
            <w:vAlign w:val="center"/>
          </w:tcPr>
          <w:p w14:paraId="4CCCA16A">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1.采购人对中标人提交的货物依据招</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标文件</w:t>
            </w:r>
            <w:r>
              <w:rPr>
                <w:rFonts w:hint="eastAsia" w:ascii="宋体" w:hAnsi="宋体" w:eastAsia="宋体" w:cs="宋体"/>
                <w:color w:val="auto"/>
                <w:sz w:val="24"/>
                <w:szCs w:val="24"/>
                <w:highlight w:val="none"/>
                <w:lang w:val="en-US" w:eastAsia="zh-CN"/>
              </w:rPr>
              <w:t>和合同文件</w:t>
            </w:r>
            <w:r>
              <w:rPr>
                <w:rFonts w:hint="eastAsia" w:ascii="宋体" w:hAnsi="宋体" w:eastAsia="宋体" w:cs="宋体"/>
                <w:color w:val="auto"/>
                <w:sz w:val="24"/>
                <w:szCs w:val="24"/>
                <w:highlight w:val="none"/>
              </w:rPr>
              <w:t>上的技术规格要求和国家有关质量标准进行现场初步验收，外观、说明书符合招标文件技术要求的，给予签收，初步验收不合格的不予签收。货到后，采购人应当在到货（安装、调试完）后七个工作日内进行验收。</w:t>
            </w:r>
          </w:p>
          <w:p w14:paraId="37121096">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2.中标人交货前应对产品作出全面检查和对验收文件进行整理，并列出清单，作为采购人收货验收和使用的技术条件依据，检验的结果应随货物交采购人。</w:t>
            </w:r>
          </w:p>
          <w:p w14:paraId="38CB3C1A">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3.采购人对中标人提供的货物在使用前进行调试时，中标人须负责安装并培训采购人的使用操作人员，直到符合技术要求，采购人才做最终验收。</w:t>
            </w:r>
          </w:p>
          <w:p w14:paraId="3169E363">
            <w:pPr>
              <w:spacing w:line="5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4.对技术复杂的货物，采购人可请国家认可的专业检测机构参与初步验收及最终验收，并由其出具质量检测报告。如验收合格，费用由采购人承担，验收不合格，费用由中标人承担</w:t>
            </w:r>
            <w:r>
              <w:rPr>
                <w:rFonts w:hint="eastAsia" w:ascii="宋体" w:hAnsi="宋体" w:eastAsia="宋体" w:cs="宋体"/>
                <w:color w:val="auto"/>
                <w:sz w:val="24"/>
                <w:szCs w:val="24"/>
                <w:highlight w:val="none"/>
                <w:lang w:eastAsia="zh-CN"/>
              </w:rPr>
              <w:t>。</w:t>
            </w:r>
          </w:p>
          <w:p w14:paraId="3A42BF74">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5.项目实施过程中，非中标人责任发生不可履约情况的，中标人须立即通知采购人，且在5个工作日内提交书面情况说明及应对措施给采购人。</w:t>
            </w:r>
          </w:p>
          <w:p w14:paraId="3D9173F6">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6.验收时中标人必须在现场，验收完毕后作出验收结果报告；验收费用由中标人负责。</w:t>
            </w:r>
          </w:p>
          <w:p w14:paraId="4B04E50A">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7.其余未尽事项按相关法律规定及售后服务承诺书及招标、投标文件相应约定办理。</w:t>
            </w:r>
          </w:p>
        </w:tc>
      </w:tr>
      <w:tr w14:paraId="0E78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016" w:type="dxa"/>
            <w:shd w:val="clear" w:color="auto" w:fill="auto"/>
            <w:vAlign w:val="center"/>
          </w:tcPr>
          <w:p w14:paraId="5C70664B">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交货时间及地点</w:t>
            </w:r>
          </w:p>
        </w:tc>
        <w:tc>
          <w:tcPr>
            <w:tcW w:w="8022" w:type="dxa"/>
            <w:shd w:val="clear" w:color="auto" w:fill="auto"/>
            <w:vAlign w:val="center"/>
          </w:tcPr>
          <w:p w14:paraId="4CAE8BB1">
            <w:pPr>
              <w:spacing w:line="5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1.交货时间：自签订合同之日起</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天内安装调试并交付使用</w:t>
            </w:r>
            <w:r>
              <w:rPr>
                <w:rFonts w:hint="eastAsia" w:ascii="宋体" w:hAnsi="宋体" w:eastAsia="宋体" w:cs="宋体"/>
                <w:color w:val="auto"/>
                <w:sz w:val="24"/>
                <w:szCs w:val="24"/>
                <w:highlight w:val="none"/>
                <w:lang w:eastAsia="zh-CN"/>
              </w:rPr>
              <w:t>。</w:t>
            </w:r>
          </w:p>
          <w:p w14:paraId="2BAC6058">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 xml:space="preserve">2.交付地点：广西北海市人民医院，具体安装地点由采购人指定           </w:t>
            </w:r>
          </w:p>
        </w:tc>
      </w:tr>
      <w:tr w14:paraId="076C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016" w:type="dxa"/>
            <w:shd w:val="clear" w:color="auto" w:fill="auto"/>
            <w:vAlign w:val="center"/>
          </w:tcPr>
          <w:p w14:paraId="458994FE">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付款方式</w:t>
            </w:r>
          </w:p>
        </w:tc>
        <w:tc>
          <w:tcPr>
            <w:tcW w:w="8022" w:type="dxa"/>
            <w:shd w:val="clear" w:color="auto" w:fill="auto"/>
            <w:vAlign w:val="center"/>
          </w:tcPr>
          <w:p w14:paraId="1EA1C355">
            <w:pPr>
              <w:numPr>
                <w:ilvl w:val="0"/>
                <w:numId w:val="0"/>
              </w:num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当采购数量与实际使用数量不一致时，中标人应根据实际使用量供货，合同的最终结算金额按实际使用量乘以中标单价进行计算。</w:t>
            </w:r>
          </w:p>
          <w:p w14:paraId="5E2E8BF9">
            <w:pPr>
              <w:numPr>
                <w:ilvl w:val="0"/>
                <w:numId w:val="0"/>
              </w:numPr>
              <w:spacing w:line="5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2.自合同签订之日起 10 个工作日内，采购人向中标人支付合同总金额的 30%货款；设备安装验收合格并交付使用后 10 个工作日内,采购人向中标人支付至合同结算总金额的80%货款；设备安装验收合格并交付使用后满6个月之日起10个工作日内，采购人向中标人支付至合同结算总金额的95%货款；设备安装验收合格并交付使用后满18个月之日起10个工作日内，采购人向中标人支付至合同结算总金额的100%货款(不计利息，按要求保修)。</w:t>
            </w:r>
          </w:p>
          <w:p w14:paraId="00ECE39C">
            <w:pPr>
              <w:numPr>
                <w:ilvl w:val="0"/>
                <w:numId w:val="0"/>
              </w:numPr>
              <w:spacing w:line="56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3.转账前中标人需向采购人提供合法的等额普通发票。</w:t>
            </w:r>
          </w:p>
        </w:tc>
      </w:tr>
    </w:tbl>
    <w:p w14:paraId="3A99DFB4">
      <w:pPr>
        <w:jc w:val="center"/>
        <w:rPr>
          <w:rFonts w:hint="default"/>
          <w:color w:val="auto"/>
          <w:highlight w:val="none"/>
          <w:lang w:val="en-US" w:eastAsia="zh-CN"/>
        </w:rPr>
      </w:pPr>
    </w:p>
    <w:p w14:paraId="0C4F1EAF">
      <w:pPr>
        <w:jc w:val="center"/>
        <w:rPr>
          <w:rFonts w:hint="default"/>
          <w:color w:val="auto"/>
          <w:highlight w:val="none"/>
          <w:lang w:val="en-US" w:eastAsia="zh-CN"/>
        </w:rPr>
      </w:pPr>
    </w:p>
    <w:p w14:paraId="205529E9">
      <w:pPr>
        <w:jc w:val="center"/>
        <w:rPr>
          <w:rFonts w:hint="eastAsia"/>
          <w:b/>
          <w:bCs/>
          <w:color w:val="auto"/>
          <w:sz w:val="24"/>
          <w:szCs w:val="24"/>
          <w:highlight w:val="none"/>
          <w:lang w:val="en-US" w:eastAsia="zh-CN"/>
        </w:rPr>
      </w:pPr>
      <w:r>
        <w:rPr>
          <w:rFonts w:hint="default"/>
          <w:b/>
          <w:bCs/>
          <w:color w:val="auto"/>
          <w:sz w:val="24"/>
          <w:szCs w:val="24"/>
          <w:highlight w:val="none"/>
          <w:lang w:val="en-US" w:eastAsia="zh-CN"/>
        </w:rPr>
        <w:t>载玻片激光打码机、角膜地形图检查仪等设备购置项目</w:t>
      </w:r>
      <w:r>
        <w:rPr>
          <w:rFonts w:hint="eastAsia"/>
          <w:b/>
          <w:bCs/>
          <w:color w:val="auto"/>
          <w:sz w:val="24"/>
          <w:szCs w:val="24"/>
          <w:highlight w:val="none"/>
          <w:lang w:val="en-US" w:eastAsia="zh-CN"/>
        </w:rPr>
        <w:t>03分标</w:t>
      </w:r>
    </w:p>
    <w:p w14:paraId="407F19DE">
      <w:pPr>
        <w:jc w:val="center"/>
        <w:rPr>
          <w:rFonts w:hint="default"/>
          <w:b/>
          <w:bCs/>
          <w:color w:val="auto"/>
          <w:sz w:val="24"/>
          <w:szCs w:val="24"/>
          <w:highlight w:val="none"/>
          <w:lang w:val="en-US" w:eastAsia="zh-CN"/>
        </w:rPr>
      </w:pPr>
    </w:p>
    <w:tbl>
      <w:tblPr>
        <w:tblStyle w:val="11"/>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20"/>
        <w:gridCol w:w="750"/>
        <w:gridCol w:w="750"/>
        <w:gridCol w:w="6522"/>
      </w:tblGrid>
      <w:tr w14:paraId="5875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14:paraId="0D703288">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序号</w:t>
            </w:r>
          </w:p>
        </w:tc>
        <w:tc>
          <w:tcPr>
            <w:tcW w:w="1420" w:type="dxa"/>
            <w:shd w:val="clear" w:color="auto" w:fill="auto"/>
            <w:vAlign w:val="center"/>
          </w:tcPr>
          <w:p w14:paraId="185347CD">
            <w:pPr>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货物名称</w:t>
            </w:r>
          </w:p>
        </w:tc>
        <w:tc>
          <w:tcPr>
            <w:tcW w:w="750" w:type="dxa"/>
            <w:vAlign w:val="center"/>
          </w:tcPr>
          <w:p w14:paraId="73EFA8CB">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50" w:type="dxa"/>
            <w:vAlign w:val="center"/>
          </w:tcPr>
          <w:p w14:paraId="57E899F0">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522" w:type="dxa"/>
            <w:vAlign w:val="center"/>
          </w:tcPr>
          <w:p w14:paraId="69387C59">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w:t>
            </w:r>
          </w:p>
        </w:tc>
      </w:tr>
      <w:tr w14:paraId="639B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35" w:type="dxa"/>
            <w:shd w:val="clear" w:color="auto" w:fill="auto"/>
            <w:vAlign w:val="center"/>
          </w:tcPr>
          <w:p w14:paraId="5B7F6BEC">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420" w:type="dxa"/>
            <w:shd w:val="clear" w:color="auto" w:fill="auto"/>
            <w:vAlign w:val="center"/>
          </w:tcPr>
          <w:p w14:paraId="4DA59467">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高通量测序平台</w:t>
            </w:r>
          </w:p>
        </w:tc>
        <w:tc>
          <w:tcPr>
            <w:tcW w:w="750" w:type="dxa"/>
            <w:shd w:val="clear" w:color="auto" w:fill="auto"/>
            <w:vAlign w:val="center"/>
          </w:tcPr>
          <w:p w14:paraId="71792C32">
            <w:pPr>
              <w:keepNext w:val="0"/>
              <w:keepLines w:val="0"/>
              <w:pageBreakBefore w:val="0"/>
              <w:widowControl w:val="0"/>
              <w:kinsoku/>
              <w:wordWrap w:val="0"/>
              <w:overflowPunct/>
              <w:topLinePunct w:val="0"/>
              <w:autoSpaceDE/>
              <w:autoSpaceDN/>
              <w:bidi w:val="0"/>
              <w:adjustRightInd/>
              <w:snapToGrid/>
              <w:spacing w:line="400" w:lineRule="exact"/>
              <w:ind w:left="240" w:leftChars="0" w:hanging="240" w:hangingChars="100"/>
              <w:jc w:val="center"/>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1</w:t>
            </w:r>
          </w:p>
        </w:tc>
        <w:tc>
          <w:tcPr>
            <w:tcW w:w="750" w:type="dxa"/>
            <w:shd w:val="clear" w:color="auto" w:fill="auto"/>
            <w:vAlign w:val="center"/>
          </w:tcPr>
          <w:p w14:paraId="192330FD">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台</w:t>
            </w:r>
          </w:p>
        </w:tc>
        <w:tc>
          <w:tcPr>
            <w:tcW w:w="6522" w:type="dxa"/>
            <w:shd w:val="clear" w:color="auto" w:fill="auto"/>
            <w:vAlign w:val="center"/>
          </w:tcPr>
          <w:p w14:paraId="32665F17">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1.总体要求</w:t>
            </w:r>
          </w:p>
          <w:p w14:paraId="2C535AD0">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 设备用途：系统支持无创产前检测 (NIPT) 、升级版无创产前检测 (NIPT-plus) 、染色体拷贝数变异检测 (CNV-seq) 、胚胎植入前遗传学 筛查 (PGS) 、临床外显子组检测 (CES) 、全外显子组检测、肿瘤靶向用 药检测、肿瘤易感性检测、未知物种全基因组测序、病原微生物宏基因组测序 (mNGS) 、染色质免疫互沉淀 (ChIP) 研究、甲基化研究、转录组分 析等；</w:t>
            </w:r>
          </w:p>
          <w:p w14:paraId="46ACF372">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(2) 设备为为临床通用型平台，用于 T13、T18、T21 检测，还可用于其他体外诊断项目的检测；</w:t>
            </w:r>
          </w:p>
          <w:p w14:paraId="4310663E">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 具有测序核心技术：桥式扩增成簇，边合成边测序 (SBS) ；</w:t>
            </w:r>
          </w:p>
          <w:p w14:paraId="60FE3033">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 2.仪器性能</w:t>
            </w:r>
          </w:p>
          <w:p w14:paraId="320DE353">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 测序仪可以在以下环境内正常工作：温度：19℃~25℃；相对湿度：20%~80%；</w:t>
            </w:r>
          </w:p>
          <w:p w14:paraId="3700E0CB">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(2) 仪器尺寸：仪器长宽高不超过 70cm；</w:t>
            </w:r>
          </w:p>
          <w:p w14:paraId="4CD43CFC">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 测序数据通量可选择两种通量的测序芯片：高通量芯片每次运行可 生成至少400M条片段序列 (Reads) 至少120G 碱基数据；中通量芯片每 次运行可生成至少130M 条片段序列 (Reads) 至少 39G 碱基数据；</w:t>
            </w:r>
          </w:p>
          <w:p w14:paraId="77098DD6">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 具有双色荧光系统进行碱基识别，可提高测序速度；</w:t>
            </w:r>
          </w:p>
          <w:p w14:paraId="311C6A00">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 测序芯片：单张芯片有≥4 个流道 (lane) ；</w:t>
            </w:r>
          </w:p>
          <w:p w14:paraId="2C3BD472">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 自动化双端读取序列：读长最长不少于 2×150 个碱基；▲(7)测序质量：以 Q30 为测序质量标准(即每个碱基的准确度为 99.9％)， 标准品 Phi× 在 2×150 测序模式下，75%以上的碱基比例可达到 Q30，NIPT 测序模式下，90%以上的碱基比例可达到Q30；</w:t>
            </w:r>
          </w:p>
          <w:p w14:paraId="59066D98">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(8) 可精确读取≥12 个的连续单个重复碱基；</w:t>
            </w:r>
          </w:p>
          <w:p w14:paraId="1789263B">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▲(9) 测序时间：SE75 测序时间≤12 小时，PE150 测序时间≤30 小时， NIPT 检测模式下，测序时间≤6 小时；</w:t>
            </w:r>
          </w:p>
          <w:p w14:paraId="1C7CB985">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 (10) 单位时间测序通量：每 24 小时可产出不少于 100Gb 数据量；   </w:t>
            </w:r>
          </w:p>
          <w:p w14:paraId="52363CEF">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(11) 模板扩增：测序的模板扩增过程为自动化，无需手工操作，可在 同一台仪器上完成，无需配置额外的设备；</w:t>
            </w:r>
          </w:p>
          <w:p w14:paraId="37BFF5A2">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(12) 采用图标触控式操作系统，可一键式启动；</w:t>
            </w:r>
          </w:p>
          <w:p w14:paraId="7BA5D475">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(13) 一张芯片上可同时检测不少于三个项目，不同项目的样本混合上机 检测，减少样本收集时间；</w:t>
            </w:r>
          </w:p>
          <w:p w14:paraId="03E0314B">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3.系统组成</w:t>
            </w:r>
          </w:p>
          <w:p w14:paraId="617175E0">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 内置工作站：</w:t>
            </w:r>
          </w:p>
          <w:p w14:paraId="513192FF">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①处理器：性能优于或等于酷睿 i5 处理器；</w:t>
            </w:r>
          </w:p>
          <w:p w14:paraId="5FCBA247">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②内存：不小于 96GB RAM；</w:t>
            </w:r>
          </w:p>
          <w:p w14:paraId="6C92E9D3">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③硬盘：不小于 750G；</w:t>
            </w:r>
          </w:p>
          <w:p w14:paraId="7D31A1F6">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④操作系统：性能优于或等于 Windows7(嵌入式系统)；</w:t>
            </w:r>
          </w:p>
          <w:p w14:paraId="03037316">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 光学模块：具有发光二极管 (LED) 520nm，650nm、高级数码摄像机；</w:t>
            </w:r>
          </w:p>
          <w:p w14:paraId="3F5EAD18">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 主框架模块：具有液路系统、温控系统、芯片室、试剂仓。</w:t>
            </w:r>
          </w:p>
          <w:p w14:paraId="3CFE01E8">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4.NIPT项目检测要求</w:t>
            </w:r>
          </w:p>
          <w:p w14:paraId="3A07CFC6">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▲1.NIPT检测模式下，测序时间低于6小时。</w:t>
            </w:r>
          </w:p>
          <w:p w14:paraId="4DA1ACED">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▲2.文库构建操作简单、单管操作、无PCR反应过程，有效避免因PCR扩增带来的偏好性。</w:t>
            </w:r>
          </w:p>
          <w:p w14:paraId="36EB4998">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5、配置要求</w:t>
            </w:r>
          </w:p>
          <w:p w14:paraId="188FB3C4">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（1）基因测序仪 1 台</w:t>
            </w:r>
          </w:p>
          <w:p w14:paraId="4A3CFE4D">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（2）服务器 1 台</w:t>
            </w:r>
          </w:p>
          <w:p w14:paraId="4B133D5B">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（3）vpn 设备 1 台</w:t>
            </w:r>
          </w:p>
          <w:p w14:paraId="6C15BDDD">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（4）网络交换机 1 台</w:t>
            </w:r>
          </w:p>
          <w:p w14:paraId="3C9ECCF0">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（5）小型板式离心机2 台</w:t>
            </w:r>
          </w:p>
          <w:p w14:paraId="2D7665FA">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（6）条码打印机 1 台</w:t>
            </w:r>
          </w:p>
          <w:p w14:paraId="014411B1">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（7）核酸定量计 1 个</w:t>
            </w:r>
          </w:p>
          <w:p w14:paraId="7EF64483">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（8）垂直混合仪 1 个</w:t>
            </w:r>
          </w:p>
          <w:p w14:paraId="442C7F53">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（9）恒温水浴锅 1 个</w:t>
            </w:r>
          </w:p>
          <w:p w14:paraId="1E9AE911">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（10）迷你离心机 1 台</w:t>
            </w:r>
          </w:p>
          <w:p w14:paraId="622120FF">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（11）微型台式真空泵1 个</w:t>
            </w:r>
          </w:p>
          <w:p w14:paraId="30CF5D03">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（12）扫描器3台</w:t>
            </w:r>
          </w:p>
          <w:p w14:paraId="6D59742C">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（13）小型高速离心机2 台</w:t>
            </w:r>
          </w:p>
          <w:p w14:paraId="15026D4C">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（14）冷冻高速离心机1 台</w:t>
            </w:r>
          </w:p>
          <w:p w14:paraId="02969FD5">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（15）漩涡混合器 2 个</w:t>
            </w:r>
          </w:p>
          <w:p w14:paraId="75A8208B">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（16）移液器（2.5ul 一把、10ul 三把、20ul 三把、100ul 三把、200ul 二把、1000ul 三把）15 把</w:t>
            </w:r>
          </w:p>
          <w:p w14:paraId="6F3FD854">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（17）磁力架 4 个</w:t>
            </w:r>
          </w:p>
          <w:p w14:paraId="2651187D">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（18）台式电脑主机+显示器1 套</w:t>
            </w:r>
          </w:p>
          <w:p w14:paraId="3617CE61">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（19）彩色激光打印机1 台</w:t>
            </w:r>
          </w:p>
          <w:p w14:paraId="1EBA60A5">
            <w:pPr>
              <w:keepNext w:val="0"/>
              <w:keepLines w:val="0"/>
              <w:pageBreakBefore w:val="0"/>
              <w:widowControl w:val="0"/>
              <w:kinsoku/>
              <w:wordWrap w:val="0"/>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（20）冰盒 4个</w:t>
            </w:r>
          </w:p>
        </w:tc>
      </w:tr>
    </w:tbl>
    <w:p w14:paraId="0F5B7201">
      <w:pPr>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商务要求</w:t>
      </w:r>
    </w:p>
    <w:p w14:paraId="1463C905">
      <w:pPr>
        <w:jc w:val="center"/>
        <w:rPr>
          <w:rFonts w:hint="eastAsia"/>
          <w:b/>
          <w:bCs/>
          <w:color w:val="auto"/>
          <w:sz w:val="24"/>
          <w:szCs w:val="24"/>
          <w:highlight w:val="none"/>
          <w:lang w:val="en-US" w:eastAsia="zh-CN"/>
        </w:rPr>
      </w:pPr>
    </w:p>
    <w:tbl>
      <w:tblPr>
        <w:tblStyle w:val="11"/>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8022"/>
      </w:tblGrid>
      <w:tr w14:paraId="358D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16" w:type="dxa"/>
            <w:shd w:val="clear" w:color="auto" w:fill="auto"/>
            <w:vAlign w:val="center"/>
          </w:tcPr>
          <w:p w14:paraId="2CFCA21B">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保修期</w:t>
            </w:r>
          </w:p>
        </w:tc>
        <w:tc>
          <w:tcPr>
            <w:tcW w:w="8022" w:type="dxa"/>
            <w:shd w:val="clear" w:color="auto" w:fill="auto"/>
            <w:vAlign w:val="center"/>
          </w:tcPr>
          <w:p w14:paraId="3D915AAA">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按国家有关产品“三包”规定执行“三包”，自交付验收合格之日起保修期不少于12个月，项目需求中有特殊要求的，按项目需求执行。保修期内出现故障，需派出技术工程师到达现场处理故障，并承担一切费用。</w:t>
            </w:r>
          </w:p>
        </w:tc>
      </w:tr>
      <w:tr w14:paraId="5F58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016" w:type="dxa"/>
            <w:shd w:val="clear" w:color="auto" w:fill="auto"/>
            <w:vAlign w:val="center"/>
          </w:tcPr>
          <w:p w14:paraId="621C8F09">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售后技术服务要求</w:t>
            </w:r>
          </w:p>
        </w:tc>
        <w:tc>
          <w:tcPr>
            <w:tcW w:w="8022" w:type="dxa"/>
            <w:shd w:val="clear" w:color="auto" w:fill="auto"/>
            <w:vAlign w:val="center"/>
          </w:tcPr>
          <w:p w14:paraId="6E851A5C">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1.负责送货上门、为用户安装、调试仪器；售后服务人员现场负责培训操作人员到能熟练操作（保证使用人员正常操作产品的各种功能；提供培训时长、内容等说明），由此产生的一切费用均由中标人承担。</w:t>
            </w:r>
          </w:p>
          <w:p w14:paraId="3644739A">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2.售后服务：</w:t>
            </w:r>
          </w:p>
          <w:p w14:paraId="45D15221">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在安装调试过程中，中标人负责派合格的工程师到现场进行设备安装、调试，达到正常运作要求，保证机器正常使用，达到验收要求。在保修期内，设备出现问题或采购人有服务需求的，中标人应在2小时内电话响应，4小时内提供解决方案，一般问题应在</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小时内解决；重大问题或其它无法迅速解决的问题，应在</w:t>
            </w:r>
            <w:r>
              <w:rPr>
                <w:rFonts w:hint="eastAsia" w:ascii="宋体" w:hAnsi="宋体" w:eastAsia="宋体" w:cs="宋体"/>
                <w:color w:val="auto"/>
                <w:sz w:val="24"/>
                <w:szCs w:val="24"/>
                <w:highlight w:val="none"/>
                <w:lang w:val="en-US" w:eastAsia="zh-CN"/>
              </w:rPr>
              <w:t>24小时</w:t>
            </w:r>
            <w:r>
              <w:rPr>
                <w:rFonts w:hint="eastAsia" w:ascii="宋体" w:hAnsi="宋体" w:eastAsia="宋体" w:cs="宋体"/>
                <w:color w:val="auto"/>
                <w:sz w:val="24"/>
                <w:szCs w:val="24"/>
                <w:highlight w:val="none"/>
              </w:rPr>
              <w:t>内到达仪器现场；一周内未维修好的重大问题或其它无法迅速解决的问题须提供质量同等或以上的备用机给采购人使用，并在一周内解决或提出明确解决方案。保修期内提供维护和保养服务并提供技术援助电话和售后服务电话，维修、换货中所有产生的一切费用由中标人承担。</w:t>
            </w:r>
          </w:p>
          <w:p w14:paraId="612532F7">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3.中标人需向采购人开放该设备所有数字接口，不得额外收取费用；如果使用科室要求设备接入医院信息系统，接入信息系统端口费用由中标人支付，允许现场踏勘。</w:t>
            </w:r>
          </w:p>
          <w:p w14:paraId="5FB987F7">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4.如果采购人需要时，中标人须提供与采购人信息系统对接的接口转换装置，不得额外收取费用。</w:t>
            </w:r>
          </w:p>
          <w:p w14:paraId="266A2F2C">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5.设备生产时间：中标人提供不符合本项目规定的货物，或提供货物生产日期自合同签订之日超过六个月(国产）的库存货物，采购人有权拒绝接受。</w:t>
            </w:r>
          </w:p>
          <w:p w14:paraId="289C5D7A">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6.中标人承诺保修期内提供保修服务须原厂保修。</w:t>
            </w:r>
          </w:p>
          <w:p w14:paraId="059B08AB">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7.中标人提供24小时365天维修服务热线支持。保修期内每半年至少提供一次维护保养，并提供保养报告单；定期的维护保养服务包括：设备的安全检查、影像质量检查、设备清洁保养、性能测试及校准、 运行状态检查等。保修期内需更换的损耗品由中标人负责提供，不得额外收取费用。</w:t>
            </w:r>
          </w:p>
          <w:p w14:paraId="294A8AE9">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8.提供中文操作手册、维护手册、维修手册、软件备份、故障代码表、备件清单、零部件、维修密码等维护维修必需的材料和信息。</w:t>
            </w:r>
          </w:p>
          <w:p w14:paraId="3E5EC68D">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9.售后服务承诺书中根据采购人的实际情况对质量保证及售后服务方案做出详细服务承诺、提供详细的保养计划。</w:t>
            </w:r>
          </w:p>
          <w:p w14:paraId="023FC57D">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10.在保修期满后，中标人应继续提供备件和维修服务。</w:t>
            </w:r>
          </w:p>
        </w:tc>
      </w:tr>
      <w:tr w14:paraId="6438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016" w:type="dxa"/>
            <w:shd w:val="clear" w:color="auto" w:fill="auto"/>
            <w:vAlign w:val="center"/>
          </w:tcPr>
          <w:p w14:paraId="6F3663B1">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质量要求</w:t>
            </w:r>
          </w:p>
        </w:tc>
        <w:tc>
          <w:tcPr>
            <w:tcW w:w="8022" w:type="dxa"/>
            <w:shd w:val="clear" w:color="auto" w:fill="auto"/>
            <w:vAlign w:val="center"/>
          </w:tcPr>
          <w:p w14:paraId="32D8242F">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1.质量达到国家验收合格标准。</w:t>
            </w:r>
          </w:p>
          <w:p w14:paraId="218C2CE7">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2.投标人所提供的货物型号、技术规格、技术参数等质量必须与招投标文件和承诺相一致。</w:t>
            </w:r>
          </w:p>
          <w:p w14:paraId="6CB4EC6D">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3.投标人所提供的货物必须是全新、未使用的原装产品，且在正常安装、使用和保养条件下，其使用寿命期内各项指标均达到质量要求。</w:t>
            </w:r>
          </w:p>
          <w:p w14:paraId="3025FFD7">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4.测试及检验：检验和测试在产品使用地进行；如果任何被检验或测试的产品不能满足采购要求的，采购人可以拒绝接受该产品，中标人需承担被采购人终止合同的一切风险和费用。</w:t>
            </w:r>
          </w:p>
        </w:tc>
      </w:tr>
      <w:tr w14:paraId="5CDC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016" w:type="dxa"/>
            <w:shd w:val="clear" w:color="auto" w:fill="auto"/>
            <w:vAlign w:val="center"/>
          </w:tcPr>
          <w:p w14:paraId="0B597408">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验收标准及要求</w:t>
            </w:r>
          </w:p>
        </w:tc>
        <w:tc>
          <w:tcPr>
            <w:tcW w:w="8022" w:type="dxa"/>
            <w:shd w:val="clear" w:color="auto" w:fill="auto"/>
            <w:vAlign w:val="center"/>
          </w:tcPr>
          <w:p w14:paraId="45C25524">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1.采购人对中标人提交的货物依据招</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标文件</w:t>
            </w:r>
            <w:r>
              <w:rPr>
                <w:rFonts w:hint="eastAsia" w:ascii="宋体" w:hAnsi="宋体" w:eastAsia="宋体" w:cs="宋体"/>
                <w:color w:val="auto"/>
                <w:sz w:val="24"/>
                <w:szCs w:val="24"/>
                <w:highlight w:val="none"/>
                <w:lang w:val="en-US" w:eastAsia="zh-CN"/>
              </w:rPr>
              <w:t>和合同文件</w:t>
            </w:r>
            <w:r>
              <w:rPr>
                <w:rFonts w:hint="eastAsia" w:ascii="宋体" w:hAnsi="宋体" w:eastAsia="宋体" w:cs="宋体"/>
                <w:color w:val="auto"/>
                <w:sz w:val="24"/>
                <w:szCs w:val="24"/>
                <w:highlight w:val="none"/>
              </w:rPr>
              <w:t>上的技术规格要求和国家有关质量标准进行现场初步验收，外观、说明书符合招标文件技术要求的，给予签收，初步验收不合格的不予签收。货到后，采购人应当在到货（安装、调试完）后七个工作日内进行验收。</w:t>
            </w:r>
          </w:p>
          <w:p w14:paraId="48497DDD">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2.中标人交货前应对产品作出全面检查和对验收文件进行整理，并列出清单，作为采购人收货验收和使用的技术条件依据，检验的结果应随货物交采购人。</w:t>
            </w:r>
          </w:p>
          <w:p w14:paraId="7EF36094">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3.采购人对中标人提供的货物在使用前进行调试时，中标人须负责安装并培训采购人的使用操作人员，直到符合技术要求，采购人才做最终验收。</w:t>
            </w:r>
          </w:p>
          <w:p w14:paraId="36FA5CC2">
            <w:pPr>
              <w:spacing w:line="5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4.对技术复杂的货物，采购人可请国家认可的专业检测机构参与初步验收及最终验收，并由其出具质量检测报告。如验收合格，费用由采购人承担，验收不合格，费用由中标人承担</w:t>
            </w:r>
            <w:r>
              <w:rPr>
                <w:rFonts w:hint="eastAsia" w:ascii="宋体" w:hAnsi="宋体" w:eastAsia="宋体" w:cs="宋体"/>
                <w:color w:val="auto"/>
                <w:sz w:val="24"/>
                <w:szCs w:val="24"/>
                <w:highlight w:val="none"/>
                <w:lang w:eastAsia="zh-CN"/>
              </w:rPr>
              <w:t>。</w:t>
            </w:r>
          </w:p>
          <w:p w14:paraId="704E9E9B">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5.项目实施过程中，非中标人责任发生不可履约情况的，中标人须立即通知采购人，且在5个工作日内提交书面情况说明及应对措施给采购人。</w:t>
            </w:r>
          </w:p>
          <w:p w14:paraId="292B7894">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6.验收时中标人必须在现场，验收完毕后作出验收结果报告；验收费用由中标人负责。</w:t>
            </w:r>
          </w:p>
          <w:p w14:paraId="676C89F1">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7.其余未尽事项按相关法律规定及售后服务承诺书及招标、投标文件相应约定办理。</w:t>
            </w:r>
          </w:p>
        </w:tc>
      </w:tr>
      <w:tr w14:paraId="29C7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016" w:type="dxa"/>
            <w:shd w:val="clear" w:color="auto" w:fill="auto"/>
            <w:vAlign w:val="center"/>
          </w:tcPr>
          <w:p w14:paraId="27EE691E">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交货时间及地点</w:t>
            </w:r>
          </w:p>
        </w:tc>
        <w:tc>
          <w:tcPr>
            <w:tcW w:w="8022" w:type="dxa"/>
            <w:shd w:val="clear" w:color="auto" w:fill="auto"/>
            <w:vAlign w:val="center"/>
          </w:tcPr>
          <w:p w14:paraId="29DCE380">
            <w:pPr>
              <w:spacing w:line="5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1.交货时间：自签订合同之日起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天内安装调试并交付使用</w:t>
            </w:r>
            <w:r>
              <w:rPr>
                <w:rFonts w:hint="eastAsia" w:ascii="宋体" w:hAnsi="宋体" w:eastAsia="宋体" w:cs="宋体"/>
                <w:color w:val="auto"/>
                <w:sz w:val="24"/>
                <w:szCs w:val="24"/>
                <w:highlight w:val="none"/>
                <w:lang w:eastAsia="zh-CN"/>
              </w:rPr>
              <w:t>。</w:t>
            </w:r>
          </w:p>
          <w:p w14:paraId="216ED3BF">
            <w:pPr>
              <w:spacing w:line="560" w:lineRule="exact"/>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 xml:space="preserve">2.交付地点：广西北海市人民医院，具体安装地点由采购人指定           </w:t>
            </w:r>
          </w:p>
        </w:tc>
      </w:tr>
      <w:tr w14:paraId="580E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016" w:type="dxa"/>
            <w:shd w:val="clear" w:color="auto" w:fill="auto"/>
            <w:vAlign w:val="center"/>
          </w:tcPr>
          <w:p w14:paraId="256D4F76">
            <w:pPr>
              <w:spacing w:line="560" w:lineRule="exact"/>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付款方式</w:t>
            </w:r>
          </w:p>
        </w:tc>
        <w:tc>
          <w:tcPr>
            <w:tcW w:w="8022" w:type="dxa"/>
            <w:shd w:val="clear" w:color="auto" w:fill="auto"/>
            <w:vAlign w:val="center"/>
          </w:tcPr>
          <w:p w14:paraId="0FC46DDA">
            <w:pPr>
              <w:numPr>
                <w:ilvl w:val="0"/>
                <w:numId w:val="0"/>
              </w:num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当采购数量与实际使用数量不一致时，中标人应根据实际使用量供货，合同的最终结算金额按实际使用量乘以中标单价进行计算。</w:t>
            </w:r>
          </w:p>
          <w:p w14:paraId="36FA8A6D">
            <w:pPr>
              <w:numPr>
                <w:ilvl w:val="0"/>
                <w:numId w:val="0"/>
              </w:numPr>
              <w:spacing w:line="5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2.自合同签订之日起 10 个工作日内，采购人向中标人支付合同总金额的 30%货款；设备安装验收合格并交付使用后 10 个工作日内,采购人向中标人支付至合同结算总金额的80%货款；设备安装验收合格并交付使用后满6个月之日起10个工作日内，采购人向中标人支付至合同结算总金额的95%货款；设备安装验收合格并交付使用后满18个月之日起10个工作日内，采购人向中标人支付至合同结算总金额的100%货款(不计利息，按要求保修)。</w:t>
            </w:r>
          </w:p>
          <w:p w14:paraId="26C71926">
            <w:pPr>
              <w:numPr>
                <w:ilvl w:val="0"/>
                <w:numId w:val="0"/>
              </w:numPr>
              <w:spacing w:line="56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3.转账前中标人需向采购人提供合法的等额普通发票。</w:t>
            </w:r>
          </w:p>
        </w:tc>
      </w:tr>
    </w:tbl>
    <w:p w14:paraId="0D6C387E">
      <w:pPr>
        <w:jc w:val="center"/>
        <w:rPr>
          <w:rFonts w:hint="default"/>
          <w:b/>
          <w:bCs/>
          <w:color w:val="auto"/>
          <w:sz w:val="24"/>
          <w:szCs w:val="24"/>
          <w:highlight w:val="none"/>
          <w:lang w:val="en-US" w:eastAsia="zh-CN"/>
        </w:rPr>
        <w:sectPr>
          <w:headerReference r:id="rId4" w:type="first"/>
          <w:footerReference r:id="rId6" w:type="first"/>
          <w:headerReference r:id="rId3" w:type="default"/>
          <w:footerReference r:id="rId5" w:type="default"/>
          <w:pgSz w:w="11906" w:h="16838"/>
          <w:pgMar w:top="1247" w:right="849" w:bottom="1247" w:left="1418" w:header="851" w:footer="992" w:gutter="0"/>
          <w:cols w:space="720" w:num="1"/>
          <w:titlePg/>
          <w:docGrid w:type="lines" w:linePitch="312" w:charSpace="0"/>
        </w:sectPr>
      </w:pPr>
    </w:p>
    <w:p w14:paraId="085EFDF0">
      <w:pPr>
        <w:spacing w:line="360" w:lineRule="auto"/>
        <w:ind w:firstLine="181" w:firstLineChars="50"/>
        <w:jc w:val="center"/>
        <w:outlineLvl w:val="0"/>
        <w:rPr>
          <w:rFonts w:ascii="宋体" w:hAnsi="宋体" w:cs="宋体"/>
          <w:b/>
          <w:color w:val="auto"/>
          <w:sz w:val="36"/>
          <w:szCs w:val="36"/>
          <w:highlight w:val="none"/>
        </w:rPr>
      </w:pPr>
      <w:bookmarkStart w:id="100" w:name="_Toc176185122"/>
      <w:bookmarkStart w:id="101" w:name="_Toc176343851"/>
      <w:r>
        <w:rPr>
          <w:rFonts w:hint="eastAsia" w:ascii="宋体" w:hAnsi="宋体" w:cs="宋体"/>
          <w:b/>
          <w:color w:val="auto"/>
          <w:sz w:val="36"/>
          <w:szCs w:val="36"/>
          <w:highlight w:val="none"/>
        </w:rPr>
        <w:t xml:space="preserve">第四部分  </w:t>
      </w:r>
      <w:bookmarkStart w:id="102" w:name="_Toc184310279"/>
      <w:bookmarkEnd w:id="102"/>
      <w:bookmarkStart w:id="103" w:name="_Toc184308101"/>
      <w:bookmarkEnd w:id="103"/>
      <w:bookmarkStart w:id="104" w:name="_Toc184313307"/>
      <w:bookmarkEnd w:id="104"/>
      <w:bookmarkStart w:id="105" w:name="_Toc184312135"/>
      <w:bookmarkEnd w:id="105"/>
      <w:bookmarkStart w:id="106" w:name="_Toc184308052"/>
      <w:bookmarkEnd w:id="106"/>
      <w:bookmarkStart w:id="107" w:name="_Toc184313246"/>
      <w:bookmarkEnd w:id="107"/>
      <w:bookmarkStart w:id="108" w:name="_Toc184308060"/>
      <w:bookmarkEnd w:id="108"/>
      <w:bookmarkStart w:id="109" w:name="_Toc184314470"/>
      <w:bookmarkEnd w:id="109"/>
      <w:bookmarkStart w:id="110" w:name="_Toc184313262"/>
      <w:bookmarkEnd w:id="110"/>
      <w:bookmarkStart w:id="111" w:name="_Toc184310275"/>
      <w:bookmarkEnd w:id="111"/>
      <w:bookmarkStart w:id="112" w:name="_Toc184310320"/>
      <w:bookmarkEnd w:id="112"/>
      <w:bookmarkStart w:id="113" w:name="_Toc184313265"/>
      <w:bookmarkEnd w:id="113"/>
      <w:bookmarkStart w:id="114" w:name="_Toc184310295"/>
      <w:bookmarkEnd w:id="114"/>
      <w:bookmarkStart w:id="115" w:name="_Toc184313267"/>
      <w:bookmarkEnd w:id="115"/>
      <w:bookmarkStart w:id="116" w:name="_Toc184312126"/>
      <w:bookmarkEnd w:id="116"/>
      <w:bookmarkStart w:id="117" w:name="_Toc184314456"/>
      <w:bookmarkEnd w:id="117"/>
      <w:bookmarkStart w:id="118" w:name="_Toc184313280"/>
      <w:bookmarkEnd w:id="118"/>
      <w:bookmarkStart w:id="119" w:name="_Toc184308039"/>
      <w:bookmarkEnd w:id="119"/>
      <w:bookmarkStart w:id="120" w:name="_Toc184308108"/>
      <w:bookmarkEnd w:id="120"/>
      <w:bookmarkStart w:id="121" w:name="_Toc184308063"/>
      <w:bookmarkEnd w:id="121"/>
      <w:bookmarkStart w:id="122" w:name="_Toc184310311"/>
      <w:bookmarkEnd w:id="122"/>
      <w:bookmarkStart w:id="123" w:name="_Toc184310341"/>
      <w:bookmarkEnd w:id="123"/>
      <w:bookmarkStart w:id="124" w:name="_Toc184312078"/>
      <w:bookmarkEnd w:id="124"/>
      <w:bookmarkStart w:id="125" w:name="_Toc184312104"/>
      <w:bookmarkEnd w:id="125"/>
      <w:bookmarkStart w:id="126" w:name="_Toc184310297"/>
      <w:bookmarkEnd w:id="126"/>
      <w:bookmarkStart w:id="127" w:name="_Toc184310293"/>
      <w:bookmarkEnd w:id="127"/>
      <w:bookmarkStart w:id="128" w:name="_Toc184313261"/>
      <w:bookmarkEnd w:id="128"/>
      <w:bookmarkStart w:id="129" w:name="_Toc184313250"/>
      <w:bookmarkEnd w:id="129"/>
      <w:bookmarkStart w:id="130" w:name="_Toc184310312"/>
      <w:bookmarkEnd w:id="130"/>
      <w:bookmarkStart w:id="131" w:name="_Toc184314443"/>
      <w:bookmarkEnd w:id="131"/>
      <w:bookmarkStart w:id="132" w:name="_Toc184312118"/>
      <w:bookmarkEnd w:id="132"/>
      <w:bookmarkStart w:id="133" w:name="_Toc184312088"/>
      <w:bookmarkEnd w:id="133"/>
      <w:bookmarkStart w:id="134" w:name="_Toc184312071"/>
      <w:bookmarkEnd w:id="134"/>
      <w:bookmarkStart w:id="135" w:name="_Toc184312123"/>
      <w:bookmarkEnd w:id="135"/>
      <w:bookmarkStart w:id="136" w:name="_Toc184313296"/>
      <w:bookmarkEnd w:id="136"/>
      <w:bookmarkStart w:id="137" w:name="_Toc184313306"/>
      <w:bookmarkEnd w:id="137"/>
      <w:bookmarkStart w:id="138" w:name="_Toc184310318"/>
      <w:bookmarkEnd w:id="138"/>
      <w:bookmarkStart w:id="139" w:name="_Toc184312074"/>
      <w:bookmarkEnd w:id="139"/>
      <w:bookmarkStart w:id="140" w:name="_Toc184313248"/>
      <w:bookmarkEnd w:id="140"/>
      <w:bookmarkStart w:id="141" w:name="_Toc184310333"/>
      <w:bookmarkEnd w:id="141"/>
      <w:bookmarkStart w:id="142" w:name="_Toc184312106"/>
      <w:bookmarkEnd w:id="142"/>
      <w:bookmarkStart w:id="143" w:name="_Toc184314430"/>
      <w:bookmarkEnd w:id="143"/>
      <w:bookmarkStart w:id="144" w:name="_Toc184313310"/>
      <w:bookmarkEnd w:id="144"/>
      <w:bookmarkStart w:id="145" w:name="_Toc184313295"/>
      <w:bookmarkEnd w:id="145"/>
      <w:bookmarkStart w:id="146" w:name="_Toc184312092"/>
      <w:bookmarkEnd w:id="146"/>
      <w:bookmarkStart w:id="147" w:name="_Toc184313249"/>
      <w:bookmarkEnd w:id="147"/>
      <w:bookmarkStart w:id="148" w:name="_Toc184310291"/>
      <w:bookmarkEnd w:id="148"/>
      <w:bookmarkStart w:id="149" w:name="_Toc184314434"/>
      <w:bookmarkEnd w:id="149"/>
      <w:bookmarkStart w:id="150" w:name="_Toc184310321"/>
      <w:bookmarkEnd w:id="150"/>
      <w:bookmarkStart w:id="151" w:name="_Toc184314414"/>
      <w:bookmarkEnd w:id="151"/>
      <w:bookmarkStart w:id="152" w:name="_Toc184314457"/>
      <w:bookmarkEnd w:id="152"/>
      <w:bookmarkStart w:id="153" w:name="_Toc184308090"/>
      <w:bookmarkEnd w:id="153"/>
      <w:bookmarkStart w:id="154" w:name="_Toc184313243"/>
      <w:bookmarkEnd w:id="154"/>
      <w:bookmarkStart w:id="155" w:name="_Toc184312070"/>
      <w:bookmarkEnd w:id="155"/>
      <w:bookmarkStart w:id="156" w:name="_Toc184312084"/>
      <w:bookmarkEnd w:id="156"/>
      <w:bookmarkStart w:id="157" w:name="_Toc184308061"/>
      <w:bookmarkEnd w:id="157"/>
      <w:bookmarkStart w:id="158" w:name="_Toc184310274"/>
      <w:bookmarkEnd w:id="158"/>
      <w:bookmarkStart w:id="159" w:name="_Toc184313304"/>
      <w:bookmarkEnd w:id="159"/>
      <w:bookmarkStart w:id="160" w:name="_Toc184314431"/>
      <w:bookmarkEnd w:id="160"/>
      <w:bookmarkStart w:id="161" w:name="_Toc184308084"/>
      <w:bookmarkEnd w:id="161"/>
      <w:bookmarkStart w:id="162" w:name="_Toc184314411"/>
      <w:bookmarkEnd w:id="162"/>
      <w:bookmarkStart w:id="163" w:name="_Toc184308041"/>
      <w:bookmarkEnd w:id="163"/>
      <w:bookmarkStart w:id="164" w:name="_Toc184308056"/>
      <w:bookmarkEnd w:id="164"/>
      <w:bookmarkStart w:id="165" w:name="_Toc184312119"/>
      <w:bookmarkEnd w:id="165"/>
      <w:bookmarkStart w:id="166" w:name="_Toc184308107"/>
      <w:bookmarkEnd w:id="166"/>
      <w:bookmarkStart w:id="167" w:name="_Toc184313275"/>
      <w:bookmarkEnd w:id="167"/>
      <w:bookmarkStart w:id="168" w:name="_Toc184308091"/>
      <w:bookmarkEnd w:id="168"/>
      <w:bookmarkStart w:id="169" w:name="_Toc184310300"/>
      <w:bookmarkEnd w:id="169"/>
      <w:bookmarkStart w:id="170" w:name="_Toc184314481"/>
      <w:bookmarkEnd w:id="170"/>
      <w:bookmarkStart w:id="171" w:name="_Toc184308066"/>
      <w:bookmarkEnd w:id="171"/>
      <w:bookmarkStart w:id="172" w:name="_Toc184313264"/>
      <w:bookmarkEnd w:id="172"/>
      <w:bookmarkStart w:id="173" w:name="_Toc184308098"/>
      <w:bookmarkEnd w:id="173"/>
      <w:bookmarkStart w:id="174" w:name="_Toc184312121"/>
      <w:bookmarkEnd w:id="174"/>
      <w:bookmarkStart w:id="175" w:name="_Toc184313270"/>
      <w:bookmarkEnd w:id="175"/>
      <w:bookmarkStart w:id="176" w:name="_Toc184313245"/>
      <w:bookmarkEnd w:id="176"/>
      <w:bookmarkStart w:id="177" w:name="_Toc184313241"/>
      <w:bookmarkEnd w:id="177"/>
      <w:bookmarkStart w:id="178" w:name="_Toc184312132"/>
      <w:bookmarkEnd w:id="178"/>
      <w:bookmarkStart w:id="179" w:name="_Toc184312076"/>
      <w:bookmarkEnd w:id="179"/>
      <w:bookmarkStart w:id="180" w:name="_Toc184314458"/>
      <w:bookmarkEnd w:id="180"/>
      <w:bookmarkStart w:id="181" w:name="_Toc184308088"/>
      <w:bookmarkEnd w:id="181"/>
      <w:bookmarkStart w:id="182" w:name="_Toc184312138"/>
      <w:bookmarkEnd w:id="182"/>
      <w:bookmarkStart w:id="183" w:name="_Toc184310337"/>
      <w:bookmarkEnd w:id="183"/>
      <w:bookmarkStart w:id="184" w:name="_Toc184314425"/>
      <w:bookmarkEnd w:id="184"/>
      <w:bookmarkStart w:id="185" w:name="_Toc184314476"/>
      <w:bookmarkEnd w:id="185"/>
      <w:bookmarkStart w:id="186" w:name="_Toc184312068"/>
      <w:bookmarkEnd w:id="186"/>
      <w:bookmarkStart w:id="187" w:name="_Toc184314474"/>
      <w:bookmarkEnd w:id="187"/>
      <w:bookmarkStart w:id="188" w:name="_Toc184308086"/>
      <w:bookmarkEnd w:id="188"/>
      <w:bookmarkStart w:id="189" w:name="_Toc184310283"/>
      <w:bookmarkEnd w:id="189"/>
      <w:bookmarkStart w:id="190" w:name="_Toc184308057"/>
      <w:bookmarkEnd w:id="190"/>
      <w:bookmarkStart w:id="191" w:name="_Toc184308103"/>
      <w:bookmarkEnd w:id="191"/>
      <w:bookmarkStart w:id="192" w:name="_Toc184310302"/>
      <w:bookmarkEnd w:id="192"/>
      <w:bookmarkStart w:id="193" w:name="_Toc184308064"/>
      <w:bookmarkEnd w:id="193"/>
      <w:bookmarkStart w:id="194" w:name="_Toc184308070"/>
      <w:bookmarkEnd w:id="194"/>
      <w:bookmarkStart w:id="195" w:name="_Toc184312101"/>
      <w:bookmarkEnd w:id="195"/>
      <w:bookmarkStart w:id="196" w:name="_Toc184313257"/>
      <w:bookmarkEnd w:id="196"/>
      <w:bookmarkStart w:id="197" w:name="_Toc184310317"/>
      <w:bookmarkEnd w:id="197"/>
      <w:bookmarkStart w:id="198" w:name="_Toc184312094"/>
      <w:bookmarkEnd w:id="198"/>
      <w:bookmarkStart w:id="199" w:name="_Toc184314418"/>
      <w:bookmarkEnd w:id="199"/>
      <w:bookmarkStart w:id="200" w:name="_Toc184314435"/>
      <w:bookmarkEnd w:id="200"/>
      <w:bookmarkStart w:id="201" w:name="_Toc184314468"/>
      <w:bookmarkEnd w:id="201"/>
      <w:bookmarkStart w:id="202" w:name="_Toc184314439"/>
      <w:bookmarkEnd w:id="202"/>
      <w:bookmarkStart w:id="203" w:name="_Toc184308072"/>
      <w:bookmarkEnd w:id="203"/>
      <w:bookmarkStart w:id="204" w:name="_Toc184313242"/>
      <w:bookmarkEnd w:id="204"/>
      <w:bookmarkStart w:id="205" w:name="_Toc184310322"/>
      <w:bookmarkEnd w:id="205"/>
      <w:bookmarkStart w:id="206" w:name="_Toc184310290"/>
      <w:bookmarkEnd w:id="206"/>
      <w:bookmarkStart w:id="207" w:name="_Toc184314479"/>
      <w:bookmarkEnd w:id="207"/>
      <w:bookmarkStart w:id="208" w:name="_Toc184308085"/>
      <w:bookmarkEnd w:id="208"/>
      <w:bookmarkStart w:id="209" w:name="_Toc184312133"/>
      <w:bookmarkEnd w:id="209"/>
      <w:bookmarkStart w:id="210" w:name="_Toc184312087"/>
      <w:bookmarkEnd w:id="210"/>
      <w:bookmarkStart w:id="211" w:name="_Toc184314463"/>
      <w:bookmarkEnd w:id="211"/>
      <w:bookmarkStart w:id="212" w:name="_Toc184313255"/>
      <w:bookmarkEnd w:id="212"/>
      <w:bookmarkStart w:id="213" w:name="_Toc184308083"/>
      <w:bookmarkEnd w:id="213"/>
      <w:bookmarkStart w:id="214" w:name="_Toc184313301"/>
      <w:bookmarkEnd w:id="214"/>
      <w:bookmarkStart w:id="215" w:name="_Toc184308071"/>
      <w:bookmarkEnd w:id="215"/>
      <w:bookmarkStart w:id="216" w:name="_Toc184314462"/>
      <w:bookmarkEnd w:id="216"/>
      <w:bookmarkStart w:id="217" w:name="_Toc184312117"/>
      <w:bookmarkEnd w:id="217"/>
      <w:bookmarkStart w:id="218" w:name="_Toc184310315"/>
      <w:bookmarkEnd w:id="218"/>
      <w:bookmarkStart w:id="219" w:name="_Toc184308037"/>
      <w:bookmarkEnd w:id="219"/>
      <w:bookmarkStart w:id="220" w:name="_Toc184312098"/>
      <w:bookmarkEnd w:id="220"/>
      <w:bookmarkStart w:id="221" w:name="_Toc184308050"/>
      <w:bookmarkEnd w:id="221"/>
      <w:bookmarkStart w:id="222" w:name="_Toc184308075"/>
      <w:bookmarkEnd w:id="222"/>
      <w:bookmarkStart w:id="223" w:name="_Toc184314480"/>
      <w:bookmarkEnd w:id="223"/>
      <w:bookmarkStart w:id="224" w:name="_Toc184313279"/>
      <w:bookmarkEnd w:id="224"/>
      <w:bookmarkStart w:id="225" w:name="_Toc184312120"/>
      <w:bookmarkEnd w:id="225"/>
      <w:bookmarkStart w:id="226" w:name="_Toc184310298"/>
      <w:bookmarkEnd w:id="226"/>
      <w:bookmarkStart w:id="227" w:name="_Toc184308044"/>
      <w:bookmarkEnd w:id="227"/>
      <w:bookmarkStart w:id="228" w:name="_Toc184308077"/>
      <w:bookmarkEnd w:id="228"/>
      <w:bookmarkStart w:id="229" w:name="_Toc184313240"/>
      <w:bookmarkEnd w:id="229"/>
      <w:bookmarkStart w:id="230" w:name="_Toc184308078"/>
      <w:bookmarkEnd w:id="230"/>
      <w:bookmarkStart w:id="231" w:name="_Toc184313287"/>
      <w:bookmarkEnd w:id="231"/>
      <w:bookmarkStart w:id="232" w:name="_Toc184310304"/>
      <w:bookmarkEnd w:id="232"/>
      <w:bookmarkStart w:id="233" w:name="_Toc184310335"/>
      <w:bookmarkEnd w:id="233"/>
      <w:bookmarkStart w:id="234" w:name="_Toc184314454"/>
      <w:bookmarkEnd w:id="234"/>
      <w:bookmarkStart w:id="235" w:name="_Toc184310325"/>
      <w:bookmarkEnd w:id="235"/>
      <w:bookmarkStart w:id="236" w:name="_Toc184312097"/>
      <w:bookmarkEnd w:id="236"/>
      <w:bookmarkStart w:id="237" w:name="_Toc184310338"/>
      <w:bookmarkEnd w:id="237"/>
      <w:bookmarkStart w:id="238" w:name="_Toc184310307"/>
      <w:bookmarkEnd w:id="238"/>
      <w:bookmarkStart w:id="239" w:name="_Toc184308080"/>
      <w:bookmarkEnd w:id="239"/>
      <w:bookmarkStart w:id="240" w:name="_Toc184314475"/>
      <w:bookmarkEnd w:id="240"/>
      <w:bookmarkStart w:id="241" w:name="_Toc184312072"/>
      <w:bookmarkEnd w:id="241"/>
      <w:bookmarkStart w:id="242" w:name="_Toc184312091"/>
      <w:bookmarkEnd w:id="242"/>
      <w:bookmarkStart w:id="243" w:name="_Toc184308040"/>
      <w:bookmarkEnd w:id="243"/>
      <w:bookmarkStart w:id="244" w:name="_Toc184308065"/>
      <w:bookmarkEnd w:id="244"/>
      <w:bookmarkStart w:id="245" w:name="_Toc184313308"/>
      <w:bookmarkEnd w:id="245"/>
      <w:bookmarkStart w:id="246" w:name="_Toc184314447"/>
      <w:bookmarkEnd w:id="246"/>
      <w:bookmarkStart w:id="247" w:name="_Toc184312137"/>
      <w:bookmarkEnd w:id="247"/>
      <w:bookmarkStart w:id="248" w:name="_Toc184313302"/>
      <w:bookmarkEnd w:id="248"/>
      <w:bookmarkStart w:id="249" w:name="_Toc184310342"/>
      <w:bookmarkEnd w:id="249"/>
      <w:bookmarkStart w:id="250" w:name="_Toc184314421"/>
      <w:bookmarkEnd w:id="250"/>
      <w:bookmarkStart w:id="251" w:name="_Toc184313276"/>
      <w:bookmarkEnd w:id="251"/>
      <w:bookmarkStart w:id="252" w:name="_Toc184310327"/>
      <w:bookmarkEnd w:id="252"/>
      <w:bookmarkStart w:id="253" w:name="_Toc184314441"/>
      <w:bookmarkEnd w:id="253"/>
      <w:bookmarkStart w:id="254" w:name="_Toc184314455"/>
      <w:bookmarkEnd w:id="254"/>
      <w:bookmarkStart w:id="255" w:name="_Toc184308049"/>
      <w:bookmarkEnd w:id="255"/>
      <w:bookmarkStart w:id="256" w:name="_Toc184310336"/>
      <w:bookmarkEnd w:id="256"/>
      <w:bookmarkStart w:id="257" w:name="_Toc184310277"/>
      <w:bookmarkEnd w:id="257"/>
      <w:bookmarkStart w:id="258" w:name="_Toc184310314"/>
      <w:bookmarkEnd w:id="258"/>
      <w:bookmarkStart w:id="259" w:name="_Toc184312077"/>
      <w:bookmarkEnd w:id="259"/>
      <w:bookmarkStart w:id="260" w:name="_Toc184313303"/>
      <w:bookmarkEnd w:id="260"/>
      <w:bookmarkStart w:id="261" w:name="_Toc184313288"/>
      <w:bookmarkEnd w:id="261"/>
      <w:bookmarkStart w:id="262" w:name="_Toc184312134"/>
      <w:bookmarkEnd w:id="262"/>
      <w:bookmarkStart w:id="263" w:name="_Toc184310330"/>
      <w:bookmarkEnd w:id="263"/>
      <w:bookmarkStart w:id="264" w:name="_Toc184313253"/>
      <w:bookmarkEnd w:id="264"/>
      <w:bookmarkStart w:id="265" w:name="_Toc184312069"/>
      <w:bookmarkEnd w:id="265"/>
      <w:bookmarkStart w:id="266" w:name="_Toc184314465"/>
      <w:bookmarkEnd w:id="266"/>
      <w:bookmarkStart w:id="267" w:name="_Toc184312128"/>
      <w:bookmarkEnd w:id="267"/>
      <w:bookmarkStart w:id="268" w:name="_Toc184313271"/>
      <w:bookmarkEnd w:id="268"/>
      <w:bookmarkStart w:id="269" w:name="_Toc184313292"/>
      <w:bookmarkEnd w:id="269"/>
      <w:bookmarkStart w:id="270" w:name="_Toc184312122"/>
      <w:bookmarkEnd w:id="270"/>
      <w:bookmarkStart w:id="271" w:name="_Toc184310332"/>
      <w:bookmarkEnd w:id="271"/>
      <w:bookmarkStart w:id="272" w:name="_Toc184314423"/>
      <w:bookmarkEnd w:id="272"/>
      <w:bookmarkStart w:id="273" w:name="_Toc184313290"/>
      <w:bookmarkEnd w:id="273"/>
      <w:bookmarkStart w:id="274" w:name="_Toc184312107"/>
      <w:bookmarkEnd w:id="274"/>
      <w:bookmarkStart w:id="275" w:name="_Toc184308096"/>
      <w:bookmarkEnd w:id="275"/>
      <w:bookmarkStart w:id="276" w:name="_Toc184308051"/>
      <w:bookmarkEnd w:id="276"/>
      <w:bookmarkStart w:id="277" w:name="_Toc184310334"/>
      <w:bookmarkEnd w:id="277"/>
      <w:bookmarkStart w:id="278" w:name="_Toc184312113"/>
      <w:bookmarkEnd w:id="278"/>
      <w:bookmarkStart w:id="279" w:name="_Toc184314451"/>
      <w:bookmarkEnd w:id="279"/>
      <w:bookmarkStart w:id="280" w:name="_Toc184313269"/>
      <w:bookmarkEnd w:id="280"/>
      <w:bookmarkStart w:id="281" w:name="_Toc184310343"/>
      <w:bookmarkEnd w:id="281"/>
      <w:bookmarkStart w:id="282" w:name="_Toc184312090"/>
      <w:bookmarkEnd w:id="282"/>
      <w:bookmarkStart w:id="283" w:name="_Toc184310310"/>
      <w:bookmarkEnd w:id="283"/>
      <w:bookmarkStart w:id="284" w:name="_Toc184310286"/>
      <w:bookmarkEnd w:id="284"/>
      <w:bookmarkStart w:id="285" w:name="_Toc184312136"/>
      <w:bookmarkEnd w:id="285"/>
      <w:bookmarkStart w:id="286" w:name="_Toc184308073"/>
      <w:bookmarkEnd w:id="286"/>
      <w:bookmarkStart w:id="287" w:name="_Toc184314472"/>
      <w:bookmarkEnd w:id="287"/>
      <w:bookmarkStart w:id="288" w:name="_Toc184313278"/>
      <w:bookmarkEnd w:id="288"/>
      <w:bookmarkStart w:id="289" w:name="_Toc184313263"/>
      <w:bookmarkEnd w:id="289"/>
      <w:bookmarkStart w:id="290" w:name="_Toc184308047"/>
      <w:bookmarkEnd w:id="290"/>
      <w:bookmarkStart w:id="291" w:name="_Toc184310329"/>
      <w:bookmarkEnd w:id="291"/>
      <w:bookmarkStart w:id="292" w:name="_Toc184308095"/>
      <w:bookmarkEnd w:id="292"/>
      <w:bookmarkStart w:id="293" w:name="_Toc184312096"/>
      <w:bookmarkEnd w:id="293"/>
      <w:bookmarkStart w:id="294" w:name="_Toc184313251"/>
      <w:bookmarkEnd w:id="294"/>
      <w:bookmarkStart w:id="295" w:name="_Toc184308092"/>
      <w:bookmarkEnd w:id="295"/>
      <w:bookmarkStart w:id="296" w:name="_Toc184312067"/>
      <w:bookmarkEnd w:id="296"/>
      <w:bookmarkStart w:id="297" w:name="_Toc184312124"/>
      <w:bookmarkEnd w:id="297"/>
      <w:bookmarkStart w:id="298" w:name="_Toc184314427"/>
      <w:bookmarkEnd w:id="298"/>
      <w:bookmarkStart w:id="299" w:name="_Toc184308048"/>
      <w:bookmarkEnd w:id="299"/>
      <w:bookmarkStart w:id="300" w:name="_Toc184310284"/>
      <w:bookmarkEnd w:id="300"/>
      <w:bookmarkStart w:id="301" w:name="_Toc184310294"/>
      <w:bookmarkEnd w:id="301"/>
      <w:bookmarkStart w:id="302" w:name="_Toc184313238"/>
      <w:bookmarkEnd w:id="302"/>
      <w:bookmarkStart w:id="303" w:name="_Toc184313282"/>
      <w:bookmarkEnd w:id="303"/>
      <w:bookmarkStart w:id="304" w:name="_Toc184310323"/>
      <w:bookmarkEnd w:id="304"/>
      <w:bookmarkStart w:id="305" w:name="_Toc184308053"/>
      <w:bookmarkEnd w:id="305"/>
      <w:bookmarkStart w:id="306" w:name="_Toc184310340"/>
      <w:bookmarkEnd w:id="306"/>
      <w:bookmarkStart w:id="307" w:name="_Toc184308099"/>
      <w:bookmarkEnd w:id="307"/>
      <w:bookmarkStart w:id="308" w:name="_Toc184310309"/>
      <w:bookmarkEnd w:id="308"/>
      <w:bookmarkStart w:id="309" w:name="_Toc184312131"/>
      <w:bookmarkEnd w:id="309"/>
      <w:bookmarkStart w:id="310" w:name="_Toc184312075"/>
      <w:bookmarkEnd w:id="310"/>
      <w:bookmarkStart w:id="311" w:name="_Toc184314469"/>
      <w:bookmarkEnd w:id="311"/>
      <w:bookmarkStart w:id="312" w:name="_Toc184308068"/>
      <w:bookmarkEnd w:id="312"/>
      <w:bookmarkStart w:id="313" w:name="_Toc184312116"/>
      <w:bookmarkEnd w:id="313"/>
      <w:bookmarkStart w:id="314" w:name="_Toc184314422"/>
      <w:bookmarkEnd w:id="314"/>
      <w:bookmarkStart w:id="315" w:name="_Toc184314416"/>
      <w:bookmarkEnd w:id="315"/>
      <w:bookmarkStart w:id="316" w:name="_Toc184308079"/>
      <w:bookmarkEnd w:id="316"/>
      <w:bookmarkStart w:id="317" w:name="_Toc184308046"/>
      <w:bookmarkEnd w:id="317"/>
      <w:bookmarkStart w:id="318" w:name="_Toc184308094"/>
      <w:bookmarkEnd w:id="318"/>
      <w:bookmarkStart w:id="319" w:name="_Toc184308069"/>
      <w:bookmarkEnd w:id="319"/>
      <w:bookmarkStart w:id="320" w:name="_Toc184308055"/>
      <w:bookmarkEnd w:id="320"/>
      <w:bookmarkStart w:id="321" w:name="_Toc184313239"/>
      <w:bookmarkEnd w:id="321"/>
      <w:bookmarkStart w:id="322" w:name="_Toc184308045"/>
      <w:bookmarkEnd w:id="322"/>
      <w:bookmarkStart w:id="323" w:name="_Toc184314482"/>
      <w:bookmarkEnd w:id="323"/>
      <w:bookmarkStart w:id="324" w:name="_Toc184308074"/>
      <w:bookmarkEnd w:id="324"/>
      <w:bookmarkStart w:id="325" w:name="_Toc184314464"/>
      <w:bookmarkEnd w:id="325"/>
      <w:bookmarkStart w:id="326" w:name="_Toc184310296"/>
      <w:bookmarkEnd w:id="326"/>
      <w:bookmarkStart w:id="327" w:name="_Toc184308087"/>
      <w:bookmarkEnd w:id="327"/>
      <w:bookmarkStart w:id="328" w:name="_Toc184313247"/>
      <w:bookmarkEnd w:id="328"/>
      <w:bookmarkStart w:id="329" w:name="_Toc184313274"/>
      <w:bookmarkEnd w:id="329"/>
      <w:bookmarkStart w:id="330" w:name="_Toc184312080"/>
      <w:bookmarkEnd w:id="330"/>
      <w:bookmarkStart w:id="331" w:name="_Toc184313258"/>
      <w:bookmarkEnd w:id="331"/>
      <w:bookmarkStart w:id="332" w:name="_Toc184314444"/>
      <w:bookmarkEnd w:id="332"/>
      <w:bookmarkStart w:id="333" w:name="_Toc184310326"/>
      <w:bookmarkEnd w:id="333"/>
      <w:bookmarkStart w:id="334" w:name="_Toc184312129"/>
      <w:bookmarkEnd w:id="334"/>
      <w:bookmarkStart w:id="335" w:name="_Toc184313289"/>
      <w:bookmarkEnd w:id="335"/>
      <w:bookmarkStart w:id="336" w:name="_Toc184312110"/>
      <w:bookmarkEnd w:id="336"/>
      <w:bookmarkStart w:id="337" w:name="_Toc184308062"/>
      <w:bookmarkEnd w:id="337"/>
      <w:bookmarkStart w:id="338" w:name="_Toc184312105"/>
      <w:bookmarkEnd w:id="338"/>
      <w:bookmarkStart w:id="339" w:name="_Toc184313297"/>
      <w:bookmarkEnd w:id="339"/>
      <w:bookmarkStart w:id="340" w:name="_Toc184312081"/>
      <w:bookmarkEnd w:id="340"/>
      <w:bookmarkStart w:id="341" w:name="_Toc184313285"/>
      <w:bookmarkEnd w:id="341"/>
      <w:bookmarkStart w:id="342" w:name="_Toc184314461"/>
      <w:bookmarkEnd w:id="342"/>
      <w:bookmarkStart w:id="343" w:name="_Toc184314478"/>
      <w:bookmarkEnd w:id="343"/>
      <w:bookmarkStart w:id="344" w:name="_Toc184314437"/>
      <w:bookmarkEnd w:id="344"/>
      <w:bookmarkStart w:id="345" w:name="_Toc184314410"/>
      <w:bookmarkEnd w:id="345"/>
      <w:bookmarkStart w:id="346" w:name="_Toc184308036"/>
      <w:bookmarkEnd w:id="346"/>
      <w:bookmarkStart w:id="347" w:name="_Toc184313252"/>
      <w:bookmarkEnd w:id="347"/>
      <w:bookmarkStart w:id="348" w:name="_Toc184313291"/>
      <w:bookmarkEnd w:id="348"/>
      <w:bookmarkStart w:id="349" w:name="_Toc184314452"/>
      <w:bookmarkEnd w:id="349"/>
      <w:bookmarkStart w:id="350" w:name="_Toc184313294"/>
      <w:bookmarkEnd w:id="350"/>
      <w:bookmarkStart w:id="351" w:name="_Toc184312089"/>
      <w:bookmarkEnd w:id="351"/>
      <w:bookmarkStart w:id="352" w:name="_Toc184310316"/>
      <w:bookmarkEnd w:id="352"/>
      <w:bookmarkStart w:id="353" w:name="_Toc184308082"/>
      <w:bookmarkEnd w:id="353"/>
      <w:bookmarkStart w:id="354" w:name="_Toc184314436"/>
      <w:bookmarkEnd w:id="354"/>
      <w:bookmarkStart w:id="355" w:name="_Toc184314417"/>
      <w:bookmarkEnd w:id="355"/>
      <w:bookmarkStart w:id="356" w:name="_Toc184313284"/>
      <w:bookmarkEnd w:id="356"/>
      <w:bookmarkStart w:id="357" w:name="_Toc184313268"/>
      <w:bookmarkEnd w:id="357"/>
      <w:bookmarkStart w:id="358" w:name="_Toc184312095"/>
      <w:bookmarkEnd w:id="358"/>
      <w:bookmarkStart w:id="359" w:name="_Toc184310282"/>
      <w:bookmarkEnd w:id="359"/>
      <w:bookmarkStart w:id="360" w:name="_Toc184314466"/>
      <w:bookmarkEnd w:id="360"/>
      <w:bookmarkStart w:id="361" w:name="_Toc184312085"/>
      <w:bookmarkEnd w:id="361"/>
      <w:bookmarkStart w:id="362" w:name="_Toc184310276"/>
      <w:bookmarkEnd w:id="362"/>
      <w:bookmarkStart w:id="363" w:name="_Toc184313254"/>
      <w:bookmarkEnd w:id="363"/>
      <w:bookmarkStart w:id="364" w:name="_Toc184308054"/>
      <w:bookmarkEnd w:id="364"/>
      <w:bookmarkStart w:id="365" w:name="_Toc184310289"/>
      <w:bookmarkEnd w:id="365"/>
      <w:bookmarkStart w:id="366" w:name="_Toc184314440"/>
      <w:bookmarkEnd w:id="366"/>
      <w:bookmarkStart w:id="367" w:name="_Toc184314453"/>
      <w:bookmarkEnd w:id="367"/>
      <w:bookmarkStart w:id="368" w:name="_Toc184312102"/>
      <w:bookmarkEnd w:id="368"/>
      <w:bookmarkStart w:id="369" w:name="_Toc184310280"/>
      <w:bookmarkEnd w:id="369"/>
      <w:bookmarkStart w:id="370" w:name="_Toc184314413"/>
      <w:bookmarkEnd w:id="370"/>
      <w:bookmarkStart w:id="371" w:name="_Toc184308097"/>
      <w:bookmarkEnd w:id="371"/>
      <w:bookmarkStart w:id="372" w:name="_Toc184314473"/>
      <w:bookmarkEnd w:id="372"/>
      <w:bookmarkStart w:id="373" w:name="_Toc184313272"/>
      <w:bookmarkEnd w:id="373"/>
      <w:bookmarkStart w:id="374" w:name="_Toc184312115"/>
      <w:bookmarkEnd w:id="374"/>
      <w:bookmarkStart w:id="375" w:name="_Toc184310339"/>
      <w:bookmarkEnd w:id="375"/>
      <w:bookmarkStart w:id="376" w:name="_Toc184312111"/>
      <w:bookmarkEnd w:id="376"/>
      <w:bookmarkStart w:id="377" w:name="_Toc184310281"/>
      <w:bookmarkEnd w:id="377"/>
      <w:bookmarkStart w:id="378" w:name="_Toc184308042"/>
      <w:bookmarkEnd w:id="378"/>
      <w:bookmarkStart w:id="379" w:name="_Toc184310301"/>
      <w:bookmarkEnd w:id="379"/>
      <w:bookmarkStart w:id="380" w:name="_Toc184314477"/>
      <w:bookmarkEnd w:id="380"/>
      <w:bookmarkStart w:id="381" w:name="_Toc184313305"/>
      <w:bookmarkEnd w:id="381"/>
      <w:bookmarkStart w:id="382" w:name="_Toc184312073"/>
      <w:bookmarkEnd w:id="382"/>
      <w:bookmarkStart w:id="383" w:name="_Toc184308093"/>
      <w:bookmarkEnd w:id="383"/>
      <w:bookmarkStart w:id="384" w:name="_Toc184313260"/>
      <w:bookmarkEnd w:id="384"/>
      <w:bookmarkStart w:id="385" w:name="_Toc184313286"/>
      <w:bookmarkEnd w:id="385"/>
      <w:bookmarkStart w:id="386" w:name="_Toc184310292"/>
      <w:bookmarkEnd w:id="386"/>
      <w:bookmarkStart w:id="387" w:name="_Toc184314420"/>
      <w:bookmarkEnd w:id="387"/>
      <w:bookmarkStart w:id="388" w:name="_Toc184313281"/>
      <w:bookmarkEnd w:id="388"/>
      <w:bookmarkStart w:id="389" w:name="_Toc184313256"/>
      <w:bookmarkEnd w:id="389"/>
      <w:bookmarkStart w:id="390" w:name="_Toc184310306"/>
      <w:bookmarkEnd w:id="390"/>
      <w:bookmarkStart w:id="391" w:name="_Toc184310324"/>
      <w:bookmarkEnd w:id="391"/>
      <w:bookmarkStart w:id="392" w:name="_Toc184314412"/>
      <w:bookmarkEnd w:id="392"/>
      <w:bookmarkStart w:id="393" w:name="_Toc184314471"/>
      <w:bookmarkEnd w:id="393"/>
      <w:bookmarkStart w:id="394" w:name="_Toc184308102"/>
      <w:bookmarkEnd w:id="394"/>
      <w:bookmarkStart w:id="395" w:name="_Toc184313309"/>
      <w:bookmarkEnd w:id="395"/>
      <w:bookmarkStart w:id="396" w:name="_Toc184308038"/>
      <w:bookmarkEnd w:id="396"/>
      <w:bookmarkStart w:id="397" w:name="_Toc184310308"/>
      <w:bookmarkEnd w:id="397"/>
      <w:bookmarkStart w:id="398" w:name="_Toc184313300"/>
      <w:bookmarkEnd w:id="398"/>
      <w:bookmarkStart w:id="399" w:name="_Toc184308076"/>
      <w:bookmarkEnd w:id="399"/>
      <w:bookmarkStart w:id="400" w:name="_Toc184314460"/>
      <w:bookmarkEnd w:id="400"/>
      <w:bookmarkStart w:id="401" w:name="_Toc184310272"/>
      <w:bookmarkEnd w:id="401"/>
      <w:bookmarkStart w:id="402" w:name="_Toc184314446"/>
      <w:bookmarkEnd w:id="402"/>
      <w:bookmarkStart w:id="403" w:name="_Toc184312114"/>
      <w:bookmarkEnd w:id="403"/>
      <w:bookmarkStart w:id="404" w:name="_Toc184312139"/>
      <w:bookmarkEnd w:id="404"/>
      <w:bookmarkStart w:id="405" w:name="_Toc184310331"/>
      <w:bookmarkEnd w:id="405"/>
      <w:bookmarkStart w:id="406" w:name="_Toc184314428"/>
      <w:bookmarkEnd w:id="406"/>
      <w:bookmarkStart w:id="407" w:name="_Toc184308058"/>
      <w:bookmarkEnd w:id="407"/>
      <w:bookmarkStart w:id="408" w:name="_Toc184310288"/>
      <w:bookmarkEnd w:id="408"/>
      <w:bookmarkStart w:id="409" w:name="_Toc184313283"/>
      <w:bookmarkEnd w:id="409"/>
      <w:bookmarkStart w:id="410" w:name="_Toc184314448"/>
      <w:bookmarkEnd w:id="410"/>
      <w:bookmarkStart w:id="411" w:name="_Toc184308059"/>
      <w:bookmarkEnd w:id="411"/>
      <w:bookmarkStart w:id="412" w:name="_Toc184314449"/>
      <w:bookmarkEnd w:id="412"/>
      <w:bookmarkStart w:id="413" w:name="_Toc184314445"/>
      <w:bookmarkEnd w:id="413"/>
      <w:bookmarkStart w:id="414" w:name="_Toc184314415"/>
      <w:bookmarkEnd w:id="414"/>
      <w:bookmarkStart w:id="415" w:name="_Toc184312103"/>
      <w:bookmarkEnd w:id="415"/>
      <w:bookmarkStart w:id="416" w:name="_Toc184308089"/>
      <w:bookmarkEnd w:id="416"/>
      <w:bookmarkStart w:id="417" w:name="_Toc184310328"/>
      <w:bookmarkEnd w:id="417"/>
      <w:bookmarkStart w:id="418" w:name="_Toc184312082"/>
      <w:bookmarkEnd w:id="418"/>
      <w:bookmarkStart w:id="419" w:name="_Toc184314438"/>
      <w:bookmarkEnd w:id="419"/>
      <w:bookmarkStart w:id="420" w:name="_Toc184312086"/>
      <w:bookmarkEnd w:id="420"/>
      <w:bookmarkStart w:id="421" w:name="_Toc184314429"/>
      <w:bookmarkEnd w:id="421"/>
      <w:bookmarkStart w:id="422" w:name="_Toc184310303"/>
      <w:bookmarkEnd w:id="422"/>
      <w:bookmarkStart w:id="423" w:name="_Toc184308067"/>
      <w:bookmarkEnd w:id="423"/>
      <w:bookmarkStart w:id="424" w:name="_Toc184313259"/>
      <w:bookmarkEnd w:id="424"/>
      <w:bookmarkStart w:id="425" w:name="_Toc184312130"/>
      <w:bookmarkEnd w:id="425"/>
      <w:bookmarkStart w:id="426" w:name="_Toc184314432"/>
      <w:bookmarkEnd w:id="426"/>
      <w:bookmarkStart w:id="427" w:name="_Toc184314424"/>
      <w:bookmarkEnd w:id="427"/>
      <w:bookmarkStart w:id="428" w:name="_Toc184310313"/>
      <w:bookmarkEnd w:id="428"/>
      <w:bookmarkStart w:id="429" w:name="_Toc184310299"/>
      <w:bookmarkEnd w:id="429"/>
      <w:bookmarkStart w:id="430" w:name="_Toc184310285"/>
      <w:bookmarkEnd w:id="430"/>
      <w:bookmarkStart w:id="431" w:name="_Toc184310287"/>
      <w:bookmarkEnd w:id="431"/>
      <w:bookmarkStart w:id="432" w:name="_Toc184312083"/>
      <w:bookmarkEnd w:id="432"/>
      <w:bookmarkStart w:id="433" w:name="_Toc184312079"/>
      <w:bookmarkEnd w:id="433"/>
      <w:bookmarkStart w:id="434" w:name="_Toc184314433"/>
      <w:bookmarkEnd w:id="434"/>
      <w:bookmarkStart w:id="435" w:name="_Toc184314426"/>
      <w:bookmarkEnd w:id="435"/>
      <w:bookmarkStart w:id="436" w:name="_Toc184308081"/>
      <w:bookmarkEnd w:id="436"/>
      <w:bookmarkStart w:id="437" w:name="_Toc184313299"/>
      <w:bookmarkEnd w:id="437"/>
      <w:bookmarkStart w:id="438" w:name="_Toc184312099"/>
      <w:bookmarkEnd w:id="438"/>
      <w:bookmarkStart w:id="439" w:name="_Toc184310273"/>
      <w:bookmarkEnd w:id="439"/>
      <w:bookmarkStart w:id="440" w:name="_Toc184312125"/>
      <w:bookmarkEnd w:id="440"/>
      <w:bookmarkStart w:id="441" w:name="_Toc184308104"/>
      <w:bookmarkEnd w:id="441"/>
      <w:bookmarkStart w:id="442" w:name="_Toc184314419"/>
      <w:bookmarkEnd w:id="442"/>
      <w:bookmarkStart w:id="443" w:name="_Toc184314467"/>
      <w:bookmarkEnd w:id="443"/>
      <w:bookmarkStart w:id="444" w:name="_Toc184314442"/>
      <w:bookmarkEnd w:id="444"/>
      <w:bookmarkStart w:id="445" w:name="_Toc184308106"/>
      <w:bookmarkEnd w:id="445"/>
      <w:bookmarkStart w:id="446" w:name="_Toc184312100"/>
      <w:bookmarkEnd w:id="446"/>
      <w:bookmarkStart w:id="447" w:name="_Toc184310278"/>
      <w:bookmarkEnd w:id="447"/>
      <w:bookmarkStart w:id="448" w:name="_Toc184308043"/>
      <w:bookmarkEnd w:id="448"/>
      <w:bookmarkStart w:id="449" w:name="_Toc184314450"/>
      <w:bookmarkEnd w:id="449"/>
      <w:bookmarkStart w:id="450" w:name="_Toc184313266"/>
      <w:bookmarkEnd w:id="450"/>
      <w:bookmarkStart w:id="451" w:name="_Toc184312108"/>
      <w:bookmarkEnd w:id="451"/>
      <w:bookmarkStart w:id="452" w:name="_Toc184313273"/>
      <w:bookmarkEnd w:id="452"/>
      <w:bookmarkStart w:id="453" w:name="_Toc184312109"/>
      <w:bookmarkEnd w:id="453"/>
      <w:bookmarkStart w:id="454" w:name="_Toc184313293"/>
      <w:bookmarkEnd w:id="454"/>
      <w:bookmarkStart w:id="455" w:name="_Toc184310319"/>
      <w:bookmarkEnd w:id="455"/>
      <w:bookmarkStart w:id="456" w:name="_Toc184312112"/>
      <w:bookmarkEnd w:id="456"/>
      <w:bookmarkStart w:id="457" w:name="_Toc184314459"/>
      <w:bookmarkEnd w:id="457"/>
      <w:bookmarkStart w:id="458" w:name="_Toc184312093"/>
      <w:bookmarkEnd w:id="458"/>
      <w:bookmarkStart w:id="459" w:name="_Toc184313298"/>
      <w:bookmarkEnd w:id="459"/>
      <w:bookmarkStart w:id="460" w:name="_Toc184308105"/>
      <w:bookmarkEnd w:id="460"/>
      <w:bookmarkStart w:id="461" w:name="_Toc184308100"/>
      <w:bookmarkEnd w:id="461"/>
      <w:bookmarkStart w:id="462" w:name="_Toc184313277"/>
      <w:bookmarkEnd w:id="462"/>
      <w:bookmarkStart w:id="463" w:name="_Toc184313244"/>
      <w:bookmarkEnd w:id="463"/>
      <w:bookmarkStart w:id="464" w:name="_Toc184312127"/>
      <w:bookmarkEnd w:id="464"/>
      <w:bookmarkStart w:id="465" w:name="_Toc184310305"/>
      <w:bookmarkEnd w:id="465"/>
      <w:bookmarkStart w:id="466" w:name="_Toc184310344"/>
      <w:bookmarkEnd w:id="466"/>
      <w:r>
        <w:rPr>
          <w:rFonts w:hint="eastAsia" w:ascii="宋体" w:hAnsi="宋体" w:cs="宋体"/>
          <w:b/>
          <w:color w:val="auto"/>
          <w:sz w:val="36"/>
          <w:szCs w:val="36"/>
          <w:highlight w:val="none"/>
        </w:rPr>
        <w:t>评标办法</w:t>
      </w:r>
      <w:bookmarkEnd w:id="100"/>
      <w:bookmarkEnd w:id="101"/>
    </w:p>
    <w:p w14:paraId="4947811D">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35EB1FD7">
      <w:pPr>
        <w:spacing w:line="500" w:lineRule="exact"/>
        <w:ind w:firstLine="482" w:firstLineChars="200"/>
        <w:outlineLvl w:val="1"/>
        <w:rPr>
          <w:rFonts w:hint="default" w:ascii="宋体" w:hAnsi="宋体" w:eastAsia="宋体" w:cs="宋体"/>
          <w:b/>
          <w:bCs/>
          <w:color w:val="auto"/>
          <w:sz w:val="24"/>
          <w:szCs w:val="24"/>
          <w:highlight w:val="none"/>
          <w:u w:val="none"/>
          <w:lang w:val="en-US" w:eastAsia="zh-CN"/>
        </w:rPr>
      </w:pPr>
      <w:r>
        <w:rPr>
          <w:rFonts w:hint="eastAsia" w:ascii="宋体" w:hAnsi="宋体"/>
          <w:b/>
          <w:color w:val="auto"/>
          <w:sz w:val="24"/>
          <w:szCs w:val="24"/>
          <w:highlight w:val="none"/>
          <w:lang w:val="en-US" w:eastAsia="zh-CN"/>
        </w:rPr>
        <w:t>载玻片激光打码机、角膜地形图检查仪等设备购置项目01分标：</w:t>
      </w: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10"/>
        <w:gridCol w:w="1615"/>
        <w:gridCol w:w="5880"/>
      </w:tblGrid>
      <w:tr w14:paraId="6A0A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4" w:type="dxa"/>
            <w:gridSpan w:val="2"/>
            <w:tcBorders>
              <w:top w:val="single" w:color="auto" w:sz="4" w:space="0"/>
              <w:left w:val="single" w:color="auto" w:sz="4" w:space="0"/>
              <w:bottom w:val="single" w:color="auto" w:sz="4" w:space="0"/>
              <w:right w:val="single" w:color="auto" w:sz="4" w:space="0"/>
            </w:tcBorders>
            <w:vAlign w:val="center"/>
          </w:tcPr>
          <w:p w14:paraId="068273C6">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7BE122E6">
            <w:pPr>
              <w:wordWrap w:val="0"/>
              <w:adjustRightIn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评审因素</w:t>
            </w:r>
          </w:p>
        </w:tc>
        <w:tc>
          <w:tcPr>
            <w:tcW w:w="5880" w:type="dxa"/>
            <w:tcBorders>
              <w:top w:val="single" w:color="auto" w:sz="4" w:space="0"/>
              <w:left w:val="single" w:color="auto" w:sz="4" w:space="0"/>
              <w:bottom w:val="single" w:color="auto" w:sz="4" w:space="0"/>
              <w:right w:val="single" w:color="auto" w:sz="4" w:space="0"/>
            </w:tcBorders>
            <w:vAlign w:val="center"/>
          </w:tcPr>
          <w:p w14:paraId="42E3D867">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评标标准</w:t>
            </w:r>
          </w:p>
        </w:tc>
      </w:tr>
      <w:tr w14:paraId="4051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1D774EAB">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610" w:type="dxa"/>
            <w:tcBorders>
              <w:top w:val="single" w:color="auto" w:sz="4" w:space="0"/>
              <w:left w:val="single" w:color="auto" w:sz="4" w:space="0"/>
              <w:bottom w:val="single" w:color="auto" w:sz="4" w:space="0"/>
              <w:right w:val="single" w:color="auto" w:sz="4" w:space="0"/>
            </w:tcBorders>
            <w:vAlign w:val="center"/>
          </w:tcPr>
          <w:p w14:paraId="18EFF624">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价格分</w:t>
            </w:r>
          </w:p>
          <w:p w14:paraId="3BBF7F6D">
            <w:pPr>
              <w:wordWrap w:val="0"/>
              <w:adjustRightIn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（满分</w:t>
            </w:r>
            <w:r>
              <w:rPr>
                <w:rFonts w:hint="eastAsia" w:ascii="宋体" w:hAnsi="宋体" w:eastAsia="宋体" w:cs="宋体"/>
                <w:b/>
                <w:bCs/>
                <w:color w:val="auto"/>
                <w:sz w:val="24"/>
                <w:szCs w:val="24"/>
                <w:highlight w:val="none"/>
                <w:u w:val="none"/>
              </w:rPr>
              <w:t>30</w:t>
            </w:r>
            <w:r>
              <w:rPr>
                <w:rFonts w:hint="eastAsia" w:ascii="宋体" w:hAnsi="宋体" w:eastAsia="宋体" w:cs="宋体"/>
                <w:b/>
                <w:bCs/>
                <w:color w:val="auto"/>
                <w:sz w:val="24"/>
                <w:szCs w:val="24"/>
                <w:highlight w:val="none"/>
              </w:rPr>
              <w:t>分）</w:t>
            </w:r>
          </w:p>
        </w:tc>
        <w:tc>
          <w:tcPr>
            <w:tcW w:w="1615" w:type="dxa"/>
            <w:tcBorders>
              <w:top w:val="single" w:color="auto" w:sz="4" w:space="0"/>
              <w:left w:val="single" w:color="auto" w:sz="4" w:space="0"/>
              <w:bottom w:val="single" w:color="auto" w:sz="4" w:space="0"/>
              <w:right w:val="single" w:color="auto" w:sz="4" w:space="0"/>
            </w:tcBorders>
            <w:vAlign w:val="center"/>
          </w:tcPr>
          <w:p w14:paraId="246E396B">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w:t>
            </w:r>
          </w:p>
        </w:tc>
        <w:tc>
          <w:tcPr>
            <w:tcW w:w="5880" w:type="dxa"/>
            <w:tcBorders>
              <w:top w:val="single" w:color="auto" w:sz="4" w:space="0"/>
              <w:left w:val="single" w:color="auto" w:sz="4" w:space="0"/>
              <w:bottom w:val="single" w:color="auto" w:sz="4" w:space="0"/>
              <w:right w:val="single" w:color="auto" w:sz="4" w:space="0"/>
            </w:tcBorders>
            <w:vAlign w:val="center"/>
          </w:tcPr>
          <w:p w14:paraId="143DF63B">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（1）评标价为投标人的投标报价进行政策性扣除后的价格，评标价只是作为评标时使用。最终中标人的中标金额＝投标报价。</w:t>
            </w:r>
          </w:p>
          <w:p w14:paraId="7B457CD3">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政府采购促进中小企业发展管理办法》（财库〔2020〕46号）及《广西壮族自治区财政厅关于持续优化政府采购营商环境推动高质量发展的通知》（桂财采〔2024〕55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068623E">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B873A37">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（4）政策性扣除计算方法。</w:t>
            </w:r>
          </w:p>
          <w:p w14:paraId="48DA35FC">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货物采购项目中，供应商所投标全部货物为小型或者微型企业货物的。对符合上述要求的投标人的投标报价给予20%的扣除，扣除后的价格为评标报价，即评标报价=投标报价×（1-20%）。除上述情况外，评标报价=投标报价。</w:t>
            </w:r>
          </w:p>
          <w:p w14:paraId="01490CD2">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（5）以进入综合评分环节的最低的评标报价为基准价，基准价报价得分为30分。</w:t>
            </w:r>
          </w:p>
          <w:p w14:paraId="50C59658">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（6）价格分计算公式：        </w:t>
            </w:r>
          </w:p>
          <w:p w14:paraId="5EAA97FE">
            <w:pPr>
              <w:keepNext w:val="0"/>
              <w:keepLines w:val="0"/>
              <w:pageBreakBefore w:val="0"/>
              <w:widowControl w:val="0"/>
              <w:kinsoku/>
              <w:wordWrap w:val="0"/>
              <w:overflowPunct/>
              <w:topLinePunct w:val="0"/>
              <w:bidi w:val="0"/>
              <w:spacing w:line="400" w:lineRule="exact"/>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某投标人价格分=基准价/某投标人评标报价金额×30分</w:t>
            </w:r>
          </w:p>
          <w:p w14:paraId="72E4B1FC">
            <w:pPr>
              <w:keepNext w:val="0"/>
              <w:keepLines w:val="0"/>
              <w:pageBreakBefore w:val="0"/>
              <w:kinsoku/>
              <w:wordWrap w:val="0"/>
              <w:overflowPunct/>
              <w:topLinePunct w:val="0"/>
              <w:bidi w:val="0"/>
              <w:spacing w:line="40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99C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jc w:val="center"/>
        </w:trPr>
        <w:tc>
          <w:tcPr>
            <w:tcW w:w="534" w:type="dxa"/>
            <w:vMerge w:val="restart"/>
            <w:tcBorders>
              <w:top w:val="nil"/>
              <w:left w:val="single" w:color="auto" w:sz="4" w:space="0"/>
              <w:right w:val="single" w:color="auto" w:sz="4" w:space="0"/>
            </w:tcBorders>
            <w:vAlign w:val="center"/>
          </w:tcPr>
          <w:p w14:paraId="7891D85C">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610" w:type="dxa"/>
            <w:vMerge w:val="restart"/>
            <w:tcBorders>
              <w:top w:val="nil"/>
              <w:left w:val="single" w:color="auto" w:sz="4" w:space="0"/>
              <w:right w:val="single" w:color="auto" w:sz="4" w:space="0"/>
            </w:tcBorders>
            <w:vAlign w:val="center"/>
          </w:tcPr>
          <w:p w14:paraId="5A9219F3">
            <w:pPr>
              <w:wordWrap w:val="0"/>
              <w:adjustRightInd w:val="0"/>
              <w:spacing w:line="400" w:lineRule="exact"/>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技术分</w:t>
            </w:r>
          </w:p>
          <w:p w14:paraId="6EB14816">
            <w:pPr>
              <w:wordWrap w:val="0"/>
              <w:adjustRightInd w:val="0"/>
              <w:spacing w:line="400" w:lineRule="exact"/>
              <w:jc w:val="center"/>
              <w:textAlignment w:val="baseline"/>
              <w:rPr>
                <w:rFonts w:hint="eastAsia" w:ascii="宋体" w:hAnsi="宋体" w:eastAsia="宋体" w:cs="宋体"/>
                <w:color w:val="auto"/>
                <w:spacing w:val="-18"/>
                <w:sz w:val="24"/>
                <w:szCs w:val="24"/>
                <w:highlight w:val="none"/>
              </w:rPr>
            </w:pPr>
            <w:r>
              <w:rPr>
                <w:rFonts w:hint="eastAsia" w:ascii="宋体" w:hAnsi="宋体" w:eastAsia="宋体" w:cs="宋体"/>
                <w:b/>
                <w:color w:val="auto"/>
                <w:sz w:val="24"/>
                <w:szCs w:val="24"/>
                <w:highlight w:val="none"/>
              </w:rPr>
              <w:t>（满分</w:t>
            </w:r>
            <w:r>
              <w:rPr>
                <w:rFonts w:hint="eastAsia" w:ascii="宋体" w:hAnsi="宋体" w:cs="宋体"/>
                <w:b/>
                <w:color w:val="auto"/>
                <w:sz w:val="24"/>
                <w:szCs w:val="24"/>
                <w:highlight w:val="none"/>
                <w:u w:val="none"/>
                <w:lang w:val="en-US" w:eastAsia="zh-CN"/>
              </w:rPr>
              <w:t>39</w:t>
            </w:r>
            <w:r>
              <w:rPr>
                <w:rFonts w:hint="eastAsia" w:ascii="宋体" w:hAnsi="宋体" w:eastAsia="宋体" w:cs="宋体"/>
                <w:b/>
                <w:color w:val="auto"/>
                <w:sz w:val="24"/>
                <w:szCs w:val="24"/>
                <w:highlight w:val="none"/>
              </w:rPr>
              <w:t>分）</w:t>
            </w:r>
          </w:p>
        </w:tc>
        <w:tc>
          <w:tcPr>
            <w:tcW w:w="1615" w:type="dxa"/>
            <w:tcBorders>
              <w:top w:val="single" w:color="auto" w:sz="4" w:space="0"/>
              <w:left w:val="single" w:color="auto" w:sz="4" w:space="0"/>
              <w:right w:val="single" w:color="auto" w:sz="4" w:space="0"/>
            </w:tcBorders>
            <w:vAlign w:val="center"/>
          </w:tcPr>
          <w:p w14:paraId="5B09DE52">
            <w:pPr>
              <w:widowControl/>
              <w:wordWrap w:val="0"/>
              <w:adjustRightInd w:val="0"/>
              <w:snapToGrid w:val="0"/>
              <w:spacing w:line="400" w:lineRule="exact"/>
              <w:jc w:val="center"/>
              <w:textAlignment w:val="center"/>
              <w:rPr>
                <w:rFonts w:hint="eastAsia" w:ascii="宋体" w:hAnsi="宋体" w:eastAsia="宋体" w:cs="宋体"/>
                <w:color w:val="auto"/>
                <w:sz w:val="24"/>
                <w:szCs w:val="24"/>
                <w:highlight w:val="none"/>
                <w:u w:val="single"/>
              </w:rPr>
            </w:pPr>
            <w:r>
              <w:rPr>
                <w:rFonts w:hint="eastAsia" w:ascii="宋体" w:hAnsi="宋体" w:eastAsia="宋体" w:cs="宋体"/>
                <w:b/>
                <w:bCs/>
                <w:color w:val="auto"/>
                <w:kern w:val="0"/>
                <w:sz w:val="24"/>
                <w:szCs w:val="24"/>
                <w:highlight w:val="none"/>
              </w:rPr>
              <w:t>货物性能分（满分</w:t>
            </w:r>
            <w:r>
              <w:rPr>
                <w:rFonts w:hint="eastAsia" w:ascii="宋体" w:hAnsi="宋体" w:cs="宋体"/>
                <w:b/>
                <w:bCs/>
                <w:color w:val="auto"/>
                <w:kern w:val="0"/>
                <w:sz w:val="24"/>
                <w:szCs w:val="24"/>
                <w:highlight w:val="none"/>
                <w:lang w:val="en-US" w:eastAsia="zh-CN"/>
              </w:rPr>
              <w:t>12</w:t>
            </w:r>
            <w:r>
              <w:rPr>
                <w:rFonts w:hint="eastAsia" w:ascii="宋体" w:hAnsi="宋体" w:eastAsia="宋体" w:cs="宋体"/>
                <w:b/>
                <w:bCs/>
                <w:color w:val="auto"/>
                <w:kern w:val="0"/>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00D4392B">
            <w:pPr>
              <w:keepNext w:val="0"/>
              <w:keepLines w:val="0"/>
              <w:pageBreakBefore w:val="0"/>
              <w:widowControl/>
              <w:numPr>
                <w:ilvl w:val="0"/>
                <w:numId w:val="0"/>
              </w:numPr>
              <w:kinsoku/>
              <w:wordWrap w:val="0"/>
              <w:overflowPunct/>
              <w:topLinePunct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通过资格与符合性审查的投标人，投标文件对采购需求应答的</w:t>
            </w:r>
            <w:r>
              <w:rPr>
                <w:rFonts w:hint="eastAsia" w:ascii="宋体" w:hAnsi="宋体" w:eastAsia="宋体" w:cs="宋体"/>
                <w:color w:val="auto"/>
                <w:kern w:val="0"/>
                <w:sz w:val="24"/>
                <w:szCs w:val="24"/>
                <w:highlight w:val="none"/>
                <w:lang w:val="en-US" w:eastAsia="zh-CN"/>
              </w:rPr>
              <w:t>标注</w:t>
            </w:r>
            <w:r>
              <w:rPr>
                <w:rFonts w:hint="eastAsia" w:ascii="宋体" w:hAnsi="宋体" w:cs="宋体"/>
                <w:color w:val="auto"/>
                <w:kern w:val="0"/>
                <w:sz w:val="24"/>
                <w:szCs w:val="24"/>
                <w:highlight w:val="none"/>
                <w:lang w:val="en-US" w:eastAsia="zh-CN"/>
              </w:rPr>
              <w:t>“</w:t>
            </w:r>
            <w:r>
              <w:rPr>
                <w:rFonts w:hint="eastAsia" w:ascii="宋体" w:hAnsi="宋体" w:eastAsia="宋体" w:cs="宋体"/>
                <w:b w:val="0"/>
                <w:bCs/>
                <w:color w:val="auto"/>
                <w:sz w:val="24"/>
                <w:szCs w:val="24"/>
                <w:highlight w:val="none"/>
              </w:rPr>
              <w:t>◆</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技术参数无负偏离的得</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分，满分</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分，存在负偏离的，得分=该项满分分值</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分-累计扣分分值，扣完满分分值为止；</w:t>
            </w:r>
            <w:r>
              <w:rPr>
                <w:rFonts w:hint="eastAsia" w:ascii="宋体" w:hAnsi="宋体" w:eastAsia="宋体" w:cs="宋体"/>
                <w:b/>
                <w:bCs/>
                <w:color w:val="auto"/>
                <w:sz w:val="24"/>
                <w:szCs w:val="24"/>
                <w:highlight w:val="none"/>
              </w:rPr>
              <w:t>技术参数负</w:t>
            </w:r>
            <w:r>
              <w:rPr>
                <w:rFonts w:hint="eastAsia" w:ascii="宋体" w:hAnsi="宋体" w:eastAsia="宋体" w:cs="宋体"/>
                <w:b/>
                <w:bCs/>
                <w:color w:val="auto"/>
                <w:kern w:val="0"/>
                <w:sz w:val="24"/>
                <w:szCs w:val="24"/>
                <w:highlight w:val="none"/>
              </w:rPr>
              <w:t>偏离的项目数超过招标文件技术要求允许偏离的项目数，按</w:t>
            </w:r>
            <w:r>
              <w:rPr>
                <w:rFonts w:hint="eastAsia" w:ascii="宋体" w:hAnsi="宋体" w:eastAsia="宋体" w:cs="宋体"/>
                <w:b/>
                <w:bCs/>
                <w:color w:val="auto"/>
                <w:sz w:val="24"/>
                <w:szCs w:val="24"/>
                <w:highlight w:val="none"/>
              </w:rPr>
              <w:t>无效投标处理</w:t>
            </w:r>
            <w:r>
              <w:rPr>
                <w:rFonts w:hint="eastAsia" w:ascii="宋体" w:hAnsi="宋体" w:eastAsia="宋体" w:cs="宋体"/>
                <w:b/>
                <w:bCs/>
                <w:color w:val="auto"/>
                <w:kern w:val="0"/>
                <w:sz w:val="24"/>
                <w:szCs w:val="24"/>
                <w:highlight w:val="none"/>
              </w:rPr>
              <w:t>。</w:t>
            </w:r>
          </w:p>
          <w:p w14:paraId="52904F3B">
            <w:pPr>
              <w:keepNext w:val="0"/>
              <w:keepLines w:val="0"/>
              <w:pageBreakBefore w:val="0"/>
              <w:widowControl/>
              <w:numPr>
                <w:ilvl w:val="0"/>
                <w:numId w:val="0"/>
              </w:numPr>
              <w:kinsoku/>
              <w:wordWrap w:val="0"/>
              <w:overflowPunct/>
              <w:topLinePunct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具体的扣分标准如下：</w:t>
            </w:r>
          </w:p>
          <w:p w14:paraId="6F6F60AE">
            <w:pPr>
              <w:keepNext w:val="0"/>
              <w:keepLines w:val="0"/>
              <w:pageBreakBefore w:val="0"/>
              <w:widowControl/>
              <w:kinsoku/>
              <w:wordWrap w:val="0"/>
              <w:overflowPunct/>
              <w:topLinePunct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技术参数负偏离的</w:t>
            </w:r>
            <w:r>
              <w:rPr>
                <w:rFonts w:hint="eastAsia" w:ascii="宋体" w:hAnsi="宋体" w:eastAsia="宋体" w:cs="宋体"/>
                <w:color w:val="auto"/>
                <w:kern w:val="0"/>
                <w:sz w:val="24"/>
                <w:szCs w:val="24"/>
                <w:highlight w:val="none"/>
              </w:rPr>
              <w:t>扣</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扣完即止（以技术要求偏离表的偏离情况</w:t>
            </w:r>
            <w:r>
              <w:rPr>
                <w:rFonts w:hint="eastAsia" w:ascii="宋体" w:hAnsi="宋体" w:eastAsia="宋体" w:cs="宋体"/>
                <w:color w:val="auto"/>
                <w:kern w:val="0"/>
                <w:sz w:val="24"/>
                <w:szCs w:val="24"/>
                <w:highlight w:val="none"/>
                <w:lang w:val="en-US" w:eastAsia="zh-CN"/>
              </w:rPr>
              <w:t>或提供的依据</w:t>
            </w:r>
            <w:r>
              <w:rPr>
                <w:rFonts w:hint="eastAsia" w:ascii="宋体" w:hAnsi="宋体" w:eastAsia="宋体" w:cs="宋体"/>
                <w:color w:val="auto"/>
                <w:kern w:val="0"/>
                <w:sz w:val="24"/>
                <w:szCs w:val="24"/>
                <w:highlight w:val="none"/>
              </w:rPr>
              <w:t>资料进行评定）。</w:t>
            </w:r>
          </w:p>
        </w:tc>
      </w:tr>
      <w:tr w14:paraId="6D66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vAlign w:val="center"/>
          </w:tcPr>
          <w:p w14:paraId="5244D773">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0" w:type="dxa"/>
            <w:vMerge w:val="continue"/>
            <w:tcBorders>
              <w:left w:val="single" w:color="auto" w:sz="4" w:space="0"/>
              <w:right w:val="single" w:color="auto" w:sz="4" w:space="0"/>
            </w:tcBorders>
            <w:vAlign w:val="center"/>
          </w:tcPr>
          <w:p w14:paraId="2E8A68CF">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03FD6029">
            <w:pPr>
              <w:wordWrap w:val="0"/>
              <w:adjustRightInd w:val="0"/>
              <w:spacing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项目实施方案分</w:t>
            </w:r>
            <w:r>
              <w:rPr>
                <w:rFonts w:hint="eastAsia" w:ascii="宋体" w:hAnsi="宋体" w:eastAsia="宋体" w:cs="宋体"/>
                <w:b/>
                <w:bCs/>
                <w:color w:val="auto"/>
                <w:sz w:val="24"/>
                <w:szCs w:val="24"/>
                <w:highlight w:val="none"/>
                <w:u w:val="none"/>
              </w:rPr>
              <w:t>（满分</w:t>
            </w:r>
            <w:r>
              <w:rPr>
                <w:rFonts w:hint="eastAsia" w:ascii="宋体" w:hAnsi="宋体" w:eastAsia="宋体" w:cs="宋体"/>
                <w:b/>
                <w:bCs/>
                <w:color w:val="auto"/>
                <w:sz w:val="24"/>
                <w:szCs w:val="24"/>
                <w:highlight w:val="none"/>
                <w:u w:val="none"/>
                <w:lang w:val="en-US" w:eastAsia="zh-CN"/>
              </w:rPr>
              <w:t>1</w:t>
            </w:r>
            <w:r>
              <w:rPr>
                <w:rFonts w:hint="eastAsia" w:ascii="宋体" w:hAnsi="宋体" w:cs="宋体"/>
                <w:b/>
                <w:bCs/>
                <w:color w:val="auto"/>
                <w:sz w:val="24"/>
                <w:szCs w:val="24"/>
                <w:highlight w:val="none"/>
                <w:u w:val="none"/>
                <w:lang w:val="en-US" w:eastAsia="zh-CN"/>
              </w:rPr>
              <w:t>6</w:t>
            </w:r>
            <w:r>
              <w:rPr>
                <w:rFonts w:hint="eastAsia" w:ascii="宋体" w:hAnsi="宋体" w:eastAsia="宋体" w:cs="宋体"/>
                <w:b/>
                <w:bCs/>
                <w:color w:val="auto"/>
                <w:sz w:val="24"/>
                <w:szCs w:val="24"/>
                <w:highlight w:val="none"/>
                <w:u w:val="none"/>
              </w:rPr>
              <w:t>分</w:t>
            </w:r>
            <w:r>
              <w:rPr>
                <w:rFonts w:hint="eastAsia" w:ascii="宋体" w:hAnsi="宋体" w:eastAsia="宋体" w:cs="宋体"/>
                <w:b/>
                <w:bCs/>
                <w:color w:val="auto"/>
                <w:sz w:val="24"/>
                <w:szCs w:val="24"/>
                <w:highlight w:val="none"/>
              </w:rPr>
              <w:t>）</w:t>
            </w:r>
          </w:p>
        </w:tc>
        <w:tc>
          <w:tcPr>
            <w:tcW w:w="5880" w:type="dxa"/>
            <w:tcBorders>
              <w:top w:val="single" w:color="auto" w:sz="4" w:space="0"/>
              <w:left w:val="single" w:color="auto" w:sz="4" w:space="0"/>
              <w:bottom w:val="single" w:color="auto" w:sz="4" w:space="0"/>
              <w:right w:val="single" w:color="auto" w:sz="4" w:space="0"/>
            </w:tcBorders>
            <w:vAlign w:val="center"/>
          </w:tcPr>
          <w:p w14:paraId="7B262325">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分）：提供的项目实施方案要点不清晰，不完整，无具体措施。</w:t>
            </w:r>
          </w:p>
          <w:p w14:paraId="1566DFED">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分）：方案包含详细</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管理措施和具体实施流程等，整体方案符合实际情况的。</w:t>
            </w:r>
          </w:p>
          <w:p w14:paraId="517EB4F8">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分）：在满足二档的基础上，方案包含详细完善</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进度安排和风险防范措施，整体方案针对性强，可行性高。</w:t>
            </w:r>
          </w:p>
          <w:p w14:paraId="41039698">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四档（</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分）：在满足三档的基础上，方案</w:t>
            </w:r>
            <w:r>
              <w:rPr>
                <w:rFonts w:hint="eastAsia" w:ascii="宋体" w:hAnsi="宋体" w:eastAsia="宋体" w:cs="宋体"/>
                <w:bCs/>
                <w:color w:val="auto"/>
                <w:sz w:val="24"/>
                <w:szCs w:val="24"/>
                <w:highlight w:val="none"/>
                <w:lang w:val="en-US" w:eastAsia="zh-CN"/>
              </w:rPr>
              <w:t>包含</w:t>
            </w:r>
            <w:r>
              <w:rPr>
                <w:rFonts w:hint="eastAsia" w:ascii="宋体" w:hAnsi="宋体" w:eastAsia="宋体" w:cs="宋体"/>
                <w:bCs/>
                <w:color w:val="auto"/>
                <w:sz w:val="24"/>
                <w:szCs w:val="24"/>
                <w:highlight w:val="none"/>
              </w:rPr>
              <w:t>详细全面完善的功能说明、性能指标及设备选型说明（质量、性能、价格、外观、体积等方面进行比较和选择的理由及过程），及详细的供货、</w:t>
            </w:r>
            <w:r>
              <w:rPr>
                <w:rFonts w:hint="eastAsia" w:ascii="宋体" w:hAnsi="宋体" w:eastAsia="宋体" w:cs="宋体"/>
                <w:color w:val="auto"/>
                <w:sz w:val="24"/>
                <w:szCs w:val="24"/>
                <w:highlight w:val="none"/>
              </w:rPr>
              <w:t>安装、调试方法；</w:t>
            </w:r>
            <w:r>
              <w:rPr>
                <w:rFonts w:hint="eastAsia" w:ascii="宋体" w:hAnsi="宋体" w:eastAsia="宋体" w:cs="宋体"/>
                <w:bCs/>
                <w:color w:val="auto"/>
                <w:sz w:val="24"/>
                <w:szCs w:val="24"/>
                <w:highlight w:val="none"/>
              </w:rPr>
              <w:t>整体方案针对性强，可行性高。</w:t>
            </w:r>
          </w:p>
          <w:p w14:paraId="71515141">
            <w:pPr>
              <w:keepNext w:val="0"/>
              <w:keepLines w:val="0"/>
              <w:pageBreakBefore w:val="0"/>
              <w:widowControl w:val="0"/>
              <w:kinsoku/>
              <w:wordWrap w:val="0"/>
              <w:overflowPunct/>
              <w:topLinePunct w:val="0"/>
              <w:bidi w:val="0"/>
              <w:spacing w:before="0" w:beforeAutospacing="0" w:after="0" w:afterAutospacing="0" w:line="400" w:lineRule="exact"/>
              <w:ind w:left="0" w:lef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未提供项目实施方案或方案内容未达到一档要求的不得分。</w:t>
            </w:r>
          </w:p>
        </w:tc>
      </w:tr>
      <w:tr w14:paraId="55BB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bottom w:val="single" w:color="auto" w:sz="4" w:space="0"/>
              <w:right w:val="single" w:color="auto" w:sz="4" w:space="0"/>
            </w:tcBorders>
            <w:vAlign w:val="center"/>
          </w:tcPr>
          <w:p w14:paraId="794E4B40">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0" w:type="dxa"/>
            <w:vMerge w:val="continue"/>
            <w:tcBorders>
              <w:left w:val="single" w:color="auto" w:sz="4" w:space="0"/>
              <w:bottom w:val="single" w:color="auto" w:sz="4" w:space="0"/>
              <w:right w:val="single" w:color="auto" w:sz="4" w:space="0"/>
            </w:tcBorders>
            <w:vAlign w:val="center"/>
          </w:tcPr>
          <w:p w14:paraId="576D1024">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482FF615">
            <w:pPr>
              <w:wordWrap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项目质量控制措施（满分</w:t>
            </w:r>
            <w:r>
              <w:rPr>
                <w:rFonts w:hint="eastAsia" w:ascii="宋体" w:hAnsi="宋体" w:cs="宋体"/>
                <w:b/>
                <w:color w:val="auto"/>
                <w:sz w:val="24"/>
                <w:szCs w:val="24"/>
                <w:highlight w:val="none"/>
                <w:lang w:val="en-US" w:eastAsia="zh-CN"/>
              </w:rPr>
              <w:t>11</w:t>
            </w:r>
            <w:r>
              <w:rPr>
                <w:rFonts w:hint="eastAsia" w:ascii="宋体" w:hAnsi="宋体" w:eastAsia="宋体" w:cs="宋体"/>
                <w:b/>
                <w:color w:val="auto"/>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top"/>
          </w:tcPr>
          <w:p w14:paraId="78617D35">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提出项目质量控制措施，可以包括（1）工序设置与管理方案、（2）质量控制及验收方案、（3）业务培训机制、（4）质检岗位职责等，从方案的合理、针对性等内容评分：</w:t>
            </w:r>
          </w:p>
          <w:p w14:paraId="1BA9ED68">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一档（</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分）：内容不够完整，仅针对上述2项及以下内容进行阐述，</w:t>
            </w:r>
            <w:r>
              <w:rPr>
                <w:rFonts w:hint="eastAsia" w:ascii="宋体" w:hAnsi="宋体" w:eastAsia="宋体" w:cs="宋体"/>
                <w:bCs/>
                <w:color w:val="auto"/>
                <w:sz w:val="24"/>
                <w:szCs w:val="24"/>
                <w:highlight w:val="none"/>
              </w:rPr>
              <w:t>与需求偏离较大，不切合实际，内容冗杂、多余。</w:t>
            </w:r>
          </w:p>
          <w:p w14:paraId="2E90B362">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二档（</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分）：内容基本完整，针对上述3项及以上内容进行阐述，</w:t>
            </w:r>
            <w:r>
              <w:rPr>
                <w:rFonts w:hint="eastAsia" w:ascii="宋体" w:hAnsi="宋体" w:eastAsia="宋体" w:cs="宋体"/>
                <w:bCs/>
                <w:color w:val="auto"/>
                <w:sz w:val="24"/>
                <w:szCs w:val="24"/>
                <w:highlight w:val="none"/>
              </w:rPr>
              <w:t>需求理解有偏差，符合实际，内容编写水平基本符合要求；</w:t>
            </w:r>
          </w:p>
          <w:p w14:paraId="50965F05">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三档（</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分）：针对上述所有内容均提供有针对性的描述，</w:t>
            </w:r>
            <w:r>
              <w:rPr>
                <w:rFonts w:hint="eastAsia" w:ascii="宋体" w:hAnsi="宋体" w:eastAsia="宋体" w:cs="宋体"/>
                <w:bCs/>
                <w:color w:val="auto"/>
                <w:sz w:val="24"/>
                <w:szCs w:val="24"/>
                <w:highlight w:val="none"/>
              </w:rPr>
              <w:t>方案针对需求，切合实际，内容严谨、简练。</w:t>
            </w:r>
          </w:p>
          <w:p w14:paraId="71B3D4B2">
            <w:pPr>
              <w:keepNext w:val="0"/>
              <w:keepLines w:val="0"/>
              <w:pageBreakBefore w:val="0"/>
              <w:widowControl w:val="0"/>
              <w:kinsoku/>
              <w:wordWrap w:val="0"/>
              <w:overflowPunct/>
              <w:topLinePunct w:val="0"/>
              <w:bidi w:val="0"/>
              <w:spacing w:line="400" w:lineRule="exact"/>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注：未提供项目质量控制措施或方案内容未达到一档要求的不得分。</w:t>
            </w:r>
          </w:p>
        </w:tc>
      </w:tr>
      <w:tr w14:paraId="2FFB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restart"/>
            <w:tcBorders>
              <w:top w:val="nil"/>
              <w:left w:val="single" w:color="auto" w:sz="4" w:space="0"/>
              <w:right w:val="single" w:color="auto" w:sz="4" w:space="0"/>
            </w:tcBorders>
            <w:vAlign w:val="center"/>
          </w:tcPr>
          <w:p w14:paraId="570F0259">
            <w:pPr>
              <w:wordWrap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610" w:type="dxa"/>
            <w:vMerge w:val="restart"/>
            <w:tcBorders>
              <w:top w:val="single" w:color="auto" w:sz="4" w:space="0"/>
              <w:left w:val="single" w:color="auto" w:sz="4" w:space="0"/>
              <w:bottom w:val="single" w:color="auto" w:sz="4" w:space="0"/>
              <w:right w:val="single" w:color="auto" w:sz="4" w:space="0"/>
            </w:tcBorders>
            <w:vAlign w:val="center"/>
          </w:tcPr>
          <w:p w14:paraId="3761B36A">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商务分（满分</w:t>
            </w:r>
            <w:r>
              <w:rPr>
                <w:rFonts w:hint="eastAsia" w:ascii="宋体" w:hAnsi="宋体" w:cs="宋体"/>
                <w:b/>
                <w:color w:val="auto"/>
                <w:sz w:val="24"/>
                <w:szCs w:val="24"/>
                <w:highlight w:val="none"/>
                <w:lang w:val="en-US" w:eastAsia="zh-CN"/>
              </w:rPr>
              <w:t>31</w:t>
            </w:r>
            <w:r>
              <w:rPr>
                <w:rFonts w:hint="eastAsia" w:ascii="宋体" w:hAnsi="宋体" w:eastAsia="宋体" w:cs="宋体"/>
                <w:b/>
                <w:color w:val="auto"/>
                <w:sz w:val="24"/>
                <w:szCs w:val="24"/>
                <w:highlight w:val="none"/>
              </w:rPr>
              <w:t>分）</w:t>
            </w:r>
          </w:p>
        </w:tc>
        <w:tc>
          <w:tcPr>
            <w:tcW w:w="1615" w:type="dxa"/>
            <w:tcBorders>
              <w:top w:val="single" w:color="auto" w:sz="4" w:space="0"/>
              <w:left w:val="single" w:color="auto" w:sz="4" w:space="0"/>
              <w:bottom w:val="single" w:color="auto" w:sz="4" w:space="0"/>
              <w:right w:val="single" w:color="auto" w:sz="4" w:space="0"/>
            </w:tcBorders>
            <w:vAlign w:val="center"/>
          </w:tcPr>
          <w:p w14:paraId="47ADF4DF">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售后服务承诺分</w:t>
            </w:r>
            <w:r>
              <w:rPr>
                <w:rFonts w:hint="eastAsia" w:ascii="宋体" w:hAnsi="宋体" w:eastAsia="宋体" w:cs="宋体"/>
                <w:b/>
                <w:color w:val="auto"/>
                <w:sz w:val="24"/>
                <w:szCs w:val="24"/>
                <w:highlight w:val="none"/>
              </w:rPr>
              <w:t>（满</w:t>
            </w:r>
            <w:r>
              <w:rPr>
                <w:rFonts w:hint="eastAsia" w:ascii="宋体" w:hAnsi="宋体" w:eastAsia="宋体" w:cs="宋体"/>
                <w:b/>
                <w:color w:val="auto"/>
                <w:sz w:val="24"/>
                <w:szCs w:val="24"/>
                <w:highlight w:val="none"/>
                <w:u w:val="none"/>
              </w:rPr>
              <w:t>分</w:t>
            </w:r>
            <w:r>
              <w:rPr>
                <w:rFonts w:hint="eastAsia" w:ascii="宋体" w:hAnsi="宋体" w:cs="宋体"/>
                <w:b/>
                <w:color w:val="auto"/>
                <w:sz w:val="24"/>
                <w:szCs w:val="24"/>
                <w:highlight w:val="none"/>
                <w:u w:val="none"/>
                <w:lang w:val="en-US" w:eastAsia="zh-CN"/>
              </w:rPr>
              <w:t>20</w:t>
            </w:r>
            <w:r>
              <w:rPr>
                <w:rFonts w:hint="eastAsia" w:ascii="宋体" w:hAnsi="宋体" w:eastAsia="宋体" w:cs="宋体"/>
                <w:b/>
                <w:color w:val="auto"/>
                <w:sz w:val="24"/>
                <w:szCs w:val="24"/>
                <w:highlight w:val="none"/>
                <w:u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45B2857B">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color w:val="auto"/>
                <w:sz w:val="24"/>
                <w:szCs w:val="24"/>
                <w:highlight w:val="none"/>
                <w:lang w:val="en-US" w:eastAsia="zh-CN"/>
              </w:rPr>
              <w:t>5</w:t>
            </w:r>
            <w:r>
              <w:rPr>
                <w:rFonts w:hint="eastAsia" w:ascii="宋体" w:hAnsi="宋体" w:eastAsia="宋体" w:cs="宋体"/>
                <w:bCs/>
                <w:color w:val="auto"/>
                <w:sz w:val="24"/>
                <w:szCs w:val="24"/>
                <w:highlight w:val="none"/>
              </w:rPr>
              <w:t>分）：提供的售后服务承诺方案基本满足项目要求，售后服务承诺书中各项措施缺乏针对性。</w:t>
            </w:r>
          </w:p>
          <w:p w14:paraId="0A3498FC">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eastAsia" w:ascii="宋体" w:hAnsi="宋体" w:cs="宋体"/>
                <w:color w:val="auto"/>
                <w:sz w:val="24"/>
                <w:szCs w:val="24"/>
                <w:highlight w:val="none"/>
                <w:lang w:val="en-US" w:eastAsia="zh-CN"/>
              </w:rPr>
              <w:t>10</w:t>
            </w:r>
            <w:r>
              <w:rPr>
                <w:rFonts w:hint="eastAsia" w:ascii="宋体" w:hAnsi="宋体" w:eastAsia="宋体" w:cs="宋体"/>
                <w:bCs/>
                <w:color w:val="auto"/>
                <w:sz w:val="24"/>
                <w:szCs w:val="24"/>
                <w:highlight w:val="none"/>
              </w:rPr>
              <w:t>分）：保障技术维修、培训等服务的时效性和专业性；提供有售后服务体系，经评委评定售后服务方案、实现功能要求的解决方案等基本可行。</w:t>
            </w:r>
          </w:p>
          <w:p w14:paraId="5D014590">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分）：在满足二档的基础上，为保障技术维修、培训等服务的时效性和专业性提供专业性的意见；经评委评定售后服务方案、实现功能要求的解决方案等可行；售后服务体系完善，售后服务保证措施</w:t>
            </w:r>
            <w:r>
              <w:rPr>
                <w:rFonts w:hint="eastAsia" w:ascii="宋体" w:hAnsi="宋体" w:cs="宋体"/>
                <w:bCs/>
                <w:color w:val="auto"/>
                <w:sz w:val="24"/>
                <w:szCs w:val="24"/>
                <w:highlight w:val="none"/>
                <w:lang w:val="en-US" w:eastAsia="zh-CN"/>
              </w:rPr>
              <w:t>合理</w:t>
            </w:r>
            <w:r>
              <w:rPr>
                <w:rFonts w:hint="eastAsia" w:ascii="宋体" w:hAnsi="宋体" w:eastAsia="宋体" w:cs="宋体"/>
                <w:bCs/>
                <w:color w:val="auto"/>
                <w:sz w:val="24"/>
                <w:szCs w:val="24"/>
                <w:highlight w:val="none"/>
              </w:rPr>
              <w:t>，提供备品备件清单，</w:t>
            </w:r>
            <w:r>
              <w:rPr>
                <w:rFonts w:hint="eastAsia" w:ascii="宋体" w:hAnsi="宋体" w:eastAsia="宋体" w:cs="宋体"/>
                <w:bCs/>
                <w:color w:val="auto"/>
                <w:sz w:val="24"/>
                <w:szCs w:val="24"/>
                <w:highlight w:val="none"/>
                <w:lang w:eastAsia="zh-CN"/>
              </w:rPr>
              <w:t>承诺内容</w:t>
            </w:r>
            <w:r>
              <w:rPr>
                <w:rFonts w:hint="eastAsia" w:ascii="宋体" w:hAnsi="宋体" w:eastAsia="宋体" w:cs="宋体"/>
                <w:bCs/>
                <w:color w:val="auto"/>
                <w:sz w:val="24"/>
                <w:szCs w:val="24"/>
                <w:highlight w:val="none"/>
              </w:rPr>
              <w:t>完全满足招标文件要求</w:t>
            </w:r>
            <w:r>
              <w:rPr>
                <w:rFonts w:hint="eastAsia" w:ascii="宋体" w:hAnsi="宋体" w:eastAsia="宋体" w:cs="宋体"/>
                <w:bCs/>
                <w:color w:val="auto"/>
                <w:sz w:val="24"/>
                <w:szCs w:val="24"/>
                <w:highlight w:val="none"/>
                <w:lang w:eastAsia="zh-CN"/>
              </w:rPr>
              <w:t>。</w:t>
            </w:r>
          </w:p>
          <w:p w14:paraId="0F795218">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rPr>
              <w:t>档（</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分）：在满足</w:t>
            </w: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rPr>
              <w:t>档的基础上，为保障技术维修、培训等服务的时效性和专业性提供专业性的意见；经评委评定售后服务方案、实现功能要求的解决方案等详细可行；售后服务体系完善，售后服务保证措施</w:t>
            </w:r>
            <w:r>
              <w:rPr>
                <w:rFonts w:hint="eastAsia" w:ascii="宋体" w:hAnsi="宋体" w:cs="宋体"/>
                <w:bCs/>
                <w:color w:val="auto"/>
                <w:sz w:val="24"/>
                <w:szCs w:val="24"/>
                <w:highlight w:val="none"/>
                <w:lang w:val="en-US" w:eastAsia="zh-CN"/>
              </w:rPr>
              <w:t>详细合理</w:t>
            </w:r>
            <w:r>
              <w:rPr>
                <w:rFonts w:hint="eastAsia" w:ascii="宋体" w:hAnsi="宋体" w:eastAsia="宋体" w:cs="宋体"/>
                <w:bCs/>
                <w:color w:val="auto"/>
                <w:sz w:val="24"/>
                <w:szCs w:val="24"/>
                <w:highlight w:val="none"/>
              </w:rPr>
              <w:t>，提供</w:t>
            </w:r>
            <w:r>
              <w:rPr>
                <w:rFonts w:hint="eastAsia" w:ascii="宋体" w:hAnsi="宋体" w:eastAsia="宋体" w:cs="宋体"/>
                <w:bCs/>
                <w:color w:val="auto"/>
                <w:sz w:val="24"/>
                <w:szCs w:val="24"/>
                <w:highlight w:val="none"/>
                <w:lang w:eastAsia="zh-CN"/>
              </w:rPr>
              <w:t>详细的</w:t>
            </w:r>
            <w:r>
              <w:rPr>
                <w:rFonts w:hint="eastAsia" w:ascii="宋体" w:hAnsi="宋体" w:eastAsia="宋体" w:cs="宋体"/>
                <w:bCs/>
                <w:color w:val="auto"/>
                <w:sz w:val="24"/>
                <w:szCs w:val="24"/>
                <w:highlight w:val="none"/>
              </w:rPr>
              <w:t>备品备件清单，</w:t>
            </w:r>
            <w:r>
              <w:rPr>
                <w:rFonts w:hint="eastAsia" w:ascii="宋体" w:hAnsi="宋体" w:eastAsia="宋体" w:cs="宋体"/>
                <w:bCs/>
                <w:color w:val="auto"/>
                <w:sz w:val="24"/>
                <w:szCs w:val="24"/>
                <w:highlight w:val="none"/>
                <w:lang w:eastAsia="zh-CN"/>
              </w:rPr>
              <w:t>响应时间、解决问题时间、质保期等有优于</w:t>
            </w:r>
            <w:r>
              <w:rPr>
                <w:rFonts w:hint="eastAsia" w:ascii="宋体" w:hAnsi="宋体" w:eastAsia="宋体" w:cs="宋体"/>
                <w:bCs/>
                <w:color w:val="auto"/>
                <w:sz w:val="24"/>
                <w:szCs w:val="24"/>
                <w:highlight w:val="none"/>
              </w:rPr>
              <w:t>招标文件要求，有售后工程师日常技术维护力量及服务的，提供详细的设备操作培训计划。</w:t>
            </w:r>
          </w:p>
          <w:p w14:paraId="34F06598">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方案内容未达到一档要求的不得分。</w:t>
            </w:r>
          </w:p>
        </w:tc>
      </w:tr>
      <w:tr w14:paraId="37A6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vAlign w:val="center"/>
          </w:tcPr>
          <w:p w14:paraId="019DCC6D">
            <w:pPr>
              <w:wordWrap w:val="0"/>
              <w:spacing w:line="400" w:lineRule="exact"/>
              <w:jc w:val="center"/>
              <w:rPr>
                <w:rFonts w:hint="eastAsia" w:ascii="宋体" w:hAnsi="宋体" w:eastAsia="宋体" w:cs="宋体"/>
                <w:b/>
                <w:color w:val="auto"/>
                <w:sz w:val="24"/>
                <w:szCs w:val="24"/>
                <w:highlight w:val="none"/>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14:paraId="32EBF921">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29810702">
            <w:pPr>
              <w:wordWrap w:val="0"/>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设备保修期承诺（满分4分）</w:t>
            </w:r>
          </w:p>
        </w:tc>
        <w:tc>
          <w:tcPr>
            <w:tcW w:w="5880" w:type="dxa"/>
            <w:tcBorders>
              <w:top w:val="single" w:color="auto" w:sz="4" w:space="0"/>
              <w:left w:val="single" w:color="auto" w:sz="4" w:space="0"/>
              <w:bottom w:val="single" w:color="auto" w:sz="4" w:space="0"/>
              <w:right w:val="single" w:color="auto" w:sz="4" w:space="0"/>
            </w:tcBorders>
            <w:vAlign w:val="center"/>
          </w:tcPr>
          <w:p w14:paraId="5CA6E866">
            <w:pPr>
              <w:wordWrap w:val="0"/>
              <w:autoSpaceDE w:val="0"/>
              <w:autoSpaceDN w:val="0"/>
              <w:adjustRightInd w:val="0"/>
              <w:spacing w:line="400" w:lineRule="exact"/>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投标文件中针对本项目采购内容承诺的整体保修期每超过招标文件要求一年的，加2分,本项满分4分。</w:t>
            </w:r>
          </w:p>
        </w:tc>
      </w:tr>
      <w:tr w14:paraId="30B0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vAlign w:val="center"/>
          </w:tcPr>
          <w:p w14:paraId="13EBAE25">
            <w:pPr>
              <w:wordWrap w:val="0"/>
              <w:spacing w:line="400" w:lineRule="exact"/>
              <w:jc w:val="center"/>
              <w:rPr>
                <w:rFonts w:hint="eastAsia" w:ascii="宋体" w:hAnsi="宋体" w:eastAsia="宋体" w:cs="宋体"/>
                <w:b/>
                <w:color w:val="auto"/>
                <w:sz w:val="24"/>
                <w:szCs w:val="24"/>
                <w:highlight w:val="none"/>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14:paraId="770E139E">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3A94467A">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业绩分</w:t>
            </w:r>
          </w:p>
          <w:p w14:paraId="23C9851E">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3F608C99">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投标文件中提供投标人或所投</w:t>
            </w:r>
            <w:r>
              <w:rPr>
                <w:rFonts w:hint="eastAsia" w:ascii="宋体" w:hAnsi="宋体" w:eastAsia="宋体" w:cs="宋体"/>
                <w:color w:val="auto"/>
                <w:sz w:val="24"/>
                <w:szCs w:val="24"/>
                <w:highlight w:val="none"/>
                <w:lang w:val="en-US" w:eastAsia="zh-CN"/>
              </w:rPr>
              <w:t>任意一项</w:t>
            </w:r>
            <w:r>
              <w:rPr>
                <w:rFonts w:hint="eastAsia" w:ascii="宋体" w:hAnsi="宋体" w:eastAsia="宋体" w:cs="宋体"/>
                <w:color w:val="auto"/>
                <w:sz w:val="24"/>
                <w:szCs w:val="24"/>
                <w:highlight w:val="none"/>
              </w:rPr>
              <w:t>产品生产厂商近三年（自202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年1月1日至今）的</w:t>
            </w:r>
            <w:r>
              <w:rPr>
                <w:rFonts w:hint="eastAsia" w:ascii="宋体" w:hAnsi="宋体" w:eastAsia="宋体" w:cs="宋体"/>
                <w:color w:val="auto"/>
                <w:sz w:val="24"/>
                <w:szCs w:val="24"/>
                <w:highlight w:val="none"/>
                <w:lang w:eastAsia="zh-CN"/>
              </w:rPr>
              <w:t>同类项目</w:t>
            </w:r>
            <w:r>
              <w:rPr>
                <w:rFonts w:hint="eastAsia" w:ascii="宋体" w:hAnsi="宋体" w:eastAsia="宋体" w:cs="宋体"/>
                <w:color w:val="auto"/>
                <w:sz w:val="24"/>
                <w:szCs w:val="24"/>
                <w:highlight w:val="none"/>
              </w:rPr>
              <w:t>成交业绩，每提供一个业绩得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分【投标文件中提供中标（成交）通知书或相关采购合同，复印件均须加盖投标人电子公章，否则不得分，相同甲方的业绩按一个计算】</w:t>
            </w:r>
          </w:p>
        </w:tc>
      </w:tr>
      <w:tr w14:paraId="4E38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bottom w:val="single" w:color="auto" w:sz="4" w:space="0"/>
              <w:right w:val="single" w:color="auto" w:sz="4" w:space="0"/>
            </w:tcBorders>
            <w:vAlign w:val="center"/>
          </w:tcPr>
          <w:p w14:paraId="451710D8">
            <w:pPr>
              <w:wordWrap w:val="0"/>
              <w:spacing w:line="400" w:lineRule="exact"/>
              <w:jc w:val="center"/>
              <w:rPr>
                <w:rFonts w:hint="eastAsia" w:ascii="宋体" w:hAnsi="宋体" w:eastAsia="宋体" w:cs="宋体"/>
                <w:b/>
                <w:color w:val="auto"/>
                <w:sz w:val="24"/>
                <w:szCs w:val="24"/>
                <w:highlight w:val="none"/>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14:paraId="7F3C0C50">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right w:val="single" w:color="auto" w:sz="4" w:space="0"/>
            </w:tcBorders>
            <w:vAlign w:val="center"/>
          </w:tcPr>
          <w:p w14:paraId="2F6EE250">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节能、环境标志分（满分</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1B5A5F32">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预算金额比例得</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至</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分，满分</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分。非节能产品的不得分。</w:t>
            </w:r>
          </w:p>
          <w:p w14:paraId="3DD0DD14">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属于财政部《环境标志产品政府采购品目清单》内的产品[投标文件中提供有效的认证证书复印件及品目清单（标注出投标产品在品目清单中所属的品目），并加盖投标人公章]，根据其所占项目预算金额比例得</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至</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分，满分</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分。非环境标志产品的不得分。</w:t>
            </w:r>
          </w:p>
        </w:tc>
      </w:tr>
      <w:tr w14:paraId="17CF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39" w:type="dxa"/>
            <w:gridSpan w:val="4"/>
            <w:tcBorders>
              <w:top w:val="single" w:color="auto" w:sz="4" w:space="0"/>
              <w:left w:val="single" w:color="auto" w:sz="4" w:space="0"/>
              <w:bottom w:val="single" w:color="auto" w:sz="4" w:space="0"/>
              <w:right w:val="single" w:color="auto" w:sz="4" w:space="0"/>
            </w:tcBorders>
            <w:vAlign w:val="center"/>
          </w:tcPr>
          <w:p w14:paraId="43580565">
            <w:pPr>
              <w:wordWrap w:val="0"/>
              <w:spacing w:line="400" w:lineRule="exact"/>
              <w:ind w:firstLine="42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总得分=1+2+3。</w:t>
            </w:r>
          </w:p>
        </w:tc>
      </w:tr>
    </w:tbl>
    <w:p w14:paraId="02259596">
      <w:pPr>
        <w:spacing w:line="500" w:lineRule="exact"/>
        <w:ind w:firstLine="482" w:firstLineChars="200"/>
        <w:outlineLvl w:val="1"/>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载玻片激光打码机、角膜地形图检查仪等设备购置项目02分标：</w:t>
      </w: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10"/>
        <w:gridCol w:w="1615"/>
        <w:gridCol w:w="5880"/>
      </w:tblGrid>
      <w:tr w14:paraId="1C73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4" w:type="dxa"/>
            <w:gridSpan w:val="2"/>
            <w:tcBorders>
              <w:top w:val="single" w:color="auto" w:sz="4" w:space="0"/>
              <w:left w:val="single" w:color="auto" w:sz="4" w:space="0"/>
              <w:bottom w:val="single" w:color="auto" w:sz="4" w:space="0"/>
              <w:right w:val="single" w:color="auto" w:sz="4" w:space="0"/>
            </w:tcBorders>
            <w:vAlign w:val="center"/>
          </w:tcPr>
          <w:p w14:paraId="5A5E5E61">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759F8D4F">
            <w:pPr>
              <w:wordWrap w:val="0"/>
              <w:adjustRightIn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评审因素</w:t>
            </w:r>
          </w:p>
        </w:tc>
        <w:tc>
          <w:tcPr>
            <w:tcW w:w="5880" w:type="dxa"/>
            <w:tcBorders>
              <w:top w:val="single" w:color="auto" w:sz="4" w:space="0"/>
              <w:left w:val="single" w:color="auto" w:sz="4" w:space="0"/>
              <w:bottom w:val="single" w:color="auto" w:sz="4" w:space="0"/>
              <w:right w:val="single" w:color="auto" w:sz="4" w:space="0"/>
            </w:tcBorders>
            <w:vAlign w:val="center"/>
          </w:tcPr>
          <w:p w14:paraId="5CAB38E7">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评标标准</w:t>
            </w:r>
          </w:p>
        </w:tc>
      </w:tr>
      <w:tr w14:paraId="30D0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491DA1F">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610" w:type="dxa"/>
            <w:tcBorders>
              <w:top w:val="single" w:color="auto" w:sz="4" w:space="0"/>
              <w:left w:val="single" w:color="auto" w:sz="4" w:space="0"/>
              <w:bottom w:val="single" w:color="auto" w:sz="4" w:space="0"/>
              <w:right w:val="single" w:color="auto" w:sz="4" w:space="0"/>
            </w:tcBorders>
            <w:vAlign w:val="center"/>
          </w:tcPr>
          <w:p w14:paraId="1D9ECEDE">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价格分</w:t>
            </w:r>
          </w:p>
          <w:p w14:paraId="0E29A182">
            <w:pPr>
              <w:wordWrap w:val="0"/>
              <w:adjustRightIn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（满分</w:t>
            </w:r>
            <w:r>
              <w:rPr>
                <w:rFonts w:hint="eastAsia" w:ascii="宋体" w:hAnsi="宋体" w:eastAsia="宋体" w:cs="宋体"/>
                <w:b/>
                <w:bCs/>
                <w:color w:val="auto"/>
                <w:sz w:val="24"/>
                <w:szCs w:val="24"/>
                <w:highlight w:val="none"/>
                <w:u w:val="none"/>
              </w:rPr>
              <w:t>30</w:t>
            </w:r>
            <w:r>
              <w:rPr>
                <w:rFonts w:hint="eastAsia" w:ascii="宋体" w:hAnsi="宋体" w:eastAsia="宋体" w:cs="宋体"/>
                <w:b/>
                <w:bCs/>
                <w:color w:val="auto"/>
                <w:sz w:val="24"/>
                <w:szCs w:val="24"/>
                <w:highlight w:val="none"/>
              </w:rPr>
              <w:t>分）</w:t>
            </w:r>
          </w:p>
        </w:tc>
        <w:tc>
          <w:tcPr>
            <w:tcW w:w="1615" w:type="dxa"/>
            <w:tcBorders>
              <w:top w:val="single" w:color="auto" w:sz="4" w:space="0"/>
              <w:left w:val="single" w:color="auto" w:sz="4" w:space="0"/>
              <w:bottom w:val="single" w:color="auto" w:sz="4" w:space="0"/>
              <w:right w:val="single" w:color="auto" w:sz="4" w:space="0"/>
            </w:tcBorders>
            <w:vAlign w:val="center"/>
          </w:tcPr>
          <w:p w14:paraId="35F61DE9">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w:t>
            </w:r>
          </w:p>
        </w:tc>
        <w:tc>
          <w:tcPr>
            <w:tcW w:w="5880" w:type="dxa"/>
            <w:tcBorders>
              <w:top w:val="single" w:color="auto" w:sz="4" w:space="0"/>
              <w:left w:val="single" w:color="auto" w:sz="4" w:space="0"/>
              <w:bottom w:val="single" w:color="auto" w:sz="4" w:space="0"/>
              <w:right w:val="single" w:color="auto" w:sz="4" w:space="0"/>
            </w:tcBorders>
            <w:vAlign w:val="center"/>
          </w:tcPr>
          <w:p w14:paraId="7E6DF868">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（1）评标价为投标人的投标报价进行政策性扣除后的价格，评标价只是作为评标时使用。最终中标人的中标金额＝投标报价。</w:t>
            </w:r>
          </w:p>
          <w:p w14:paraId="09B73ADC">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政府采购促进中小企业发展管理办法》（财库〔2020〕46号）及《广西壮族自治区财政厅关于持续优化政府采购营商环境推动高质量发展的通知》（桂财采〔2024〕55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FEB9A4A">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99619D0">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（4）政策性扣除计算方法。</w:t>
            </w:r>
          </w:p>
          <w:p w14:paraId="0B351ADE">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货物采购项目中，供应商所投标全部货物为小型或者微型企业货物的。对符合上述要求的投标人的投标报价给予20%的扣除，扣除后的价格为评标报价，即评标报价=投标报价×（1-20%）。除上述情况外，评标报价=投标报价。</w:t>
            </w:r>
          </w:p>
          <w:p w14:paraId="150C0C85">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（5）以进入综合评分环节的最低的评标报价为基准价，基准价报价得分为30分。</w:t>
            </w:r>
          </w:p>
          <w:p w14:paraId="2EEB0CC9">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（6）价格分计算公式：        </w:t>
            </w:r>
          </w:p>
          <w:p w14:paraId="2EA1C1C4">
            <w:pPr>
              <w:keepNext w:val="0"/>
              <w:keepLines w:val="0"/>
              <w:pageBreakBefore w:val="0"/>
              <w:widowControl w:val="0"/>
              <w:kinsoku/>
              <w:wordWrap w:val="0"/>
              <w:overflowPunct/>
              <w:topLinePunct w:val="0"/>
              <w:bidi w:val="0"/>
              <w:spacing w:line="400" w:lineRule="exact"/>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某投标人价格分=基准价/某投标人评标报价金额×30分</w:t>
            </w:r>
          </w:p>
          <w:p w14:paraId="122ABAD5">
            <w:pPr>
              <w:keepNext w:val="0"/>
              <w:keepLines w:val="0"/>
              <w:pageBreakBefore w:val="0"/>
              <w:kinsoku/>
              <w:wordWrap w:val="0"/>
              <w:overflowPunct/>
              <w:topLinePunct w:val="0"/>
              <w:bidi w:val="0"/>
              <w:spacing w:line="40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411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534" w:type="dxa"/>
            <w:vMerge w:val="restart"/>
            <w:tcBorders>
              <w:top w:val="nil"/>
              <w:left w:val="single" w:color="auto" w:sz="4" w:space="0"/>
              <w:right w:val="single" w:color="auto" w:sz="4" w:space="0"/>
            </w:tcBorders>
            <w:vAlign w:val="center"/>
          </w:tcPr>
          <w:p w14:paraId="5D80969D">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610" w:type="dxa"/>
            <w:vMerge w:val="restart"/>
            <w:tcBorders>
              <w:top w:val="nil"/>
              <w:left w:val="single" w:color="auto" w:sz="4" w:space="0"/>
              <w:right w:val="single" w:color="auto" w:sz="4" w:space="0"/>
            </w:tcBorders>
            <w:vAlign w:val="center"/>
          </w:tcPr>
          <w:p w14:paraId="43269C06">
            <w:pPr>
              <w:wordWrap w:val="0"/>
              <w:adjustRightInd w:val="0"/>
              <w:spacing w:line="400" w:lineRule="exact"/>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技术分</w:t>
            </w:r>
          </w:p>
          <w:p w14:paraId="1EF031DE">
            <w:pPr>
              <w:wordWrap w:val="0"/>
              <w:adjustRightInd w:val="0"/>
              <w:spacing w:line="400" w:lineRule="exact"/>
              <w:jc w:val="center"/>
              <w:textAlignment w:val="baseline"/>
              <w:rPr>
                <w:rFonts w:hint="eastAsia" w:ascii="宋体" w:hAnsi="宋体" w:eastAsia="宋体" w:cs="宋体"/>
                <w:color w:val="auto"/>
                <w:spacing w:val="-18"/>
                <w:sz w:val="24"/>
                <w:szCs w:val="24"/>
                <w:highlight w:val="none"/>
              </w:rPr>
            </w:pPr>
            <w:r>
              <w:rPr>
                <w:rFonts w:hint="eastAsia" w:ascii="宋体" w:hAnsi="宋体" w:eastAsia="宋体" w:cs="宋体"/>
                <w:b/>
                <w:color w:val="auto"/>
                <w:sz w:val="24"/>
                <w:szCs w:val="24"/>
                <w:highlight w:val="none"/>
              </w:rPr>
              <w:t>（满分</w:t>
            </w:r>
            <w:r>
              <w:rPr>
                <w:rFonts w:hint="eastAsia" w:ascii="宋体" w:hAnsi="宋体" w:cs="宋体"/>
                <w:b/>
                <w:color w:val="auto"/>
                <w:sz w:val="24"/>
                <w:szCs w:val="24"/>
                <w:highlight w:val="none"/>
                <w:u w:val="none"/>
                <w:lang w:val="en-US" w:eastAsia="zh-CN"/>
              </w:rPr>
              <w:t>39</w:t>
            </w:r>
            <w:r>
              <w:rPr>
                <w:rFonts w:hint="eastAsia" w:ascii="宋体" w:hAnsi="宋体" w:eastAsia="宋体" w:cs="宋体"/>
                <w:b/>
                <w:color w:val="auto"/>
                <w:sz w:val="24"/>
                <w:szCs w:val="24"/>
                <w:highlight w:val="none"/>
              </w:rPr>
              <w:t>分）</w:t>
            </w:r>
          </w:p>
        </w:tc>
        <w:tc>
          <w:tcPr>
            <w:tcW w:w="1615" w:type="dxa"/>
            <w:tcBorders>
              <w:top w:val="single" w:color="auto" w:sz="4" w:space="0"/>
              <w:left w:val="single" w:color="auto" w:sz="4" w:space="0"/>
              <w:right w:val="single" w:color="auto" w:sz="4" w:space="0"/>
            </w:tcBorders>
            <w:vAlign w:val="center"/>
          </w:tcPr>
          <w:p w14:paraId="73F667CF">
            <w:pPr>
              <w:widowControl/>
              <w:wordWrap w:val="0"/>
              <w:adjustRightInd w:val="0"/>
              <w:snapToGrid w:val="0"/>
              <w:spacing w:line="400" w:lineRule="exact"/>
              <w:jc w:val="center"/>
              <w:textAlignment w:val="center"/>
              <w:rPr>
                <w:rFonts w:hint="eastAsia" w:ascii="宋体" w:hAnsi="宋体" w:eastAsia="宋体" w:cs="宋体"/>
                <w:color w:val="auto"/>
                <w:sz w:val="24"/>
                <w:szCs w:val="24"/>
                <w:highlight w:val="none"/>
                <w:u w:val="single"/>
              </w:rPr>
            </w:pPr>
            <w:r>
              <w:rPr>
                <w:rFonts w:hint="eastAsia" w:ascii="宋体" w:hAnsi="宋体" w:eastAsia="宋体" w:cs="宋体"/>
                <w:b/>
                <w:bCs/>
                <w:color w:val="auto"/>
                <w:kern w:val="0"/>
                <w:sz w:val="24"/>
                <w:szCs w:val="24"/>
                <w:highlight w:val="none"/>
              </w:rPr>
              <w:t>货物性能分（满分</w:t>
            </w:r>
            <w:r>
              <w:rPr>
                <w:rFonts w:hint="eastAsia" w:ascii="宋体" w:hAnsi="宋体" w:eastAsia="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5B97AEAC">
            <w:pPr>
              <w:keepNext w:val="0"/>
              <w:keepLines w:val="0"/>
              <w:pageBreakBefore w:val="0"/>
              <w:widowControl/>
              <w:numPr>
                <w:ilvl w:val="0"/>
                <w:numId w:val="0"/>
              </w:numPr>
              <w:kinsoku/>
              <w:wordWrap w:val="0"/>
              <w:overflowPunct/>
              <w:topLinePunct w:val="0"/>
              <w:bidi w:val="0"/>
              <w:adjustRightInd w:val="0"/>
              <w:snapToGrid w:val="0"/>
              <w:spacing w:line="400" w:lineRule="exact"/>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通过资格与符合性审查的投标人，投标文件对采购需求应答的</w:t>
            </w:r>
            <w:r>
              <w:rPr>
                <w:rFonts w:hint="eastAsia" w:ascii="宋体" w:hAnsi="宋体" w:eastAsia="宋体" w:cs="宋体"/>
                <w:color w:val="auto"/>
                <w:kern w:val="0"/>
                <w:sz w:val="24"/>
                <w:szCs w:val="24"/>
                <w:highlight w:val="none"/>
                <w:lang w:val="en-US" w:eastAsia="zh-CN"/>
              </w:rPr>
              <w:t>标注</w:t>
            </w:r>
            <w:r>
              <w:rPr>
                <w:rFonts w:hint="eastAsia" w:ascii="宋体" w:hAnsi="宋体" w:cs="宋体"/>
                <w:color w:val="auto"/>
                <w:kern w:val="0"/>
                <w:sz w:val="24"/>
                <w:szCs w:val="24"/>
                <w:highlight w:val="none"/>
                <w:lang w:val="en-US" w:eastAsia="zh-CN"/>
              </w:rPr>
              <w:t>“</w:t>
            </w:r>
            <w:r>
              <w:rPr>
                <w:rFonts w:hint="eastAsia" w:ascii="宋体" w:hAnsi="宋体" w:eastAsia="宋体" w:cs="宋体"/>
                <w:b w:val="0"/>
                <w:bCs/>
                <w:color w:val="auto"/>
                <w:sz w:val="24"/>
                <w:szCs w:val="24"/>
                <w:highlight w:val="none"/>
              </w:rPr>
              <w:t>◆</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技术参数无负偏离的得</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分，满分</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分，存在负偏离的，得分=该项满分分值</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分-累计扣分分值，扣完满分分值为止；</w:t>
            </w:r>
            <w:r>
              <w:rPr>
                <w:rFonts w:hint="eastAsia" w:ascii="宋体" w:hAnsi="宋体" w:eastAsia="宋体" w:cs="宋体"/>
                <w:b/>
                <w:bCs/>
                <w:color w:val="auto"/>
                <w:sz w:val="24"/>
                <w:szCs w:val="24"/>
                <w:highlight w:val="none"/>
              </w:rPr>
              <w:t>技术参数负</w:t>
            </w:r>
            <w:r>
              <w:rPr>
                <w:rFonts w:hint="eastAsia" w:ascii="宋体" w:hAnsi="宋体" w:eastAsia="宋体" w:cs="宋体"/>
                <w:b/>
                <w:bCs/>
                <w:color w:val="auto"/>
                <w:kern w:val="0"/>
                <w:sz w:val="24"/>
                <w:szCs w:val="24"/>
                <w:highlight w:val="none"/>
              </w:rPr>
              <w:t>偏离的项目数超过招标文件技术要求允许偏离的项目数，按</w:t>
            </w:r>
            <w:r>
              <w:rPr>
                <w:rFonts w:hint="eastAsia" w:ascii="宋体" w:hAnsi="宋体" w:eastAsia="宋体" w:cs="宋体"/>
                <w:b/>
                <w:bCs/>
                <w:color w:val="auto"/>
                <w:sz w:val="24"/>
                <w:szCs w:val="24"/>
                <w:highlight w:val="none"/>
              </w:rPr>
              <w:t>无效投标处理</w:t>
            </w:r>
            <w:r>
              <w:rPr>
                <w:rFonts w:hint="eastAsia" w:ascii="宋体" w:hAnsi="宋体" w:eastAsia="宋体" w:cs="宋体"/>
                <w:b/>
                <w:bCs/>
                <w:color w:val="auto"/>
                <w:kern w:val="0"/>
                <w:sz w:val="24"/>
                <w:szCs w:val="24"/>
                <w:highlight w:val="none"/>
              </w:rPr>
              <w:t>。</w:t>
            </w:r>
          </w:p>
          <w:p w14:paraId="536AAF31">
            <w:pPr>
              <w:keepNext w:val="0"/>
              <w:keepLines w:val="0"/>
              <w:pageBreakBefore w:val="0"/>
              <w:widowControl/>
              <w:numPr>
                <w:ilvl w:val="0"/>
                <w:numId w:val="0"/>
              </w:numPr>
              <w:kinsoku/>
              <w:wordWrap w:val="0"/>
              <w:overflowPunct/>
              <w:topLinePunct w:val="0"/>
              <w:bidi w:val="0"/>
              <w:adjustRightInd w:val="0"/>
              <w:snapToGrid w:val="0"/>
              <w:spacing w:line="400" w:lineRule="exact"/>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具体的扣分标准如下：</w:t>
            </w:r>
          </w:p>
          <w:p w14:paraId="1B9ACDCE">
            <w:pPr>
              <w:keepNext w:val="0"/>
              <w:keepLines w:val="0"/>
              <w:pageBreakBefore w:val="0"/>
              <w:widowControl/>
              <w:kinsoku/>
              <w:wordWrap w:val="0"/>
              <w:overflowPunct/>
              <w:topLinePunct w:val="0"/>
              <w:bidi w:val="0"/>
              <w:adjustRightInd w:val="0"/>
              <w:snapToGrid w:val="0"/>
              <w:spacing w:line="400" w:lineRule="exact"/>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技术参数负偏离的</w:t>
            </w:r>
            <w:r>
              <w:rPr>
                <w:rFonts w:hint="eastAsia" w:ascii="宋体" w:hAnsi="宋体" w:eastAsia="宋体" w:cs="宋体"/>
                <w:color w:val="auto"/>
                <w:kern w:val="0"/>
                <w:sz w:val="24"/>
                <w:szCs w:val="24"/>
                <w:highlight w:val="none"/>
              </w:rPr>
              <w:t>扣</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分/条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扣完即止（以技术要求偏离表的偏离情况</w:t>
            </w:r>
            <w:r>
              <w:rPr>
                <w:rFonts w:hint="eastAsia" w:ascii="宋体" w:hAnsi="宋体" w:eastAsia="宋体" w:cs="宋体"/>
                <w:color w:val="auto"/>
                <w:kern w:val="0"/>
                <w:sz w:val="24"/>
                <w:szCs w:val="24"/>
                <w:highlight w:val="none"/>
                <w:lang w:val="en-US" w:eastAsia="zh-CN"/>
              </w:rPr>
              <w:t>或提供的依据</w:t>
            </w:r>
            <w:r>
              <w:rPr>
                <w:rFonts w:hint="eastAsia" w:ascii="宋体" w:hAnsi="宋体" w:eastAsia="宋体" w:cs="宋体"/>
                <w:color w:val="auto"/>
                <w:kern w:val="0"/>
                <w:sz w:val="24"/>
                <w:szCs w:val="24"/>
                <w:highlight w:val="none"/>
              </w:rPr>
              <w:t>资料进行评定）。</w:t>
            </w:r>
          </w:p>
        </w:tc>
      </w:tr>
      <w:tr w14:paraId="3FDA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vAlign w:val="center"/>
          </w:tcPr>
          <w:p w14:paraId="0F7DEA33">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0" w:type="dxa"/>
            <w:vMerge w:val="continue"/>
            <w:tcBorders>
              <w:left w:val="single" w:color="auto" w:sz="4" w:space="0"/>
              <w:right w:val="single" w:color="auto" w:sz="4" w:space="0"/>
            </w:tcBorders>
            <w:vAlign w:val="center"/>
          </w:tcPr>
          <w:p w14:paraId="6422BD85">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3BA55DEF">
            <w:pPr>
              <w:wordWrap w:val="0"/>
              <w:adjustRightInd w:val="0"/>
              <w:spacing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项目实施方案分</w:t>
            </w:r>
            <w:r>
              <w:rPr>
                <w:rFonts w:hint="eastAsia" w:ascii="宋体" w:hAnsi="宋体" w:eastAsia="宋体" w:cs="宋体"/>
                <w:b/>
                <w:bCs/>
                <w:color w:val="auto"/>
                <w:sz w:val="24"/>
                <w:szCs w:val="24"/>
                <w:highlight w:val="none"/>
                <w:u w:val="none"/>
              </w:rPr>
              <w:t>（满分</w:t>
            </w:r>
            <w:r>
              <w:rPr>
                <w:rFonts w:hint="eastAsia" w:ascii="宋体" w:hAnsi="宋体" w:eastAsia="宋体" w:cs="宋体"/>
                <w:b/>
                <w:bCs/>
                <w:color w:val="auto"/>
                <w:sz w:val="24"/>
                <w:szCs w:val="24"/>
                <w:highlight w:val="none"/>
                <w:u w:val="none"/>
                <w:lang w:val="en-US" w:eastAsia="zh-CN"/>
              </w:rPr>
              <w:t>1</w:t>
            </w:r>
            <w:r>
              <w:rPr>
                <w:rFonts w:hint="eastAsia" w:ascii="宋体" w:hAnsi="宋体" w:cs="宋体"/>
                <w:b/>
                <w:bCs/>
                <w:color w:val="auto"/>
                <w:sz w:val="24"/>
                <w:szCs w:val="24"/>
                <w:highlight w:val="none"/>
                <w:u w:val="none"/>
                <w:lang w:val="en-US" w:eastAsia="zh-CN"/>
              </w:rPr>
              <w:t>6</w:t>
            </w:r>
            <w:r>
              <w:rPr>
                <w:rFonts w:hint="eastAsia" w:ascii="宋体" w:hAnsi="宋体" w:eastAsia="宋体" w:cs="宋体"/>
                <w:b/>
                <w:bCs/>
                <w:color w:val="auto"/>
                <w:sz w:val="24"/>
                <w:szCs w:val="24"/>
                <w:highlight w:val="none"/>
                <w:u w:val="none"/>
              </w:rPr>
              <w:t>分</w:t>
            </w:r>
            <w:r>
              <w:rPr>
                <w:rFonts w:hint="eastAsia" w:ascii="宋体" w:hAnsi="宋体" w:eastAsia="宋体" w:cs="宋体"/>
                <w:b/>
                <w:bCs/>
                <w:color w:val="auto"/>
                <w:sz w:val="24"/>
                <w:szCs w:val="24"/>
                <w:highlight w:val="none"/>
              </w:rPr>
              <w:t>）</w:t>
            </w:r>
          </w:p>
        </w:tc>
        <w:tc>
          <w:tcPr>
            <w:tcW w:w="5880" w:type="dxa"/>
            <w:tcBorders>
              <w:top w:val="single" w:color="auto" w:sz="4" w:space="0"/>
              <w:left w:val="single" w:color="auto" w:sz="4" w:space="0"/>
              <w:bottom w:val="single" w:color="auto" w:sz="4" w:space="0"/>
              <w:right w:val="single" w:color="auto" w:sz="4" w:space="0"/>
            </w:tcBorders>
            <w:vAlign w:val="center"/>
          </w:tcPr>
          <w:p w14:paraId="1FBB055B">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分）：提供的项目实施方案要点不清晰，不完整，无具体措施。</w:t>
            </w:r>
          </w:p>
          <w:p w14:paraId="7A56346F">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分）：方案包含详细</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管理措施和具体实施流程等，整体方案符合实际情况的。</w:t>
            </w:r>
          </w:p>
          <w:p w14:paraId="792E9059">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分）：在满足二档的基础上，方案包含详细完善</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进度安排和风险防范措施，整体方案针对性强，可行性高。</w:t>
            </w:r>
          </w:p>
          <w:p w14:paraId="4EBC9E11">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四档（</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分）：在满足三档的基础上，方案</w:t>
            </w:r>
            <w:r>
              <w:rPr>
                <w:rFonts w:hint="eastAsia" w:ascii="宋体" w:hAnsi="宋体" w:eastAsia="宋体" w:cs="宋体"/>
                <w:bCs/>
                <w:color w:val="auto"/>
                <w:sz w:val="24"/>
                <w:szCs w:val="24"/>
                <w:highlight w:val="none"/>
                <w:lang w:val="en-US" w:eastAsia="zh-CN"/>
              </w:rPr>
              <w:t>包含</w:t>
            </w:r>
            <w:r>
              <w:rPr>
                <w:rFonts w:hint="eastAsia" w:ascii="宋体" w:hAnsi="宋体" w:eastAsia="宋体" w:cs="宋体"/>
                <w:bCs/>
                <w:color w:val="auto"/>
                <w:sz w:val="24"/>
                <w:szCs w:val="24"/>
                <w:highlight w:val="none"/>
              </w:rPr>
              <w:t>详细全面完善的功能说明、性能指标及设备选型说明（质量、性能、价格、外观、体积等方面进行比较和选择的理由及过程），及详细的供货、</w:t>
            </w:r>
            <w:r>
              <w:rPr>
                <w:rFonts w:hint="eastAsia" w:ascii="宋体" w:hAnsi="宋体" w:eastAsia="宋体" w:cs="宋体"/>
                <w:color w:val="auto"/>
                <w:sz w:val="24"/>
                <w:szCs w:val="24"/>
                <w:highlight w:val="none"/>
              </w:rPr>
              <w:t>安装、调试方法；</w:t>
            </w:r>
            <w:r>
              <w:rPr>
                <w:rFonts w:hint="eastAsia" w:ascii="宋体" w:hAnsi="宋体" w:eastAsia="宋体" w:cs="宋体"/>
                <w:bCs/>
                <w:color w:val="auto"/>
                <w:sz w:val="24"/>
                <w:szCs w:val="24"/>
                <w:highlight w:val="none"/>
              </w:rPr>
              <w:t>整体方案针对性强，可行性高。</w:t>
            </w:r>
          </w:p>
          <w:p w14:paraId="28770DD2">
            <w:pPr>
              <w:keepNext w:val="0"/>
              <w:keepLines w:val="0"/>
              <w:pageBreakBefore w:val="0"/>
              <w:widowControl w:val="0"/>
              <w:kinsoku/>
              <w:wordWrap w:val="0"/>
              <w:overflowPunct/>
              <w:topLinePunct w:val="0"/>
              <w:bidi w:val="0"/>
              <w:spacing w:before="0" w:beforeAutospacing="0" w:after="0" w:afterAutospacing="0" w:line="400" w:lineRule="exact"/>
              <w:ind w:left="0" w:lef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未提供项目实施方案或方案内容未达到一档要求的不得分。</w:t>
            </w:r>
          </w:p>
        </w:tc>
      </w:tr>
      <w:tr w14:paraId="14F7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bottom w:val="single" w:color="auto" w:sz="4" w:space="0"/>
              <w:right w:val="single" w:color="auto" w:sz="4" w:space="0"/>
            </w:tcBorders>
            <w:vAlign w:val="center"/>
          </w:tcPr>
          <w:p w14:paraId="087783B3">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0" w:type="dxa"/>
            <w:vMerge w:val="continue"/>
            <w:tcBorders>
              <w:left w:val="single" w:color="auto" w:sz="4" w:space="0"/>
              <w:bottom w:val="single" w:color="auto" w:sz="4" w:space="0"/>
              <w:right w:val="single" w:color="auto" w:sz="4" w:space="0"/>
            </w:tcBorders>
            <w:vAlign w:val="center"/>
          </w:tcPr>
          <w:p w14:paraId="52E11C3C">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237B540D">
            <w:pPr>
              <w:wordWrap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项目质量控制措施（满分</w:t>
            </w: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top"/>
          </w:tcPr>
          <w:p w14:paraId="368CA5C8">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提出项目质量控制措施，可以包括（1）工序设置与管理方案、（2）质量控制及验收方案、（3）业务培训机制、（4）质检岗位职责等，从方案的合理、针对性等内容评分：</w:t>
            </w:r>
          </w:p>
          <w:p w14:paraId="73B6FA4E">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一档（</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分）：内容不够完整，仅针对上述2项及以下内容进行阐述，</w:t>
            </w:r>
            <w:r>
              <w:rPr>
                <w:rFonts w:hint="eastAsia" w:ascii="宋体" w:hAnsi="宋体" w:eastAsia="宋体" w:cs="宋体"/>
                <w:bCs/>
                <w:color w:val="auto"/>
                <w:sz w:val="24"/>
                <w:szCs w:val="24"/>
                <w:highlight w:val="none"/>
              </w:rPr>
              <w:t>与需求偏离较大，不切合实际，内容冗杂、多余。</w:t>
            </w:r>
          </w:p>
          <w:p w14:paraId="6163F549">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二档（</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分）：内容基本完整，针对上述3项及以上内容进行阐述，</w:t>
            </w:r>
            <w:r>
              <w:rPr>
                <w:rFonts w:hint="eastAsia" w:ascii="宋体" w:hAnsi="宋体" w:eastAsia="宋体" w:cs="宋体"/>
                <w:bCs/>
                <w:color w:val="auto"/>
                <w:sz w:val="24"/>
                <w:szCs w:val="24"/>
                <w:highlight w:val="none"/>
              </w:rPr>
              <w:t>需求理解有偏差，符合实际，内容编写水平基本符合要求；</w:t>
            </w:r>
          </w:p>
          <w:p w14:paraId="0AB7DF18">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三档（</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分）：针对上述所有内容均提供有针对性的描述，</w:t>
            </w:r>
            <w:r>
              <w:rPr>
                <w:rFonts w:hint="eastAsia" w:ascii="宋体" w:hAnsi="宋体" w:eastAsia="宋体" w:cs="宋体"/>
                <w:bCs/>
                <w:color w:val="auto"/>
                <w:sz w:val="24"/>
                <w:szCs w:val="24"/>
                <w:highlight w:val="none"/>
              </w:rPr>
              <w:t>方案针对需求，切合实际，内容严谨、简练。</w:t>
            </w:r>
          </w:p>
          <w:p w14:paraId="45BA0DA0">
            <w:pPr>
              <w:keepNext w:val="0"/>
              <w:keepLines w:val="0"/>
              <w:pageBreakBefore w:val="0"/>
              <w:widowControl w:val="0"/>
              <w:kinsoku/>
              <w:wordWrap w:val="0"/>
              <w:overflowPunct/>
              <w:topLinePunct w:val="0"/>
              <w:bidi w:val="0"/>
              <w:spacing w:line="400" w:lineRule="exact"/>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注：未提供项目质量控制措施或方案内容未达到一档要求的不得分。</w:t>
            </w:r>
          </w:p>
        </w:tc>
      </w:tr>
      <w:tr w14:paraId="2E32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restart"/>
            <w:tcBorders>
              <w:top w:val="nil"/>
              <w:left w:val="single" w:color="auto" w:sz="4" w:space="0"/>
              <w:right w:val="single" w:color="auto" w:sz="4" w:space="0"/>
            </w:tcBorders>
            <w:vAlign w:val="center"/>
          </w:tcPr>
          <w:p w14:paraId="59F29749">
            <w:pPr>
              <w:wordWrap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610" w:type="dxa"/>
            <w:vMerge w:val="restart"/>
            <w:tcBorders>
              <w:top w:val="single" w:color="auto" w:sz="4" w:space="0"/>
              <w:left w:val="single" w:color="auto" w:sz="4" w:space="0"/>
              <w:bottom w:val="single" w:color="auto" w:sz="4" w:space="0"/>
              <w:right w:val="single" w:color="auto" w:sz="4" w:space="0"/>
            </w:tcBorders>
            <w:vAlign w:val="center"/>
          </w:tcPr>
          <w:p w14:paraId="6A1BFEED">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商务分（满分</w:t>
            </w:r>
            <w:r>
              <w:rPr>
                <w:rFonts w:hint="eastAsia" w:ascii="宋体" w:hAnsi="宋体" w:cs="宋体"/>
                <w:b/>
                <w:color w:val="auto"/>
                <w:sz w:val="24"/>
                <w:szCs w:val="24"/>
                <w:highlight w:val="none"/>
                <w:lang w:val="en-US" w:eastAsia="zh-CN"/>
              </w:rPr>
              <w:t>31</w:t>
            </w:r>
            <w:r>
              <w:rPr>
                <w:rFonts w:hint="eastAsia" w:ascii="宋体" w:hAnsi="宋体" w:eastAsia="宋体" w:cs="宋体"/>
                <w:b/>
                <w:color w:val="auto"/>
                <w:sz w:val="24"/>
                <w:szCs w:val="24"/>
                <w:highlight w:val="none"/>
              </w:rPr>
              <w:t>分）</w:t>
            </w:r>
          </w:p>
        </w:tc>
        <w:tc>
          <w:tcPr>
            <w:tcW w:w="1615" w:type="dxa"/>
            <w:tcBorders>
              <w:top w:val="single" w:color="auto" w:sz="4" w:space="0"/>
              <w:left w:val="single" w:color="auto" w:sz="4" w:space="0"/>
              <w:bottom w:val="single" w:color="auto" w:sz="4" w:space="0"/>
              <w:right w:val="single" w:color="auto" w:sz="4" w:space="0"/>
            </w:tcBorders>
            <w:vAlign w:val="center"/>
          </w:tcPr>
          <w:p w14:paraId="3874A121">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售后服务承诺分</w:t>
            </w:r>
            <w:r>
              <w:rPr>
                <w:rFonts w:hint="eastAsia" w:ascii="宋体" w:hAnsi="宋体" w:eastAsia="宋体" w:cs="宋体"/>
                <w:b/>
                <w:color w:val="auto"/>
                <w:sz w:val="24"/>
                <w:szCs w:val="24"/>
                <w:highlight w:val="none"/>
              </w:rPr>
              <w:t>（满</w:t>
            </w:r>
            <w:r>
              <w:rPr>
                <w:rFonts w:hint="eastAsia" w:ascii="宋体" w:hAnsi="宋体" w:eastAsia="宋体" w:cs="宋体"/>
                <w:b/>
                <w:color w:val="auto"/>
                <w:sz w:val="24"/>
                <w:szCs w:val="24"/>
                <w:highlight w:val="none"/>
                <w:u w:val="none"/>
              </w:rPr>
              <w:t>分</w:t>
            </w:r>
            <w:r>
              <w:rPr>
                <w:rFonts w:hint="eastAsia" w:ascii="宋体" w:hAnsi="宋体" w:cs="宋体"/>
                <w:b/>
                <w:color w:val="auto"/>
                <w:sz w:val="24"/>
                <w:szCs w:val="24"/>
                <w:highlight w:val="none"/>
                <w:u w:val="none"/>
                <w:lang w:val="en-US" w:eastAsia="zh-CN"/>
              </w:rPr>
              <w:t>20</w:t>
            </w:r>
            <w:r>
              <w:rPr>
                <w:rFonts w:hint="eastAsia" w:ascii="宋体" w:hAnsi="宋体" w:eastAsia="宋体" w:cs="宋体"/>
                <w:b/>
                <w:color w:val="auto"/>
                <w:sz w:val="24"/>
                <w:szCs w:val="24"/>
                <w:highlight w:val="none"/>
                <w:u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40643EB8">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color w:val="auto"/>
                <w:sz w:val="24"/>
                <w:szCs w:val="24"/>
                <w:highlight w:val="none"/>
                <w:lang w:val="en-US" w:eastAsia="zh-CN"/>
              </w:rPr>
              <w:t>5</w:t>
            </w:r>
            <w:r>
              <w:rPr>
                <w:rFonts w:hint="eastAsia" w:ascii="宋体" w:hAnsi="宋体" w:eastAsia="宋体" w:cs="宋体"/>
                <w:bCs/>
                <w:color w:val="auto"/>
                <w:sz w:val="24"/>
                <w:szCs w:val="24"/>
                <w:highlight w:val="none"/>
              </w:rPr>
              <w:t>分）：提供的售后服务承诺方案基本满足项目要求，售后服务承诺书中各项措施缺乏针对性。</w:t>
            </w:r>
          </w:p>
          <w:p w14:paraId="489CE10B">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eastAsia" w:ascii="宋体" w:hAnsi="宋体" w:cs="宋体"/>
                <w:color w:val="auto"/>
                <w:sz w:val="24"/>
                <w:szCs w:val="24"/>
                <w:highlight w:val="none"/>
                <w:lang w:val="en-US" w:eastAsia="zh-CN"/>
              </w:rPr>
              <w:t>10</w:t>
            </w:r>
            <w:r>
              <w:rPr>
                <w:rFonts w:hint="eastAsia" w:ascii="宋体" w:hAnsi="宋体" w:eastAsia="宋体" w:cs="宋体"/>
                <w:bCs/>
                <w:color w:val="auto"/>
                <w:sz w:val="24"/>
                <w:szCs w:val="24"/>
                <w:highlight w:val="none"/>
              </w:rPr>
              <w:t>分）：保障技术维修、培训等服务的时效性和专业性；提供有售后服务体系，经评委评定售后服务方案、实现功能要求的解决方案等基本可行。</w:t>
            </w:r>
          </w:p>
          <w:p w14:paraId="35DFBD06">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分）：在满足二档的基础上，为保障技术维修、培训等服务的时效性和专业性提供专业性的意见；经评委评定售后服务方案、实现功能要求的解决方案等可行；售后服务体系完善，售后服务保证措施</w:t>
            </w:r>
            <w:r>
              <w:rPr>
                <w:rFonts w:hint="eastAsia" w:ascii="宋体" w:hAnsi="宋体" w:cs="宋体"/>
                <w:bCs/>
                <w:color w:val="auto"/>
                <w:sz w:val="24"/>
                <w:szCs w:val="24"/>
                <w:highlight w:val="none"/>
                <w:lang w:val="en-US" w:eastAsia="zh-CN"/>
              </w:rPr>
              <w:t>合理</w:t>
            </w:r>
            <w:r>
              <w:rPr>
                <w:rFonts w:hint="eastAsia" w:ascii="宋体" w:hAnsi="宋体" w:eastAsia="宋体" w:cs="宋体"/>
                <w:bCs/>
                <w:color w:val="auto"/>
                <w:sz w:val="24"/>
                <w:szCs w:val="24"/>
                <w:highlight w:val="none"/>
              </w:rPr>
              <w:t>，提供备品备件清单，</w:t>
            </w:r>
            <w:r>
              <w:rPr>
                <w:rFonts w:hint="eastAsia" w:ascii="宋体" w:hAnsi="宋体" w:eastAsia="宋体" w:cs="宋体"/>
                <w:bCs/>
                <w:color w:val="auto"/>
                <w:sz w:val="24"/>
                <w:szCs w:val="24"/>
                <w:highlight w:val="none"/>
                <w:lang w:eastAsia="zh-CN"/>
              </w:rPr>
              <w:t>承诺内容</w:t>
            </w:r>
            <w:r>
              <w:rPr>
                <w:rFonts w:hint="eastAsia" w:ascii="宋体" w:hAnsi="宋体" w:eastAsia="宋体" w:cs="宋体"/>
                <w:bCs/>
                <w:color w:val="auto"/>
                <w:sz w:val="24"/>
                <w:szCs w:val="24"/>
                <w:highlight w:val="none"/>
              </w:rPr>
              <w:t>完全满足招标文件要求</w:t>
            </w:r>
            <w:r>
              <w:rPr>
                <w:rFonts w:hint="eastAsia" w:ascii="宋体" w:hAnsi="宋体" w:eastAsia="宋体" w:cs="宋体"/>
                <w:bCs/>
                <w:color w:val="auto"/>
                <w:sz w:val="24"/>
                <w:szCs w:val="24"/>
                <w:highlight w:val="none"/>
                <w:lang w:eastAsia="zh-CN"/>
              </w:rPr>
              <w:t>。</w:t>
            </w:r>
          </w:p>
          <w:p w14:paraId="23428D5A">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rPr>
              <w:t>档（</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分）：在满足</w:t>
            </w: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rPr>
              <w:t>档的基础上，为保障技术维修、培训等服务的时效性和专业性提供专业性的意见；经评委评定售后服务方案、实现功能要求的解决方案等详细可行；售后服务体系完善，售后服务保证措施</w:t>
            </w:r>
            <w:r>
              <w:rPr>
                <w:rFonts w:hint="eastAsia" w:ascii="宋体" w:hAnsi="宋体" w:cs="宋体"/>
                <w:bCs/>
                <w:color w:val="auto"/>
                <w:sz w:val="24"/>
                <w:szCs w:val="24"/>
                <w:highlight w:val="none"/>
                <w:lang w:val="en-US" w:eastAsia="zh-CN"/>
              </w:rPr>
              <w:t>详细合理</w:t>
            </w:r>
            <w:r>
              <w:rPr>
                <w:rFonts w:hint="eastAsia" w:ascii="宋体" w:hAnsi="宋体" w:eastAsia="宋体" w:cs="宋体"/>
                <w:bCs/>
                <w:color w:val="auto"/>
                <w:sz w:val="24"/>
                <w:szCs w:val="24"/>
                <w:highlight w:val="none"/>
              </w:rPr>
              <w:t>，提供</w:t>
            </w:r>
            <w:r>
              <w:rPr>
                <w:rFonts w:hint="eastAsia" w:ascii="宋体" w:hAnsi="宋体" w:eastAsia="宋体" w:cs="宋体"/>
                <w:bCs/>
                <w:color w:val="auto"/>
                <w:sz w:val="24"/>
                <w:szCs w:val="24"/>
                <w:highlight w:val="none"/>
                <w:lang w:eastAsia="zh-CN"/>
              </w:rPr>
              <w:t>详细的</w:t>
            </w:r>
            <w:r>
              <w:rPr>
                <w:rFonts w:hint="eastAsia" w:ascii="宋体" w:hAnsi="宋体" w:eastAsia="宋体" w:cs="宋体"/>
                <w:bCs/>
                <w:color w:val="auto"/>
                <w:sz w:val="24"/>
                <w:szCs w:val="24"/>
                <w:highlight w:val="none"/>
              </w:rPr>
              <w:t>备品备件清单，</w:t>
            </w:r>
            <w:r>
              <w:rPr>
                <w:rFonts w:hint="eastAsia" w:ascii="宋体" w:hAnsi="宋体" w:eastAsia="宋体" w:cs="宋体"/>
                <w:bCs/>
                <w:color w:val="auto"/>
                <w:sz w:val="24"/>
                <w:szCs w:val="24"/>
                <w:highlight w:val="none"/>
                <w:lang w:eastAsia="zh-CN"/>
              </w:rPr>
              <w:t>响应时间、解决问题时间、质保期等有优于</w:t>
            </w:r>
            <w:r>
              <w:rPr>
                <w:rFonts w:hint="eastAsia" w:ascii="宋体" w:hAnsi="宋体" w:eastAsia="宋体" w:cs="宋体"/>
                <w:bCs/>
                <w:color w:val="auto"/>
                <w:sz w:val="24"/>
                <w:szCs w:val="24"/>
                <w:highlight w:val="none"/>
              </w:rPr>
              <w:t>招标文件要求，有售后工程师日常技术维护力量及服务的，提供详细的设备操作培训计划。</w:t>
            </w:r>
          </w:p>
          <w:p w14:paraId="32C85A6F">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方案内容未达到一档要求的不得分。</w:t>
            </w:r>
          </w:p>
        </w:tc>
      </w:tr>
      <w:tr w14:paraId="78B0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vAlign w:val="center"/>
          </w:tcPr>
          <w:p w14:paraId="09D5FDDD">
            <w:pPr>
              <w:wordWrap w:val="0"/>
              <w:spacing w:line="400" w:lineRule="exact"/>
              <w:jc w:val="center"/>
              <w:rPr>
                <w:rFonts w:hint="eastAsia" w:ascii="宋体" w:hAnsi="宋体" w:eastAsia="宋体" w:cs="宋体"/>
                <w:b/>
                <w:color w:val="auto"/>
                <w:sz w:val="24"/>
                <w:szCs w:val="24"/>
                <w:highlight w:val="none"/>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14:paraId="7134F3C5">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395CA93C">
            <w:pPr>
              <w:wordWrap w:val="0"/>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设备保修期承诺（满分4分）</w:t>
            </w:r>
          </w:p>
        </w:tc>
        <w:tc>
          <w:tcPr>
            <w:tcW w:w="5880" w:type="dxa"/>
            <w:tcBorders>
              <w:top w:val="single" w:color="auto" w:sz="4" w:space="0"/>
              <w:left w:val="single" w:color="auto" w:sz="4" w:space="0"/>
              <w:bottom w:val="single" w:color="auto" w:sz="4" w:space="0"/>
              <w:right w:val="single" w:color="auto" w:sz="4" w:space="0"/>
            </w:tcBorders>
            <w:vAlign w:val="center"/>
          </w:tcPr>
          <w:p w14:paraId="757F25C0">
            <w:pPr>
              <w:wordWrap w:val="0"/>
              <w:autoSpaceDE w:val="0"/>
              <w:autoSpaceDN w:val="0"/>
              <w:adjustRightInd w:val="0"/>
              <w:spacing w:line="400" w:lineRule="exact"/>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投标文件中针对本项目采购内容承诺的整体保修期每超过招标文件要求一年的，加2分,本项满分4分。</w:t>
            </w:r>
          </w:p>
        </w:tc>
      </w:tr>
      <w:tr w14:paraId="1D7E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vAlign w:val="center"/>
          </w:tcPr>
          <w:p w14:paraId="2B26A303">
            <w:pPr>
              <w:wordWrap w:val="0"/>
              <w:spacing w:line="400" w:lineRule="exact"/>
              <w:jc w:val="center"/>
              <w:rPr>
                <w:rFonts w:hint="eastAsia" w:ascii="宋体" w:hAnsi="宋体" w:eastAsia="宋体" w:cs="宋体"/>
                <w:b/>
                <w:color w:val="auto"/>
                <w:sz w:val="24"/>
                <w:szCs w:val="24"/>
                <w:highlight w:val="none"/>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14:paraId="234F3324">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6C4E4E8C">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业绩分</w:t>
            </w:r>
          </w:p>
          <w:p w14:paraId="6421CAC6">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29AEAD2B">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投标文件中提供投标人或所投</w:t>
            </w:r>
            <w:r>
              <w:rPr>
                <w:rFonts w:hint="eastAsia" w:ascii="宋体" w:hAnsi="宋体" w:eastAsia="宋体" w:cs="宋体"/>
                <w:color w:val="auto"/>
                <w:sz w:val="24"/>
                <w:szCs w:val="24"/>
                <w:highlight w:val="none"/>
                <w:lang w:val="en-US" w:eastAsia="zh-CN"/>
              </w:rPr>
              <w:t>任意一项</w:t>
            </w:r>
            <w:r>
              <w:rPr>
                <w:rFonts w:hint="eastAsia" w:ascii="宋体" w:hAnsi="宋体" w:eastAsia="宋体" w:cs="宋体"/>
                <w:color w:val="auto"/>
                <w:sz w:val="24"/>
                <w:szCs w:val="24"/>
                <w:highlight w:val="none"/>
              </w:rPr>
              <w:t>产品生产厂商近三年（自202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年1月1日至今）的</w:t>
            </w:r>
            <w:r>
              <w:rPr>
                <w:rFonts w:hint="eastAsia" w:ascii="宋体" w:hAnsi="宋体" w:eastAsia="宋体" w:cs="宋体"/>
                <w:color w:val="auto"/>
                <w:sz w:val="24"/>
                <w:szCs w:val="24"/>
                <w:highlight w:val="none"/>
                <w:lang w:eastAsia="zh-CN"/>
              </w:rPr>
              <w:t>同类项目</w:t>
            </w:r>
            <w:r>
              <w:rPr>
                <w:rFonts w:hint="eastAsia" w:ascii="宋体" w:hAnsi="宋体" w:eastAsia="宋体" w:cs="宋体"/>
                <w:color w:val="auto"/>
                <w:sz w:val="24"/>
                <w:szCs w:val="24"/>
                <w:highlight w:val="none"/>
              </w:rPr>
              <w:t>成交业绩，每提供一个业绩得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分【投标文件中提供中标（成交）通知书或相关采购合同，复印件均须加盖投标人电子公章，否则不得分，相同甲方的业绩按一个计算】</w:t>
            </w:r>
          </w:p>
        </w:tc>
      </w:tr>
      <w:tr w14:paraId="444A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bottom w:val="single" w:color="auto" w:sz="4" w:space="0"/>
              <w:right w:val="single" w:color="auto" w:sz="4" w:space="0"/>
            </w:tcBorders>
            <w:vAlign w:val="center"/>
          </w:tcPr>
          <w:p w14:paraId="0EBFC08C">
            <w:pPr>
              <w:wordWrap w:val="0"/>
              <w:spacing w:line="400" w:lineRule="exact"/>
              <w:jc w:val="center"/>
              <w:rPr>
                <w:rFonts w:hint="eastAsia" w:ascii="宋体" w:hAnsi="宋体" w:eastAsia="宋体" w:cs="宋体"/>
                <w:b/>
                <w:color w:val="auto"/>
                <w:sz w:val="24"/>
                <w:szCs w:val="24"/>
                <w:highlight w:val="none"/>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14:paraId="748EA690">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right w:val="single" w:color="auto" w:sz="4" w:space="0"/>
            </w:tcBorders>
            <w:vAlign w:val="center"/>
          </w:tcPr>
          <w:p w14:paraId="0D55CF0C">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节能、环境标志分（满分</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12AEEB2E">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预算金额比例得</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至</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分，满分</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分。非节能产品的不得分。</w:t>
            </w:r>
          </w:p>
          <w:p w14:paraId="331C497F">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属于财政部《环境标志产品政府采购品目清单》内的产品[投标文件中提供有效的认证证书复印件及品目清单（标注出投标产品在品目清单中所属的品目），并加盖投标人公章]，根据其所占项目预算金额比例得</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至</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分，满分</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分。非环境标志产品的不得分。</w:t>
            </w:r>
          </w:p>
        </w:tc>
      </w:tr>
      <w:tr w14:paraId="2EC8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39" w:type="dxa"/>
            <w:gridSpan w:val="4"/>
            <w:tcBorders>
              <w:top w:val="single" w:color="auto" w:sz="4" w:space="0"/>
              <w:left w:val="single" w:color="auto" w:sz="4" w:space="0"/>
              <w:bottom w:val="single" w:color="auto" w:sz="4" w:space="0"/>
              <w:right w:val="single" w:color="auto" w:sz="4" w:space="0"/>
            </w:tcBorders>
            <w:vAlign w:val="center"/>
          </w:tcPr>
          <w:p w14:paraId="5B944102">
            <w:pPr>
              <w:wordWrap w:val="0"/>
              <w:spacing w:line="400" w:lineRule="exact"/>
              <w:ind w:firstLine="42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总得分=1+2+3。</w:t>
            </w:r>
          </w:p>
        </w:tc>
      </w:tr>
    </w:tbl>
    <w:p w14:paraId="6C74007A">
      <w:pPr>
        <w:spacing w:line="500" w:lineRule="exact"/>
        <w:ind w:firstLine="482" w:firstLineChars="200"/>
        <w:outlineLvl w:val="1"/>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载玻片激光打码机、角膜地形图检查仪等设备购置项目03分标：</w:t>
      </w: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10"/>
        <w:gridCol w:w="1615"/>
        <w:gridCol w:w="5880"/>
      </w:tblGrid>
      <w:tr w14:paraId="3F2E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4" w:type="dxa"/>
            <w:gridSpan w:val="2"/>
            <w:tcBorders>
              <w:top w:val="single" w:color="auto" w:sz="4" w:space="0"/>
              <w:left w:val="single" w:color="auto" w:sz="4" w:space="0"/>
              <w:bottom w:val="single" w:color="auto" w:sz="4" w:space="0"/>
              <w:right w:val="single" w:color="auto" w:sz="4" w:space="0"/>
            </w:tcBorders>
            <w:vAlign w:val="center"/>
          </w:tcPr>
          <w:p w14:paraId="4A34F50D">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44F0973A">
            <w:pPr>
              <w:wordWrap w:val="0"/>
              <w:adjustRightIn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评审因素</w:t>
            </w:r>
          </w:p>
        </w:tc>
        <w:tc>
          <w:tcPr>
            <w:tcW w:w="5880" w:type="dxa"/>
            <w:tcBorders>
              <w:top w:val="single" w:color="auto" w:sz="4" w:space="0"/>
              <w:left w:val="single" w:color="auto" w:sz="4" w:space="0"/>
              <w:bottom w:val="single" w:color="auto" w:sz="4" w:space="0"/>
              <w:right w:val="single" w:color="auto" w:sz="4" w:space="0"/>
            </w:tcBorders>
            <w:vAlign w:val="center"/>
          </w:tcPr>
          <w:p w14:paraId="2337DC73">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评标标准</w:t>
            </w:r>
          </w:p>
        </w:tc>
      </w:tr>
      <w:tr w14:paraId="6380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5DE7110">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610" w:type="dxa"/>
            <w:tcBorders>
              <w:top w:val="single" w:color="auto" w:sz="4" w:space="0"/>
              <w:left w:val="single" w:color="auto" w:sz="4" w:space="0"/>
              <w:bottom w:val="single" w:color="auto" w:sz="4" w:space="0"/>
              <w:right w:val="single" w:color="auto" w:sz="4" w:space="0"/>
            </w:tcBorders>
            <w:vAlign w:val="center"/>
          </w:tcPr>
          <w:p w14:paraId="4A269843">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价格分</w:t>
            </w:r>
          </w:p>
          <w:p w14:paraId="605229F1">
            <w:pPr>
              <w:wordWrap w:val="0"/>
              <w:adjustRightIn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（满分</w:t>
            </w:r>
            <w:r>
              <w:rPr>
                <w:rFonts w:hint="eastAsia" w:ascii="宋体" w:hAnsi="宋体" w:eastAsia="宋体" w:cs="宋体"/>
                <w:b/>
                <w:bCs/>
                <w:color w:val="auto"/>
                <w:sz w:val="24"/>
                <w:szCs w:val="24"/>
                <w:highlight w:val="none"/>
                <w:u w:val="none"/>
              </w:rPr>
              <w:t>30</w:t>
            </w:r>
            <w:r>
              <w:rPr>
                <w:rFonts w:hint="eastAsia" w:ascii="宋体" w:hAnsi="宋体" w:eastAsia="宋体" w:cs="宋体"/>
                <w:b/>
                <w:bCs/>
                <w:color w:val="auto"/>
                <w:sz w:val="24"/>
                <w:szCs w:val="24"/>
                <w:highlight w:val="none"/>
              </w:rPr>
              <w:t>分）</w:t>
            </w:r>
          </w:p>
        </w:tc>
        <w:tc>
          <w:tcPr>
            <w:tcW w:w="1615" w:type="dxa"/>
            <w:tcBorders>
              <w:top w:val="single" w:color="auto" w:sz="4" w:space="0"/>
              <w:left w:val="single" w:color="auto" w:sz="4" w:space="0"/>
              <w:bottom w:val="single" w:color="auto" w:sz="4" w:space="0"/>
              <w:right w:val="single" w:color="auto" w:sz="4" w:space="0"/>
            </w:tcBorders>
            <w:vAlign w:val="center"/>
          </w:tcPr>
          <w:p w14:paraId="60A38A2E">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w:t>
            </w:r>
          </w:p>
        </w:tc>
        <w:tc>
          <w:tcPr>
            <w:tcW w:w="5880" w:type="dxa"/>
            <w:tcBorders>
              <w:top w:val="single" w:color="auto" w:sz="4" w:space="0"/>
              <w:left w:val="single" w:color="auto" w:sz="4" w:space="0"/>
              <w:bottom w:val="single" w:color="auto" w:sz="4" w:space="0"/>
              <w:right w:val="single" w:color="auto" w:sz="4" w:space="0"/>
            </w:tcBorders>
            <w:vAlign w:val="center"/>
          </w:tcPr>
          <w:p w14:paraId="6234AA1C">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（1）评标价为投标人的投标报价进行政策性扣除后的价格，评标价只是作为评标时使用。最终中标人的中标金额＝投标报价。</w:t>
            </w:r>
          </w:p>
          <w:p w14:paraId="58DF847A">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政府采购促进中小企业发展管理办法》（财库〔2020〕46号）及《广西壮族自治区财政厅关于持续优化政府采购营商环境推动高质量发展的通知》（桂财采〔2024〕55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E116778">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84F9F6E">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（4）政策性扣除计算方法。</w:t>
            </w:r>
          </w:p>
          <w:p w14:paraId="59439304">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货物采购项目中，供应商所投标全部货物为小型或者微型企业货物的。对符合上述要求的投标人的投标报价给予20%的扣除，扣除后的价格为评标报价，即评标报价=投标报价×（1-20%）。除上述情况外，评标报价=投标报价。</w:t>
            </w:r>
          </w:p>
          <w:p w14:paraId="44694B61">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（5）以进入综合评分环节的最低的评标报价为基准价，基准价报价得分为30分。</w:t>
            </w:r>
          </w:p>
          <w:p w14:paraId="49EC5023">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（6）价格分计算公式：        </w:t>
            </w:r>
          </w:p>
          <w:p w14:paraId="163CCCB1">
            <w:pPr>
              <w:keepNext w:val="0"/>
              <w:keepLines w:val="0"/>
              <w:pageBreakBefore w:val="0"/>
              <w:widowControl w:val="0"/>
              <w:kinsoku/>
              <w:wordWrap w:val="0"/>
              <w:overflowPunct/>
              <w:topLinePunct w:val="0"/>
              <w:bidi w:val="0"/>
              <w:spacing w:line="400" w:lineRule="exact"/>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某投标人价格分=基准价/某投标人评标报价金额×30分</w:t>
            </w:r>
          </w:p>
          <w:p w14:paraId="29A889B9">
            <w:pPr>
              <w:keepNext w:val="0"/>
              <w:keepLines w:val="0"/>
              <w:pageBreakBefore w:val="0"/>
              <w:kinsoku/>
              <w:wordWrap w:val="0"/>
              <w:overflowPunct/>
              <w:topLinePunct w:val="0"/>
              <w:bidi w:val="0"/>
              <w:spacing w:line="40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768B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restart"/>
            <w:tcBorders>
              <w:top w:val="nil"/>
              <w:left w:val="single" w:color="auto" w:sz="4" w:space="0"/>
              <w:right w:val="single" w:color="auto" w:sz="4" w:space="0"/>
            </w:tcBorders>
            <w:vAlign w:val="center"/>
          </w:tcPr>
          <w:p w14:paraId="342B5C35">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610" w:type="dxa"/>
            <w:vMerge w:val="restart"/>
            <w:tcBorders>
              <w:top w:val="nil"/>
              <w:left w:val="single" w:color="auto" w:sz="4" w:space="0"/>
              <w:right w:val="single" w:color="auto" w:sz="4" w:space="0"/>
            </w:tcBorders>
            <w:vAlign w:val="center"/>
          </w:tcPr>
          <w:p w14:paraId="35AC793F">
            <w:pPr>
              <w:wordWrap w:val="0"/>
              <w:adjustRightInd w:val="0"/>
              <w:spacing w:line="400" w:lineRule="exact"/>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技术分</w:t>
            </w:r>
          </w:p>
          <w:p w14:paraId="0F3C5ED5">
            <w:pPr>
              <w:wordWrap w:val="0"/>
              <w:adjustRightInd w:val="0"/>
              <w:spacing w:line="400" w:lineRule="exact"/>
              <w:jc w:val="center"/>
              <w:textAlignment w:val="baseline"/>
              <w:rPr>
                <w:rFonts w:hint="eastAsia" w:ascii="宋体" w:hAnsi="宋体" w:eastAsia="宋体" w:cs="宋体"/>
                <w:color w:val="auto"/>
                <w:spacing w:val="-18"/>
                <w:sz w:val="24"/>
                <w:szCs w:val="24"/>
                <w:highlight w:val="none"/>
              </w:rPr>
            </w:pPr>
            <w:r>
              <w:rPr>
                <w:rFonts w:hint="eastAsia" w:ascii="宋体" w:hAnsi="宋体" w:eastAsia="宋体" w:cs="宋体"/>
                <w:b/>
                <w:color w:val="auto"/>
                <w:sz w:val="24"/>
                <w:szCs w:val="24"/>
                <w:highlight w:val="none"/>
              </w:rPr>
              <w:t>（满分</w:t>
            </w:r>
            <w:r>
              <w:rPr>
                <w:rFonts w:hint="eastAsia" w:ascii="宋体" w:hAnsi="宋体" w:cs="宋体"/>
                <w:b/>
                <w:color w:val="auto"/>
                <w:sz w:val="24"/>
                <w:szCs w:val="24"/>
                <w:highlight w:val="none"/>
                <w:u w:val="none"/>
                <w:lang w:val="en-US" w:eastAsia="zh-CN"/>
              </w:rPr>
              <w:t>41</w:t>
            </w:r>
            <w:r>
              <w:rPr>
                <w:rFonts w:hint="eastAsia" w:ascii="宋体" w:hAnsi="宋体" w:eastAsia="宋体" w:cs="宋体"/>
                <w:b/>
                <w:color w:val="auto"/>
                <w:sz w:val="24"/>
                <w:szCs w:val="24"/>
                <w:highlight w:val="none"/>
              </w:rPr>
              <w:t>分）</w:t>
            </w:r>
          </w:p>
        </w:tc>
        <w:tc>
          <w:tcPr>
            <w:tcW w:w="1615" w:type="dxa"/>
            <w:tcBorders>
              <w:top w:val="single" w:color="auto" w:sz="4" w:space="0"/>
              <w:left w:val="single" w:color="auto" w:sz="4" w:space="0"/>
              <w:bottom w:val="single" w:color="auto" w:sz="4" w:space="0"/>
              <w:right w:val="single" w:color="auto" w:sz="4" w:space="0"/>
            </w:tcBorders>
            <w:vAlign w:val="center"/>
          </w:tcPr>
          <w:p w14:paraId="58881905">
            <w:pPr>
              <w:widowControl/>
              <w:wordWrap w:val="0"/>
              <w:adjustRightInd w:val="0"/>
              <w:snapToGrid w:val="0"/>
              <w:spacing w:line="400" w:lineRule="exact"/>
              <w:jc w:val="center"/>
              <w:textAlignment w:val="center"/>
              <w:rPr>
                <w:rFonts w:hint="eastAsia" w:ascii="宋体" w:hAnsi="宋体" w:eastAsia="宋体" w:cs="宋体"/>
                <w:color w:val="auto"/>
                <w:sz w:val="24"/>
                <w:szCs w:val="24"/>
                <w:highlight w:val="none"/>
                <w:u w:val="single"/>
              </w:rPr>
            </w:pPr>
            <w:r>
              <w:rPr>
                <w:rFonts w:hint="eastAsia" w:ascii="宋体" w:hAnsi="宋体" w:eastAsia="宋体" w:cs="宋体"/>
                <w:b/>
                <w:bCs/>
                <w:color w:val="auto"/>
                <w:kern w:val="0"/>
                <w:sz w:val="24"/>
                <w:szCs w:val="24"/>
                <w:highlight w:val="none"/>
              </w:rPr>
              <w:t>货物性能分（满分</w:t>
            </w:r>
            <w:r>
              <w:rPr>
                <w:rFonts w:hint="eastAsia" w:ascii="宋体" w:hAnsi="宋体" w:cs="宋体"/>
                <w:b/>
                <w:bCs/>
                <w:color w:val="auto"/>
                <w:kern w:val="0"/>
                <w:sz w:val="24"/>
                <w:szCs w:val="24"/>
                <w:highlight w:val="none"/>
                <w:lang w:val="en-US" w:eastAsia="zh-CN"/>
              </w:rPr>
              <w:t>16</w:t>
            </w:r>
            <w:r>
              <w:rPr>
                <w:rFonts w:hint="eastAsia" w:ascii="宋体" w:hAnsi="宋体" w:eastAsia="宋体" w:cs="宋体"/>
                <w:b/>
                <w:bCs/>
                <w:color w:val="auto"/>
                <w:kern w:val="0"/>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703DEAD3">
            <w:pPr>
              <w:keepNext w:val="0"/>
              <w:keepLines w:val="0"/>
              <w:pageBreakBefore w:val="0"/>
              <w:widowControl/>
              <w:numPr>
                <w:ilvl w:val="0"/>
                <w:numId w:val="0"/>
              </w:numPr>
              <w:kinsoku/>
              <w:wordWrap w:val="0"/>
              <w:overflowPunct/>
              <w:topLinePunct w:val="0"/>
              <w:bidi w:val="0"/>
              <w:adjustRightInd w:val="0"/>
              <w:snapToGrid w:val="0"/>
              <w:spacing w:line="400" w:lineRule="exact"/>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通过资格与符合性审查的投标人，投标文件对采购需求应答的</w:t>
            </w:r>
            <w:r>
              <w:rPr>
                <w:rFonts w:hint="eastAsia" w:ascii="宋体" w:hAnsi="宋体" w:cs="宋体"/>
                <w:color w:val="auto"/>
                <w:kern w:val="0"/>
                <w:sz w:val="24"/>
                <w:szCs w:val="24"/>
                <w:highlight w:val="none"/>
                <w:lang w:val="en-US" w:eastAsia="zh-CN"/>
              </w:rPr>
              <w:t>未</w:t>
            </w:r>
            <w:r>
              <w:rPr>
                <w:rFonts w:hint="eastAsia" w:ascii="宋体" w:hAnsi="宋体" w:eastAsia="宋体" w:cs="宋体"/>
                <w:color w:val="auto"/>
                <w:kern w:val="0"/>
                <w:sz w:val="24"/>
                <w:szCs w:val="24"/>
                <w:highlight w:val="none"/>
                <w:lang w:val="en-US" w:eastAsia="zh-CN"/>
              </w:rPr>
              <w:t>标注</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技术参数无负偏离的得</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分，满分</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分，存在负偏离的，得分=该项满分分值</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分-累计扣分分值，扣完满分分值为止；</w:t>
            </w:r>
            <w:r>
              <w:rPr>
                <w:rFonts w:hint="eastAsia" w:ascii="宋体" w:hAnsi="宋体" w:eastAsia="宋体" w:cs="宋体"/>
                <w:b/>
                <w:bCs/>
                <w:color w:val="auto"/>
                <w:sz w:val="24"/>
                <w:szCs w:val="24"/>
                <w:highlight w:val="none"/>
              </w:rPr>
              <w:t>技术参数负</w:t>
            </w:r>
            <w:r>
              <w:rPr>
                <w:rFonts w:hint="eastAsia" w:ascii="宋体" w:hAnsi="宋体" w:eastAsia="宋体" w:cs="宋体"/>
                <w:b/>
                <w:bCs/>
                <w:color w:val="auto"/>
                <w:kern w:val="0"/>
                <w:sz w:val="24"/>
                <w:szCs w:val="24"/>
                <w:highlight w:val="none"/>
              </w:rPr>
              <w:t>偏离的项目数超过招标文件技术要求允许偏离的项目数，按</w:t>
            </w:r>
            <w:r>
              <w:rPr>
                <w:rFonts w:hint="eastAsia" w:ascii="宋体" w:hAnsi="宋体" w:eastAsia="宋体" w:cs="宋体"/>
                <w:b/>
                <w:bCs/>
                <w:color w:val="auto"/>
                <w:sz w:val="24"/>
                <w:szCs w:val="24"/>
                <w:highlight w:val="none"/>
              </w:rPr>
              <w:t>无效投标处理</w:t>
            </w:r>
            <w:r>
              <w:rPr>
                <w:rFonts w:hint="eastAsia" w:ascii="宋体" w:hAnsi="宋体" w:eastAsia="宋体" w:cs="宋体"/>
                <w:b/>
                <w:bCs/>
                <w:color w:val="auto"/>
                <w:kern w:val="0"/>
                <w:sz w:val="24"/>
                <w:szCs w:val="24"/>
                <w:highlight w:val="none"/>
              </w:rPr>
              <w:t>。</w:t>
            </w:r>
          </w:p>
          <w:p w14:paraId="4851ABF1">
            <w:pPr>
              <w:keepNext w:val="0"/>
              <w:keepLines w:val="0"/>
              <w:pageBreakBefore w:val="0"/>
              <w:widowControl/>
              <w:numPr>
                <w:ilvl w:val="0"/>
                <w:numId w:val="0"/>
              </w:numPr>
              <w:kinsoku/>
              <w:wordWrap w:val="0"/>
              <w:overflowPunct/>
              <w:topLinePunct w:val="0"/>
              <w:bidi w:val="0"/>
              <w:adjustRightInd w:val="0"/>
              <w:snapToGrid w:val="0"/>
              <w:spacing w:line="400" w:lineRule="exact"/>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具体的扣分标准如下：</w:t>
            </w:r>
          </w:p>
          <w:p w14:paraId="53844F3F">
            <w:pPr>
              <w:keepNext w:val="0"/>
              <w:keepLines w:val="0"/>
              <w:pageBreakBefore w:val="0"/>
              <w:widowControl/>
              <w:kinsoku/>
              <w:wordWrap w:val="0"/>
              <w:overflowPunct/>
              <w:topLinePunct w:val="0"/>
              <w:bidi w:val="0"/>
              <w:adjustRightInd w:val="0"/>
              <w:snapToGrid w:val="0"/>
              <w:spacing w:line="400" w:lineRule="exact"/>
              <w:jc w:val="both"/>
              <w:textAlignment w:val="center"/>
              <w:rPr>
                <w:rFonts w:hint="eastAsia" w:ascii="宋体" w:hAnsi="宋体" w:eastAsia="宋体" w:cs="宋体"/>
                <w:b/>
                <w:color w:val="auto"/>
                <w:sz w:val="24"/>
                <w:szCs w:val="24"/>
                <w:highlight w:val="none"/>
              </w:rPr>
            </w:pPr>
            <w:r>
              <w:rPr>
                <w:rFonts w:hint="eastAsia" w:ascii="宋体" w:hAnsi="宋体" w:eastAsia="宋体" w:cs="宋体"/>
                <w:b w:val="0"/>
                <w:bCs w:val="0"/>
                <w:color w:val="auto"/>
                <w:sz w:val="24"/>
                <w:szCs w:val="24"/>
                <w:highlight w:val="none"/>
                <w:lang w:val="en-US" w:eastAsia="zh-CN"/>
              </w:rPr>
              <w:t>技术参数负偏离的</w:t>
            </w:r>
            <w:r>
              <w:rPr>
                <w:rFonts w:hint="eastAsia" w:ascii="宋体" w:hAnsi="宋体" w:eastAsia="宋体" w:cs="宋体"/>
                <w:color w:val="auto"/>
                <w:kern w:val="0"/>
                <w:sz w:val="24"/>
                <w:szCs w:val="24"/>
                <w:highlight w:val="none"/>
              </w:rPr>
              <w:t>扣</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扣完即止（以技术要求偏离表的偏离情况</w:t>
            </w:r>
            <w:r>
              <w:rPr>
                <w:rFonts w:hint="eastAsia" w:ascii="宋体" w:hAnsi="宋体" w:eastAsia="宋体" w:cs="宋体"/>
                <w:color w:val="auto"/>
                <w:kern w:val="0"/>
                <w:sz w:val="24"/>
                <w:szCs w:val="24"/>
                <w:highlight w:val="none"/>
                <w:lang w:val="en-US" w:eastAsia="zh-CN"/>
              </w:rPr>
              <w:t>或提供的依据</w:t>
            </w:r>
            <w:r>
              <w:rPr>
                <w:rFonts w:hint="eastAsia" w:ascii="宋体" w:hAnsi="宋体" w:eastAsia="宋体" w:cs="宋体"/>
                <w:color w:val="auto"/>
                <w:kern w:val="0"/>
                <w:sz w:val="24"/>
                <w:szCs w:val="24"/>
                <w:highlight w:val="none"/>
              </w:rPr>
              <w:t>资料进行评定）。</w:t>
            </w:r>
          </w:p>
        </w:tc>
      </w:tr>
      <w:tr w14:paraId="3E3D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vAlign w:val="center"/>
          </w:tcPr>
          <w:p w14:paraId="02F0CE5E">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0" w:type="dxa"/>
            <w:vMerge w:val="continue"/>
            <w:tcBorders>
              <w:left w:val="single" w:color="auto" w:sz="4" w:space="0"/>
              <w:right w:val="single" w:color="auto" w:sz="4" w:space="0"/>
            </w:tcBorders>
            <w:vAlign w:val="center"/>
          </w:tcPr>
          <w:p w14:paraId="032AE6C2">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399A4E0E">
            <w:pPr>
              <w:wordWrap w:val="0"/>
              <w:adjustRightInd w:val="0"/>
              <w:spacing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项目实施方案分</w:t>
            </w:r>
            <w:r>
              <w:rPr>
                <w:rFonts w:hint="eastAsia" w:ascii="宋体" w:hAnsi="宋体" w:eastAsia="宋体" w:cs="宋体"/>
                <w:b/>
                <w:bCs/>
                <w:color w:val="auto"/>
                <w:sz w:val="24"/>
                <w:szCs w:val="24"/>
                <w:highlight w:val="none"/>
                <w:u w:val="none"/>
              </w:rPr>
              <w:t>（满分</w:t>
            </w:r>
            <w:r>
              <w:rPr>
                <w:rFonts w:hint="eastAsia" w:ascii="宋体" w:hAnsi="宋体" w:cs="宋体"/>
                <w:b/>
                <w:bCs/>
                <w:color w:val="auto"/>
                <w:sz w:val="24"/>
                <w:szCs w:val="24"/>
                <w:highlight w:val="none"/>
                <w:u w:val="none"/>
                <w:lang w:val="en-US" w:eastAsia="zh-CN"/>
              </w:rPr>
              <w:t>16</w:t>
            </w:r>
            <w:r>
              <w:rPr>
                <w:rFonts w:hint="eastAsia" w:ascii="宋体" w:hAnsi="宋体" w:eastAsia="宋体" w:cs="宋体"/>
                <w:b/>
                <w:bCs/>
                <w:color w:val="auto"/>
                <w:sz w:val="24"/>
                <w:szCs w:val="24"/>
                <w:highlight w:val="none"/>
                <w:u w:val="none"/>
              </w:rPr>
              <w:t>分</w:t>
            </w:r>
            <w:r>
              <w:rPr>
                <w:rFonts w:hint="eastAsia" w:ascii="宋体" w:hAnsi="宋体" w:eastAsia="宋体" w:cs="宋体"/>
                <w:b/>
                <w:bCs/>
                <w:color w:val="auto"/>
                <w:sz w:val="24"/>
                <w:szCs w:val="24"/>
                <w:highlight w:val="none"/>
              </w:rPr>
              <w:t>）</w:t>
            </w:r>
          </w:p>
        </w:tc>
        <w:tc>
          <w:tcPr>
            <w:tcW w:w="5880" w:type="dxa"/>
            <w:tcBorders>
              <w:top w:val="single" w:color="auto" w:sz="4" w:space="0"/>
              <w:left w:val="single" w:color="auto" w:sz="4" w:space="0"/>
              <w:bottom w:val="single" w:color="auto" w:sz="4" w:space="0"/>
              <w:right w:val="single" w:color="auto" w:sz="4" w:space="0"/>
            </w:tcBorders>
            <w:vAlign w:val="center"/>
          </w:tcPr>
          <w:p w14:paraId="717F09A6">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分）：提供的项目实施方案要点不清晰，不完整，无具体措施。</w:t>
            </w:r>
          </w:p>
          <w:p w14:paraId="476DF0B6">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分）：方案包含详细</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管理措施和具体实施流程等，整体方案符合实际情况的。</w:t>
            </w:r>
          </w:p>
          <w:p w14:paraId="3A63E636">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分）：在满足二档的基础上，方案包含详细完善</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进度安排和风险防范措施，整体方案针对性强，可行性高。</w:t>
            </w:r>
          </w:p>
          <w:p w14:paraId="1DAF1C16">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四档（</w:t>
            </w:r>
            <w:r>
              <w:rPr>
                <w:rFonts w:hint="eastAsia" w:ascii="宋体" w:hAnsi="宋体" w:cs="宋体"/>
                <w:bCs/>
                <w:color w:val="auto"/>
                <w:sz w:val="24"/>
                <w:szCs w:val="24"/>
                <w:highlight w:val="none"/>
                <w:lang w:val="en-US" w:eastAsia="zh-CN"/>
              </w:rPr>
              <w:t>16</w:t>
            </w:r>
            <w:r>
              <w:rPr>
                <w:rFonts w:hint="eastAsia" w:ascii="宋体" w:hAnsi="宋体" w:eastAsia="宋体" w:cs="宋体"/>
                <w:bCs/>
                <w:color w:val="auto"/>
                <w:sz w:val="24"/>
                <w:szCs w:val="24"/>
                <w:highlight w:val="none"/>
              </w:rPr>
              <w:t>分）：在满足三档的基础上，方案</w:t>
            </w:r>
            <w:r>
              <w:rPr>
                <w:rFonts w:hint="eastAsia" w:ascii="宋体" w:hAnsi="宋体" w:eastAsia="宋体" w:cs="宋体"/>
                <w:bCs/>
                <w:color w:val="auto"/>
                <w:sz w:val="24"/>
                <w:szCs w:val="24"/>
                <w:highlight w:val="none"/>
                <w:lang w:val="en-US" w:eastAsia="zh-CN"/>
              </w:rPr>
              <w:t>包含</w:t>
            </w:r>
            <w:r>
              <w:rPr>
                <w:rFonts w:hint="eastAsia" w:ascii="宋体" w:hAnsi="宋体" w:eastAsia="宋体" w:cs="宋体"/>
                <w:bCs/>
                <w:color w:val="auto"/>
                <w:sz w:val="24"/>
                <w:szCs w:val="24"/>
                <w:highlight w:val="none"/>
              </w:rPr>
              <w:t>详细全面完善的功能说明、性能指标及设备选型说明（质量、性能、价格、外观、体积等方面进行比较和选择的理由及过程），及详细的供货、</w:t>
            </w:r>
            <w:r>
              <w:rPr>
                <w:rFonts w:hint="eastAsia" w:ascii="宋体" w:hAnsi="宋体" w:eastAsia="宋体" w:cs="宋体"/>
                <w:color w:val="auto"/>
                <w:sz w:val="24"/>
                <w:szCs w:val="24"/>
                <w:highlight w:val="none"/>
              </w:rPr>
              <w:t>安装、调试方法；</w:t>
            </w:r>
            <w:r>
              <w:rPr>
                <w:rFonts w:hint="eastAsia" w:ascii="宋体" w:hAnsi="宋体" w:eastAsia="宋体" w:cs="宋体"/>
                <w:bCs/>
                <w:color w:val="auto"/>
                <w:sz w:val="24"/>
                <w:szCs w:val="24"/>
                <w:highlight w:val="none"/>
              </w:rPr>
              <w:t>整体方案针对性强，可行性高。</w:t>
            </w:r>
          </w:p>
          <w:p w14:paraId="15B9A39A">
            <w:pPr>
              <w:keepNext w:val="0"/>
              <w:keepLines w:val="0"/>
              <w:pageBreakBefore w:val="0"/>
              <w:widowControl w:val="0"/>
              <w:kinsoku/>
              <w:wordWrap w:val="0"/>
              <w:overflowPunct/>
              <w:topLinePunct w:val="0"/>
              <w:bidi w:val="0"/>
              <w:spacing w:before="0" w:beforeAutospacing="0" w:after="0" w:afterAutospacing="0" w:line="400" w:lineRule="exact"/>
              <w:ind w:left="0" w:lef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未提供项目实施方案或方案内容未达到一档要求的不得分。</w:t>
            </w:r>
          </w:p>
        </w:tc>
      </w:tr>
      <w:tr w14:paraId="2E59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bottom w:val="single" w:color="auto" w:sz="4" w:space="0"/>
              <w:right w:val="single" w:color="auto" w:sz="4" w:space="0"/>
            </w:tcBorders>
            <w:vAlign w:val="center"/>
          </w:tcPr>
          <w:p w14:paraId="7D7FBBDF">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0" w:type="dxa"/>
            <w:vMerge w:val="continue"/>
            <w:tcBorders>
              <w:left w:val="single" w:color="auto" w:sz="4" w:space="0"/>
              <w:bottom w:val="single" w:color="auto" w:sz="4" w:space="0"/>
              <w:right w:val="single" w:color="auto" w:sz="4" w:space="0"/>
            </w:tcBorders>
            <w:vAlign w:val="center"/>
          </w:tcPr>
          <w:p w14:paraId="406543CE">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442BC8A5">
            <w:pPr>
              <w:wordWrap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项目质量控制措施（满分</w:t>
            </w:r>
            <w:r>
              <w:rPr>
                <w:rFonts w:hint="eastAsia" w:ascii="宋体" w:hAnsi="宋体" w:cs="宋体"/>
                <w:b/>
                <w:color w:val="auto"/>
                <w:sz w:val="24"/>
                <w:szCs w:val="24"/>
                <w:highlight w:val="none"/>
                <w:lang w:val="en-US" w:eastAsia="zh-CN"/>
              </w:rPr>
              <w:t>9</w:t>
            </w:r>
            <w:r>
              <w:rPr>
                <w:rFonts w:hint="eastAsia" w:ascii="宋体" w:hAnsi="宋体" w:eastAsia="宋体" w:cs="宋体"/>
                <w:b/>
                <w:color w:val="auto"/>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top"/>
          </w:tcPr>
          <w:p w14:paraId="32CE5FC2">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提出项目质量控制措施，可以包括（1）工序设置与管理方案、（2）质量控制及验收方案、（3）业务培训机制、（4）质检岗位职责等，从方案的合理、针对性等内容评分：</w:t>
            </w:r>
          </w:p>
          <w:p w14:paraId="02FD22A0">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一档（</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分）：内容不够完整，仅针对上述2项及以下内容进行阐述，</w:t>
            </w:r>
            <w:r>
              <w:rPr>
                <w:rFonts w:hint="eastAsia" w:ascii="宋体" w:hAnsi="宋体" w:eastAsia="宋体" w:cs="宋体"/>
                <w:bCs/>
                <w:color w:val="auto"/>
                <w:sz w:val="24"/>
                <w:szCs w:val="24"/>
                <w:highlight w:val="none"/>
              </w:rPr>
              <w:t>与需求偏离较大，不切合实际，内容冗杂、多余。</w:t>
            </w:r>
          </w:p>
          <w:p w14:paraId="21149FC2">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二档（</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分）：内容基本完整，针对上述3项及以上内容进行阐述，</w:t>
            </w:r>
            <w:r>
              <w:rPr>
                <w:rFonts w:hint="eastAsia" w:ascii="宋体" w:hAnsi="宋体" w:eastAsia="宋体" w:cs="宋体"/>
                <w:bCs/>
                <w:color w:val="auto"/>
                <w:sz w:val="24"/>
                <w:szCs w:val="24"/>
                <w:highlight w:val="none"/>
              </w:rPr>
              <w:t>需求理解有偏差，符合实际，内容编写水平基本符合要求；</w:t>
            </w:r>
          </w:p>
          <w:p w14:paraId="575782D5">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三档（</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分）：针对上述所有内容均提供有针对性的描述，</w:t>
            </w:r>
            <w:r>
              <w:rPr>
                <w:rFonts w:hint="eastAsia" w:ascii="宋体" w:hAnsi="宋体" w:eastAsia="宋体" w:cs="宋体"/>
                <w:bCs/>
                <w:color w:val="auto"/>
                <w:sz w:val="24"/>
                <w:szCs w:val="24"/>
                <w:highlight w:val="none"/>
              </w:rPr>
              <w:t>方案针对需求，切合实际，内容严谨、简练。</w:t>
            </w:r>
          </w:p>
          <w:p w14:paraId="2F7665CB">
            <w:pPr>
              <w:keepNext w:val="0"/>
              <w:keepLines w:val="0"/>
              <w:pageBreakBefore w:val="0"/>
              <w:widowControl w:val="0"/>
              <w:kinsoku/>
              <w:wordWrap w:val="0"/>
              <w:overflowPunct/>
              <w:topLinePunct w:val="0"/>
              <w:bidi w:val="0"/>
              <w:spacing w:line="400" w:lineRule="exact"/>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注：未提供项目质量控制措施或方案内容未达到一档要求的不得分。</w:t>
            </w:r>
          </w:p>
        </w:tc>
      </w:tr>
      <w:tr w14:paraId="3D28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restart"/>
            <w:tcBorders>
              <w:top w:val="nil"/>
              <w:left w:val="single" w:color="auto" w:sz="4" w:space="0"/>
              <w:right w:val="single" w:color="auto" w:sz="4" w:space="0"/>
            </w:tcBorders>
            <w:vAlign w:val="center"/>
          </w:tcPr>
          <w:p w14:paraId="4FB7E55C">
            <w:pPr>
              <w:wordWrap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610" w:type="dxa"/>
            <w:vMerge w:val="restart"/>
            <w:tcBorders>
              <w:top w:val="single" w:color="auto" w:sz="4" w:space="0"/>
              <w:left w:val="single" w:color="auto" w:sz="4" w:space="0"/>
              <w:bottom w:val="single" w:color="auto" w:sz="4" w:space="0"/>
              <w:right w:val="single" w:color="auto" w:sz="4" w:space="0"/>
            </w:tcBorders>
            <w:vAlign w:val="center"/>
          </w:tcPr>
          <w:p w14:paraId="59121486">
            <w:pPr>
              <w:wordWrap w:val="0"/>
              <w:adjustRightInd w:val="0"/>
              <w:spacing w:line="40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商务分（满分</w:t>
            </w:r>
            <w:r>
              <w:rPr>
                <w:rFonts w:hint="eastAsia" w:ascii="宋体" w:hAnsi="宋体" w:cs="宋体"/>
                <w:b/>
                <w:color w:val="auto"/>
                <w:sz w:val="24"/>
                <w:szCs w:val="24"/>
                <w:highlight w:val="none"/>
                <w:lang w:val="en-US" w:eastAsia="zh-CN"/>
              </w:rPr>
              <w:t>29</w:t>
            </w:r>
            <w:r>
              <w:rPr>
                <w:rFonts w:hint="eastAsia" w:ascii="宋体" w:hAnsi="宋体" w:eastAsia="宋体" w:cs="宋体"/>
                <w:b/>
                <w:color w:val="auto"/>
                <w:sz w:val="24"/>
                <w:szCs w:val="24"/>
                <w:highlight w:val="none"/>
              </w:rPr>
              <w:t>分）</w:t>
            </w:r>
          </w:p>
        </w:tc>
        <w:tc>
          <w:tcPr>
            <w:tcW w:w="1615" w:type="dxa"/>
            <w:tcBorders>
              <w:top w:val="single" w:color="auto" w:sz="4" w:space="0"/>
              <w:left w:val="single" w:color="auto" w:sz="4" w:space="0"/>
              <w:bottom w:val="single" w:color="auto" w:sz="4" w:space="0"/>
              <w:right w:val="single" w:color="auto" w:sz="4" w:space="0"/>
            </w:tcBorders>
            <w:vAlign w:val="center"/>
          </w:tcPr>
          <w:p w14:paraId="251C480D">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售后服务承诺分</w:t>
            </w:r>
          </w:p>
          <w:p w14:paraId="24717D3F">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（满</w:t>
            </w:r>
            <w:r>
              <w:rPr>
                <w:rFonts w:hint="eastAsia" w:ascii="宋体" w:hAnsi="宋体" w:eastAsia="宋体" w:cs="宋体"/>
                <w:b/>
                <w:color w:val="auto"/>
                <w:sz w:val="24"/>
                <w:szCs w:val="24"/>
                <w:highlight w:val="none"/>
                <w:u w:val="none"/>
              </w:rPr>
              <w:t>分</w:t>
            </w:r>
            <w:r>
              <w:rPr>
                <w:rFonts w:hint="eastAsia" w:ascii="宋体" w:hAnsi="宋体" w:eastAsia="宋体" w:cs="宋体"/>
                <w:b/>
                <w:color w:val="auto"/>
                <w:sz w:val="24"/>
                <w:szCs w:val="24"/>
                <w:highlight w:val="none"/>
                <w:u w:val="none"/>
                <w:lang w:val="en-US" w:eastAsia="zh-CN"/>
              </w:rPr>
              <w:t>18</w:t>
            </w:r>
            <w:r>
              <w:rPr>
                <w:rFonts w:hint="eastAsia" w:ascii="宋体" w:hAnsi="宋体" w:eastAsia="宋体" w:cs="宋体"/>
                <w:b/>
                <w:color w:val="auto"/>
                <w:sz w:val="24"/>
                <w:szCs w:val="24"/>
                <w:highlight w:val="none"/>
                <w:u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7653540A">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color w:val="auto"/>
                <w:sz w:val="24"/>
                <w:szCs w:val="24"/>
                <w:highlight w:val="none"/>
                <w:lang w:val="en-US" w:eastAsia="zh-CN"/>
              </w:rPr>
              <w:t>6</w:t>
            </w:r>
            <w:r>
              <w:rPr>
                <w:rFonts w:hint="eastAsia" w:ascii="宋体" w:hAnsi="宋体" w:eastAsia="宋体" w:cs="宋体"/>
                <w:bCs/>
                <w:color w:val="auto"/>
                <w:sz w:val="24"/>
                <w:szCs w:val="24"/>
                <w:highlight w:val="none"/>
              </w:rPr>
              <w:t>分）：提供的售后服务承诺方案基本满足项目要求，售后服务承诺书中各项措施缺乏针对性。</w:t>
            </w:r>
          </w:p>
          <w:p w14:paraId="5ABF7D60">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eastAsia" w:ascii="宋体" w:hAnsi="宋体" w:cs="宋体"/>
                <w:color w:val="auto"/>
                <w:sz w:val="24"/>
                <w:szCs w:val="24"/>
                <w:highlight w:val="none"/>
                <w:lang w:val="en-US" w:eastAsia="zh-CN"/>
              </w:rPr>
              <w:t>10</w:t>
            </w:r>
            <w:r>
              <w:rPr>
                <w:rFonts w:hint="eastAsia" w:ascii="宋体" w:hAnsi="宋体" w:eastAsia="宋体" w:cs="宋体"/>
                <w:bCs/>
                <w:color w:val="auto"/>
                <w:sz w:val="24"/>
                <w:szCs w:val="24"/>
                <w:highlight w:val="none"/>
              </w:rPr>
              <w:t>分）：保障技术维修、培训等服务的时效性和专业性；提供有售后服务体系，经评委评定售后服务方案、实现功能要求的解决方案等基本可行。</w:t>
            </w:r>
          </w:p>
          <w:p w14:paraId="6A04E471">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分）：在满足二档的基础上，为保障技术维修、培训等服务的时效性和专业性提供专业性的意见；经评委评定售后服务方案、实现功能要求的解决方案等可行；售后服务体系完善，售后服务保证措施</w:t>
            </w:r>
            <w:r>
              <w:rPr>
                <w:rFonts w:hint="eastAsia" w:ascii="宋体" w:hAnsi="宋体" w:cs="宋体"/>
                <w:bCs/>
                <w:color w:val="auto"/>
                <w:sz w:val="24"/>
                <w:szCs w:val="24"/>
                <w:highlight w:val="none"/>
                <w:lang w:val="en-US" w:eastAsia="zh-CN"/>
              </w:rPr>
              <w:t>合理</w:t>
            </w:r>
            <w:r>
              <w:rPr>
                <w:rFonts w:hint="eastAsia" w:ascii="宋体" w:hAnsi="宋体" w:eastAsia="宋体" w:cs="宋体"/>
                <w:bCs/>
                <w:color w:val="auto"/>
                <w:sz w:val="24"/>
                <w:szCs w:val="24"/>
                <w:highlight w:val="none"/>
              </w:rPr>
              <w:t>，提供备品备件清单，</w:t>
            </w:r>
            <w:r>
              <w:rPr>
                <w:rFonts w:hint="eastAsia" w:ascii="宋体" w:hAnsi="宋体" w:eastAsia="宋体" w:cs="宋体"/>
                <w:bCs/>
                <w:color w:val="auto"/>
                <w:sz w:val="24"/>
                <w:szCs w:val="24"/>
                <w:highlight w:val="none"/>
                <w:lang w:eastAsia="zh-CN"/>
              </w:rPr>
              <w:t>承诺内容</w:t>
            </w:r>
            <w:r>
              <w:rPr>
                <w:rFonts w:hint="eastAsia" w:ascii="宋体" w:hAnsi="宋体" w:eastAsia="宋体" w:cs="宋体"/>
                <w:bCs/>
                <w:color w:val="auto"/>
                <w:sz w:val="24"/>
                <w:szCs w:val="24"/>
                <w:highlight w:val="none"/>
              </w:rPr>
              <w:t>完全满足招标文件要求</w:t>
            </w:r>
            <w:r>
              <w:rPr>
                <w:rFonts w:hint="eastAsia" w:ascii="宋体" w:hAnsi="宋体" w:eastAsia="宋体" w:cs="宋体"/>
                <w:bCs/>
                <w:color w:val="auto"/>
                <w:sz w:val="24"/>
                <w:szCs w:val="24"/>
                <w:highlight w:val="none"/>
                <w:lang w:eastAsia="zh-CN"/>
              </w:rPr>
              <w:t>。</w:t>
            </w:r>
          </w:p>
          <w:p w14:paraId="1CC3BF6D">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rPr>
              <w:t>档（</w:t>
            </w: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分）：在满足</w:t>
            </w: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rPr>
              <w:t>档的基础上，为保障技术维修、培训等服务的时效性和专业性提供专业性的意见；经评委评定售后服务方案、实现功能要求的解决方案等详细可行；售后服务体系完善，售后服务保证措施</w:t>
            </w:r>
            <w:r>
              <w:rPr>
                <w:rFonts w:hint="eastAsia" w:ascii="宋体" w:hAnsi="宋体" w:cs="宋体"/>
                <w:bCs/>
                <w:color w:val="auto"/>
                <w:sz w:val="24"/>
                <w:szCs w:val="24"/>
                <w:highlight w:val="none"/>
                <w:lang w:val="en-US" w:eastAsia="zh-CN"/>
              </w:rPr>
              <w:t>详细合理</w:t>
            </w:r>
            <w:r>
              <w:rPr>
                <w:rFonts w:hint="eastAsia" w:ascii="宋体" w:hAnsi="宋体" w:eastAsia="宋体" w:cs="宋体"/>
                <w:bCs/>
                <w:color w:val="auto"/>
                <w:sz w:val="24"/>
                <w:szCs w:val="24"/>
                <w:highlight w:val="none"/>
              </w:rPr>
              <w:t>，提供</w:t>
            </w:r>
            <w:r>
              <w:rPr>
                <w:rFonts w:hint="eastAsia" w:ascii="宋体" w:hAnsi="宋体" w:eastAsia="宋体" w:cs="宋体"/>
                <w:bCs/>
                <w:color w:val="auto"/>
                <w:sz w:val="24"/>
                <w:szCs w:val="24"/>
                <w:highlight w:val="none"/>
                <w:lang w:eastAsia="zh-CN"/>
              </w:rPr>
              <w:t>详细的</w:t>
            </w:r>
            <w:r>
              <w:rPr>
                <w:rFonts w:hint="eastAsia" w:ascii="宋体" w:hAnsi="宋体" w:eastAsia="宋体" w:cs="宋体"/>
                <w:bCs/>
                <w:color w:val="auto"/>
                <w:sz w:val="24"/>
                <w:szCs w:val="24"/>
                <w:highlight w:val="none"/>
              </w:rPr>
              <w:t>备品备件清单，</w:t>
            </w:r>
            <w:r>
              <w:rPr>
                <w:rFonts w:hint="eastAsia" w:ascii="宋体" w:hAnsi="宋体" w:eastAsia="宋体" w:cs="宋体"/>
                <w:bCs/>
                <w:color w:val="auto"/>
                <w:sz w:val="24"/>
                <w:szCs w:val="24"/>
                <w:highlight w:val="none"/>
                <w:lang w:eastAsia="zh-CN"/>
              </w:rPr>
              <w:t>响应时间、解决问题时间、质保期等有优于</w:t>
            </w:r>
            <w:r>
              <w:rPr>
                <w:rFonts w:hint="eastAsia" w:ascii="宋体" w:hAnsi="宋体" w:eastAsia="宋体" w:cs="宋体"/>
                <w:bCs/>
                <w:color w:val="auto"/>
                <w:sz w:val="24"/>
                <w:szCs w:val="24"/>
                <w:highlight w:val="none"/>
              </w:rPr>
              <w:t>招标文件要求，有售后工程师日常技术维护力量及服务的，提供详细的设备操作培训计划。</w:t>
            </w:r>
          </w:p>
          <w:p w14:paraId="4876EA6B">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方案内容未达到一档要求的不得分。</w:t>
            </w:r>
          </w:p>
        </w:tc>
      </w:tr>
      <w:tr w14:paraId="3B1E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vAlign w:val="center"/>
          </w:tcPr>
          <w:p w14:paraId="0B52BA0E">
            <w:pPr>
              <w:wordWrap w:val="0"/>
              <w:spacing w:line="400" w:lineRule="exact"/>
              <w:jc w:val="center"/>
              <w:rPr>
                <w:rFonts w:hint="eastAsia" w:ascii="宋体" w:hAnsi="宋体" w:eastAsia="宋体" w:cs="宋体"/>
                <w:b/>
                <w:color w:val="auto"/>
                <w:sz w:val="24"/>
                <w:szCs w:val="24"/>
                <w:highlight w:val="none"/>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14:paraId="4EAE8082">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5C8F00A7">
            <w:pPr>
              <w:wordWrap w:val="0"/>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设备保修期承诺（满分4分）</w:t>
            </w:r>
          </w:p>
        </w:tc>
        <w:tc>
          <w:tcPr>
            <w:tcW w:w="5880" w:type="dxa"/>
            <w:tcBorders>
              <w:top w:val="single" w:color="auto" w:sz="4" w:space="0"/>
              <w:left w:val="single" w:color="auto" w:sz="4" w:space="0"/>
              <w:bottom w:val="single" w:color="auto" w:sz="4" w:space="0"/>
              <w:right w:val="single" w:color="auto" w:sz="4" w:space="0"/>
            </w:tcBorders>
            <w:vAlign w:val="center"/>
          </w:tcPr>
          <w:p w14:paraId="51E72888">
            <w:pPr>
              <w:wordWrap w:val="0"/>
              <w:autoSpaceDE w:val="0"/>
              <w:autoSpaceDN w:val="0"/>
              <w:adjustRightInd w:val="0"/>
              <w:spacing w:line="400" w:lineRule="exact"/>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投标文件中针对本项目采购内容承诺的整体保修期每超过招标文件要求一年的，加2分,本项满分4分。</w:t>
            </w:r>
          </w:p>
        </w:tc>
      </w:tr>
      <w:tr w14:paraId="0F76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vAlign w:val="center"/>
          </w:tcPr>
          <w:p w14:paraId="1B488645">
            <w:pPr>
              <w:wordWrap w:val="0"/>
              <w:spacing w:line="400" w:lineRule="exact"/>
              <w:jc w:val="center"/>
              <w:rPr>
                <w:rFonts w:hint="eastAsia" w:ascii="宋体" w:hAnsi="宋体" w:eastAsia="宋体" w:cs="宋体"/>
                <w:b/>
                <w:color w:val="auto"/>
                <w:sz w:val="24"/>
                <w:szCs w:val="24"/>
                <w:highlight w:val="none"/>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14:paraId="72F653DE">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5617FF5A">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业绩分</w:t>
            </w:r>
          </w:p>
          <w:p w14:paraId="2E4148B4">
            <w:pPr>
              <w:wordWrap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78E770EB">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投标文件中提供投标人或所投产品生产厂商近三年（自202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年1月1日至今）的</w:t>
            </w:r>
            <w:r>
              <w:rPr>
                <w:rFonts w:hint="eastAsia" w:ascii="宋体" w:hAnsi="宋体" w:eastAsia="宋体" w:cs="宋体"/>
                <w:color w:val="auto"/>
                <w:sz w:val="24"/>
                <w:szCs w:val="24"/>
                <w:highlight w:val="none"/>
                <w:lang w:eastAsia="zh-CN"/>
              </w:rPr>
              <w:t>同类项目</w:t>
            </w:r>
            <w:r>
              <w:rPr>
                <w:rFonts w:hint="eastAsia" w:ascii="宋体" w:hAnsi="宋体" w:eastAsia="宋体" w:cs="宋体"/>
                <w:color w:val="auto"/>
                <w:sz w:val="24"/>
                <w:szCs w:val="24"/>
                <w:highlight w:val="none"/>
              </w:rPr>
              <w:t>成交业绩，每提供一个业绩得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分【投标文件中提供中标（成交）通知书或相关采购合同，复印件均须加盖投标人电子公章，否则不得分，相同甲方的业绩按一个计算】</w:t>
            </w:r>
          </w:p>
        </w:tc>
      </w:tr>
      <w:tr w14:paraId="2FD9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bottom w:val="single" w:color="auto" w:sz="4" w:space="0"/>
              <w:right w:val="single" w:color="auto" w:sz="4" w:space="0"/>
            </w:tcBorders>
            <w:vAlign w:val="center"/>
          </w:tcPr>
          <w:p w14:paraId="39D995F5">
            <w:pPr>
              <w:wordWrap w:val="0"/>
              <w:spacing w:line="400" w:lineRule="exact"/>
              <w:jc w:val="center"/>
              <w:rPr>
                <w:rFonts w:hint="eastAsia" w:ascii="宋体" w:hAnsi="宋体" w:eastAsia="宋体" w:cs="宋体"/>
                <w:b/>
                <w:color w:val="auto"/>
                <w:sz w:val="24"/>
                <w:szCs w:val="24"/>
                <w:highlight w:val="none"/>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14:paraId="75E6290E">
            <w:pPr>
              <w:wordWrap w:val="0"/>
              <w:adjustRightInd w:val="0"/>
              <w:spacing w:line="400" w:lineRule="exact"/>
              <w:jc w:val="center"/>
              <w:textAlignment w:val="baseline"/>
              <w:rPr>
                <w:rFonts w:hint="eastAsia" w:ascii="宋体" w:hAnsi="宋体" w:eastAsia="宋体" w:cs="宋体"/>
                <w:b/>
                <w:color w:val="auto"/>
                <w:sz w:val="24"/>
                <w:szCs w:val="24"/>
                <w:highlight w:val="none"/>
              </w:rPr>
            </w:pPr>
          </w:p>
        </w:tc>
        <w:tc>
          <w:tcPr>
            <w:tcW w:w="1615" w:type="dxa"/>
            <w:tcBorders>
              <w:top w:val="single" w:color="auto" w:sz="4" w:space="0"/>
              <w:left w:val="single" w:color="auto" w:sz="4" w:space="0"/>
              <w:right w:val="single" w:color="auto" w:sz="4" w:space="0"/>
            </w:tcBorders>
            <w:vAlign w:val="center"/>
          </w:tcPr>
          <w:p w14:paraId="083EC878">
            <w:pPr>
              <w:keepNext w:val="0"/>
              <w:keepLines w:val="0"/>
              <w:pageBreakBefore w:val="0"/>
              <w:kinsoku/>
              <w:wordWrap w:val="0"/>
              <w:overflowPunct/>
              <w:topLinePunct w:val="0"/>
              <w:bidi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节能、环境标志分（满分</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12EE847B">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预算金额比例得</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至</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分，满分</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分。非节能产品的不得分。</w:t>
            </w:r>
          </w:p>
          <w:p w14:paraId="103C16A5">
            <w:pPr>
              <w:keepNext w:val="0"/>
              <w:keepLines w:val="0"/>
              <w:pageBreakBefore w:val="0"/>
              <w:kinsoku/>
              <w:wordWrap w:val="0"/>
              <w:overflowPunct/>
              <w:topLinePunct w:val="0"/>
              <w:bidi w:val="0"/>
              <w:spacing w:line="40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属于财政部《环境标志产品政府采购品目清单》内的产品[投标文件中提供有效的认证证书复印件及品目清单（标注出投标产品在品目清单中所属的品目），并加盖投标人公章]，根据其所占项目预算金额比例得</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至</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分，满分</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rPr>
              <w:t>分。非环境标志产品的不得分。</w:t>
            </w:r>
          </w:p>
        </w:tc>
      </w:tr>
      <w:tr w14:paraId="5AE9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39" w:type="dxa"/>
            <w:gridSpan w:val="4"/>
            <w:tcBorders>
              <w:top w:val="single" w:color="auto" w:sz="4" w:space="0"/>
              <w:left w:val="single" w:color="auto" w:sz="4" w:space="0"/>
              <w:bottom w:val="single" w:color="auto" w:sz="4" w:space="0"/>
              <w:right w:val="single" w:color="auto" w:sz="4" w:space="0"/>
            </w:tcBorders>
            <w:vAlign w:val="center"/>
          </w:tcPr>
          <w:p w14:paraId="2EC0EBDD">
            <w:pPr>
              <w:wordWrap w:val="0"/>
              <w:spacing w:line="400" w:lineRule="exact"/>
              <w:ind w:firstLine="42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总得分=1+2+3。</w:t>
            </w:r>
          </w:p>
        </w:tc>
      </w:tr>
    </w:tbl>
    <w:p w14:paraId="75C2067A">
      <w:pPr>
        <w:tabs>
          <w:tab w:val="left" w:pos="284"/>
          <w:tab w:val="left" w:pos="567"/>
          <w:tab w:val="left" w:pos="709"/>
        </w:tabs>
        <w:snapToGrid w:val="0"/>
        <w:spacing w:line="360" w:lineRule="auto"/>
        <w:rPr>
          <w:rFonts w:hint="eastAsia" w:cs="仿宋_GB2312" w:asciiTheme="minorEastAsia" w:hAnsiTheme="minorEastAsia" w:eastAsiaTheme="minorEastAsia"/>
          <w:bCs/>
          <w:color w:val="auto"/>
          <w:sz w:val="24"/>
          <w:highlight w:val="none"/>
        </w:rPr>
      </w:pPr>
    </w:p>
    <w:p w14:paraId="733357CF">
      <w:pPr>
        <w:tabs>
          <w:tab w:val="left" w:pos="284"/>
          <w:tab w:val="left" w:pos="567"/>
          <w:tab w:val="left" w:pos="709"/>
        </w:tabs>
        <w:snapToGrid w:val="0"/>
        <w:spacing w:line="360" w:lineRule="auto"/>
        <w:ind w:firstLine="480" w:firstLineChars="200"/>
        <w:rPr>
          <w:rFonts w:ascii="宋体" w:hAnsi="宋体" w:cs="宋体"/>
          <w:color w:val="auto"/>
          <w:sz w:val="24"/>
          <w:highlight w:val="none"/>
        </w:rPr>
      </w:pP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2BB46B28">
      <w:pPr>
        <w:adjustRightInd/>
        <w:spacing w:line="360" w:lineRule="auto"/>
        <w:outlineLvl w:val="1"/>
        <w:rPr>
          <w:rFonts w:ascii="宋体" w:hAnsi="宋体" w:cs="宋体"/>
          <w:b/>
          <w:color w:val="auto"/>
          <w:sz w:val="32"/>
          <w:highlight w:val="none"/>
        </w:rPr>
      </w:pPr>
      <w:r>
        <w:rPr>
          <w:rFonts w:hint="eastAsia" w:ascii="宋体" w:hAnsi="宋体" w:cs="宋体"/>
          <w:b/>
          <w:color w:val="auto"/>
          <w:sz w:val="32"/>
          <w:highlight w:val="none"/>
        </w:rPr>
        <w:t>一、评标方法</w:t>
      </w:r>
    </w:p>
    <w:p w14:paraId="5B02BB85">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14:paraId="2FB6628D">
      <w:pPr>
        <w:adjustRightIn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5C63B7EB">
      <w:pPr>
        <w:adjustRightInd/>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B最低评标价法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14:paraId="43AFE80F">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14:paraId="337EAE0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14:paraId="18652C1B">
      <w:pPr>
        <w:spacing w:line="360" w:lineRule="auto"/>
        <w:outlineLvl w:val="1"/>
        <w:rPr>
          <w:rFonts w:ascii="宋体" w:hAnsi="宋体" w:cs="宋体"/>
          <w:b/>
          <w:color w:val="auto"/>
          <w:sz w:val="32"/>
          <w:szCs w:val="32"/>
          <w:highlight w:val="none"/>
        </w:rPr>
      </w:pPr>
      <w:r>
        <w:rPr>
          <w:rFonts w:hint="eastAsia" w:ascii="宋体" w:hAnsi="宋体" w:cs="宋体"/>
          <w:b/>
          <w:color w:val="auto"/>
          <w:sz w:val="32"/>
          <w:szCs w:val="32"/>
          <w:highlight w:val="none"/>
        </w:rPr>
        <w:t>三、评标程序</w:t>
      </w:r>
    </w:p>
    <w:p w14:paraId="57B6E13A">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9631A6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266557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3800F33A">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11098A75">
      <w:pPr>
        <w:pStyle w:val="1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570BC0B7">
      <w:pPr>
        <w:pStyle w:val="1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2223499A">
      <w:pPr>
        <w:pStyle w:val="1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86A3D20">
      <w:pPr>
        <w:pStyle w:val="1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73EE959B">
      <w:pPr>
        <w:pStyle w:val="1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7AB19D74">
      <w:pPr>
        <w:pStyle w:val="1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1FADF1C">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66A24815">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406F9614">
      <w:pPr>
        <w:pStyle w:val="1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5DF3B0B">
      <w:pPr>
        <w:snapToGrid w:val="0"/>
        <w:spacing w:line="360" w:lineRule="auto"/>
        <w:ind w:firstLine="480" w:firstLineChars="200"/>
        <w:jc w:val="left"/>
        <w:rPr>
          <w:rFonts w:hint="eastAsia" w:ascii="宋体" w:hAnsi="宋体" w:cs="宋体"/>
          <w:color w:val="auto"/>
          <w:kern w:val="0"/>
          <w:sz w:val="24"/>
          <w:highlight w:val="none"/>
          <w:u w:val="none"/>
          <w:lang w:val="en-US" w:eastAsia="zh-CN"/>
        </w:rPr>
      </w:pPr>
      <w:bookmarkStart w:id="467" w:name="OLE_LINK18"/>
      <w:r>
        <w:rPr>
          <w:rFonts w:hint="eastAsia" w:ascii="宋体" w:hAnsi="宋体" w:cs="宋体"/>
          <w:color w:val="auto"/>
          <w:kern w:val="0"/>
          <w:sz w:val="24"/>
          <w:highlight w:val="none"/>
          <w:u w:val="none"/>
        </w:rPr>
        <w:t>3.4.4.1</w:t>
      </w:r>
      <w:r>
        <w:rPr>
          <w:rFonts w:hint="eastAsia" w:ascii="宋体" w:hAnsi="宋体" w:cs="宋体"/>
          <w:color w:val="auto"/>
          <w:kern w:val="0"/>
          <w:sz w:val="24"/>
          <w:highlight w:val="none"/>
          <w:u w:val="none"/>
          <w:lang w:val="en-US" w:eastAsia="zh-CN"/>
        </w:rPr>
        <w:t xml:space="preserve">政府采购评审中出现下列情形之一的，评审委员会应当启动异常低价投标（响应）审查程序: </w:t>
      </w:r>
    </w:p>
    <w:p w14:paraId="2BA9BA93">
      <w:pPr>
        <w:snapToGrid w:val="0"/>
        <w:spacing w:line="360" w:lineRule="auto"/>
        <w:ind w:firstLine="480" w:firstLineChars="200"/>
        <w:jc w:val="left"/>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 xml:space="preserve">（1）投标（响应）报价低于全部通过符合性审查供应商投标（响应）报价平均值 50%的，即投标（响应）报价&lt;全部通过符合性审查供应商投标（响应）报价平均值×50%； </w:t>
      </w:r>
    </w:p>
    <w:p w14:paraId="66D8CB20">
      <w:pPr>
        <w:snapToGrid w:val="0"/>
        <w:spacing w:line="360" w:lineRule="auto"/>
        <w:ind w:firstLine="480" w:firstLineChars="200"/>
        <w:jc w:val="left"/>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 xml:space="preserve">（2）投标（响应）报价低于通过符合性审查且报价次低供应商投标（响应）报价 50%的，即投标（响应）报价&lt;通过符合性审查且报价次低供应商投标（响应）报价×50%； </w:t>
      </w:r>
    </w:p>
    <w:p w14:paraId="3C639F4E">
      <w:pPr>
        <w:snapToGrid w:val="0"/>
        <w:spacing w:line="360" w:lineRule="auto"/>
        <w:ind w:firstLine="480" w:firstLineChars="200"/>
        <w:jc w:val="left"/>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 xml:space="preserve">（3）投标（响应）报价低于采购项目最高限价 45%的，即投标（响应）报价&lt;采购项目最高限价×45%； </w:t>
      </w:r>
    </w:p>
    <w:p w14:paraId="1570CA3F">
      <w:pPr>
        <w:snapToGrid w:val="0"/>
        <w:spacing w:line="360" w:lineRule="auto"/>
        <w:ind w:firstLine="480" w:firstLineChars="200"/>
        <w:jc w:val="left"/>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 xml:space="preserve">（4）其他评审委员会认为供应商报价过低，有可能影响产品质量或者不能诚信履约的情形。 </w:t>
      </w:r>
    </w:p>
    <w:p w14:paraId="6781A9DF">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3.4.4.2审查工作流程。评标委员会严格按照评审现场说明、综合评估研判和出具处理结果三个步骤开展审查流程。 </w:t>
      </w:r>
    </w:p>
    <w:p w14:paraId="11738E09">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413B2F7C">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11EEF0B3">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出具处理结果。如果投标（响应）供应商不提供书面说明、证明材料，或者提供的书面说明、证明材料不能证明其报价合理性的，应当将其作为无效投标（响应）处理。审查相关情况应当在评审报告中记录。 </w:t>
      </w:r>
      <w:bookmarkEnd w:id="467"/>
    </w:p>
    <w:p w14:paraId="3D98D42A">
      <w:pPr>
        <w:pStyle w:val="1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791742E4">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14:paraId="0C37100C">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63667CB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26FBD9F">
      <w:pPr>
        <w:pStyle w:val="16"/>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336723D0">
      <w:pPr>
        <w:pStyle w:val="16"/>
        <w:rPr>
          <w:color w:val="auto"/>
          <w:highlight w:val="none"/>
        </w:rPr>
      </w:pPr>
      <w:r>
        <w:rPr>
          <w:rFonts w:hint="eastAsia" w:cs="宋体"/>
          <w:color w:val="auto"/>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766865E8">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A7C28B1">
      <w:pPr>
        <w:widowControl/>
        <w:shd w:val="clear" w:color="auto" w:fill="FFFFFF"/>
        <w:adjustRightInd/>
        <w:spacing w:line="360" w:lineRule="auto"/>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64DD9BC1">
      <w:pPr>
        <w:pStyle w:val="1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CBA4FC0">
      <w:pPr>
        <w:pStyle w:val="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6A251B5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8F7A5C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4C9247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596F813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C9E47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F942C62">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5C5139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44AFFFE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w:t>
      </w:r>
      <w:bookmarkStart w:id="468" w:name="OLE_LINK47"/>
      <w:bookmarkStart w:id="469" w:name="OLE_LINK46"/>
      <w:r>
        <w:rPr>
          <w:rFonts w:hint="eastAsia" w:ascii="宋体" w:hAnsi="宋体" w:cs="宋体"/>
          <w:color w:val="auto"/>
          <w:kern w:val="0"/>
          <w:sz w:val="24"/>
          <w:highlight w:val="none"/>
        </w:rPr>
        <w:t>报价属于3.4.4.1规定情形之一</w:t>
      </w:r>
      <w:bookmarkEnd w:id="468"/>
      <w:bookmarkEnd w:id="469"/>
      <w:r>
        <w:rPr>
          <w:rFonts w:hint="eastAsia" w:ascii="宋体" w:hAnsi="宋体" w:cs="宋体"/>
          <w:color w:val="auto"/>
          <w:kern w:val="0"/>
          <w:sz w:val="24"/>
          <w:highlight w:val="none"/>
        </w:rPr>
        <w:t>，未能按要求提供书面说明或者提交相关证明材料，不能证明其报价合理性的;</w:t>
      </w:r>
    </w:p>
    <w:p w14:paraId="12A19B8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3EDBEDA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2D702632">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6B7997C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259DFC62">
      <w:pPr>
        <w:pStyle w:val="16"/>
        <w:rPr>
          <w:color w:val="auto"/>
          <w:highlight w:val="none"/>
        </w:rPr>
      </w:pPr>
      <w:r>
        <w:rPr>
          <w:rFonts w:hint="eastAsia"/>
          <w:color w:val="auto"/>
          <w:highlight w:val="none"/>
        </w:rPr>
        <w:t>4.2.13 投标文件不满足招标文件的其它实质性要求的；</w:t>
      </w:r>
    </w:p>
    <w:p w14:paraId="15648A6D">
      <w:pPr>
        <w:spacing w:line="360" w:lineRule="auto"/>
        <w:ind w:firstLine="480" w:firstLineChars="200"/>
        <w:rPr>
          <w:rFonts w:ascii="宋体" w:hAnsi="宋体" w:cs="宋体"/>
          <w:color w:val="auto"/>
          <w:kern w:val="0"/>
          <w:sz w:val="24"/>
          <w:highlight w:val="none"/>
        </w:rPr>
      </w:pPr>
      <w:bookmarkStart w:id="470" w:name="OLE_LINK8"/>
      <w:r>
        <w:rPr>
          <w:rFonts w:hint="eastAsia" w:ascii="宋体" w:hAnsi="宋体" w:cs="宋体"/>
          <w:color w:val="auto"/>
          <w:kern w:val="0"/>
          <w:sz w:val="24"/>
          <w:highlight w:val="none"/>
        </w:rPr>
        <w:t>4.2.14参与同一个采购包（标段）的供应商存在下列情形之一且无法合理解释的，其投标（响应）文件无效：</w:t>
      </w:r>
    </w:p>
    <w:p w14:paraId="110947B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（1）不同供应商的电子投标（响应）文件上传计算机的网卡MAC地址或硬盘序列号等硬件信息相同的；</w:t>
      </w:r>
    </w:p>
    <w:p w14:paraId="633243D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（2）上传的电子投标（响应）文件若出现使用本项目其他投标（响应）供应商的数字证书加密的，或者加盖本项目其他投标（响应）供应商的电子印章的；</w:t>
      </w:r>
    </w:p>
    <w:p w14:paraId="22A3FE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（3）不同供应商的投标（响应）文件的内容存在3处（含）以上错误一致的；</w:t>
      </w:r>
    </w:p>
    <w:p w14:paraId="625FD7D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（4）不同供应商联系人为同一人或不同联系人的联系电话一致的。</w:t>
      </w:r>
      <w:bookmarkEnd w:id="470"/>
    </w:p>
    <w:p w14:paraId="28F41DA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4.2.15法律、法规、规章（适用本市的）及省级以上规范性文件（适用本市的）规定的其他无效情形。</w:t>
      </w:r>
    </w:p>
    <w:p w14:paraId="78E044E9">
      <w:pPr>
        <w:pStyle w:val="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6E157CE">
      <w:pPr>
        <w:pStyle w:val="6"/>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0536375">
      <w:pPr>
        <w:pStyle w:val="6"/>
        <w:snapToGrid w:val="0"/>
        <w:spacing w:line="360" w:lineRule="auto"/>
        <w:rPr>
          <w:rFonts w:cs="宋体"/>
          <w:color w:val="auto"/>
          <w:highlight w:val="none"/>
        </w:rPr>
      </w:pPr>
      <w:r>
        <w:rPr>
          <w:rFonts w:hint="eastAsia" w:cs="宋体"/>
          <w:color w:val="auto"/>
          <w:highlight w:val="none"/>
        </w:rPr>
        <w:t>5.2出现影响采购公正的违法、违规行为的；</w:t>
      </w:r>
    </w:p>
    <w:p w14:paraId="3C6D4161">
      <w:pPr>
        <w:pStyle w:val="6"/>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02DA7495">
      <w:pPr>
        <w:pStyle w:val="6"/>
        <w:snapToGrid w:val="0"/>
        <w:spacing w:line="360" w:lineRule="auto"/>
        <w:rPr>
          <w:rFonts w:cs="宋体"/>
          <w:color w:val="auto"/>
          <w:highlight w:val="none"/>
        </w:rPr>
      </w:pPr>
      <w:r>
        <w:rPr>
          <w:rFonts w:hint="eastAsia" w:cs="宋体"/>
          <w:color w:val="auto"/>
          <w:highlight w:val="none"/>
        </w:rPr>
        <w:t>5.4因重大变故，采购任务取消的。</w:t>
      </w:r>
    </w:p>
    <w:p w14:paraId="067D4FDD">
      <w:pPr>
        <w:pStyle w:val="6"/>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3BDDAA7E">
      <w:pPr>
        <w:pStyle w:val="6"/>
        <w:snapToGrid w:val="0"/>
        <w:spacing w:line="360" w:lineRule="auto"/>
        <w:ind w:firstLine="482"/>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1181C81">
      <w:pPr>
        <w:pStyle w:val="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739E4A83">
      <w:pPr>
        <w:pStyle w:val="6"/>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67C11D9B">
      <w:pPr>
        <w:pStyle w:val="6"/>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2A22EB3">
      <w:pPr>
        <w:pStyle w:val="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508F304F">
      <w:pPr>
        <w:pStyle w:val="6"/>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7B1626AD">
      <w:pPr>
        <w:pStyle w:val="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1956F7E8">
      <w:pPr>
        <w:pStyle w:val="16"/>
        <w:ind w:firstLine="0"/>
        <w:rPr>
          <w:b/>
          <w:color w:val="auto"/>
          <w:sz w:val="32"/>
          <w:szCs w:val="32"/>
          <w:highlight w:val="none"/>
        </w:rPr>
      </w:pPr>
      <w:r>
        <w:rPr>
          <w:rFonts w:hint="eastAsia"/>
          <w:b/>
          <w:color w:val="auto"/>
          <w:sz w:val="32"/>
          <w:szCs w:val="32"/>
          <w:highlight w:val="none"/>
        </w:rPr>
        <w:t>五、评审过程的保密与录像</w:t>
      </w:r>
    </w:p>
    <w:p w14:paraId="13238DD2">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0A0ACD32">
      <w:pPr>
        <w:pStyle w:val="6"/>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94"/>
    <w:p w14:paraId="0866081B">
      <w:pPr>
        <w:spacing w:line="360" w:lineRule="auto"/>
        <w:rPr>
          <w:rFonts w:ascii="宋体" w:hAnsi="宋体" w:cs="宋体"/>
          <w:b/>
          <w:color w:val="auto"/>
          <w:sz w:val="36"/>
          <w:szCs w:val="36"/>
          <w:highlight w:val="none"/>
        </w:rPr>
      </w:pPr>
      <w:bookmarkStart w:id="471" w:name="第五部分"/>
      <w:bookmarkStart w:id="472" w:name="_Toc86217003"/>
    </w:p>
    <w:p w14:paraId="122D6569">
      <w:pPr>
        <w:spacing w:line="360" w:lineRule="auto"/>
        <w:rPr>
          <w:rFonts w:ascii="宋体" w:hAnsi="宋体" w:cs="宋体"/>
          <w:b/>
          <w:color w:val="auto"/>
          <w:sz w:val="36"/>
          <w:szCs w:val="36"/>
          <w:highlight w:val="none"/>
        </w:rPr>
      </w:pPr>
    </w:p>
    <w:p w14:paraId="6061C32B">
      <w:pPr>
        <w:spacing w:line="360" w:lineRule="auto"/>
        <w:rPr>
          <w:rFonts w:ascii="宋体" w:hAnsi="宋体" w:cs="宋体"/>
          <w:b/>
          <w:color w:val="auto"/>
          <w:sz w:val="36"/>
          <w:szCs w:val="36"/>
          <w:highlight w:val="none"/>
        </w:rPr>
      </w:pPr>
    </w:p>
    <w:p w14:paraId="26C9F24B">
      <w:pPr>
        <w:spacing w:line="360" w:lineRule="auto"/>
        <w:rPr>
          <w:rFonts w:ascii="宋体" w:hAnsi="宋体" w:cs="宋体"/>
          <w:b/>
          <w:color w:val="auto"/>
          <w:sz w:val="36"/>
          <w:szCs w:val="36"/>
          <w:highlight w:val="none"/>
        </w:rPr>
      </w:pPr>
    </w:p>
    <w:p w14:paraId="37278617">
      <w:pPr>
        <w:spacing w:line="360" w:lineRule="auto"/>
        <w:jc w:val="both"/>
        <w:outlineLvl w:val="0"/>
        <w:rPr>
          <w:rFonts w:ascii="宋体" w:hAnsi="宋体" w:cs="宋体"/>
          <w:b/>
          <w:color w:val="auto"/>
          <w:sz w:val="36"/>
          <w:szCs w:val="36"/>
          <w:highlight w:val="none"/>
        </w:rPr>
      </w:pPr>
      <w:bookmarkStart w:id="473" w:name="_Toc176343852"/>
      <w:bookmarkStart w:id="474" w:name="_Toc176185125"/>
    </w:p>
    <w:p w14:paraId="6F5B59E8">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bookmarkEnd w:id="473"/>
      <w:bookmarkEnd w:id="474"/>
    </w:p>
    <w:p w14:paraId="5098DFB4">
      <w:pPr>
        <w:pStyle w:val="7"/>
        <w:jc w:val="center"/>
        <w:rPr>
          <w:rFonts w:hint="eastAsia" w:hAnsi="宋体" w:cs="宋体"/>
          <w:color w:val="auto"/>
          <w:sz w:val="44"/>
          <w:szCs w:val="44"/>
          <w:highlight w:val="none"/>
        </w:rPr>
      </w:pPr>
      <w:bookmarkStart w:id="475" w:name="_Toc3995"/>
      <w:r>
        <w:rPr>
          <w:rFonts w:hint="eastAsia" w:hAnsi="宋体" w:cs="宋体"/>
          <w:color w:val="auto"/>
          <w:sz w:val="44"/>
          <w:szCs w:val="44"/>
          <w:highlight w:val="none"/>
        </w:rPr>
        <w:t>北海市政府采购合同</w:t>
      </w:r>
    </w:p>
    <w:p w14:paraId="66B986EA">
      <w:pPr>
        <w:pStyle w:val="7"/>
        <w:spacing w:line="600" w:lineRule="exact"/>
        <w:rPr>
          <w:rFonts w:hint="eastAsia" w:hAnsi="宋体" w:cs="宋体"/>
          <w:color w:val="auto"/>
          <w:highlight w:val="none"/>
        </w:rPr>
      </w:pPr>
    </w:p>
    <w:p w14:paraId="3AD842D7">
      <w:pPr>
        <w:pStyle w:val="7"/>
        <w:spacing w:line="600" w:lineRule="exact"/>
        <w:rPr>
          <w:rFonts w:hint="eastAsia" w:hAnsi="宋体" w:cs="宋体"/>
          <w:color w:val="auto"/>
          <w:highlight w:val="none"/>
        </w:rPr>
      </w:pPr>
    </w:p>
    <w:p w14:paraId="75AB8087">
      <w:pPr>
        <w:pStyle w:val="7"/>
        <w:spacing w:line="600" w:lineRule="exact"/>
        <w:rPr>
          <w:rFonts w:hint="eastAsia" w:hAnsi="宋体" w:cs="宋体"/>
          <w:color w:val="auto"/>
          <w:highlight w:val="none"/>
        </w:rPr>
      </w:pPr>
    </w:p>
    <w:p w14:paraId="05BBE5FA">
      <w:pPr>
        <w:pStyle w:val="7"/>
        <w:spacing w:line="700" w:lineRule="exact"/>
        <w:ind w:firstLine="1260" w:firstLineChars="450"/>
        <w:rPr>
          <w:rFonts w:hint="eastAsia" w:hAnsi="宋体" w:cs="宋体"/>
          <w:color w:val="auto"/>
          <w:sz w:val="28"/>
          <w:szCs w:val="28"/>
          <w:highlight w:val="none"/>
          <w:u w:val="single"/>
        </w:rPr>
      </w:pPr>
      <w:r>
        <w:rPr>
          <w:rFonts w:hint="eastAsia" w:hAnsi="宋体" w:cs="宋体"/>
          <w:color w:val="auto"/>
          <w:sz w:val="28"/>
          <w:szCs w:val="28"/>
          <w:highlight w:val="none"/>
        </w:rPr>
        <w:t>合同名称：</w:t>
      </w:r>
      <w:r>
        <w:rPr>
          <w:rFonts w:hint="eastAsia" w:hAnsi="宋体" w:cs="宋体"/>
          <w:color w:val="auto"/>
          <w:sz w:val="28"/>
          <w:szCs w:val="28"/>
          <w:highlight w:val="none"/>
          <w:u w:val="single"/>
        </w:rPr>
        <w:t xml:space="preserve">                            </w:t>
      </w:r>
    </w:p>
    <w:p w14:paraId="7186971A">
      <w:pPr>
        <w:pStyle w:val="7"/>
        <w:spacing w:line="700" w:lineRule="exact"/>
        <w:ind w:firstLine="1260" w:firstLineChars="450"/>
        <w:rPr>
          <w:rFonts w:hint="eastAsia" w:hAnsi="宋体" w:cs="宋体"/>
          <w:color w:val="auto"/>
          <w:sz w:val="28"/>
          <w:szCs w:val="28"/>
          <w:highlight w:val="none"/>
          <w:u w:val="single"/>
        </w:rPr>
      </w:pPr>
      <w:r>
        <w:rPr>
          <w:rFonts w:hint="eastAsia" w:hAnsi="宋体" w:cs="宋体"/>
          <w:color w:val="auto"/>
          <w:sz w:val="28"/>
          <w:szCs w:val="28"/>
          <w:highlight w:val="none"/>
        </w:rPr>
        <w:t>合同编号：</w:t>
      </w:r>
      <w:r>
        <w:rPr>
          <w:rFonts w:hint="eastAsia" w:hAnsi="宋体" w:cs="宋体"/>
          <w:color w:val="auto"/>
          <w:sz w:val="28"/>
          <w:szCs w:val="28"/>
          <w:highlight w:val="none"/>
          <w:u w:val="single"/>
        </w:rPr>
        <w:t xml:space="preserve">                            </w:t>
      </w:r>
    </w:p>
    <w:p w14:paraId="1455F05E">
      <w:pPr>
        <w:pStyle w:val="7"/>
        <w:spacing w:line="700" w:lineRule="exact"/>
        <w:ind w:firstLine="1260" w:firstLineChars="450"/>
        <w:rPr>
          <w:rFonts w:hint="eastAsia" w:hAnsi="宋体" w:cs="宋体"/>
          <w:color w:val="auto"/>
          <w:sz w:val="28"/>
          <w:szCs w:val="28"/>
          <w:highlight w:val="none"/>
        </w:rPr>
      </w:pPr>
    </w:p>
    <w:p w14:paraId="678776C6">
      <w:pPr>
        <w:pStyle w:val="7"/>
        <w:spacing w:line="700" w:lineRule="exact"/>
        <w:ind w:firstLine="1260" w:firstLineChars="450"/>
        <w:rPr>
          <w:rFonts w:hint="eastAsia" w:hAnsi="宋体" w:cs="宋体"/>
          <w:color w:val="auto"/>
          <w:sz w:val="28"/>
          <w:szCs w:val="28"/>
          <w:highlight w:val="none"/>
        </w:rPr>
      </w:pPr>
      <w:r>
        <w:rPr>
          <w:rFonts w:hint="eastAsia" w:hAnsi="宋体" w:cs="宋体"/>
          <w:color w:val="auto"/>
          <w:sz w:val="28"/>
          <w:szCs w:val="28"/>
          <w:highlight w:val="none"/>
        </w:rPr>
        <w:t>采购人（甲方）</w:t>
      </w:r>
      <w:r>
        <w:rPr>
          <w:rFonts w:hint="eastAsia" w:hAnsi="宋体" w:cs="宋体"/>
          <w:color w:val="auto"/>
          <w:sz w:val="28"/>
          <w:szCs w:val="28"/>
          <w:highlight w:val="none"/>
          <w:u w:val="single"/>
        </w:rPr>
        <w:t xml:space="preserve">                      </w:t>
      </w:r>
    </w:p>
    <w:p w14:paraId="0A9FDEE9">
      <w:pPr>
        <w:pStyle w:val="7"/>
        <w:spacing w:line="700" w:lineRule="exact"/>
        <w:ind w:firstLine="1260" w:firstLineChars="450"/>
        <w:rPr>
          <w:rFonts w:hint="eastAsia" w:hAnsi="宋体" w:cs="宋体"/>
          <w:color w:val="auto"/>
          <w:sz w:val="28"/>
          <w:szCs w:val="28"/>
          <w:highlight w:val="none"/>
        </w:rPr>
      </w:pPr>
      <w:r>
        <w:rPr>
          <w:rFonts w:hint="eastAsia" w:hAnsi="宋体" w:cs="宋体"/>
          <w:color w:val="auto"/>
          <w:sz w:val="28"/>
          <w:szCs w:val="28"/>
          <w:highlight w:val="none"/>
        </w:rPr>
        <w:t>供应商（乙方）</w:t>
      </w:r>
      <w:r>
        <w:rPr>
          <w:rFonts w:hint="eastAsia" w:hAnsi="宋体" w:cs="宋体"/>
          <w:color w:val="auto"/>
          <w:sz w:val="28"/>
          <w:szCs w:val="28"/>
          <w:highlight w:val="none"/>
          <w:u w:val="single"/>
        </w:rPr>
        <w:t xml:space="preserve">                      </w:t>
      </w:r>
    </w:p>
    <w:p w14:paraId="5663FC8D">
      <w:pPr>
        <w:pStyle w:val="7"/>
        <w:spacing w:line="700" w:lineRule="exact"/>
        <w:ind w:firstLine="1260" w:firstLineChars="450"/>
        <w:jc w:val="center"/>
        <w:rPr>
          <w:rFonts w:hint="eastAsia" w:hAnsi="宋体" w:cs="宋体"/>
          <w:color w:val="auto"/>
          <w:sz w:val="28"/>
          <w:szCs w:val="28"/>
          <w:highlight w:val="none"/>
        </w:rPr>
      </w:pPr>
      <w:r>
        <w:rPr>
          <w:rFonts w:hint="eastAsia" w:hAnsi="宋体" w:cs="宋体"/>
          <w:color w:val="auto"/>
          <w:sz w:val="28"/>
          <w:szCs w:val="28"/>
          <w:highlight w:val="none"/>
        </w:rPr>
        <w:t xml:space="preserve"> </w:t>
      </w:r>
    </w:p>
    <w:p w14:paraId="786C20E0">
      <w:pPr>
        <w:pStyle w:val="7"/>
        <w:spacing w:line="700" w:lineRule="exact"/>
        <w:ind w:firstLine="1260" w:firstLineChars="450"/>
        <w:rPr>
          <w:rFonts w:hint="eastAsia" w:hAnsi="宋体" w:cs="宋体"/>
          <w:color w:val="auto"/>
          <w:sz w:val="28"/>
          <w:szCs w:val="28"/>
          <w:highlight w:val="none"/>
          <w:u w:val="single"/>
        </w:rPr>
      </w:pPr>
      <w:r>
        <w:rPr>
          <w:rFonts w:hint="eastAsia" w:hAnsi="宋体" w:cs="宋体"/>
          <w:color w:val="auto"/>
          <w:sz w:val="28"/>
          <w:szCs w:val="28"/>
          <w:highlight w:val="none"/>
        </w:rPr>
        <w:t>签订合同地点：</w:t>
      </w:r>
      <w:r>
        <w:rPr>
          <w:rFonts w:hint="eastAsia" w:hAnsi="宋体" w:cs="宋体"/>
          <w:color w:val="auto"/>
          <w:sz w:val="28"/>
          <w:szCs w:val="28"/>
          <w:highlight w:val="none"/>
          <w:u w:val="single"/>
        </w:rPr>
        <w:t xml:space="preserve">                       </w:t>
      </w:r>
    </w:p>
    <w:p w14:paraId="52D472CB">
      <w:pPr>
        <w:pStyle w:val="7"/>
        <w:spacing w:line="700" w:lineRule="exact"/>
        <w:ind w:firstLine="1260" w:firstLineChars="450"/>
        <w:rPr>
          <w:rFonts w:hint="eastAsia" w:hAnsi="宋体" w:cs="宋体"/>
          <w:color w:val="auto"/>
          <w:sz w:val="28"/>
          <w:szCs w:val="28"/>
          <w:highlight w:val="none"/>
        </w:rPr>
      </w:pPr>
      <w:r>
        <w:rPr>
          <w:rFonts w:hint="eastAsia" w:hAnsi="宋体" w:cs="宋体"/>
          <w:color w:val="auto"/>
          <w:sz w:val="28"/>
          <w:szCs w:val="28"/>
          <w:highlight w:val="none"/>
        </w:rPr>
        <w:t>签订合同时间：</w:t>
      </w:r>
      <w:r>
        <w:rPr>
          <w:rFonts w:hint="eastAsia" w:hAnsi="宋体" w:cs="宋体"/>
          <w:color w:val="auto"/>
          <w:sz w:val="28"/>
          <w:szCs w:val="28"/>
          <w:highlight w:val="none"/>
          <w:u w:val="single"/>
        </w:rPr>
        <w:t xml:space="preserve">                       </w:t>
      </w:r>
    </w:p>
    <w:p w14:paraId="1F762088">
      <w:pPr>
        <w:pStyle w:val="7"/>
        <w:jc w:val="center"/>
        <w:rPr>
          <w:rFonts w:hint="eastAsia" w:hAnsi="宋体" w:cs="宋体"/>
          <w:color w:val="auto"/>
          <w:highlight w:val="none"/>
        </w:rPr>
      </w:pPr>
    </w:p>
    <w:p w14:paraId="6CEB8264">
      <w:pPr>
        <w:pStyle w:val="7"/>
        <w:jc w:val="center"/>
        <w:rPr>
          <w:rFonts w:hint="eastAsia" w:hAnsi="宋体" w:cs="宋体"/>
          <w:color w:val="auto"/>
          <w:highlight w:val="none"/>
        </w:rPr>
      </w:pPr>
    </w:p>
    <w:p w14:paraId="6B79CD65">
      <w:pPr>
        <w:pStyle w:val="7"/>
        <w:jc w:val="center"/>
        <w:rPr>
          <w:rFonts w:hint="eastAsia" w:hAnsi="宋体" w:cs="宋体"/>
          <w:color w:val="auto"/>
          <w:highlight w:val="none"/>
        </w:rPr>
      </w:pPr>
      <w:r>
        <w:rPr>
          <w:rFonts w:hint="eastAsia" w:hAnsi="宋体" w:cs="宋体"/>
          <w:color w:val="auto"/>
          <w:highlight w:val="none"/>
        </w:rPr>
        <w:t xml:space="preserve"> </w:t>
      </w:r>
    </w:p>
    <w:p w14:paraId="11D9B461">
      <w:pPr>
        <w:pStyle w:val="7"/>
        <w:jc w:val="center"/>
        <w:rPr>
          <w:rFonts w:hint="eastAsia" w:hAnsi="宋体" w:cs="宋体"/>
          <w:color w:val="auto"/>
          <w:highlight w:val="none"/>
        </w:rPr>
      </w:pPr>
      <w:r>
        <w:rPr>
          <w:rFonts w:hint="eastAsia" w:hAnsi="宋体" w:cs="宋体"/>
          <w:color w:val="auto"/>
          <w:highlight w:val="none"/>
        </w:rPr>
        <w:t xml:space="preserve"> </w:t>
      </w:r>
    </w:p>
    <w:p w14:paraId="5BC2DCA4">
      <w:pPr>
        <w:keepLines/>
        <w:pageBreakBefore/>
        <w:snapToGrid w:val="0"/>
        <w:spacing w:line="360" w:lineRule="auto"/>
        <w:jc w:val="center"/>
        <w:rPr>
          <w:rFonts w:hint="eastAsia" w:ascii="宋体" w:hAnsi="宋体" w:cs="宋体"/>
          <w:bCs/>
          <w:color w:val="auto"/>
          <w:sz w:val="36"/>
          <w:szCs w:val="36"/>
          <w:highlight w:val="none"/>
        </w:rPr>
      </w:pPr>
      <w:r>
        <w:rPr>
          <w:rFonts w:hint="eastAsia" w:ascii="宋体" w:hAnsi="宋体" w:cs="宋体"/>
          <w:bCs/>
          <w:color w:val="auto"/>
          <w:sz w:val="36"/>
          <w:szCs w:val="36"/>
          <w:highlight w:val="none"/>
        </w:rPr>
        <w:t>北海市政府采购合同</w:t>
      </w:r>
    </w:p>
    <w:p w14:paraId="727426A2">
      <w:pPr>
        <w:snapToGrid w:val="0"/>
        <w:spacing w:line="360" w:lineRule="exact"/>
        <w:ind w:right="480"/>
        <w:rPr>
          <w:rFonts w:ascii="宋体" w:hAnsi="宋体" w:cs="宋体"/>
          <w:bCs/>
          <w:color w:val="auto"/>
          <w:sz w:val="24"/>
          <w:szCs w:val="24"/>
          <w:highlight w:val="none"/>
          <w:u w:val="single"/>
        </w:rPr>
      </w:pPr>
      <w:r>
        <w:rPr>
          <w:rFonts w:hint="eastAsia" w:ascii="宋体" w:hAnsi="宋体" w:cs="宋体"/>
          <w:bCs/>
          <w:color w:val="auto"/>
          <w:sz w:val="24"/>
          <w:szCs w:val="24"/>
          <w:highlight w:val="none"/>
        </w:rPr>
        <w:t>合  同  编  号：</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w:t>
      </w:r>
    </w:p>
    <w:p w14:paraId="4C2510FA">
      <w:pPr>
        <w:snapToGrid w:val="0"/>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采购单位（甲方）</w:t>
      </w:r>
      <w:r>
        <w:rPr>
          <w:rFonts w:hint="eastAsia" w:ascii="宋体" w:hAnsi="宋体" w:cs="宋体"/>
          <w:color w:val="auto"/>
          <w:sz w:val="24"/>
          <w:szCs w:val="24"/>
          <w:highlight w:val="none"/>
          <w:u w:val="single"/>
        </w:rPr>
        <w:t xml:space="preserve">   北海市人民医院      </w:t>
      </w:r>
      <w:r>
        <w:rPr>
          <w:rFonts w:hint="eastAsia" w:ascii="宋体" w:hAnsi="宋体" w:cs="宋体"/>
          <w:color w:val="auto"/>
          <w:spacing w:val="-20"/>
          <w:sz w:val="24"/>
          <w:szCs w:val="24"/>
          <w:highlight w:val="none"/>
        </w:rPr>
        <w:t>采 购 计 划 号</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p>
    <w:p w14:paraId="268C7831">
      <w:pPr>
        <w:snapToGrid w:val="0"/>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供 应 商（乙方）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项目名称及</w:t>
      </w:r>
      <w:r>
        <w:rPr>
          <w:rFonts w:hint="eastAsia" w:ascii="宋体" w:hAnsi="宋体" w:cs="宋体"/>
          <w:color w:val="auto"/>
          <w:spacing w:val="-20"/>
          <w:sz w:val="24"/>
          <w:szCs w:val="24"/>
          <w:highlight w:val="none"/>
        </w:rPr>
        <w:t>编 号：</w:t>
      </w:r>
      <w:r>
        <w:rPr>
          <w:rFonts w:hint="eastAsia" w:ascii="宋体" w:hAnsi="宋体" w:cs="宋体"/>
          <w:color w:val="auto"/>
          <w:sz w:val="24"/>
          <w:szCs w:val="24"/>
          <w:highlight w:val="none"/>
          <w:u w:val="single"/>
        </w:rPr>
        <w:t xml:space="preserve">                          </w:t>
      </w:r>
    </w:p>
    <w:p w14:paraId="6C0A847F">
      <w:pPr>
        <w:snapToGrid w:val="0"/>
        <w:spacing w:line="360" w:lineRule="exact"/>
        <w:ind w:firstLine="480" w:firstLineChars="200"/>
        <w:rPr>
          <w:rFonts w:ascii="宋体" w:hAnsi="宋体" w:cs="宋体"/>
          <w:color w:val="auto"/>
          <w:sz w:val="24"/>
          <w:szCs w:val="24"/>
          <w:highlight w:val="none"/>
        </w:rPr>
      </w:pPr>
    </w:p>
    <w:p w14:paraId="37280F84">
      <w:pPr>
        <w:pStyle w:val="7"/>
        <w:adjustRightInd w:val="0"/>
        <w:snapToGrid w:val="0"/>
        <w:spacing w:line="360" w:lineRule="exact"/>
        <w:ind w:firstLine="472" w:firstLineChars="200"/>
        <w:rPr>
          <w:rFonts w:hAnsi="宋体" w:cs="宋体"/>
          <w:color w:val="auto"/>
          <w:spacing w:val="-2"/>
          <w:sz w:val="24"/>
          <w:szCs w:val="24"/>
          <w:highlight w:val="none"/>
        </w:rPr>
      </w:pPr>
      <w:r>
        <w:rPr>
          <w:rFonts w:hint="eastAsia" w:hAnsi="宋体" w:cs="宋体"/>
          <w:color w:val="auto"/>
          <w:spacing w:val="-2"/>
          <w:sz w:val="24"/>
          <w:szCs w:val="24"/>
          <w:highlight w:val="none"/>
        </w:rPr>
        <w:t>根据《中华人民共和国政府采购法》、《中华人民共和国民法典》等法律、法规规定，按照招标文件</w:t>
      </w:r>
      <w:r>
        <w:rPr>
          <w:rFonts w:hint="eastAsia" w:hAnsi="宋体" w:cs="宋体"/>
          <w:color w:val="auto"/>
          <w:sz w:val="24"/>
          <w:szCs w:val="24"/>
          <w:highlight w:val="none"/>
        </w:rPr>
        <w:t>规定条款和中标供应商投标文件及其承诺，甲乙双方签订本合同。</w:t>
      </w:r>
    </w:p>
    <w:p w14:paraId="3E36131F">
      <w:pPr>
        <w:adjustRightInd w:val="0"/>
        <w:snapToGrid w:val="0"/>
        <w:spacing w:line="3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第一条、合同标的</w:t>
      </w:r>
    </w:p>
    <w:p w14:paraId="7852D00A">
      <w:pPr>
        <w:adjustRightInd w:val="0"/>
        <w:snapToGrid w:val="0"/>
        <w:spacing w:after="156" w:afterLines="50"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1.供货一览表</w:t>
      </w:r>
    </w:p>
    <w:tbl>
      <w:tblPr>
        <w:tblStyle w:val="1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52"/>
        <w:gridCol w:w="1218"/>
        <w:gridCol w:w="972"/>
        <w:gridCol w:w="1147"/>
        <w:gridCol w:w="657"/>
        <w:gridCol w:w="1041"/>
        <w:gridCol w:w="1066"/>
        <w:gridCol w:w="1405"/>
      </w:tblGrid>
      <w:tr w14:paraId="6D01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27" w:type="dxa"/>
            <w:vAlign w:val="center"/>
          </w:tcPr>
          <w:p w14:paraId="51416A4F">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252" w:type="dxa"/>
            <w:vAlign w:val="center"/>
          </w:tcPr>
          <w:p w14:paraId="7BF0791F">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产品</w:t>
            </w:r>
          </w:p>
          <w:p w14:paraId="4D2599F1">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1218" w:type="dxa"/>
            <w:vAlign w:val="center"/>
          </w:tcPr>
          <w:p w14:paraId="628F0E0E">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医疗器械产品注册证名称</w:t>
            </w:r>
          </w:p>
        </w:tc>
        <w:tc>
          <w:tcPr>
            <w:tcW w:w="972" w:type="dxa"/>
            <w:vAlign w:val="center"/>
          </w:tcPr>
          <w:p w14:paraId="5626E914">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规格</w:t>
            </w:r>
          </w:p>
          <w:p w14:paraId="4D7A3C0A">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型号</w:t>
            </w:r>
          </w:p>
        </w:tc>
        <w:tc>
          <w:tcPr>
            <w:tcW w:w="1147" w:type="dxa"/>
            <w:vAlign w:val="center"/>
          </w:tcPr>
          <w:p w14:paraId="223337CD">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生产</w:t>
            </w:r>
          </w:p>
          <w:p w14:paraId="24D60314">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厂家</w:t>
            </w:r>
          </w:p>
        </w:tc>
        <w:tc>
          <w:tcPr>
            <w:tcW w:w="657" w:type="dxa"/>
            <w:vAlign w:val="center"/>
          </w:tcPr>
          <w:p w14:paraId="41001B4F">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041" w:type="dxa"/>
            <w:vAlign w:val="center"/>
          </w:tcPr>
          <w:p w14:paraId="32B3DF7E">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单  价</w:t>
            </w:r>
          </w:p>
          <w:p w14:paraId="36EF014E">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（元）</w:t>
            </w:r>
          </w:p>
        </w:tc>
        <w:tc>
          <w:tcPr>
            <w:tcW w:w="1066" w:type="dxa"/>
            <w:vAlign w:val="center"/>
          </w:tcPr>
          <w:p w14:paraId="1A36281E">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数  量</w:t>
            </w:r>
          </w:p>
        </w:tc>
        <w:tc>
          <w:tcPr>
            <w:tcW w:w="1405" w:type="dxa"/>
            <w:vAlign w:val="center"/>
          </w:tcPr>
          <w:p w14:paraId="0D1CC549">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金  额</w:t>
            </w:r>
          </w:p>
          <w:p w14:paraId="08E60C3D">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（元）</w:t>
            </w:r>
          </w:p>
        </w:tc>
      </w:tr>
      <w:tr w14:paraId="671D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vAlign w:val="center"/>
          </w:tcPr>
          <w:p w14:paraId="34CB3A58">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252" w:type="dxa"/>
            <w:vAlign w:val="center"/>
          </w:tcPr>
          <w:p w14:paraId="7EC3A959">
            <w:pPr>
              <w:adjustRightInd w:val="0"/>
              <w:snapToGrid w:val="0"/>
              <w:jc w:val="center"/>
              <w:rPr>
                <w:rFonts w:ascii="宋体" w:hAnsi="宋体" w:cs="宋体"/>
                <w:color w:val="auto"/>
                <w:sz w:val="24"/>
                <w:szCs w:val="24"/>
                <w:highlight w:val="none"/>
              </w:rPr>
            </w:pPr>
          </w:p>
        </w:tc>
        <w:tc>
          <w:tcPr>
            <w:tcW w:w="1218" w:type="dxa"/>
            <w:vAlign w:val="center"/>
          </w:tcPr>
          <w:p w14:paraId="5E9E6DA4">
            <w:pPr>
              <w:adjustRightInd w:val="0"/>
              <w:snapToGrid w:val="0"/>
              <w:jc w:val="center"/>
              <w:rPr>
                <w:rFonts w:ascii="宋体" w:hAnsi="宋体" w:cs="宋体"/>
                <w:color w:val="auto"/>
                <w:sz w:val="24"/>
                <w:szCs w:val="24"/>
                <w:highlight w:val="none"/>
              </w:rPr>
            </w:pPr>
          </w:p>
        </w:tc>
        <w:tc>
          <w:tcPr>
            <w:tcW w:w="972" w:type="dxa"/>
            <w:vAlign w:val="center"/>
          </w:tcPr>
          <w:p w14:paraId="3D128E32">
            <w:pPr>
              <w:adjustRightInd w:val="0"/>
              <w:snapToGrid w:val="0"/>
              <w:jc w:val="center"/>
              <w:rPr>
                <w:rFonts w:ascii="宋体" w:hAnsi="宋体" w:cs="宋体"/>
                <w:color w:val="auto"/>
                <w:sz w:val="24"/>
                <w:szCs w:val="24"/>
                <w:highlight w:val="none"/>
              </w:rPr>
            </w:pPr>
          </w:p>
        </w:tc>
        <w:tc>
          <w:tcPr>
            <w:tcW w:w="1147" w:type="dxa"/>
            <w:vAlign w:val="top"/>
          </w:tcPr>
          <w:p w14:paraId="4230D9F1">
            <w:pPr>
              <w:adjustRightInd w:val="0"/>
              <w:snapToGrid w:val="0"/>
              <w:jc w:val="center"/>
              <w:rPr>
                <w:rFonts w:ascii="宋体" w:hAnsi="宋体" w:cs="宋体"/>
                <w:color w:val="auto"/>
                <w:sz w:val="24"/>
                <w:szCs w:val="24"/>
                <w:highlight w:val="none"/>
              </w:rPr>
            </w:pPr>
          </w:p>
        </w:tc>
        <w:tc>
          <w:tcPr>
            <w:tcW w:w="657" w:type="dxa"/>
            <w:vAlign w:val="top"/>
          </w:tcPr>
          <w:p w14:paraId="24D284F8">
            <w:pPr>
              <w:adjustRightInd w:val="0"/>
              <w:snapToGrid w:val="0"/>
              <w:jc w:val="center"/>
              <w:rPr>
                <w:rFonts w:ascii="宋体" w:hAnsi="宋体" w:cs="宋体"/>
                <w:color w:val="auto"/>
                <w:sz w:val="24"/>
                <w:szCs w:val="24"/>
                <w:highlight w:val="none"/>
              </w:rPr>
            </w:pPr>
          </w:p>
        </w:tc>
        <w:tc>
          <w:tcPr>
            <w:tcW w:w="1041" w:type="dxa"/>
            <w:vAlign w:val="top"/>
          </w:tcPr>
          <w:p w14:paraId="495BF894">
            <w:pPr>
              <w:adjustRightInd w:val="0"/>
              <w:snapToGrid w:val="0"/>
              <w:jc w:val="center"/>
              <w:rPr>
                <w:rFonts w:ascii="宋体" w:hAnsi="宋体" w:cs="宋体"/>
                <w:color w:val="auto"/>
                <w:sz w:val="24"/>
                <w:szCs w:val="24"/>
                <w:highlight w:val="none"/>
              </w:rPr>
            </w:pPr>
          </w:p>
        </w:tc>
        <w:tc>
          <w:tcPr>
            <w:tcW w:w="1066" w:type="dxa"/>
            <w:vAlign w:val="center"/>
          </w:tcPr>
          <w:p w14:paraId="5DA38B43">
            <w:pPr>
              <w:adjustRightInd w:val="0"/>
              <w:snapToGrid w:val="0"/>
              <w:jc w:val="center"/>
              <w:rPr>
                <w:rFonts w:ascii="宋体" w:hAnsi="宋体" w:cs="宋体"/>
                <w:color w:val="auto"/>
                <w:sz w:val="24"/>
                <w:szCs w:val="24"/>
                <w:highlight w:val="none"/>
              </w:rPr>
            </w:pPr>
          </w:p>
        </w:tc>
        <w:tc>
          <w:tcPr>
            <w:tcW w:w="1405" w:type="dxa"/>
            <w:vAlign w:val="center"/>
          </w:tcPr>
          <w:p w14:paraId="116F250A">
            <w:pPr>
              <w:adjustRightInd w:val="0"/>
              <w:snapToGrid w:val="0"/>
              <w:jc w:val="center"/>
              <w:rPr>
                <w:rFonts w:ascii="宋体" w:hAnsi="宋体" w:cs="宋体"/>
                <w:color w:val="auto"/>
                <w:sz w:val="24"/>
                <w:szCs w:val="24"/>
                <w:highlight w:val="none"/>
              </w:rPr>
            </w:pPr>
          </w:p>
        </w:tc>
      </w:tr>
      <w:tr w14:paraId="5C31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vAlign w:val="center"/>
          </w:tcPr>
          <w:p w14:paraId="30F0EAB9">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252" w:type="dxa"/>
            <w:vAlign w:val="center"/>
          </w:tcPr>
          <w:p w14:paraId="6612C565">
            <w:pPr>
              <w:adjustRightInd w:val="0"/>
              <w:snapToGrid w:val="0"/>
              <w:jc w:val="center"/>
              <w:rPr>
                <w:rFonts w:ascii="宋体" w:hAnsi="宋体" w:cs="宋体"/>
                <w:color w:val="auto"/>
                <w:sz w:val="24"/>
                <w:szCs w:val="24"/>
                <w:highlight w:val="none"/>
              </w:rPr>
            </w:pPr>
          </w:p>
        </w:tc>
        <w:tc>
          <w:tcPr>
            <w:tcW w:w="1218" w:type="dxa"/>
            <w:vAlign w:val="center"/>
          </w:tcPr>
          <w:p w14:paraId="51B06067">
            <w:pPr>
              <w:adjustRightInd w:val="0"/>
              <w:snapToGrid w:val="0"/>
              <w:jc w:val="center"/>
              <w:rPr>
                <w:rFonts w:ascii="宋体" w:hAnsi="宋体" w:cs="宋体"/>
                <w:color w:val="auto"/>
                <w:sz w:val="24"/>
                <w:szCs w:val="24"/>
                <w:highlight w:val="none"/>
              </w:rPr>
            </w:pPr>
          </w:p>
        </w:tc>
        <w:tc>
          <w:tcPr>
            <w:tcW w:w="972" w:type="dxa"/>
            <w:vAlign w:val="center"/>
          </w:tcPr>
          <w:p w14:paraId="1F275038">
            <w:pPr>
              <w:adjustRightInd w:val="0"/>
              <w:snapToGrid w:val="0"/>
              <w:jc w:val="center"/>
              <w:rPr>
                <w:rFonts w:ascii="宋体" w:hAnsi="宋体" w:cs="宋体"/>
                <w:color w:val="auto"/>
                <w:sz w:val="24"/>
                <w:szCs w:val="24"/>
                <w:highlight w:val="none"/>
              </w:rPr>
            </w:pPr>
          </w:p>
        </w:tc>
        <w:tc>
          <w:tcPr>
            <w:tcW w:w="1147" w:type="dxa"/>
            <w:vAlign w:val="top"/>
          </w:tcPr>
          <w:p w14:paraId="7E161DE0">
            <w:pPr>
              <w:adjustRightInd w:val="0"/>
              <w:snapToGrid w:val="0"/>
              <w:jc w:val="center"/>
              <w:rPr>
                <w:rFonts w:ascii="宋体" w:hAnsi="宋体" w:cs="宋体"/>
                <w:color w:val="auto"/>
                <w:sz w:val="24"/>
                <w:szCs w:val="24"/>
                <w:highlight w:val="none"/>
              </w:rPr>
            </w:pPr>
          </w:p>
        </w:tc>
        <w:tc>
          <w:tcPr>
            <w:tcW w:w="657" w:type="dxa"/>
            <w:vAlign w:val="top"/>
          </w:tcPr>
          <w:p w14:paraId="0ED1BDFF">
            <w:pPr>
              <w:adjustRightInd w:val="0"/>
              <w:snapToGrid w:val="0"/>
              <w:jc w:val="center"/>
              <w:rPr>
                <w:rFonts w:ascii="宋体" w:hAnsi="宋体" w:cs="宋体"/>
                <w:color w:val="auto"/>
                <w:sz w:val="24"/>
                <w:szCs w:val="24"/>
                <w:highlight w:val="none"/>
              </w:rPr>
            </w:pPr>
          </w:p>
        </w:tc>
        <w:tc>
          <w:tcPr>
            <w:tcW w:w="1041" w:type="dxa"/>
            <w:vAlign w:val="top"/>
          </w:tcPr>
          <w:p w14:paraId="66B0657B">
            <w:pPr>
              <w:adjustRightInd w:val="0"/>
              <w:snapToGrid w:val="0"/>
              <w:jc w:val="center"/>
              <w:rPr>
                <w:rFonts w:ascii="宋体" w:hAnsi="宋体" w:cs="宋体"/>
                <w:color w:val="auto"/>
                <w:sz w:val="24"/>
                <w:szCs w:val="24"/>
                <w:highlight w:val="none"/>
              </w:rPr>
            </w:pPr>
          </w:p>
        </w:tc>
        <w:tc>
          <w:tcPr>
            <w:tcW w:w="1066" w:type="dxa"/>
            <w:vAlign w:val="center"/>
          </w:tcPr>
          <w:p w14:paraId="69C8E649">
            <w:pPr>
              <w:adjustRightInd w:val="0"/>
              <w:snapToGrid w:val="0"/>
              <w:jc w:val="center"/>
              <w:rPr>
                <w:rFonts w:ascii="宋体" w:hAnsi="宋体" w:cs="宋体"/>
                <w:color w:val="auto"/>
                <w:sz w:val="24"/>
                <w:szCs w:val="24"/>
                <w:highlight w:val="none"/>
              </w:rPr>
            </w:pPr>
          </w:p>
        </w:tc>
        <w:tc>
          <w:tcPr>
            <w:tcW w:w="1405" w:type="dxa"/>
            <w:vAlign w:val="center"/>
          </w:tcPr>
          <w:p w14:paraId="6290BBF5">
            <w:pPr>
              <w:adjustRightInd w:val="0"/>
              <w:snapToGrid w:val="0"/>
              <w:jc w:val="center"/>
              <w:rPr>
                <w:rFonts w:ascii="宋体" w:hAnsi="宋体" w:cs="宋体"/>
                <w:color w:val="auto"/>
                <w:sz w:val="24"/>
                <w:szCs w:val="24"/>
                <w:highlight w:val="none"/>
              </w:rPr>
            </w:pPr>
          </w:p>
        </w:tc>
      </w:tr>
      <w:tr w14:paraId="0541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vAlign w:val="center"/>
          </w:tcPr>
          <w:p w14:paraId="40FECAC2">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252" w:type="dxa"/>
            <w:vAlign w:val="center"/>
          </w:tcPr>
          <w:p w14:paraId="0D688E3C">
            <w:pPr>
              <w:adjustRightInd w:val="0"/>
              <w:snapToGrid w:val="0"/>
              <w:jc w:val="center"/>
              <w:rPr>
                <w:rFonts w:ascii="宋体" w:hAnsi="宋体" w:cs="宋体"/>
                <w:color w:val="auto"/>
                <w:sz w:val="24"/>
                <w:szCs w:val="24"/>
                <w:highlight w:val="none"/>
              </w:rPr>
            </w:pPr>
          </w:p>
        </w:tc>
        <w:tc>
          <w:tcPr>
            <w:tcW w:w="1218" w:type="dxa"/>
            <w:vAlign w:val="center"/>
          </w:tcPr>
          <w:p w14:paraId="7DB5CD1A">
            <w:pPr>
              <w:adjustRightInd w:val="0"/>
              <w:snapToGrid w:val="0"/>
              <w:jc w:val="center"/>
              <w:rPr>
                <w:rFonts w:ascii="宋体" w:hAnsi="宋体" w:cs="宋体"/>
                <w:color w:val="auto"/>
                <w:sz w:val="24"/>
                <w:szCs w:val="24"/>
                <w:highlight w:val="none"/>
              </w:rPr>
            </w:pPr>
          </w:p>
        </w:tc>
        <w:tc>
          <w:tcPr>
            <w:tcW w:w="972" w:type="dxa"/>
            <w:vAlign w:val="center"/>
          </w:tcPr>
          <w:p w14:paraId="05C572BA">
            <w:pPr>
              <w:adjustRightInd w:val="0"/>
              <w:snapToGrid w:val="0"/>
              <w:jc w:val="center"/>
              <w:rPr>
                <w:rFonts w:ascii="宋体" w:hAnsi="宋体" w:cs="宋体"/>
                <w:color w:val="auto"/>
                <w:sz w:val="24"/>
                <w:szCs w:val="24"/>
                <w:highlight w:val="none"/>
              </w:rPr>
            </w:pPr>
          </w:p>
        </w:tc>
        <w:tc>
          <w:tcPr>
            <w:tcW w:w="1147" w:type="dxa"/>
            <w:vAlign w:val="top"/>
          </w:tcPr>
          <w:p w14:paraId="357F61D1">
            <w:pPr>
              <w:adjustRightInd w:val="0"/>
              <w:snapToGrid w:val="0"/>
              <w:jc w:val="center"/>
              <w:rPr>
                <w:rFonts w:ascii="宋体" w:hAnsi="宋体" w:cs="宋体"/>
                <w:color w:val="auto"/>
                <w:sz w:val="24"/>
                <w:szCs w:val="24"/>
                <w:highlight w:val="none"/>
              </w:rPr>
            </w:pPr>
          </w:p>
        </w:tc>
        <w:tc>
          <w:tcPr>
            <w:tcW w:w="657" w:type="dxa"/>
            <w:vAlign w:val="top"/>
          </w:tcPr>
          <w:p w14:paraId="0208D22A">
            <w:pPr>
              <w:adjustRightInd w:val="0"/>
              <w:snapToGrid w:val="0"/>
              <w:jc w:val="center"/>
              <w:rPr>
                <w:rFonts w:ascii="宋体" w:hAnsi="宋体" w:cs="宋体"/>
                <w:color w:val="auto"/>
                <w:sz w:val="24"/>
                <w:szCs w:val="24"/>
                <w:highlight w:val="none"/>
              </w:rPr>
            </w:pPr>
          </w:p>
        </w:tc>
        <w:tc>
          <w:tcPr>
            <w:tcW w:w="1041" w:type="dxa"/>
            <w:vAlign w:val="top"/>
          </w:tcPr>
          <w:p w14:paraId="0F676FF9">
            <w:pPr>
              <w:adjustRightInd w:val="0"/>
              <w:snapToGrid w:val="0"/>
              <w:jc w:val="center"/>
              <w:rPr>
                <w:rFonts w:ascii="宋体" w:hAnsi="宋体" w:cs="宋体"/>
                <w:color w:val="auto"/>
                <w:sz w:val="24"/>
                <w:szCs w:val="24"/>
                <w:highlight w:val="none"/>
              </w:rPr>
            </w:pPr>
          </w:p>
        </w:tc>
        <w:tc>
          <w:tcPr>
            <w:tcW w:w="1066" w:type="dxa"/>
            <w:vAlign w:val="center"/>
          </w:tcPr>
          <w:p w14:paraId="107FB406">
            <w:pPr>
              <w:adjustRightInd w:val="0"/>
              <w:snapToGrid w:val="0"/>
              <w:jc w:val="center"/>
              <w:rPr>
                <w:rFonts w:ascii="宋体" w:hAnsi="宋体" w:cs="宋体"/>
                <w:color w:val="auto"/>
                <w:sz w:val="24"/>
                <w:szCs w:val="24"/>
                <w:highlight w:val="none"/>
              </w:rPr>
            </w:pPr>
          </w:p>
        </w:tc>
        <w:tc>
          <w:tcPr>
            <w:tcW w:w="1405" w:type="dxa"/>
            <w:vAlign w:val="center"/>
          </w:tcPr>
          <w:p w14:paraId="48F9544E">
            <w:pPr>
              <w:adjustRightInd w:val="0"/>
              <w:snapToGrid w:val="0"/>
              <w:jc w:val="center"/>
              <w:rPr>
                <w:rFonts w:ascii="宋体" w:hAnsi="宋体" w:cs="宋体"/>
                <w:color w:val="auto"/>
                <w:sz w:val="24"/>
                <w:szCs w:val="24"/>
                <w:highlight w:val="none"/>
              </w:rPr>
            </w:pPr>
          </w:p>
        </w:tc>
      </w:tr>
      <w:tr w14:paraId="149A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9"/>
            <w:vAlign w:val="center"/>
          </w:tcPr>
          <w:p w14:paraId="4F9DBE88">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 xml:space="preserve">人民币合计金额（大写）                          （小写）                 </w:t>
            </w:r>
          </w:p>
        </w:tc>
      </w:tr>
    </w:tbl>
    <w:p w14:paraId="05D42BD2">
      <w:pPr>
        <w:adjustRightInd w:val="0"/>
        <w:snapToGrid w:val="0"/>
        <w:spacing w:before="156" w:beforeLines="50" w:line="360" w:lineRule="exact"/>
        <w:ind w:right="42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合同合计金额包括乙方在甲方指定地点交付所投产品时所产生的一切费用总和；包括货款、标准附件、备品备件、专用工具、人工费、服务费、包装、运输、装卸、检测、试验、保险、税金、货到就位以及安装、装饰装修、调试、培训、保修费等成本、税金及利润。</w:t>
      </w:r>
    </w:p>
    <w:p w14:paraId="69C912C9">
      <w:pPr>
        <w:adjustRightInd w:val="0"/>
        <w:snapToGrid w:val="0"/>
        <w:spacing w:line="36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第二条、质量保证</w:t>
      </w:r>
    </w:p>
    <w:p w14:paraId="14611542">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1.乙方所提供的货物型号、技术规格、技术参数等质量必须与招投标文件和承诺相一致。</w:t>
      </w:r>
    </w:p>
    <w:p w14:paraId="4F086C98">
      <w:pPr>
        <w:adjustRightInd w:val="0"/>
        <w:snapToGrid w:val="0"/>
        <w:spacing w:line="3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2.乙方所提供的货物必须是全新、未使用的原装产品，且在正常安装、使用和保养条件下，其使用寿命期内各项指标均达到质量要求。</w:t>
      </w:r>
    </w:p>
    <w:p w14:paraId="30BFB15D">
      <w:pPr>
        <w:adjustRightInd w:val="0"/>
        <w:snapToGrid w:val="0"/>
        <w:spacing w:line="36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第三条、权力保证</w:t>
      </w:r>
    </w:p>
    <w:p w14:paraId="6BEDEEBA">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乙方应保证所提供货物在使用时不会侵犯任何第三方的专利权、商标权、工业设计权或其他权利。</w:t>
      </w:r>
    </w:p>
    <w:p w14:paraId="0A7454AD">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乙方应按招标文件规定的时间向甲方提供使用货物的有关技术资料。</w:t>
      </w:r>
    </w:p>
    <w:p w14:paraId="36D9D3E2">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E533014">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乙方保证所交付的货物的所有权完全属于乙方且无任何抵押、质押、查封等产权瑕疵。</w:t>
      </w:r>
    </w:p>
    <w:p w14:paraId="57EB3FA7">
      <w:pPr>
        <w:adjustRightInd w:val="0"/>
        <w:snapToGrid w:val="0"/>
        <w:spacing w:line="3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第四条、包装和运输</w:t>
      </w:r>
    </w:p>
    <w:p w14:paraId="72C4C3D5">
      <w:pPr>
        <w:adjustRightInd w:val="0"/>
        <w:snapToGrid w:val="0"/>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1.乙方提供的货物均应按招投标文件要求的包装材料、包装标准、包装方式进行包装，每一包装单元内应附详细的装箱单和质量合格证。</w:t>
      </w:r>
    </w:p>
    <w:p w14:paraId="01F6F473">
      <w:pPr>
        <w:adjustRightInd w:val="0"/>
        <w:snapToGrid w:val="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2.乙方应在货物发运前对其进行满足运输距离、防潮、防震、防锈和防破损装卸等要求包装，以保证货物安全运达甲方指定地点。</w:t>
      </w:r>
    </w:p>
    <w:p w14:paraId="62BAA677">
      <w:pPr>
        <w:adjustRightInd w:val="0"/>
        <w:snapToGrid w:val="0"/>
        <w:spacing w:line="360" w:lineRule="exact"/>
        <w:ind w:firstLine="480" w:firstLineChars="200"/>
        <w:rPr>
          <w:rFonts w:ascii="宋体" w:hAnsi="宋体" w:cs="宋体"/>
          <w:color w:val="auto"/>
          <w:sz w:val="24"/>
          <w:szCs w:val="24"/>
          <w:highlight w:val="none"/>
        </w:rPr>
      </w:pPr>
      <w:r>
        <w:rPr>
          <w:rFonts w:hint="eastAsia" w:hAnsi="宋体" w:cs="宋体"/>
          <w:color w:val="auto"/>
          <w:sz w:val="24"/>
          <w:szCs w:val="24"/>
          <w:highlight w:val="none"/>
        </w:rPr>
        <w:t xml:space="preserve">3. </w:t>
      </w:r>
      <w:r>
        <w:rPr>
          <w:rFonts w:hint="eastAsia" w:hAnsi="宋体" w:cs="宋体"/>
          <w:color w:val="auto"/>
          <w:spacing w:val="-4"/>
          <w:sz w:val="24"/>
          <w:szCs w:val="24"/>
          <w:highlight w:val="none"/>
        </w:rPr>
        <w:t>乙方在货物发运手续办理完毕后二十四小时内或货到甲方四十八小时前通知甲方，以准备接货。</w:t>
      </w:r>
    </w:p>
    <w:p w14:paraId="78542F48">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4.货物的运输方式：</w:t>
      </w:r>
      <w:r>
        <w:rPr>
          <w:rFonts w:hint="eastAsia" w:ascii="宋体" w:hAnsi="宋体" w:cs="宋体"/>
          <w:color w:val="auto"/>
          <w:sz w:val="24"/>
          <w:szCs w:val="24"/>
          <w:highlight w:val="none"/>
          <w:u w:val="single"/>
        </w:rPr>
        <w:t xml:space="preserve">             。</w:t>
      </w:r>
    </w:p>
    <w:p w14:paraId="5DD4F084">
      <w:pPr>
        <w:adjustRightInd w:val="0"/>
        <w:snapToGrid w:val="0"/>
        <w:spacing w:line="360" w:lineRule="exact"/>
        <w:ind w:firstLine="480" w:firstLineChars="200"/>
        <w:rPr>
          <w:rFonts w:hint="eastAsia" w:hAnsi="宋体" w:cs="宋体"/>
          <w:color w:val="auto"/>
          <w:sz w:val="24"/>
          <w:szCs w:val="24"/>
          <w:highlight w:val="none"/>
        </w:rPr>
      </w:pPr>
      <w:r>
        <w:rPr>
          <w:rFonts w:hint="eastAsia" w:ascii="宋体" w:hAnsi="宋体" w:cs="宋体"/>
          <w:color w:val="auto"/>
          <w:sz w:val="24"/>
          <w:szCs w:val="24"/>
          <w:highlight w:val="none"/>
        </w:rPr>
        <w:t>5.乙方负责货物运输，货物运输合理损耗及计算方法：</w:t>
      </w:r>
      <w:r>
        <w:rPr>
          <w:rFonts w:hint="eastAsia" w:ascii="宋体" w:hAnsi="宋体" w:cs="宋体"/>
          <w:color w:val="auto"/>
          <w:sz w:val="24"/>
          <w:szCs w:val="24"/>
          <w:highlight w:val="none"/>
          <w:u w:val="single"/>
        </w:rPr>
        <w:t xml:space="preserve">  本项目不接受损耗品  。</w:t>
      </w:r>
      <w:r>
        <w:rPr>
          <w:rFonts w:hint="eastAsia" w:hAnsi="宋体" w:cs="宋体"/>
          <w:color w:val="auto"/>
          <w:sz w:val="24"/>
          <w:szCs w:val="24"/>
          <w:highlight w:val="none"/>
        </w:rPr>
        <w:t xml:space="preserve"> </w:t>
      </w:r>
    </w:p>
    <w:p w14:paraId="5F6D4B23">
      <w:pPr>
        <w:adjustRightInd w:val="0"/>
        <w:snapToGrid w:val="0"/>
        <w:spacing w:line="36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第五条、交付和验收</w:t>
      </w:r>
    </w:p>
    <w:p w14:paraId="208227DC">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1.交货时间：自合同签订之日起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日历天内货到采购单位指定地点，地点：</w:t>
      </w:r>
      <w:r>
        <w:rPr>
          <w:rFonts w:hint="eastAsia" w:hAnsi="宋体" w:cs="宋体"/>
          <w:color w:val="auto"/>
          <w:sz w:val="24"/>
          <w:szCs w:val="24"/>
          <w:highlight w:val="none"/>
          <w:u w:val="single"/>
        </w:rPr>
        <w:t xml:space="preserve">采购单位指定地点  </w:t>
      </w:r>
      <w:r>
        <w:rPr>
          <w:rFonts w:hint="eastAsia" w:hAnsi="宋体" w:cs="宋体"/>
          <w:color w:val="auto"/>
          <w:sz w:val="24"/>
          <w:szCs w:val="24"/>
          <w:highlight w:val="none"/>
        </w:rPr>
        <w:t>。</w:t>
      </w:r>
    </w:p>
    <w:p w14:paraId="6C68207F">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2.乙方提供不符合招投标文件和本合同规定的货物，甲方有权拒绝接受。</w:t>
      </w:r>
    </w:p>
    <w:p w14:paraId="3F34CFA8">
      <w:pPr>
        <w:adjustRightInd w:val="0"/>
        <w:snapToGrid w:val="0"/>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应将所提供货物的装箱清单、用户手册、原厂保修卡、随机资料、工具和备品、备件、医疗器械相关证件（医疗器械需提供）、报关单（进口设备需提供）和检验检疫证明（进口设备需提供）等交付给甲方，如有缺失应及时补齐，否则视为逾期交货。</w:t>
      </w:r>
    </w:p>
    <w:p w14:paraId="0FD88B6B">
      <w:pPr>
        <w:adjustRightInd w:val="0"/>
        <w:snapToGrid w:val="0"/>
        <w:spacing w:line="360" w:lineRule="exact"/>
        <w:ind w:firstLine="480" w:firstLineChars="200"/>
        <w:rPr>
          <w:rFonts w:hint="eastAsia" w:ascii="宋体" w:hAnsi="宋体" w:cs="宋体"/>
          <w:color w:val="auto"/>
          <w:sz w:val="24"/>
          <w:szCs w:val="24"/>
          <w:highlight w:val="none"/>
        </w:rPr>
      </w:pPr>
      <w:r>
        <w:rPr>
          <w:rFonts w:hint="eastAsia" w:hAnsi="宋体" w:cs="宋体"/>
          <w:color w:val="auto"/>
          <w:sz w:val="24"/>
          <w:szCs w:val="24"/>
          <w:highlight w:val="none"/>
        </w:rPr>
        <w:t>4. 甲方对乙方提供的货物在使用前进行调试时，乙方需负责安装并培训甲方的使用操作人员，并协助甲方一起调试，直到符合技术要求，甲方才做最终验收。</w:t>
      </w:r>
    </w:p>
    <w:p w14:paraId="71E88F7D">
      <w:pPr>
        <w:adjustRightInd w:val="0"/>
        <w:snapToGrid w:val="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5.甲方对乙方提交的货物</w:t>
      </w:r>
      <w:r>
        <w:rPr>
          <w:rFonts w:hint="eastAsia" w:hAnsi="宋体" w:cs="宋体"/>
          <w:color w:val="auto"/>
          <w:sz w:val="24"/>
          <w:szCs w:val="24"/>
          <w:highlight w:val="none"/>
          <w:lang w:val="en-US" w:eastAsia="zh-CN"/>
        </w:rPr>
        <w:t>需</w:t>
      </w:r>
      <w:r>
        <w:rPr>
          <w:rFonts w:hint="eastAsia" w:hAnsi="宋体" w:cs="宋体"/>
          <w:color w:val="auto"/>
          <w:sz w:val="24"/>
          <w:szCs w:val="24"/>
          <w:highlight w:val="none"/>
        </w:rPr>
        <w:t>依据</w:t>
      </w:r>
      <w:r>
        <w:rPr>
          <w:rFonts w:hint="eastAsia" w:ascii="宋体" w:hAnsi="宋体" w:cs="宋体"/>
          <w:color w:val="auto"/>
          <w:sz w:val="24"/>
          <w:szCs w:val="24"/>
          <w:highlight w:val="none"/>
        </w:rPr>
        <w:t>招投标文件</w:t>
      </w:r>
      <w:r>
        <w:rPr>
          <w:rFonts w:hint="eastAsia" w:ascii="宋体" w:hAnsi="宋体" w:cs="宋体"/>
          <w:color w:val="auto"/>
          <w:sz w:val="24"/>
          <w:szCs w:val="24"/>
          <w:highlight w:val="none"/>
          <w:lang w:val="en-US" w:eastAsia="zh-CN"/>
        </w:rPr>
        <w:t>以及</w:t>
      </w:r>
      <w:r>
        <w:rPr>
          <w:rFonts w:hint="eastAsia" w:ascii="宋体" w:hAnsi="宋体" w:cs="宋体"/>
          <w:color w:val="auto"/>
          <w:sz w:val="24"/>
          <w:szCs w:val="24"/>
          <w:highlight w:val="none"/>
        </w:rPr>
        <w:t>合同规定</w:t>
      </w:r>
      <w:r>
        <w:rPr>
          <w:rFonts w:hint="eastAsia" w:hAnsi="宋体" w:cs="宋体"/>
          <w:color w:val="auto"/>
          <w:sz w:val="24"/>
          <w:szCs w:val="24"/>
          <w:highlight w:val="none"/>
        </w:rPr>
        <w:t>的技术规格要求</w:t>
      </w:r>
      <w:r>
        <w:rPr>
          <w:rFonts w:hint="eastAsia" w:hAnsi="宋体" w:cs="宋体"/>
          <w:color w:val="auto"/>
          <w:sz w:val="24"/>
          <w:szCs w:val="24"/>
          <w:highlight w:val="none"/>
          <w:lang w:val="en-US" w:eastAsia="zh-CN"/>
        </w:rPr>
        <w:t>，按照</w:t>
      </w:r>
      <w:r>
        <w:rPr>
          <w:rFonts w:hint="eastAsia" w:hAnsi="宋体" w:cs="宋体"/>
          <w:color w:val="auto"/>
          <w:sz w:val="24"/>
          <w:szCs w:val="24"/>
          <w:highlight w:val="none"/>
        </w:rPr>
        <w:t>国家有关质量标准进行现场初步验收，外观、说明书符合招标文件技术要求的，给予签收，初步验收不合格的不予签收。货到后，</w:t>
      </w:r>
      <w:r>
        <w:rPr>
          <w:rFonts w:hint="eastAsia" w:hAnsi="宋体" w:cs="宋体"/>
          <w:bCs/>
          <w:color w:val="auto"/>
          <w:sz w:val="24"/>
          <w:szCs w:val="24"/>
          <w:highlight w:val="none"/>
        </w:rPr>
        <w:t>甲方应当在到货（安装、调试完）后七个工作日内进行验收</w:t>
      </w:r>
      <w:r>
        <w:rPr>
          <w:rFonts w:hint="eastAsia" w:hAnsi="宋体" w:cs="宋体"/>
          <w:color w:val="auto"/>
          <w:sz w:val="24"/>
          <w:szCs w:val="24"/>
          <w:highlight w:val="none"/>
        </w:rPr>
        <w:t>。</w:t>
      </w:r>
    </w:p>
    <w:p w14:paraId="3FF74FBD">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6. 乙方交货前应对产品作出全面检查和对验收文件进行整理，并列出清单，作为甲方收货验收和使用的技术条件依据，检验的结果应随货物交甲方。</w:t>
      </w:r>
    </w:p>
    <w:p w14:paraId="07A41F3C">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7. 对技术复杂的货物，甲方应请国家认可的专业检测机构参与初步验收及最终验收，并由其出具质量检测报告。如验收合格，费用由</w:t>
      </w:r>
      <w:r>
        <w:rPr>
          <w:rFonts w:hint="eastAsia" w:hAnsi="宋体" w:cs="宋体"/>
          <w:color w:val="auto"/>
          <w:sz w:val="24"/>
          <w:szCs w:val="24"/>
          <w:highlight w:val="none"/>
          <w:lang w:val="en-US" w:eastAsia="zh-CN"/>
        </w:rPr>
        <w:t>甲方</w:t>
      </w:r>
      <w:r>
        <w:rPr>
          <w:rFonts w:hint="eastAsia" w:hAnsi="宋体" w:cs="宋体"/>
          <w:color w:val="auto"/>
          <w:sz w:val="24"/>
          <w:szCs w:val="24"/>
          <w:highlight w:val="none"/>
        </w:rPr>
        <w:t>承担，验收不合格，费用由</w:t>
      </w:r>
      <w:r>
        <w:rPr>
          <w:rFonts w:hint="eastAsia" w:hAnsi="宋体" w:cs="宋体"/>
          <w:color w:val="auto"/>
          <w:sz w:val="24"/>
          <w:szCs w:val="24"/>
          <w:highlight w:val="none"/>
          <w:lang w:val="en-US" w:eastAsia="zh-CN"/>
        </w:rPr>
        <w:t>乙方</w:t>
      </w:r>
      <w:r>
        <w:rPr>
          <w:rFonts w:hint="eastAsia" w:hAnsi="宋体" w:cs="宋体"/>
          <w:color w:val="auto"/>
          <w:sz w:val="24"/>
          <w:szCs w:val="24"/>
          <w:highlight w:val="none"/>
        </w:rPr>
        <w:t>承担。</w:t>
      </w:r>
    </w:p>
    <w:p w14:paraId="40089BFB">
      <w:pPr>
        <w:pStyle w:val="7"/>
        <w:adjustRightInd w:val="0"/>
        <w:snapToGrid w:val="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 验收时乙方必须在现场，验收完毕后作出验收结果报告；验收费用由乙方负责。</w:t>
      </w:r>
    </w:p>
    <w:p w14:paraId="7AAADCC3">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9.甲方对验收有异议的，在验收后五个工作日内以书面形式向乙方提出，乙方应自收到甲方书面异议后</w:t>
      </w:r>
      <w:r>
        <w:rPr>
          <w:rFonts w:hint="eastAsia" w:hAnsi="宋体" w:cs="宋体"/>
          <w:color w:val="auto"/>
          <w:sz w:val="24"/>
          <w:szCs w:val="24"/>
          <w:highlight w:val="none"/>
          <w:u w:val="single"/>
        </w:rPr>
        <w:t xml:space="preserve">  3  </w:t>
      </w:r>
      <w:r>
        <w:rPr>
          <w:rFonts w:hint="eastAsia" w:hAnsi="宋体" w:cs="宋体"/>
          <w:color w:val="auto"/>
          <w:sz w:val="24"/>
          <w:szCs w:val="24"/>
          <w:highlight w:val="none"/>
        </w:rPr>
        <w:t>日内及时予以解决。</w:t>
      </w:r>
    </w:p>
    <w:p w14:paraId="154A31E5">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10.货物在交付甲方前发生的风险均由乙方负责。</w:t>
      </w:r>
    </w:p>
    <w:p w14:paraId="53078ECE">
      <w:pPr>
        <w:pStyle w:val="7"/>
        <w:adjustRightInd w:val="0"/>
        <w:snapToGrid w:val="0"/>
        <w:spacing w:line="360" w:lineRule="exact"/>
        <w:ind w:right="26" w:firstLine="480" w:firstLineChars="200"/>
        <w:rPr>
          <w:rFonts w:hAnsi="宋体" w:cs="宋体"/>
          <w:color w:val="auto"/>
          <w:sz w:val="24"/>
          <w:szCs w:val="24"/>
          <w:highlight w:val="none"/>
        </w:rPr>
      </w:pPr>
      <w:r>
        <w:rPr>
          <w:rFonts w:hint="eastAsia" w:hAnsi="宋体" w:cs="宋体"/>
          <w:color w:val="auto"/>
          <w:sz w:val="24"/>
          <w:szCs w:val="24"/>
          <w:highlight w:val="none"/>
        </w:rPr>
        <w:t>11.</w:t>
      </w:r>
      <w:r>
        <w:rPr>
          <w:rFonts w:hint="eastAsia" w:hAnsi="宋体" w:cs="宋体"/>
          <w:color w:val="auto"/>
          <w:sz w:val="24"/>
          <w:szCs w:val="24"/>
          <w:highlight w:val="none"/>
          <w:lang w:val="en-US" w:eastAsia="zh-CN"/>
        </w:rPr>
        <w:t>乙方应在规定的交付期限内将货物送达甲方指定的地点，并通知甲方货物已送达</w:t>
      </w:r>
      <w:r>
        <w:rPr>
          <w:rFonts w:hint="eastAsia" w:hAnsi="宋体" w:cs="宋体"/>
          <w:color w:val="auto"/>
          <w:spacing w:val="-8"/>
          <w:sz w:val="24"/>
          <w:szCs w:val="24"/>
          <w:highlight w:val="none"/>
        </w:rPr>
        <w:t>。</w:t>
      </w:r>
    </w:p>
    <w:p w14:paraId="7B6FE9D9">
      <w:pPr>
        <w:adjustRightInd w:val="0"/>
        <w:snapToGrid w:val="0"/>
        <w:spacing w:line="3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第六条、安装和培训（是否增加伴随服务内容）</w:t>
      </w:r>
    </w:p>
    <w:p w14:paraId="25C71E24">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1.甲方应提供必要安装条件（如场地、电源、水源等）。</w:t>
      </w:r>
    </w:p>
    <w:p w14:paraId="127679C7">
      <w:pPr>
        <w:adjustRightInd w:val="0"/>
        <w:snapToGrid w:val="0"/>
        <w:spacing w:line="3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2.乙方负责甲方有关人员的培训。培训时间、地点：</w:t>
      </w:r>
      <w:r>
        <w:rPr>
          <w:rFonts w:hint="eastAsia" w:ascii="宋体" w:hAnsi="宋体" w:cs="宋体"/>
          <w:color w:val="auto"/>
          <w:sz w:val="24"/>
          <w:szCs w:val="24"/>
          <w:highlight w:val="none"/>
          <w:u w:val="single"/>
        </w:rPr>
        <w:t xml:space="preserve"> 甲、乙双方协定执行    。</w:t>
      </w:r>
    </w:p>
    <w:p w14:paraId="517AB5A6">
      <w:pPr>
        <w:adjustRightInd w:val="0"/>
        <w:snapToGrid w:val="0"/>
        <w:spacing w:line="3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第七条、售后服务、保修期</w:t>
      </w:r>
    </w:p>
    <w:p w14:paraId="57AC5271">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1.乙方应按照国家有关法律法规和“三包”规定以及招投标文件和本合同所附的《服务承诺》，为甲方提供售后服务。</w:t>
      </w:r>
    </w:p>
    <w:p w14:paraId="1DD19718">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2.货物保修期：自安装完毕验收合格之日起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 。</w:t>
      </w:r>
    </w:p>
    <w:p w14:paraId="3A47D4E6">
      <w:pPr>
        <w:adjustRightInd w:val="0"/>
        <w:snapToGrid w:val="0"/>
        <w:spacing w:line="3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3.乙方提供的服务承诺和售后服务及保修期责任等其它具体约定事项。（见合同附件）</w:t>
      </w:r>
    </w:p>
    <w:p w14:paraId="1095843C">
      <w:pPr>
        <w:adjustRightInd w:val="0"/>
        <w:snapToGrid w:val="0"/>
        <w:spacing w:line="36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第八条、付款方式</w:t>
      </w:r>
    </w:p>
    <w:p w14:paraId="7621E702">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rPr>
        <w:t>1.</w:t>
      </w:r>
      <w:r>
        <w:rPr>
          <w:rFonts w:hint="eastAsia" w:hAnsi="宋体" w:cs="宋体"/>
          <w:color w:val="auto"/>
          <w:sz w:val="24"/>
          <w:szCs w:val="24"/>
          <w:highlight w:val="none"/>
        </w:rPr>
        <w:t>当采购数量与实际使用数量不一致时，乙方应根据实际使用量供货，合同的最终结算金额按实际使用量乘以中标单价进行计算。</w:t>
      </w:r>
    </w:p>
    <w:p w14:paraId="60FE45DB">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2.资金性质：</w:t>
      </w:r>
      <w:r>
        <w:rPr>
          <w:rFonts w:hint="eastAsia" w:ascii="宋体" w:hAnsi="宋体" w:cs="宋体"/>
          <w:color w:val="auto"/>
          <w:sz w:val="24"/>
          <w:szCs w:val="24"/>
          <w:highlight w:val="none"/>
          <w:u w:val="single"/>
        </w:rPr>
        <w:t xml:space="preserve">  财政性资金   </w:t>
      </w:r>
      <w:r>
        <w:rPr>
          <w:rFonts w:hint="eastAsia" w:ascii="宋体" w:hAnsi="宋体" w:cs="宋体"/>
          <w:color w:val="auto"/>
          <w:sz w:val="24"/>
          <w:szCs w:val="24"/>
          <w:highlight w:val="none"/>
        </w:rPr>
        <w:t>。</w:t>
      </w:r>
    </w:p>
    <w:p w14:paraId="3560D8A2">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3.付款方式：  </w:t>
      </w:r>
    </w:p>
    <w:p w14:paraId="029B5004">
      <w:pPr>
        <w:adjustRightInd w:val="0"/>
        <w:snapToGrid w:val="0"/>
        <w:spacing w:line="3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自合同签订之日起 10 个工作日内，采购人向中标人支付合同总金额的 30%货款；设备安装验收合格并交付使用后 10 个工作日内,采购人向中标人支付至合同结算总金额的80%货款；设备安装验收合格并交付使用后满6个月之日起10个工作日内，采购人向中标人支付至合同结算总金额的95%货款；设备安装验收合格并交付使用后满18个月之日起10个工作日内，采购人向中标人支付至合同结算总金额的100%货款(不计利息，按要求保修)。</w:t>
      </w:r>
    </w:p>
    <w:p w14:paraId="42721B13">
      <w:pPr>
        <w:numPr>
          <w:ilvl w:val="0"/>
          <w:numId w:val="0"/>
        </w:numPr>
        <w:adjustRightInd w:val="0"/>
        <w:snapToGrid w:val="0"/>
        <w:spacing w:line="3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kern w:val="2"/>
          <w:sz w:val="24"/>
          <w:szCs w:val="24"/>
          <w:highlight w:val="none"/>
          <w:lang w:val="en-US" w:eastAsia="zh-CN" w:bidi="ar-SA"/>
        </w:rPr>
        <w:t>4.</w:t>
      </w:r>
      <w:r>
        <w:rPr>
          <w:rFonts w:hint="eastAsia" w:ascii="宋体" w:hAnsi="宋体" w:cs="宋体"/>
          <w:b w:val="0"/>
          <w:bCs/>
          <w:color w:val="auto"/>
          <w:sz w:val="24"/>
          <w:szCs w:val="24"/>
          <w:highlight w:val="none"/>
        </w:rPr>
        <w:t>转账前中标人需向采购人提供合法的等额普通发票。</w:t>
      </w:r>
    </w:p>
    <w:p w14:paraId="3302EFCD">
      <w:pPr>
        <w:numPr>
          <w:ilvl w:val="0"/>
          <w:numId w:val="0"/>
        </w:numPr>
        <w:adjustRightInd w:val="0"/>
        <w:snapToGrid w:val="0"/>
        <w:spacing w:line="360" w:lineRule="exact"/>
        <w:ind w:left="0" w:leftChars="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第九条、税费</w:t>
      </w:r>
    </w:p>
    <w:p w14:paraId="1ECFDB43">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本合同执行中相关的一切税费均由乙方负担。</w:t>
      </w:r>
    </w:p>
    <w:p w14:paraId="4DED9766">
      <w:pPr>
        <w:adjustRightInd w:val="0"/>
        <w:snapToGrid w:val="0"/>
        <w:spacing w:line="3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第十条、质量保证及售后服务</w:t>
      </w:r>
    </w:p>
    <w:p w14:paraId="3CDFFCE0">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乙方应按招标文件规定的货物性能、技术要求、质量标准向甲方提供未经使用的全新产品。乙方提供货物的保修期按交货验收合格之日起计（期限见《招标项目采购需求》中各分标的要求）。在保修期内因货物本身的质量问题发生故障，乙方应负责修理和更换零部件，不得额外收取费用。对达不到技术要求者，根据实际情况，经双方协商，可按以下办法处理：</w:t>
      </w:r>
    </w:p>
    <w:p w14:paraId="379485CC">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⑴更换：由乙方承担所发生的全部费用。</w:t>
      </w:r>
    </w:p>
    <w:p w14:paraId="5DB8296E">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⑵贬值处理：由甲乙双方合议定价。</w:t>
      </w:r>
    </w:p>
    <w:p w14:paraId="11390CC6">
      <w:pPr>
        <w:pStyle w:val="7"/>
        <w:adjustRightInd w:val="0"/>
        <w:snapToGrid w:val="0"/>
        <w:spacing w:line="360" w:lineRule="exact"/>
        <w:ind w:left="17" w:leftChars="8" w:firstLine="453" w:firstLineChars="189"/>
        <w:rPr>
          <w:rFonts w:hAnsi="宋体" w:cs="宋体"/>
          <w:color w:val="auto"/>
          <w:sz w:val="24"/>
          <w:szCs w:val="24"/>
          <w:highlight w:val="none"/>
        </w:rPr>
      </w:pPr>
      <w:r>
        <w:rPr>
          <w:rFonts w:hint="eastAsia" w:hAnsi="宋体" w:cs="宋体"/>
          <w:color w:val="auto"/>
          <w:sz w:val="24"/>
          <w:szCs w:val="24"/>
          <w:highlight w:val="none"/>
        </w:rPr>
        <w:t>⑶退货处理：乙方应退还甲方支付的合同款，同时应承担该货物的直接费用（运输、保险、检验费用等）。</w:t>
      </w:r>
    </w:p>
    <w:p w14:paraId="720FE795">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 如在使用过程中发生质量问题，乙方在接到甲方通知后在</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小时内到达甲方现场。</w:t>
      </w:r>
    </w:p>
    <w:p w14:paraId="3996EC90">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 在保修期内，乙方应对货物出现的质量及安全问题负责处理解决并承担一切费用。</w:t>
      </w:r>
    </w:p>
    <w:p w14:paraId="368FBB84">
      <w:pPr>
        <w:pStyle w:val="7"/>
        <w:adjustRightInd w:val="0"/>
        <w:snapToGrid w:val="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4.上述的货物保修期为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年，因人为因素出现的故障不在保修范围内。超过保修期的机器设备，终生维修。</w:t>
      </w:r>
    </w:p>
    <w:p w14:paraId="47A91D21">
      <w:pPr>
        <w:pStyle w:val="7"/>
        <w:adjustRightInd w:val="0"/>
        <w:snapToGrid w:val="0"/>
        <w:spacing w:line="360" w:lineRule="exact"/>
        <w:ind w:right="26" w:firstLine="482" w:firstLineChars="200"/>
        <w:rPr>
          <w:rFonts w:hAnsi="宋体" w:cs="宋体"/>
          <w:b/>
          <w:color w:val="auto"/>
          <w:sz w:val="24"/>
          <w:szCs w:val="24"/>
          <w:highlight w:val="none"/>
        </w:rPr>
      </w:pPr>
      <w:r>
        <w:rPr>
          <w:rFonts w:hint="eastAsia" w:hAnsi="宋体" w:cs="宋体"/>
          <w:b/>
          <w:color w:val="auto"/>
          <w:sz w:val="24"/>
          <w:szCs w:val="24"/>
          <w:highlight w:val="none"/>
        </w:rPr>
        <w:t>第十一条、违约责任</w:t>
      </w:r>
    </w:p>
    <w:p w14:paraId="78AFDD56">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1.乙方所提供的货物规格、技术标准、材料等质量不合格的，应及时更换，更换不及时的按逾期交货处罚；因质量问题甲方不同意接收的，</w:t>
      </w:r>
      <w:bookmarkStart w:id="476" w:name="_Hlk12306025"/>
      <w:r>
        <w:rPr>
          <w:rFonts w:hint="eastAsia" w:ascii="宋体" w:hAnsi="宋体" w:cs="宋体"/>
          <w:color w:val="auto"/>
          <w:sz w:val="24"/>
          <w:szCs w:val="24"/>
          <w:highlight w:val="none"/>
        </w:rPr>
        <w:t>乙方应向甲方支付违约货款额5%违约金并赔偿甲方经济损失</w:t>
      </w:r>
      <w:bookmarkEnd w:id="476"/>
      <w:r>
        <w:rPr>
          <w:rFonts w:hint="eastAsia" w:ascii="宋体" w:hAnsi="宋体" w:cs="宋体"/>
          <w:color w:val="auto"/>
          <w:sz w:val="24"/>
          <w:szCs w:val="24"/>
          <w:highlight w:val="none"/>
        </w:rPr>
        <w:t xml:space="preserve">。         </w:t>
      </w:r>
    </w:p>
    <w:p w14:paraId="727C2A2E">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2.乙方提供的货物如侵犯了第三方合法权益而引发的任何纠纷或诉讼，均由乙方负责交涉并承担全部责任。</w:t>
      </w:r>
    </w:p>
    <w:p w14:paraId="3A1BB70C">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3.因包装、运输引起的货物损坏，按质量不合格处罚。</w:t>
      </w:r>
    </w:p>
    <w:p w14:paraId="7EBD8AAF">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甲方无故延期接收货物、乙方逾期交货的（本合同项的设备出厂后的承运途中遇到如下情形的，比如道路交通事故、地震、暴雨、下雪、泥石流等非乙方原因造成的延期交付的，乙方免责），每天向对方偿付违约货款额</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‰违约金，但违约金累计不得超过违约货款额</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rPr>
        <w:t>，超过</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天对方有权解除合同，违约方承担因此给对方造成经济损失。</w:t>
      </w:r>
    </w:p>
    <w:p w14:paraId="1328FA31">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5、甲方未按付款方式延期支付货款的，除应及时足额支付货款外，每天向乙方偿付延期货款额1‰ 滞纳金，但滞纳金累计不得超过延期货款额5%。甲方逾期付款超过180天的。乙方有权终止本合同，同时甲方仍需偿付乙方剩余所得货款。</w:t>
      </w:r>
    </w:p>
    <w:p w14:paraId="02729241">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6.乙方未按本合同和投标文件中规定的服务承诺提供伴随服务的，乙方应按本合同货物总金额</w:t>
      </w:r>
      <w:r>
        <w:rPr>
          <w:rFonts w:hint="eastAsia" w:ascii="宋体" w:hAnsi="宋体" w:cs="宋体"/>
          <w:color w:val="auto"/>
          <w:sz w:val="24"/>
          <w:szCs w:val="24"/>
          <w:highlight w:val="none"/>
          <w:u w:val="single"/>
        </w:rPr>
        <w:t xml:space="preserve"> 5%</w:t>
      </w:r>
      <w:r>
        <w:rPr>
          <w:rFonts w:hint="eastAsia" w:ascii="宋体" w:hAnsi="宋体" w:cs="宋体"/>
          <w:color w:val="auto"/>
          <w:sz w:val="24"/>
          <w:szCs w:val="24"/>
          <w:highlight w:val="none"/>
        </w:rPr>
        <w:t>向甲方支付违约金。</w:t>
      </w:r>
    </w:p>
    <w:p w14:paraId="56A9498F">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7.乙方提供的货物在保修期内，因设计、工艺或材料的缺陷和其它质量原因造成的问题，由乙方负责，费用从合同金额中扣除，不足另补。</w:t>
      </w:r>
    </w:p>
    <w:p w14:paraId="1982A864">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除了质量及不可抗力原因外，若甲方在本合同履行过程以其他理由提出解除、撤销、确认合同无效之诉的，乙方在经法院确认支持甲方诉讼请求，因设备已经交付且经过安装调试、检验，造成乙方无法向设备的生产厂家完全退货的，避免未来争端，甲、乙双方一致确认本合同设备的基准价格为争议发生日的甲方所属地域的招投标中标价格。</w:t>
      </w:r>
    </w:p>
    <w:p w14:paraId="1B5056D4">
      <w:pPr>
        <w:pStyle w:val="7"/>
        <w:adjustRightInd w:val="0"/>
        <w:snapToGrid w:val="0"/>
        <w:spacing w:line="360" w:lineRule="exact"/>
        <w:ind w:firstLine="482" w:firstLineChars="200"/>
        <w:rPr>
          <w:rFonts w:hAnsi="宋体" w:cs="宋体"/>
          <w:b/>
          <w:color w:val="auto"/>
          <w:sz w:val="24"/>
          <w:szCs w:val="24"/>
          <w:highlight w:val="none"/>
        </w:rPr>
      </w:pPr>
      <w:r>
        <w:rPr>
          <w:rFonts w:hint="eastAsia" w:hAnsi="宋体" w:cs="宋体"/>
          <w:b/>
          <w:color w:val="auto"/>
          <w:sz w:val="24"/>
          <w:szCs w:val="24"/>
          <w:highlight w:val="none"/>
        </w:rPr>
        <w:t>第十二条、不可抗力事件处理</w:t>
      </w:r>
    </w:p>
    <w:p w14:paraId="016FA97C">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 在合同有效期内，任何一方因不可抗力事件导致不能履行合同，则合同履行期可延长，其延长期与不可抗力影响期相同。</w:t>
      </w:r>
    </w:p>
    <w:p w14:paraId="4AC839D0">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 不可抗力事件发生后，应立即通知对方，并寄送有关权威机构出具的证明。</w:t>
      </w:r>
    </w:p>
    <w:p w14:paraId="3E24565A">
      <w:pPr>
        <w:pStyle w:val="7"/>
        <w:adjustRightInd w:val="0"/>
        <w:snapToGrid w:val="0"/>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 不可抗力事件延续一百二十天以上，双方应通过友好协商，确定是否继续履行合同。</w:t>
      </w:r>
    </w:p>
    <w:p w14:paraId="52872189">
      <w:pPr>
        <w:adjustRightInd w:val="0"/>
        <w:snapToGrid w:val="0"/>
        <w:spacing w:line="36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第十三条  合同争议解决</w:t>
      </w:r>
    </w:p>
    <w:p w14:paraId="3E2F6DFE">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1.因货物质量问题发生争议的，应邀请国家认可的质量检测机构对货物质量进行鉴定。货物符合标准的，鉴定费由甲方承担；货物不符合标准的，鉴定费由乙方承担。</w:t>
      </w:r>
    </w:p>
    <w:p w14:paraId="2BB5F0AA">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2.因履行本合同引起的或与本合同有关的争议，甲乙双方应首先通过友好协商解决，如果协商不能解决，可向甲方所在地的</w:t>
      </w:r>
      <w:r>
        <w:rPr>
          <w:rFonts w:hint="eastAsia" w:ascii="宋体" w:hAnsi="宋体" w:cs="宋体"/>
          <w:color w:val="auto"/>
          <w:sz w:val="24"/>
          <w:szCs w:val="24"/>
          <w:highlight w:val="none"/>
          <w:u w:val="single"/>
        </w:rPr>
        <w:t>人民法院提请诉讼</w:t>
      </w:r>
      <w:r>
        <w:rPr>
          <w:rFonts w:hint="eastAsia" w:ascii="宋体" w:hAnsi="宋体" w:cs="宋体"/>
          <w:color w:val="auto"/>
          <w:sz w:val="24"/>
          <w:szCs w:val="24"/>
          <w:highlight w:val="none"/>
        </w:rPr>
        <w:t>。</w:t>
      </w:r>
    </w:p>
    <w:p w14:paraId="07CD9DD1">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3.诉讼期间，本合同继续履行。</w:t>
      </w:r>
    </w:p>
    <w:p w14:paraId="32C78285">
      <w:pPr>
        <w:pStyle w:val="7"/>
        <w:adjustRightInd w:val="0"/>
        <w:snapToGrid w:val="0"/>
        <w:spacing w:line="360" w:lineRule="exact"/>
        <w:ind w:firstLine="482" w:firstLineChars="200"/>
        <w:rPr>
          <w:rFonts w:hAnsi="宋体" w:cs="宋体"/>
          <w:b/>
          <w:color w:val="auto"/>
          <w:sz w:val="24"/>
          <w:szCs w:val="24"/>
          <w:highlight w:val="none"/>
        </w:rPr>
      </w:pPr>
      <w:r>
        <w:rPr>
          <w:rFonts w:hint="eastAsia" w:hAnsi="宋体" w:cs="宋体"/>
          <w:b/>
          <w:color w:val="auto"/>
          <w:sz w:val="24"/>
          <w:szCs w:val="24"/>
          <w:highlight w:val="none"/>
        </w:rPr>
        <w:t>第十四条、合同生效及其它</w:t>
      </w:r>
    </w:p>
    <w:p w14:paraId="4F31FCF2">
      <w:pPr>
        <w:pStyle w:val="7"/>
        <w:adjustRightInd w:val="0"/>
        <w:snapToGrid w:val="0"/>
        <w:spacing w:line="360" w:lineRule="exact"/>
        <w:ind w:firstLine="482" w:firstLineChars="200"/>
        <w:rPr>
          <w:rFonts w:hAnsi="宋体" w:cs="宋体"/>
          <w:b/>
          <w:color w:val="auto"/>
          <w:sz w:val="24"/>
          <w:szCs w:val="24"/>
          <w:highlight w:val="none"/>
        </w:rPr>
      </w:pPr>
      <w:r>
        <w:rPr>
          <w:rFonts w:hint="eastAsia" w:hAnsi="宋体" w:cs="宋体"/>
          <w:b/>
          <w:color w:val="auto"/>
          <w:sz w:val="24"/>
          <w:szCs w:val="24"/>
          <w:highlight w:val="none"/>
        </w:rPr>
        <w:t>1．合同经双方法定代表人（负责人）或授权代表签字并加盖单位公章后生效。</w:t>
      </w:r>
    </w:p>
    <w:p w14:paraId="05402A09">
      <w:pPr>
        <w:pStyle w:val="7"/>
        <w:adjustRightInd w:val="0"/>
        <w:snapToGrid w:val="0"/>
        <w:spacing w:line="360" w:lineRule="exact"/>
        <w:ind w:firstLine="482" w:firstLineChars="200"/>
        <w:rPr>
          <w:rFonts w:hAnsi="宋体" w:cs="宋体"/>
          <w:b/>
          <w:color w:val="auto"/>
          <w:spacing w:val="-2"/>
          <w:sz w:val="24"/>
          <w:szCs w:val="24"/>
          <w:highlight w:val="none"/>
        </w:rPr>
      </w:pPr>
      <w:r>
        <w:rPr>
          <w:rFonts w:hint="eastAsia" w:hAnsi="宋体" w:cs="宋体"/>
          <w:b/>
          <w:color w:val="auto"/>
          <w:sz w:val="24"/>
          <w:szCs w:val="24"/>
          <w:highlight w:val="none"/>
        </w:rPr>
        <w:t>2．</w:t>
      </w:r>
      <w:r>
        <w:rPr>
          <w:rFonts w:hint="eastAsia" w:hAnsi="宋体" w:cs="宋体"/>
          <w:b/>
          <w:color w:val="auto"/>
          <w:spacing w:val="-2"/>
          <w:sz w:val="24"/>
          <w:szCs w:val="24"/>
          <w:highlight w:val="none"/>
        </w:rPr>
        <w:t>合同执行中涉及采购资金和采购内容修改或补充的，须经采购人审批，并签书面补充协议，方可作为主合同不可分割的一部分。</w:t>
      </w:r>
    </w:p>
    <w:p w14:paraId="00ACC07D">
      <w:pPr>
        <w:pStyle w:val="7"/>
        <w:adjustRightInd w:val="0"/>
        <w:snapToGrid w:val="0"/>
        <w:spacing w:line="360" w:lineRule="exact"/>
        <w:ind w:firstLine="482" w:firstLineChars="200"/>
        <w:rPr>
          <w:rFonts w:hAnsi="宋体" w:cs="宋体"/>
          <w:b/>
          <w:color w:val="auto"/>
          <w:sz w:val="24"/>
          <w:szCs w:val="24"/>
          <w:highlight w:val="none"/>
        </w:rPr>
      </w:pPr>
      <w:r>
        <w:rPr>
          <w:rFonts w:hint="eastAsia" w:hAnsi="宋体" w:cs="宋体"/>
          <w:b/>
          <w:color w:val="auto"/>
          <w:sz w:val="24"/>
          <w:szCs w:val="24"/>
          <w:highlight w:val="none"/>
        </w:rPr>
        <w:t>3．本合同未尽事宜，遵照《中华人民共和国民法典》有关条文执行。</w:t>
      </w:r>
    </w:p>
    <w:p w14:paraId="7C928505">
      <w:pPr>
        <w:adjustRightInd w:val="0"/>
        <w:snapToGrid w:val="0"/>
        <w:spacing w:line="3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　合同的变更、终止与转让</w:t>
      </w:r>
    </w:p>
    <w:p w14:paraId="19C53429">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1.除《中华人民共和国政府采购法》第五十条规定的情形外，本合同一经签订，甲乙双方不得擅自变更、中止或终止。</w:t>
      </w:r>
    </w:p>
    <w:p w14:paraId="5B64ED47">
      <w:pPr>
        <w:pStyle w:val="7"/>
        <w:adjustRightInd w:val="0"/>
        <w:snapToGrid w:val="0"/>
        <w:spacing w:line="360" w:lineRule="exact"/>
        <w:ind w:firstLine="480" w:firstLineChars="200"/>
        <w:rPr>
          <w:rFonts w:hAnsi="宋体" w:cs="宋体"/>
          <w:b/>
          <w:color w:val="auto"/>
          <w:sz w:val="24"/>
          <w:szCs w:val="24"/>
          <w:highlight w:val="none"/>
        </w:rPr>
      </w:pPr>
      <w:r>
        <w:rPr>
          <w:rFonts w:hint="eastAsia" w:hAnsi="宋体" w:cs="宋体"/>
          <w:color w:val="auto"/>
          <w:sz w:val="24"/>
          <w:szCs w:val="24"/>
          <w:highlight w:val="none"/>
        </w:rPr>
        <w:t>2.乙方不得擅自转让（无进口资格的供应商委托进口货物除外）其应履行的合同义务。</w:t>
      </w:r>
    </w:p>
    <w:p w14:paraId="47E75BB1">
      <w:pPr>
        <w:adjustRightInd w:val="0"/>
        <w:snapToGrid w:val="0"/>
        <w:spacing w:line="3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第十六条　签订本合同依据</w:t>
      </w:r>
    </w:p>
    <w:p w14:paraId="4A80F621">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1.采购招标文件；</w:t>
      </w:r>
    </w:p>
    <w:p w14:paraId="45E1CBCE">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2.乙方提供的投标文件；</w:t>
      </w:r>
    </w:p>
    <w:p w14:paraId="1A11FF3B">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3.投标承诺书；</w:t>
      </w:r>
    </w:p>
    <w:p w14:paraId="677D9221">
      <w:pPr>
        <w:adjustRightInd w:val="0"/>
        <w:snapToGrid w:val="0"/>
        <w:spacing w:line="3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4.中标通知书。</w:t>
      </w:r>
    </w:p>
    <w:p w14:paraId="5FB2C904">
      <w:pPr>
        <w:adjustRightInd w:val="0"/>
        <w:snapToGrid w:val="0"/>
        <w:spacing w:line="36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第十七条　</w:t>
      </w:r>
      <w:r>
        <w:rPr>
          <w:rFonts w:hint="eastAsia" w:ascii="宋体" w:hAnsi="宋体" w:cs="宋体"/>
          <w:color w:val="auto"/>
          <w:sz w:val="24"/>
          <w:szCs w:val="24"/>
          <w:highlight w:val="none"/>
        </w:rPr>
        <w:t>本合同一式五份，</w:t>
      </w:r>
      <w:r>
        <w:rPr>
          <w:rFonts w:hint="eastAsia" w:ascii="宋体" w:hAnsi="宋体" w:cs="宋体"/>
          <w:color w:val="auto"/>
          <w:spacing w:val="4"/>
          <w:sz w:val="24"/>
          <w:szCs w:val="24"/>
          <w:highlight w:val="none"/>
        </w:rPr>
        <w:t>采购代理机构</w:t>
      </w:r>
      <w:r>
        <w:rPr>
          <w:rFonts w:hint="eastAsia" w:ascii="宋体" w:hAnsi="宋体" w:cs="宋体"/>
          <w:color w:val="auto"/>
          <w:sz w:val="24"/>
          <w:szCs w:val="24"/>
          <w:highlight w:val="none"/>
        </w:rPr>
        <w:t>一份，甲方二份，乙方二份（可根据需要另增加）。</w:t>
      </w:r>
    </w:p>
    <w:p w14:paraId="000B72B4">
      <w:pPr>
        <w:adjustRightInd w:val="0"/>
        <w:snapToGrid w:val="0"/>
        <w:rPr>
          <w:rFonts w:ascii="宋体" w:hAnsi="宋体" w:cs="宋体"/>
          <w:color w:val="auto"/>
          <w:sz w:val="24"/>
          <w:szCs w:val="24"/>
          <w:highlight w:val="none"/>
        </w:rPr>
      </w:pPr>
    </w:p>
    <w:tbl>
      <w:tblPr>
        <w:tblStyle w:val="1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0C7A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4E09D90C">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 xml:space="preserve">甲方（章）  </w:t>
            </w:r>
          </w:p>
          <w:p w14:paraId="2CF86FFB">
            <w:pPr>
              <w:adjustRightInd w:val="0"/>
              <w:snapToGrid w:val="0"/>
              <w:rPr>
                <w:rFonts w:ascii="宋体" w:hAnsi="宋体" w:cs="宋体"/>
                <w:color w:val="auto"/>
                <w:sz w:val="24"/>
                <w:szCs w:val="24"/>
                <w:highlight w:val="none"/>
              </w:rPr>
            </w:pPr>
          </w:p>
          <w:p w14:paraId="1A15BB0D">
            <w:pPr>
              <w:adjustRightInd w:val="0"/>
              <w:snapToGrid w:val="0"/>
              <w:ind w:firstLine="1080" w:firstLineChars="450"/>
              <w:jc w:val="right"/>
              <w:rPr>
                <w:rFonts w:ascii="宋体" w:hAnsi="宋体" w:cs="宋体"/>
                <w:color w:val="auto"/>
                <w:sz w:val="24"/>
                <w:szCs w:val="24"/>
                <w:highlight w:val="none"/>
              </w:rPr>
            </w:pPr>
          </w:p>
        </w:tc>
        <w:tc>
          <w:tcPr>
            <w:tcW w:w="4772" w:type="dxa"/>
            <w:vAlign w:val="center"/>
          </w:tcPr>
          <w:p w14:paraId="108B1244">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 xml:space="preserve">乙方（章）              </w:t>
            </w:r>
          </w:p>
          <w:p w14:paraId="21470E30">
            <w:pPr>
              <w:adjustRightInd w:val="0"/>
              <w:snapToGrid w:val="0"/>
              <w:rPr>
                <w:rFonts w:ascii="宋体" w:hAnsi="宋体" w:cs="宋体"/>
                <w:color w:val="auto"/>
                <w:sz w:val="24"/>
                <w:szCs w:val="24"/>
                <w:highlight w:val="none"/>
              </w:rPr>
            </w:pPr>
          </w:p>
          <w:p w14:paraId="5EE2BE6A">
            <w:pPr>
              <w:adjustRightInd w:val="0"/>
              <w:snapToGrid w:val="0"/>
              <w:jc w:val="right"/>
              <w:rPr>
                <w:rFonts w:ascii="宋体" w:hAnsi="宋体" w:cs="宋体"/>
                <w:color w:val="auto"/>
                <w:sz w:val="24"/>
                <w:szCs w:val="24"/>
                <w:highlight w:val="none"/>
              </w:rPr>
            </w:pPr>
          </w:p>
        </w:tc>
      </w:tr>
      <w:tr w14:paraId="2C41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2EC597D4">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4772" w:type="dxa"/>
            <w:vAlign w:val="center"/>
          </w:tcPr>
          <w:p w14:paraId="77482F84">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r>
      <w:tr w14:paraId="1FB9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63398A73">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tc>
        <w:tc>
          <w:tcPr>
            <w:tcW w:w="4772" w:type="dxa"/>
            <w:vAlign w:val="center"/>
          </w:tcPr>
          <w:p w14:paraId="042372D8">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tc>
      </w:tr>
      <w:tr w14:paraId="6763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2756EA95">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委托代理人：</w:t>
            </w:r>
          </w:p>
        </w:tc>
        <w:tc>
          <w:tcPr>
            <w:tcW w:w="4772" w:type="dxa"/>
            <w:vAlign w:val="center"/>
          </w:tcPr>
          <w:p w14:paraId="052E6A3B">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委托代理人：</w:t>
            </w:r>
          </w:p>
        </w:tc>
      </w:tr>
      <w:tr w14:paraId="3682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4C7E3BF4">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772" w:type="dxa"/>
            <w:vAlign w:val="center"/>
          </w:tcPr>
          <w:p w14:paraId="6A4DFCE8">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14:paraId="01D5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5CE5894C">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电子邮箱：</w:t>
            </w:r>
          </w:p>
        </w:tc>
        <w:tc>
          <w:tcPr>
            <w:tcW w:w="4772" w:type="dxa"/>
            <w:vAlign w:val="center"/>
          </w:tcPr>
          <w:p w14:paraId="06266465">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电子邮箱：</w:t>
            </w:r>
          </w:p>
        </w:tc>
      </w:tr>
      <w:tr w14:paraId="3F11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72DEA961">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4772" w:type="dxa"/>
            <w:vAlign w:val="center"/>
          </w:tcPr>
          <w:p w14:paraId="278A4975">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r>
      <w:tr w14:paraId="22C6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57F45863">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账号：</w:t>
            </w:r>
          </w:p>
        </w:tc>
        <w:tc>
          <w:tcPr>
            <w:tcW w:w="4772" w:type="dxa"/>
            <w:vAlign w:val="center"/>
          </w:tcPr>
          <w:p w14:paraId="3A4EB2AF">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账号：</w:t>
            </w:r>
          </w:p>
        </w:tc>
      </w:tr>
      <w:tr w14:paraId="7478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560DFC1F">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hAnsi="宋体"/>
                <w:color w:val="auto"/>
                <w:sz w:val="24"/>
                <w:szCs w:val="24"/>
                <w:highlight w:val="none"/>
              </w:rPr>
              <w:t>536000</w:t>
            </w:r>
          </w:p>
        </w:tc>
        <w:tc>
          <w:tcPr>
            <w:tcW w:w="4772" w:type="dxa"/>
            <w:vAlign w:val="center"/>
          </w:tcPr>
          <w:p w14:paraId="5723F039">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r>
      <w:tr w14:paraId="7863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288" w:type="dxa"/>
            <w:gridSpan w:val="2"/>
            <w:vAlign w:val="top"/>
          </w:tcPr>
          <w:p w14:paraId="6F4D6FDF">
            <w:pPr>
              <w:snapToGrid w:val="0"/>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经手人（北海市人民医院）：</w:t>
            </w:r>
          </w:p>
          <w:p w14:paraId="3877B2A7">
            <w:pPr>
              <w:snapToGrid w:val="0"/>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签订地点： 北海市人民医院                      签订时间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年    月    日</w:t>
            </w:r>
          </w:p>
        </w:tc>
      </w:tr>
    </w:tbl>
    <w:p w14:paraId="30825572">
      <w:pPr>
        <w:snapToGrid w:val="0"/>
        <w:spacing w:line="360" w:lineRule="exact"/>
        <w:ind w:left="420" w:hanging="480" w:hangingChars="200"/>
        <w:rPr>
          <w:rFonts w:hint="eastAsia" w:ascii="宋体" w:hAnsi="宋体" w:cs="宋体"/>
          <w:color w:val="auto"/>
          <w:sz w:val="24"/>
          <w:szCs w:val="24"/>
          <w:highlight w:val="none"/>
        </w:rPr>
      </w:pPr>
    </w:p>
    <w:p w14:paraId="55BC5858">
      <w:pPr>
        <w:rPr>
          <w:rFonts w:ascii="宋体" w:hAnsi="宋体" w:cs="宋体"/>
          <w:b/>
          <w:color w:val="auto"/>
          <w:sz w:val="24"/>
          <w:szCs w:val="24"/>
          <w:highlight w:val="none"/>
        </w:rPr>
      </w:pPr>
    </w:p>
    <w:p w14:paraId="239A2ABA">
      <w:pPr>
        <w:pStyle w:val="3"/>
        <w:rPr>
          <w:rFonts w:ascii="宋体" w:hAnsi="宋体" w:cs="宋体"/>
          <w:color w:val="auto"/>
          <w:sz w:val="24"/>
          <w:szCs w:val="24"/>
          <w:highlight w:val="none"/>
        </w:rPr>
      </w:pPr>
    </w:p>
    <w:p w14:paraId="03ECBE79">
      <w:pPr>
        <w:rPr>
          <w:rFonts w:ascii="宋体" w:hAnsi="宋体" w:cs="宋体"/>
          <w:b/>
          <w:color w:val="auto"/>
          <w:sz w:val="24"/>
          <w:szCs w:val="24"/>
          <w:highlight w:val="none"/>
        </w:rPr>
      </w:pPr>
    </w:p>
    <w:p w14:paraId="7144DA80">
      <w:pPr>
        <w:pStyle w:val="3"/>
        <w:rPr>
          <w:rFonts w:ascii="宋体" w:hAnsi="宋体" w:cs="宋体"/>
          <w:color w:val="auto"/>
          <w:sz w:val="24"/>
          <w:szCs w:val="24"/>
          <w:highlight w:val="none"/>
        </w:rPr>
      </w:pPr>
    </w:p>
    <w:p w14:paraId="6FB525DD">
      <w:pPr>
        <w:pStyle w:val="3"/>
        <w:ind w:left="0" w:leftChars="0" w:firstLine="0" w:firstLineChars="0"/>
        <w:rPr>
          <w:rFonts w:ascii="宋体" w:hAnsi="宋体" w:cs="宋体"/>
          <w:color w:val="auto"/>
          <w:sz w:val="24"/>
          <w:szCs w:val="24"/>
          <w:highlight w:val="none"/>
        </w:rPr>
      </w:pPr>
    </w:p>
    <w:p w14:paraId="476706C2">
      <w:pPr>
        <w:adjustRightInd/>
        <w:jc w:val="center"/>
        <w:rPr>
          <w:rFonts w:hint="eastAsia" w:ascii="宋体" w:hAnsi="宋体" w:eastAsia="宋体" w:cs="宋体"/>
          <w:b/>
          <w:bCs/>
          <w:color w:val="auto"/>
          <w:spacing w:val="-20"/>
          <w:kern w:val="44"/>
          <w:sz w:val="24"/>
          <w:szCs w:val="24"/>
          <w:highlight w:val="none"/>
        </w:rPr>
      </w:pPr>
    </w:p>
    <w:bookmarkEnd w:id="475"/>
    <w:p w14:paraId="65A5FBF0">
      <w:pPr>
        <w:pStyle w:val="2"/>
        <w:ind w:left="0" w:leftChars="0" w:firstLine="0" w:firstLineChars="0"/>
        <w:rPr>
          <w:rFonts w:hint="eastAsia" w:ascii="宋体" w:hAnsi="宋体" w:eastAsia="宋体" w:cs="宋体"/>
          <w:color w:val="auto"/>
          <w:sz w:val="24"/>
          <w:szCs w:val="24"/>
          <w:highlight w:val="none"/>
        </w:rPr>
      </w:pPr>
    </w:p>
    <w:p w14:paraId="5BDFA5B7">
      <w:pPr>
        <w:rPr>
          <w:color w:val="auto"/>
          <w:highlight w:val="none"/>
        </w:rPr>
      </w:pPr>
    </w:p>
    <w:p w14:paraId="0CE05A2B">
      <w:pPr>
        <w:spacing w:line="360" w:lineRule="auto"/>
        <w:ind w:left="720" w:firstLine="723" w:firstLineChars="200"/>
        <w:outlineLvl w:val="0"/>
        <w:rPr>
          <w:rFonts w:ascii="宋体" w:hAnsi="宋体" w:cs="宋体"/>
          <w:b/>
          <w:color w:val="auto"/>
          <w:sz w:val="36"/>
          <w:szCs w:val="20"/>
          <w:highlight w:val="none"/>
        </w:rPr>
      </w:pPr>
      <w:bookmarkStart w:id="477" w:name="_Toc176343853"/>
      <w:bookmarkStart w:id="478" w:name="_Toc176185126"/>
      <w:r>
        <w:rPr>
          <w:rFonts w:hint="eastAsia" w:ascii="宋体" w:hAnsi="宋体" w:cs="宋体"/>
          <w:b/>
          <w:color w:val="auto"/>
          <w:sz w:val="36"/>
          <w:szCs w:val="20"/>
          <w:highlight w:val="none"/>
        </w:rPr>
        <w:t>第六部分</w:t>
      </w:r>
      <w:bookmarkEnd w:id="471"/>
      <w:r>
        <w:rPr>
          <w:rFonts w:hint="eastAsia" w:ascii="宋体" w:hAnsi="宋体" w:cs="宋体"/>
          <w:b/>
          <w:color w:val="auto"/>
          <w:sz w:val="36"/>
          <w:szCs w:val="20"/>
          <w:highlight w:val="none"/>
        </w:rPr>
        <w:t xml:space="preserve"> </w:t>
      </w:r>
      <w:bookmarkEnd w:id="472"/>
      <w:r>
        <w:rPr>
          <w:rFonts w:hint="eastAsia" w:ascii="宋体" w:hAnsi="宋体" w:cs="宋体"/>
          <w:b/>
          <w:color w:val="auto"/>
          <w:sz w:val="36"/>
          <w:szCs w:val="20"/>
          <w:highlight w:val="none"/>
        </w:rPr>
        <w:t xml:space="preserve"> 应提交的有关格式范例</w:t>
      </w:r>
      <w:bookmarkEnd w:id="477"/>
      <w:bookmarkEnd w:id="478"/>
    </w:p>
    <w:p w14:paraId="5C4E2413">
      <w:pPr>
        <w:pStyle w:val="16"/>
        <w:rPr>
          <w:color w:val="auto"/>
          <w:highlight w:val="none"/>
        </w:rPr>
      </w:pPr>
    </w:p>
    <w:p w14:paraId="5684C66A">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9688F53">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1DAA10D">
      <w:pPr>
        <w:pStyle w:val="16"/>
        <w:rPr>
          <w:color w:val="auto"/>
          <w:highlight w:val="none"/>
        </w:rPr>
      </w:pPr>
    </w:p>
    <w:p w14:paraId="4FDC9E22">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（1）符合参加政府采购活动应当具备的一般条件的承诺函……………（页码）</w:t>
      </w:r>
    </w:p>
    <w:p w14:paraId="2D531268">
      <w:pPr>
        <w:snapToGrid w:val="0"/>
        <w:spacing w:line="360" w:lineRule="auto"/>
        <w:ind w:firstLine="240" w:firstLineChars="100"/>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36ACE823">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26E3D3B3">
      <w:pPr>
        <w:tabs>
          <w:tab w:val="left" w:pos="284"/>
        </w:tabs>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417DA816">
      <w:pPr>
        <w:snapToGrid w:val="0"/>
        <w:spacing w:line="360" w:lineRule="auto"/>
        <w:ind w:firstLine="480" w:firstLineChars="200"/>
        <w:rPr>
          <w:rFonts w:ascii="宋体" w:hAnsi="宋体" w:cs="宋体"/>
          <w:color w:val="auto"/>
          <w:sz w:val="24"/>
          <w:highlight w:val="none"/>
        </w:rPr>
      </w:pPr>
    </w:p>
    <w:p w14:paraId="46013556">
      <w:pPr>
        <w:spacing w:line="360" w:lineRule="auto"/>
        <w:ind w:firstLine="480" w:firstLineChars="200"/>
        <w:rPr>
          <w:rFonts w:ascii="宋体" w:hAnsi="宋体" w:cs="宋体"/>
          <w:color w:val="auto"/>
          <w:sz w:val="24"/>
          <w:highlight w:val="none"/>
        </w:rPr>
      </w:pPr>
    </w:p>
    <w:p w14:paraId="575DB87E">
      <w:pPr>
        <w:snapToGrid w:val="0"/>
        <w:spacing w:line="360" w:lineRule="auto"/>
        <w:ind w:right="480"/>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38E177C2">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一、 符合参加政府采购活动应当具备的一般条件的承诺函</w:t>
      </w:r>
    </w:p>
    <w:p w14:paraId="1B6D09BB">
      <w:pPr>
        <w:snapToGrid w:val="0"/>
        <w:spacing w:line="360" w:lineRule="auto"/>
        <w:ind w:right="480"/>
        <w:jc w:val="center"/>
        <w:rPr>
          <w:rFonts w:ascii="宋体" w:hAnsi="宋体" w:cs="宋体"/>
          <w:color w:val="auto"/>
          <w:sz w:val="24"/>
          <w:highlight w:val="none"/>
        </w:rPr>
      </w:pPr>
    </w:p>
    <w:p w14:paraId="344F214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北海市政府采购供应商信用承诺函（格式）</w:t>
      </w:r>
    </w:p>
    <w:p w14:paraId="0C8CDB41">
      <w:pPr>
        <w:snapToGrid w:val="0"/>
        <w:spacing w:line="360" w:lineRule="auto"/>
        <w:rPr>
          <w:rFonts w:ascii="宋体" w:hAnsi="宋体" w:cs="宋体"/>
          <w:color w:val="auto"/>
          <w:sz w:val="24"/>
          <w:highlight w:val="none"/>
        </w:rPr>
      </w:pPr>
    </w:p>
    <w:p w14:paraId="2D4C474B">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31096CDD">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29ACFFB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75D5C0F1">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4F7492C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08337B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716CEB9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4EE296A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46DB10D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072F42C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D9A14E3">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40510860">
      <w:pPr>
        <w:snapToGrid w:val="0"/>
        <w:spacing w:line="360" w:lineRule="auto"/>
        <w:ind w:right="480"/>
        <w:rPr>
          <w:rFonts w:ascii="宋体" w:hAnsi="宋体" w:cs="宋体"/>
          <w:color w:val="auto"/>
          <w:sz w:val="24"/>
          <w:highlight w:val="none"/>
        </w:rPr>
      </w:pPr>
    </w:p>
    <w:p w14:paraId="01A3213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49D7ED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DCE92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CF76B0C">
      <w:pPr>
        <w:snapToGrid w:val="0"/>
        <w:spacing w:line="360" w:lineRule="auto"/>
        <w:ind w:right="480"/>
        <w:rPr>
          <w:rFonts w:ascii="宋体" w:hAnsi="宋体" w:cs="宋体"/>
          <w:color w:val="auto"/>
          <w:sz w:val="24"/>
          <w:highlight w:val="none"/>
        </w:rPr>
      </w:pPr>
    </w:p>
    <w:p w14:paraId="2203DAAB">
      <w:pPr>
        <w:snapToGrid w:val="0"/>
        <w:spacing w:line="360" w:lineRule="auto"/>
        <w:ind w:right="480"/>
        <w:jc w:val="center"/>
        <w:rPr>
          <w:rFonts w:ascii="宋体" w:hAnsi="宋体" w:cs="宋体"/>
          <w:b/>
          <w:color w:val="auto"/>
          <w:kern w:val="0"/>
          <w:sz w:val="32"/>
          <w:szCs w:val="32"/>
          <w:highlight w:val="none"/>
        </w:rPr>
      </w:pPr>
    </w:p>
    <w:p w14:paraId="5D3888DE">
      <w:pPr>
        <w:rPr>
          <w:rFonts w:ascii="宋体" w:hAnsi="宋体" w:cs="宋体"/>
          <w:color w:val="auto"/>
          <w:highlight w:val="none"/>
        </w:rPr>
      </w:pPr>
    </w:p>
    <w:p w14:paraId="1C45466D">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769484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33979F06">
      <w:pPr>
        <w:snapToGrid w:val="0"/>
        <w:spacing w:line="360" w:lineRule="auto"/>
        <w:ind w:right="480"/>
        <w:jc w:val="center"/>
        <w:rPr>
          <w:rFonts w:ascii="宋体" w:hAnsi="宋体" w:cs="宋体"/>
          <w:b/>
          <w:color w:val="auto"/>
          <w:kern w:val="0"/>
          <w:sz w:val="32"/>
          <w:szCs w:val="32"/>
          <w:highlight w:val="none"/>
        </w:rPr>
      </w:pPr>
    </w:p>
    <w:p w14:paraId="36A68D9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1D52A526">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0605A7B">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6A6E91D">
      <w:pPr>
        <w:widowControl/>
        <w:spacing w:line="360" w:lineRule="auto"/>
        <w:ind w:firstLine="480"/>
        <w:jc w:val="left"/>
        <w:rPr>
          <w:rFonts w:ascii="宋体" w:hAnsi="宋体" w:cs="宋体"/>
          <w:color w:val="auto"/>
          <w:sz w:val="24"/>
          <w:highlight w:val="none"/>
        </w:rPr>
      </w:pPr>
    </w:p>
    <w:p w14:paraId="0EF40E70">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3FE401FA">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6C23F77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7DB9410E">
      <w:pPr>
        <w:widowControl/>
        <w:spacing w:line="360" w:lineRule="auto"/>
        <w:ind w:left="150"/>
        <w:jc w:val="center"/>
        <w:rPr>
          <w:rFonts w:ascii="宋体" w:hAnsi="宋体" w:cs="宋体"/>
          <w:b/>
          <w:color w:val="auto"/>
          <w:kern w:val="0"/>
          <w:sz w:val="32"/>
          <w:szCs w:val="32"/>
          <w:highlight w:val="none"/>
        </w:rPr>
      </w:pPr>
    </w:p>
    <w:p w14:paraId="3523C5FA">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5E900A5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7DEE1243">
      <w:pPr>
        <w:rPr>
          <w:rFonts w:ascii="宋体" w:hAnsi="宋体" w:cs="宋体"/>
          <w:color w:val="auto"/>
          <w:highlight w:val="none"/>
        </w:rPr>
      </w:pPr>
    </w:p>
    <w:p w14:paraId="003BB24C">
      <w:pPr>
        <w:widowControl/>
        <w:adjustRightInd/>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805600F">
      <w:pPr>
        <w:widowControl/>
        <w:adjustRightInd/>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027139D5">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183FA6A">
      <w:pPr>
        <w:snapToGrid w:val="0"/>
        <w:spacing w:line="360" w:lineRule="auto"/>
        <w:ind w:left="479" w:leftChars="228"/>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（1）投标函</w:t>
      </w:r>
      <w:r>
        <w:rPr>
          <w:rFonts w:hint="eastAsia" w:ascii="宋体" w:hAnsi="宋体" w:cs="宋体"/>
          <w:color w:val="auto"/>
          <w:highlight w:val="none"/>
        </w:rPr>
        <w:t>…………………………………………………………………………………（页码）</w:t>
      </w:r>
      <w:bookmarkStart w:id="479" w:name="_Hlk203408480"/>
      <w:r>
        <w:rPr>
          <w:rFonts w:hint="eastAsia" w:ascii="宋体" w:hAnsi="宋体" w:cs="宋体"/>
          <w:color w:val="auto"/>
          <w:szCs w:val="21"/>
          <w:highlight w:val="none"/>
        </w:rPr>
        <w:t>▲</w:t>
      </w:r>
      <w:bookmarkEnd w:id="479"/>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04B1A927">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78578AE">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7EB41AF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r>
        <w:rPr>
          <w:rFonts w:hint="eastAsia" w:ascii="宋体" w:hAnsi="宋体" w:cs="宋体"/>
          <w:color w:val="auto"/>
          <w:szCs w:val="21"/>
          <w:highlight w:val="none"/>
        </w:rPr>
        <w:t>▲</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370408E2">
      <w:pPr>
        <w:snapToGrid w:val="0"/>
        <w:spacing w:line="360" w:lineRule="auto"/>
        <w:ind w:left="479" w:leftChars="228"/>
        <w:rPr>
          <w:rFonts w:ascii="宋体" w:hAnsi="宋体" w:cs="宋体"/>
          <w:color w:val="auto"/>
          <w:highlight w:val="none"/>
        </w:rPr>
      </w:pPr>
      <w:bookmarkStart w:id="480" w:name="_Hlk203408512"/>
      <w:r>
        <w:rPr>
          <w:rFonts w:hint="eastAsia" w:ascii="宋体" w:hAnsi="宋体" w:cs="宋体"/>
          <w:color w:val="auto"/>
          <w:szCs w:val="21"/>
          <w:highlight w:val="none"/>
        </w:rPr>
        <w:t>▲</w:t>
      </w:r>
      <w:bookmarkEnd w:id="480"/>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62F502CE">
      <w:pPr>
        <w:snapToGrid w:val="0"/>
        <w:spacing w:line="360" w:lineRule="auto"/>
        <w:ind w:left="479" w:leftChars="228"/>
        <w:rPr>
          <w:rFonts w:ascii="宋体" w:hAnsi="宋体" w:cs="宋体"/>
          <w:color w:val="auto"/>
          <w:highlight w:val="none"/>
        </w:rPr>
      </w:pPr>
      <w:bookmarkStart w:id="481" w:name="_Hlk203408516"/>
      <w:r>
        <w:rPr>
          <w:rFonts w:hint="eastAsia" w:ascii="宋体" w:hAnsi="宋体" w:cs="宋体"/>
          <w:color w:val="auto"/>
          <w:szCs w:val="21"/>
          <w:highlight w:val="none"/>
        </w:rPr>
        <w:t>▲</w:t>
      </w:r>
      <w:bookmarkEnd w:id="481"/>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03DC1567">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14:paraId="5767B819">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14:paraId="5EBDE8CC">
      <w:pPr>
        <w:snapToGrid w:val="0"/>
        <w:spacing w:line="360" w:lineRule="auto"/>
        <w:ind w:left="479" w:leftChars="228"/>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）售后服务方案</w:t>
      </w:r>
      <w:r>
        <w:rPr>
          <w:rFonts w:hint="eastAsia" w:ascii="宋体" w:hAnsi="宋体" w:cs="宋体"/>
          <w:color w:val="auto"/>
          <w:highlight w:val="none"/>
        </w:rPr>
        <w:t>………………………………………………………………………（页码）</w:t>
      </w:r>
    </w:p>
    <w:p w14:paraId="56E17744">
      <w:pPr>
        <w:pStyle w:val="16"/>
        <w:rPr>
          <w:color w:val="auto"/>
          <w:highlight w:val="none"/>
        </w:rPr>
      </w:pPr>
    </w:p>
    <w:p w14:paraId="4D65A5C6">
      <w:pPr>
        <w:snapToGrid w:val="0"/>
        <w:spacing w:line="360" w:lineRule="auto"/>
        <w:jc w:val="center"/>
        <w:rPr>
          <w:rFonts w:ascii="宋体" w:hAnsi="宋体" w:cs="宋体"/>
          <w:b/>
          <w:color w:val="auto"/>
          <w:kern w:val="0"/>
          <w:sz w:val="32"/>
          <w:szCs w:val="32"/>
          <w:highlight w:val="none"/>
        </w:rPr>
      </w:pPr>
    </w:p>
    <w:p w14:paraId="1278A5A9">
      <w:pPr>
        <w:snapToGrid w:val="0"/>
        <w:spacing w:line="360" w:lineRule="auto"/>
        <w:jc w:val="center"/>
        <w:rPr>
          <w:rFonts w:ascii="宋体" w:hAnsi="宋体" w:cs="宋体"/>
          <w:b/>
          <w:color w:val="auto"/>
          <w:kern w:val="0"/>
          <w:sz w:val="32"/>
          <w:szCs w:val="32"/>
          <w:highlight w:val="none"/>
          <w:lang w:val="zh-CN"/>
        </w:rPr>
      </w:pPr>
    </w:p>
    <w:p w14:paraId="391DCB0F">
      <w:pPr>
        <w:snapToGrid w:val="0"/>
        <w:spacing w:line="360" w:lineRule="auto"/>
        <w:jc w:val="center"/>
        <w:rPr>
          <w:rFonts w:ascii="宋体" w:hAnsi="宋体" w:cs="宋体"/>
          <w:b/>
          <w:color w:val="auto"/>
          <w:kern w:val="0"/>
          <w:sz w:val="32"/>
          <w:szCs w:val="32"/>
          <w:highlight w:val="none"/>
          <w:lang w:val="zh-CN"/>
        </w:rPr>
      </w:pPr>
    </w:p>
    <w:p w14:paraId="49CE8485">
      <w:pPr>
        <w:snapToGrid w:val="0"/>
        <w:spacing w:line="360" w:lineRule="auto"/>
        <w:jc w:val="center"/>
        <w:rPr>
          <w:rFonts w:ascii="宋体" w:hAnsi="宋体" w:cs="宋体"/>
          <w:b/>
          <w:color w:val="auto"/>
          <w:kern w:val="0"/>
          <w:sz w:val="32"/>
          <w:szCs w:val="32"/>
          <w:highlight w:val="none"/>
          <w:lang w:val="zh-CN"/>
        </w:rPr>
      </w:pPr>
    </w:p>
    <w:p w14:paraId="513306E7">
      <w:pPr>
        <w:snapToGrid w:val="0"/>
        <w:spacing w:line="360" w:lineRule="auto"/>
        <w:jc w:val="center"/>
        <w:rPr>
          <w:rFonts w:ascii="宋体" w:hAnsi="宋体" w:cs="宋体"/>
          <w:b/>
          <w:color w:val="auto"/>
          <w:kern w:val="0"/>
          <w:sz w:val="32"/>
          <w:szCs w:val="32"/>
          <w:highlight w:val="none"/>
          <w:lang w:val="zh-CN"/>
        </w:rPr>
      </w:pPr>
    </w:p>
    <w:p w14:paraId="432A78EA">
      <w:pPr>
        <w:snapToGrid w:val="0"/>
        <w:spacing w:line="360" w:lineRule="auto"/>
        <w:jc w:val="center"/>
        <w:rPr>
          <w:rFonts w:ascii="宋体" w:hAnsi="宋体" w:cs="宋体"/>
          <w:b/>
          <w:color w:val="auto"/>
          <w:kern w:val="0"/>
          <w:sz w:val="32"/>
          <w:szCs w:val="32"/>
          <w:highlight w:val="none"/>
        </w:rPr>
      </w:pPr>
    </w:p>
    <w:p w14:paraId="09F22A04">
      <w:pPr>
        <w:snapToGrid w:val="0"/>
        <w:spacing w:line="360" w:lineRule="auto"/>
        <w:jc w:val="center"/>
        <w:rPr>
          <w:rFonts w:ascii="宋体" w:hAnsi="宋体" w:cs="宋体"/>
          <w:b/>
          <w:color w:val="auto"/>
          <w:kern w:val="0"/>
          <w:sz w:val="32"/>
          <w:szCs w:val="32"/>
          <w:highlight w:val="none"/>
        </w:rPr>
      </w:pPr>
    </w:p>
    <w:p w14:paraId="6D181F43">
      <w:pPr>
        <w:pStyle w:val="16"/>
        <w:rPr>
          <w:color w:val="auto"/>
          <w:highlight w:val="none"/>
        </w:rPr>
      </w:pPr>
    </w:p>
    <w:p w14:paraId="3DB8D54F">
      <w:pPr>
        <w:rPr>
          <w:color w:val="auto"/>
          <w:highlight w:val="none"/>
        </w:rPr>
      </w:pPr>
    </w:p>
    <w:p w14:paraId="7B860890">
      <w:pPr>
        <w:snapToGrid w:val="0"/>
        <w:spacing w:line="360" w:lineRule="auto"/>
        <w:ind w:firstLine="3855" w:firstLineChars="1200"/>
        <w:rPr>
          <w:rFonts w:ascii="宋体" w:hAnsi="宋体" w:cs="宋体"/>
          <w:b/>
          <w:color w:val="auto"/>
          <w:kern w:val="0"/>
          <w:sz w:val="32"/>
          <w:szCs w:val="32"/>
          <w:highlight w:val="none"/>
        </w:rPr>
      </w:pPr>
    </w:p>
    <w:p w14:paraId="79E88D96">
      <w:pPr>
        <w:snapToGrid w:val="0"/>
        <w:spacing w:line="360" w:lineRule="auto"/>
        <w:ind w:firstLine="3855" w:firstLineChars="1200"/>
        <w:rPr>
          <w:rFonts w:ascii="宋体" w:hAnsi="宋体" w:cs="宋体"/>
          <w:b/>
          <w:color w:val="auto"/>
          <w:kern w:val="0"/>
          <w:sz w:val="32"/>
          <w:szCs w:val="32"/>
          <w:highlight w:val="none"/>
        </w:rPr>
      </w:pPr>
    </w:p>
    <w:p w14:paraId="04D7C14B">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8C53BD0">
      <w:pPr>
        <w:snapToGrid w:val="0"/>
        <w:spacing w:line="360" w:lineRule="auto"/>
        <w:ind w:firstLine="3855" w:firstLineChars="120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071DB6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6AB16F7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0D8D4D3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7B8508D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2AC444E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3BD6545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4B24304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39AD0D6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3D0051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9D24E99">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AD9346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096A44C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219EE71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D9E0C9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182BFF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C5D34C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383A13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CE083FA">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D424C5F">
      <w:pPr>
        <w:pStyle w:val="16"/>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14:paraId="4969A23C">
      <w:pPr>
        <w:pStyle w:val="16"/>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14:paraId="1B3F4A62">
      <w:pPr>
        <w:pStyle w:val="16"/>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14:paraId="2ECC706E">
      <w:pPr>
        <w:pStyle w:val="16"/>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w:t>
      </w:r>
      <w:r>
        <w:rPr>
          <w:rFonts w:hint="eastAsia" w:cs="宋体"/>
          <w:color w:val="auto"/>
          <w:highlight w:val="none"/>
          <w:lang w:val="zh-CN"/>
        </w:rPr>
        <w:t>售后服务方案。</w:t>
      </w:r>
    </w:p>
    <w:p w14:paraId="16E3949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470715A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2923AE8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5E488E2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28CF278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3DA09AA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4BE5ED6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4358FC7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5D5DD96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5B810A1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4DB4DE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3830BB4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34E789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F4A0ABF">
      <w:pPr>
        <w:snapToGrid w:val="0"/>
        <w:spacing w:line="360" w:lineRule="auto"/>
        <w:ind w:left="420" w:leftChars="200" w:firstLine="4200" w:firstLineChars="1750"/>
        <w:rPr>
          <w:rFonts w:ascii="宋体" w:hAnsi="宋体" w:cs="宋体"/>
          <w:color w:val="auto"/>
          <w:kern w:val="0"/>
          <w:sz w:val="24"/>
          <w:highlight w:val="none"/>
          <w:u w:val="single"/>
        </w:rPr>
      </w:pPr>
    </w:p>
    <w:p w14:paraId="1B0FC67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DACF0F8">
      <w:pPr>
        <w:snapToGrid w:val="0"/>
        <w:spacing w:line="360" w:lineRule="auto"/>
        <w:jc w:val="center"/>
        <w:rPr>
          <w:rFonts w:ascii="宋体" w:hAnsi="宋体" w:cs="宋体"/>
          <w:b/>
          <w:color w:val="auto"/>
          <w:kern w:val="0"/>
          <w:sz w:val="32"/>
          <w:szCs w:val="32"/>
          <w:highlight w:val="none"/>
        </w:rPr>
      </w:pPr>
    </w:p>
    <w:p w14:paraId="706DE215">
      <w:pPr>
        <w:snapToGrid w:val="0"/>
        <w:spacing w:line="360" w:lineRule="auto"/>
        <w:rPr>
          <w:rFonts w:ascii="宋体" w:hAnsi="宋体" w:cs="宋体"/>
          <w:color w:val="auto"/>
          <w:sz w:val="24"/>
          <w:highlight w:val="none"/>
        </w:rPr>
      </w:pPr>
    </w:p>
    <w:p w14:paraId="5332BD26">
      <w:pPr>
        <w:jc w:val="center"/>
        <w:rPr>
          <w:rFonts w:ascii="宋体" w:hAnsi="宋体" w:cs="宋体"/>
          <w:b/>
          <w:color w:val="auto"/>
          <w:kern w:val="0"/>
          <w:sz w:val="32"/>
          <w:szCs w:val="32"/>
          <w:highlight w:val="none"/>
        </w:rPr>
      </w:pPr>
    </w:p>
    <w:p w14:paraId="451A6DC8">
      <w:pPr>
        <w:jc w:val="center"/>
        <w:rPr>
          <w:rFonts w:ascii="宋体" w:hAnsi="宋体" w:cs="宋体"/>
          <w:b/>
          <w:color w:val="auto"/>
          <w:kern w:val="0"/>
          <w:sz w:val="32"/>
          <w:szCs w:val="32"/>
          <w:highlight w:val="none"/>
        </w:rPr>
      </w:pPr>
    </w:p>
    <w:p w14:paraId="3A88DA26">
      <w:pPr>
        <w:jc w:val="center"/>
        <w:rPr>
          <w:rFonts w:ascii="宋体" w:hAnsi="宋体" w:cs="宋体"/>
          <w:b/>
          <w:color w:val="auto"/>
          <w:kern w:val="0"/>
          <w:sz w:val="32"/>
          <w:szCs w:val="32"/>
          <w:highlight w:val="none"/>
        </w:rPr>
      </w:pPr>
    </w:p>
    <w:p w14:paraId="47299002">
      <w:pPr>
        <w:jc w:val="center"/>
        <w:rPr>
          <w:rFonts w:ascii="宋体" w:hAnsi="宋体" w:cs="宋体"/>
          <w:b/>
          <w:color w:val="auto"/>
          <w:kern w:val="0"/>
          <w:sz w:val="32"/>
          <w:szCs w:val="32"/>
          <w:highlight w:val="none"/>
        </w:rPr>
      </w:pPr>
    </w:p>
    <w:p w14:paraId="3A3EC64D">
      <w:pPr>
        <w:jc w:val="center"/>
        <w:rPr>
          <w:rFonts w:ascii="宋体" w:hAnsi="宋体" w:cs="宋体"/>
          <w:b/>
          <w:color w:val="auto"/>
          <w:kern w:val="0"/>
          <w:sz w:val="32"/>
          <w:szCs w:val="32"/>
          <w:highlight w:val="none"/>
        </w:rPr>
      </w:pPr>
    </w:p>
    <w:p w14:paraId="0C7C956A">
      <w:pPr>
        <w:jc w:val="center"/>
        <w:rPr>
          <w:rFonts w:ascii="宋体" w:hAnsi="宋体" w:cs="宋体"/>
          <w:b/>
          <w:color w:val="auto"/>
          <w:kern w:val="0"/>
          <w:sz w:val="32"/>
          <w:szCs w:val="32"/>
          <w:highlight w:val="none"/>
        </w:rPr>
      </w:pPr>
    </w:p>
    <w:p w14:paraId="3FC2B6B9">
      <w:pPr>
        <w:jc w:val="center"/>
        <w:rPr>
          <w:rFonts w:ascii="宋体" w:hAnsi="宋体" w:cs="宋体"/>
          <w:b/>
          <w:color w:val="auto"/>
          <w:kern w:val="0"/>
          <w:sz w:val="32"/>
          <w:szCs w:val="32"/>
          <w:highlight w:val="none"/>
        </w:rPr>
      </w:pPr>
    </w:p>
    <w:p w14:paraId="3F9FED29">
      <w:pPr>
        <w:jc w:val="center"/>
        <w:rPr>
          <w:rFonts w:ascii="宋体" w:hAnsi="宋体" w:cs="宋体"/>
          <w:b/>
          <w:color w:val="auto"/>
          <w:kern w:val="0"/>
          <w:sz w:val="32"/>
          <w:szCs w:val="32"/>
          <w:highlight w:val="none"/>
        </w:rPr>
      </w:pPr>
    </w:p>
    <w:p w14:paraId="44BAE805">
      <w:pPr>
        <w:jc w:val="center"/>
        <w:rPr>
          <w:rFonts w:ascii="宋体" w:hAnsi="宋体" w:cs="宋体"/>
          <w:b/>
          <w:color w:val="auto"/>
          <w:kern w:val="0"/>
          <w:sz w:val="32"/>
          <w:szCs w:val="32"/>
          <w:highlight w:val="none"/>
        </w:rPr>
      </w:pPr>
    </w:p>
    <w:p w14:paraId="67B8A1FA">
      <w:pPr>
        <w:jc w:val="center"/>
        <w:rPr>
          <w:rFonts w:ascii="宋体" w:hAnsi="宋体" w:cs="宋体"/>
          <w:b/>
          <w:color w:val="auto"/>
          <w:kern w:val="0"/>
          <w:sz w:val="32"/>
          <w:szCs w:val="32"/>
          <w:highlight w:val="none"/>
        </w:rPr>
      </w:pPr>
    </w:p>
    <w:p w14:paraId="043A81E7">
      <w:pPr>
        <w:jc w:val="center"/>
        <w:rPr>
          <w:rFonts w:ascii="宋体" w:hAnsi="宋体" w:cs="宋体"/>
          <w:b/>
          <w:color w:val="auto"/>
          <w:kern w:val="0"/>
          <w:sz w:val="32"/>
          <w:szCs w:val="32"/>
          <w:highlight w:val="none"/>
        </w:rPr>
      </w:pPr>
    </w:p>
    <w:p w14:paraId="0FF8B50D">
      <w:pPr>
        <w:jc w:val="center"/>
        <w:rPr>
          <w:rFonts w:ascii="宋体" w:hAnsi="宋体" w:cs="宋体"/>
          <w:b/>
          <w:color w:val="auto"/>
          <w:kern w:val="0"/>
          <w:sz w:val="32"/>
          <w:szCs w:val="32"/>
          <w:highlight w:val="none"/>
        </w:rPr>
      </w:pPr>
    </w:p>
    <w:p w14:paraId="3FB7C04A">
      <w:pPr>
        <w:jc w:val="center"/>
        <w:rPr>
          <w:rFonts w:ascii="宋体" w:hAnsi="宋体" w:cs="宋体"/>
          <w:b/>
          <w:color w:val="auto"/>
          <w:kern w:val="0"/>
          <w:sz w:val="32"/>
          <w:szCs w:val="32"/>
          <w:highlight w:val="none"/>
        </w:rPr>
      </w:pPr>
    </w:p>
    <w:p w14:paraId="1763096A">
      <w:pPr>
        <w:jc w:val="center"/>
        <w:rPr>
          <w:rFonts w:ascii="宋体" w:hAnsi="宋体" w:cs="宋体"/>
          <w:b/>
          <w:color w:val="auto"/>
          <w:kern w:val="0"/>
          <w:sz w:val="32"/>
          <w:szCs w:val="32"/>
          <w:highlight w:val="none"/>
        </w:rPr>
      </w:pPr>
    </w:p>
    <w:p w14:paraId="390D94CE">
      <w:pPr>
        <w:jc w:val="center"/>
        <w:rPr>
          <w:rFonts w:ascii="宋体" w:hAnsi="宋体" w:cs="宋体"/>
          <w:b/>
          <w:color w:val="auto"/>
          <w:kern w:val="0"/>
          <w:sz w:val="32"/>
          <w:szCs w:val="32"/>
          <w:highlight w:val="none"/>
        </w:rPr>
      </w:pPr>
    </w:p>
    <w:p w14:paraId="592C8C4E">
      <w:pPr>
        <w:jc w:val="center"/>
        <w:rPr>
          <w:rFonts w:ascii="宋体" w:hAnsi="宋体" w:cs="宋体"/>
          <w:b/>
          <w:color w:val="auto"/>
          <w:kern w:val="0"/>
          <w:sz w:val="32"/>
          <w:szCs w:val="32"/>
          <w:highlight w:val="none"/>
        </w:rPr>
      </w:pPr>
    </w:p>
    <w:p w14:paraId="2D611FB2">
      <w:pPr>
        <w:jc w:val="center"/>
        <w:rPr>
          <w:rFonts w:ascii="宋体" w:hAnsi="宋体" w:cs="宋体"/>
          <w:b/>
          <w:color w:val="auto"/>
          <w:kern w:val="0"/>
          <w:sz w:val="32"/>
          <w:szCs w:val="32"/>
          <w:highlight w:val="none"/>
        </w:rPr>
      </w:pPr>
    </w:p>
    <w:p w14:paraId="7ACA80D8">
      <w:pPr>
        <w:jc w:val="center"/>
        <w:rPr>
          <w:rFonts w:ascii="宋体" w:hAnsi="宋体" w:cs="宋体"/>
          <w:b/>
          <w:color w:val="auto"/>
          <w:kern w:val="0"/>
          <w:sz w:val="32"/>
          <w:szCs w:val="32"/>
          <w:highlight w:val="none"/>
        </w:rPr>
      </w:pPr>
    </w:p>
    <w:p w14:paraId="234452B7">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B1BCBF9">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3E769D0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62CDBA5">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3F94C74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D2B92F3">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35C6F15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C50957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A557F91">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29D1F3D6">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7C026C7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2FD3128A">
      <w:pPr>
        <w:pStyle w:val="20"/>
        <w:spacing w:line="360" w:lineRule="auto"/>
        <w:rPr>
          <w:rFonts w:hAnsi="宋体"/>
          <w:color w:val="auto"/>
          <w:sz w:val="24"/>
          <w:highlight w:val="none"/>
        </w:rPr>
      </w:pPr>
    </w:p>
    <w:p w14:paraId="12D1C71D">
      <w:pPr>
        <w:pStyle w:val="20"/>
        <w:spacing w:line="360" w:lineRule="auto"/>
        <w:rPr>
          <w:rFonts w:hAnsi="宋体" w:cs="宋体"/>
          <w:bCs/>
          <w:color w:val="auto"/>
          <w:sz w:val="24"/>
          <w:highlight w:val="none"/>
        </w:rPr>
      </w:pPr>
      <w:r>
        <w:rPr>
          <w:rFonts w:hint="eastAsia" w:hAnsi="宋体"/>
          <w:color w:val="auto"/>
          <w:sz w:val="24"/>
          <w:highlight w:val="none"/>
        </w:rPr>
        <w:t>委托代理人和法定代表人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1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7F4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162036EB">
            <w:pPr>
              <w:pStyle w:val="2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563572CD">
            <w:pPr>
              <w:pStyle w:val="20"/>
              <w:adjustRightInd w:val="0"/>
              <w:spacing w:line="360" w:lineRule="auto"/>
              <w:rPr>
                <w:rFonts w:hAnsi="宋体" w:cs="宋体"/>
                <w:bCs/>
                <w:color w:val="auto"/>
                <w:sz w:val="24"/>
                <w:highlight w:val="none"/>
              </w:rPr>
            </w:pPr>
          </w:p>
          <w:p w14:paraId="623968E1">
            <w:pPr>
              <w:pStyle w:val="20"/>
              <w:adjustRightInd w:val="0"/>
              <w:spacing w:line="360" w:lineRule="auto"/>
              <w:rPr>
                <w:rFonts w:hAnsi="宋体" w:cs="宋体"/>
                <w:bCs/>
                <w:color w:val="auto"/>
                <w:sz w:val="24"/>
                <w:highlight w:val="none"/>
              </w:rPr>
            </w:pPr>
          </w:p>
          <w:p w14:paraId="1AA79338">
            <w:pPr>
              <w:pStyle w:val="20"/>
              <w:adjustRightInd w:val="0"/>
              <w:spacing w:line="360" w:lineRule="auto"/>
              <w:rPr>
                <w:rFonts w:hAnsi="宋体" w:cs="宋体"/>
                <w:bCs/>
                <w:color w:val="auto"/>
                <w:sz w:val="24"/>
                <w:highlight w:val="none"/>
              </w:rPr>
            </w:pPr>
          </w:p>
          <w:p w14:paraId="46E63EA0">
            <w:pPr>
              <w:pStyle w:val="2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3B415AAB">
            <w:pPr>
              <w:pStyle w:val="20"/>
              <w:adjustRightInd w:val="0"/>
              <w:spacing w:line="360" w:lineRule="auto"/>
              <w:rPr>
                <w:rFonts w:hAnsi="宋体" w:cs="宋体"/>
                <w:bCs/>
                <w:color w:val="auto"/>
                <w:sz w:val="24"/>
                <w:highlight w:val="none"/>
              </w:rPr>
            </w:pPr>
          </w:p>
        </w:tc>
      </w:tr>
    </w:tbl>
    <w:p w14:paraId="10862AE0">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31E55605">
      <w:pPr>
        <w:snapToGrid w:val="0"/>
        <w:spacing w:line="360" w:lineRule="auto"/>
        <w:ind w:right="480"/>
        <w:rPr>
          <w:rFonts w:ascii="宋体" w:hAnsi="宋体" w:cs="宋体"/>
          <w:b/>
          <w:color w:val="auto"/>
          <w:kern w:val="0"/>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14:paraId="676914D4">
      <w:pPr>
        <w:snapToGrid w:val="0"/>
        <w:spacing w:line="360" w:lineRule="auto"/>
        <w:rPr>
          <w:rFonts w:ascii="宋体" w:hAnsi="宋体" w:cs="宋体"/>
          <w:color w:val="auto"/>
          <w:sz w:val="24"/>
          <w:highlight w:val="none"/>
        </w:rPr>
      </w:pPr>
    </w:p>
    <w:p w14:paraId="09E3C43D">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517D606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A2A5C4A">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58F538A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117D15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CF30960">
      <w:pPr>
        <w:jc w:val="center"/>
        <w:rPr>
          <w:rFonts w:ascii="宋体" w:hAnsi="宋体" w:cs="宋体"/>
          <w:b/>
          <w:color w:val="auto"/>
          <w:kern w:val="0"/>
          <w:sz w:val="32"/>
          <w:szCs w:val="32"/>
          <w:highlight w:val="none"/>
        </w:rPr>
      </w:pPr>
    </w:p>
    <w:p w14:paraId="302EAD3B">
      <w:pPr>
        <w:jc w:val="center"/>
        <w:rPr>
          <w:rFonts w:ascii="宋体" w:hAnsi="宋体" w:cs="宋体"/>
          <w:b/>
          <w:color w:val="auto"/>
          <w:kern w:val="0"/>
          <w:sz w:val="32"/>
          <w:szCs w:val="32"/>
          <w:highlight w:val="none"/>
        </w:rPr>
      </w:pPr>
    </w:p>
    <w:p w14:paraId="1546AF47">
      <w:pPr>
        <w:jc w:val="center"/>
        <w:rPr>
          <w:rFonts w:ascii="宋体" w:hAnsi="宋体" w:cs="宋体"/>
          <w:b/>
          <w:color w:val="auto"/>
          <w:kern w:val="0"/>
          <w:sz w:val="32"/>
          <w:szCs w:val="32"/>
          <w:highlight w:val="none"/>
        </w:rPr>
      </w:pPr>
    </w:p>
    <w:p w14:paraId="45040EC1">
      <w:pPr>
        <w:rPr>
          <w:rFonts w:ascii="宋体" w:hAnsi="宋体" w:cs="宋体"/>
          <w:color w:val="auto"/>
          <w:highlight w:val="none"/>
        </w:rPr>
      </w:pPr>
    </w:p>
    <w:p w14:paraId="4900274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201E09C7">
      <w:pPr>
        <w:snapToGrid w:val="0"/>
        <w:spacing w:line="360" w:lineRule="auto"/>
        <w:ind w:firstLine="5040" w:firstLineChars="2100"/>
        <w:rPr>
          <w:rStyle w:val="22"/>
          <w:color w:val="auto"/>
          <w:highlight w:val="none"/>
        </w:rPr>
      </w:pPr>
      <w:r>
        <w:rPr>
          <w:rStyle w:val="22"/>
          <w:rFonts w:hint="eastAsia"/>
          <w:color w:val="auto"/>
          <w:highlight w:val="none"/>
        </w:rPr>
        <w:t>法定代表人（负责人） (签名)：</w:t>
      </w:r>
    </w:p>
    <w:p w14:paraId="1516054C">
      <w:pPr>
        <w:snapToGrid w:val="0"/>
        <w:spacing w:line="360" w:lineRule="auto"/>
        <w:ind w:firstLine="5040" w:firstLineChars="2100"/>
        <w:rPr>
          <w:rFonts w:ascii="宋体" w:hAnsi="宋体" w:cs="宋体"/>
          <w:color w:val="auto"/>
          <w:kern w:val="0"/>
          <w:sz w:val="24"/>
          <w:highlight w:val="none"/>
          <w:lang w:val="zh-CN"/>
        </w:rPr>
      </w:pPr>
      <w:r>
        <w:rPr>
          <w:rStyle w:val="22"/>
          <w:rFonts w:hint="eastAsia"/>
          <w:color w:val="auto"/>
          <w:highlight w:val="none"/>
        </w:rPr>
        <w:t>联合体成</w:t>
      </w:r>
      <w:r>
        <w:rPr>
          <w:rFonts w:hint="eastAsia" w:ascii="宋体" w:hAnsi="宋体" w:cs="宋体"/>
          <w:color w:val="auto"/>
          <w:kern w:val="0"/>
          <w:sz w:val="24"/>
          <w:highlight w:val="none"/>
          <w:lang w:val="zh-CN"/>
        </w:rPr>
        <w:t>员名称(公章)：</w:t>
      </w:r>
    </w:p>
    <w:p w14:paraId="639D9C32">
      <w:pPr>
        <w:pStyle w:val="16"/>
        <w:ind w:firstLine="5040" w:firstLineChars="2100"/>
        <w:rPr>
          <w:color w:val="auto"/>
          <w:highlight w:val="none"/>
        </w:rPr>
      </w:pPr>
      <w:r>
        <w:rPr>
          <w:rFonts w:hint="eastAsia"/>
          <w:color w:val="auto"/>
          <w:highlight w:val="none"/>
        </w:rPr>
        <w:t>法定代表人（负责人） (签名)：</w:t>
      </w:r>
    </w:p>
    <w:p w14:paraId="57E3EC68">
      <w:pPr>
        <w:snapToGrid w:val="0"/>
        <w:spacing w:line="360" w:lineRule="auto"/>
        <w:ind w:firstLine="5040" w:firstLineChars="2100"/>
        <w:rPr>
          <w:rFonts w:ascii="宋体" w:hAnsi="宋体" w:cs="宋体"/>
          <w:color w:val="auto"/>
          <w:kern w:val="0"/>
          <w:sz w:val="24"/>
          <w:highlight w:val="none"/>
          <w:lang w:val="zh-CN"/>
        </w:rPr>
      </w:pPr>
    </w:p>
    <w:p w14:paraId="343EEA67">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3E03D7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D8EF80C">
      <w:pPr>
        <w:pStyle w:val="20"/>
        <w:spacing w:line="360" w:lineRule="auto"/>
        <w:rPr>
          <w:rFonts w:hAnsi="宋体"/>
          <w:color w:val="auto"/>
          <w:sz w:val="24"/>
          <w:highlight w:val="none"/>
        </w:rPr>
      </w:pPr>
    </w:p>
    <w:p w14:paraId="6A637265">
      <w:pPr>
        <w:pStyle w:val="20"/>
        <w:spacing w:line="360" w:lineRule="auto"/>
        <w:rPr>
          <w:rFonts w:hAnsi="宋体" w:cs="宋体"/>
          <w:bCs/>
          <w:color w:val="auto"/>
          <w:sz w:val="24"/>
          <w:highlight w:val="none"/>
        </w:rPr>
      </w:pPr>
      <w:r>
        <w:rPr>
          <w:rFonts w:hint="eastAsia" w:hAnsi="宋体"/>
          <w:color w:val="auto"/>
          <w:sz w:val="24"/>
          <w:highlight w:val="none"/>
        </w:rPr>
        <w:t>委托代理人和联合体牵头单位法定代表人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1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77E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70E947B">
            <w:pPr>
              <w:pStyle w:val="2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391EA581">
            <w:pPr>
              <w:pStyle w:val="20"/>
              <w:adjustRightInd w:val="0"/>
              <w:spacing w:line="360" w:lineRule="auto"/>
              <w:rPr>
                <w:rFonts w:hAnsi="宋体" w:cs="宋体"/>
                <w:bCs/>
                <w:color w:val="auto"/>
                <w:sz w:val="24"/>
                <w:highlight w:val="none"/>
              </w:rPr>
            </w:pPr>
          </w:p>
          <w:p w14:paraId="6DFD6974">
            <w:pPr>
              <w:pStyle w:val="20"/>
              <w:adjustRightInd w:val="0"/>
              <w:spacing w:line="360" w:lineRule="auto"/>
              <w:rPr>
                <w:rFonts w:hAnsi="宋体" w:cs="宋体"/>
                <w:bCs/>
                <w:color w:val="auto"/>
                <w:sz w:val="24"/>
                <w:highlight w:val="none"/>
              </w:rPr>
            </w:pPr>
          </w:p>
          <w:p w14:paraId="10785402">
            <w:pPr>
              <w:pStyle w:val="20"/>
              <w:adjustRightInd w:val="0"/>
              <w:spacing w:line="360" w:lineRule="auto"/>
              <w:rPr>
                <w:rFonts w:hAnsi="宋体" w:cs="宋体"/>
                <w:bCs/>
                <w:color w:val="auto"/>
                <w:sz w:val="24"/>
                <w:highlight w:val="none"/>
              </w:rPr>
            </w:pPr>
          </w:p>
          <w:p w14:paraId="5E24A8E0">
            <w:pPr>
              <w:pStyle w:val="2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6A75936">
            <w:pPr>
              <w:pStyle w:val="20"/>
              <w:adjustRightInd w:val="0"/>
              <w:spacing w:line="360" w:lineRule="auto"/>
              <w:rPr>
                <w:rFonts w:hAnsi="宋体" w:cs="宋体"/>
                <w:bCs/>
                <w:color w:val="auto"/>
                <w:sz w:val="24"/>
                <w:highlight w:val="none"/>
              </w:rPr>
            </w:pPr>
          </w:p>
        </w:tc>
      </w:tr>
    </w:tbl>
    <w:p w14:paraId="15A3380E">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13E46D9C">
      <w:pPr>
        <w:snapToGrid w:val="0"/>
        <w:spacing w:line="360" w:lineRule="auto"/>
        <w:ind w:right="480"/>
        <w:rPr>
          <w:rFonts w:ascii="宋体" w:hAnsi="宋体" w:cs="宋体"/>
          <w:b/>
          <w:color w:val="auto"/>
          <w:kern w:val="0"/>
          <w:sz w:val="32"/>
          <w:szCs w:val="32"/>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14:paraId="58078E8D">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6809BCE4">
      <w:pPr>
        <w:pStyle w:val="20"/>
        <w:spacing w:line="360" w:lineRule="auto"/>
        <w:rPr>
          <w:rFonts w:hAnsi="宋体" w:cs="宋体"/>
          <w:bCs/>
          <w:color w:val="auto"/>
          <w:sz w:val="24"/>
          <w:highlight w:val="none"/>
        </w:rPr>
      </w:pPr>
    </w:p>
    <w:p w14:paraId="1B51510C">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66BC060E">
      <w:pPr>
        <w:snapToGrid w:val="0"/>
        <w:spacing w:line="276" w:lineRule="auto"/>
        <w:ind w:firstLine="960" w:firstLineChars="400"/>
        <w:rPr>
          <w:rFonts w:ascii="宋体" w:hAnsi="宋体"/>
          <w:color w:val="auto"/>
          <w:sz w:val="24"/>
          <w:highlight w:val="none"/>
          <w:u w:val="single"/>
        </w:rPr>
      </w:pPr>
    </w:p>
    <w:p w14:paraId="48A2999E">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708072A0">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440BB352">
      <w:pPr>
        <w:snapToGrid w:val="0"/>
        <w:spacing w:line="276" w:lineRule="auto"/>
        <w:rPr>
          <w:rFonts w:ascii="宋体" w:hAnsi="宋体"/>
          <w:color w:val="auto"/>
          <w:sz w:val="24"/>
          <w:highlight w:val="none"/>
        </w:rPr>
      </w:pPr>
    </w:p>
    <w:p w14:paraId="430A7ED5">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5BBBCB6A">
      <w:pPr>
        <w:snapToGrid w:val="0"/>
        <w:spacing w:line="276" w:lineRule="auto"/>
        <w:rPr>
          <w:rFonts w:ascii="宋体" w:hAnsi="宋体"/>
          <w:color w:val="auto"/>
          <w:sz w:val="24"/>
          <w:highlight w:val="none"/>
        </w:rPr>
      </w:pPr>
    </w:p>
    <w:p w14:paraId="0783782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5A3376D0">
      <w:pPr>
        <w:pStyle w:val="20"/>
        <w:spacing w:line="360" w:lineRule="auto"/>
        <w:rPr>
          <w:rFonts w:hAnsi="宋体" w:cs="宋体"/>
          <w:bCs/>
          <w:color w:val="auto"/>
          <w:sz w:val="24"/>
          <w:highlight w:val="none"/>
        </w:rPr>
      </w:pPr>
      <w:r>
        <w:rPr>
          <w:rFonts w:hint="eastAsia" w:hAnsi="宋体" w:cs="宋体"/>
          <w:color w:val="auto"/>
          <w:kern w:val="0"/>
          <w:sz w:val="24"/>
          <w:highlight w:val="none"/>
          <w:lang w:val="zh-CN"/>
        </w:rPr>
        <w:t xml:space="preserve">                               日期：  年  月  日</w:t>
      </w:r>
    </w:p>
    <w:p w14:paraId="67F9BBF6">
      <w:pPr>
        <w:pStyle w:val="20"/>
        <w:spacing w:line="360" w:lineRule="auto"/>
        <w:rPr>
          <w:rFonts w:hAnsi="宋体" w:cs="宋体"/>
          <w:bCs/>
          <w:color w:val="auto"/>
          <w:sz w:val="24"/>
          <w:highlight w:val="none"/>
        </w:rPr>
      </w:pPr>
    </w:p>
    <w:p w14:paraId="701C9AB4">
      <w:pPr>
        <w:pStyle w:val="20"/>
        <w:spacing w:line="360" w:lineRule="auto"/>
        <w:rPr>
          <w:rFonts w:hAnsi="宋体" w:cs="宋体"/>
          <w:bCs/>
          <w:color w:val="auto"/>
          <w:sz w:val="24"/>
          <w:highlight w:val="none"/>
        </w:rPr>
      </w:pPr>
      <w:r>
        <w:rPr>
          <w:rFonts w:hint="eastAsia" w:hAnsi="宋体"/>
          <w:color w:val="auto"/>
          <w:sz w:val="24"/>
          <w:highlight w:val="none"/>
        </w:rPr>
        <w:t>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1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BA0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241EA21">
            <w:pPr>
              <w:pStyle w:val="2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37B1367">
            <w:pPr>
              <w:pStyle w:val="20"/>
              <w:adjustRightInd w:val="0"/>
              <w:spacing w:line="360" w:lineRule="auto"/>
              <w:rPr>
                <w:rFonts w:hAnsi="宋体" w:cs="宋体"/>
                <w:bCs/>
                <w:color w:val="auto"/>
                <w:sz w:val="24"/>
                <w:highlight w:val="none"/>
              </w:rPr>
            </w:pPr>
          </w:p>
        </w:tc>
      </w:tr>
    </w:tbl>
    <w:p w14:paraId="61AB14AE">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B9C1F0B">
      <w:pPr>
        <w:snapToGrid w:val="0"/>
        <w:spacing w:line="360" w:lineRule="auto"/>
        <w:ind w:right="480"/>
        <w:rPr>
          <w:rFonts w:ascii="宋体" w:hAnsi="宋体" w:cs="宋体"/>
          <w:b/>
          <w:color w:val="auto"/>
          <w:kern w:val="0"/>
          <w:sz w:val="32"/>
          <w:szCs w:val="32"/>
          <w:highlight w:val="none"/>
        </w:rPr>
        <w:sectPr>
          <w:headerReference r:id="rId16" w:type="first"/>
          <w:footerReference r:id="rId18" w:type="first"/>
          <w:headerReference r:id="rId15" w:type="default"/>
          <w:footerReference r:id="rId17" w:type="default"/>
          <w:pgSz w:w="11906" w:h="16838"/>
          <w:pgMar w:top="1276" w:right="1418" w:bottom="1247" w:left="1418" w:header="851" w:footer="992" w:gutter="0"/>
          <w:cols w:space="720" w:num="1"/>
          <w:titlePg/>
          <w:docGrid w:linePitch="312" w:charSpace="0"/>
        </w:sectPr>
      </w:pPr>
    </w:p>
    <w:p w14:paraId="0AC18872">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39A72DC9">
      <w:pPr>
        <w:widowControl/>
        <w:spacing w:line="360" w:lineRule="auto"/>
        <w:ind w:firstLine="120" w:firstLineChars="50"/>
        <w:jc w:val="left"/>
        <w:rPr>
          <w:rFonts w:ascii="宋体" w:hAnsi="宋体" w:cs="宋体"/>
          <w:color w:val="auto"/>
          <w:sz w:val="24"/>
          <w:highlight w:val="none"/>
        </w:rPr>
      </w:pPr>
      <w:bookmarkStart w:id="482"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82"/>
    <w:p w14:paraId="7936A1CA">
      <w:pPr>
        <w:snapToGrid w:val="0"/>
        <w:spacing w:line="360" w:lineRule="auto"/>
        <w:rPr>
          <w:rFonts w:ascii="宋体" w:hAnsi="宋体" w:cs="宋体"/>
          <w:color w:val="auto"/>
          <w:kern w:val="0"/>
          <w:sz w:val="24"/>
          <w:highlight w:val="none"/>
        </w:rPr>
      </w:pPr>
    </w:p>
    <w:p w14:paraId="1D8DEEE9">
      <w:pPr>
        <w:jc w:val="center"/>
        <w:rPr>
          <w:rFonts w:ascii="宋体" w:hAnsi="宋体" w:cs="宋体"/>
          <w:b/>
          <w:color w:val="auto"/>
          <w:kern w:val="0"/>
          <w:sz w:val="32"/>
          <w:szCs w:val="32"/>
          <w:highlight w:val="none"/>
        </w:rPr>
      </w:pPr>
    </w:p>
    <w:p w14:paraId="1C322564">
      <w:pPr>
        <w:pStyle w:val="16"/>
        <w:rPr>
          <w:color w:val="auto"/>
          <w:highlight w:val="none"/>
        </w:rPr>
      </w:pPr>
    </w:p>
    <w:p w14:paraId="390AEE06">
      <w:pPr>
        <w:rPr>
          <w:color w:val="auto"/>
          <w:highlight w:val="none"/>
        </w:rPr>
      </w:pPr>
    </w:p>
    <w:p w14:paraId="326606C5">
      <w:pPr>
        <w:pStyle w:val="16"/>
        <w:rPr>
          <w:color w:val="auto"/>
          <w:highlight w:val="none"/>
        </w:rPr>
      </w:pPr>
    </w:p>
    <w:p w14:paraId="72B6D591">
      <w:pPr>
        <w:jc w:val="center"/>
        <w:rPr>
          <w:rFonts w:ascii="宋体" w:hAnsi="宋体" w:cs="宋体"/>
          <w:b/>
          <w:color w:val="auto"/>
          <w:kern w:val="0"/>
          <w:sz w:val="32"/>
          <w:szCs w:val="32"/>
          <w:highlight w:val="none"/>
        </w:rPr>
      </w:pPr>
    </w:p>
    <w:p w14:paraId="22D739CE">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5D9C654A">
      <w:pPr>
        <w:jc w:val="center"/>
        <w:rPr>
          <w:rFonts w:ascii="宋体" w:hAnsi="宋体" w:cs="宋体"/>
          <w:b/>
          <w:color w:val="auto"/>
          <w:kern w:val="0"/>
          <w:sz w:val="32"/>
          <w:szCs w:val="32"/>
          <w:highlight w:val="none"/>
        </w:rPr>
      </w:pP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31C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836876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63FF572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16FD73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A82317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7EB2A60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13F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4B432C8">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2CC27A04">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0513121D">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14:paraId="2266104E">
            <w:pPr>
              <w:rPr>
                <w:rFonts w:ascii="宋体" w:hAnsi="宋体" w:cs="宋体"/>
                <w:color w:val="auto"/>
                <w:sz w:val="24"/>
                <w:highlight w:val="none"/>
              </w:rPr>
            </w:pPr>
          </w:p>
          <w:p w14:paraId="1C0FCDB4">
            <w:pPr>
              <w:rPr>
                <w:rFonts w:ascii="宋体" w:hAnsi="宋体" w:cs="宋体"/>
                <w:color w:val="auto"/>
                <w:sz w:val="24"/>
                <w:highlight w:val="none"/>
              </w:rPr>
            </w:pPr>
            <w:r>
              <w:rPr>
                <w:rFonts w:hint="eastAsia" w:ascii="宋体" w:hAnsi="宋体" w:cs="宋体"/>
                <w:color w:val="auto"/>
                <w:sz w:val="24"/>
                <w:highlight w:val="none"/>
              </w:rPr>
              <w:t>见投标文件</w:t>
            </w:r>
          </w:p>
          <w:p w14:paraId="25705A26">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7E5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697C616">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45998A58">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4C7A6E74">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14:paraId="66108289">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B93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22B3C86">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3BF97733">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30E2892A">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vAlign w:val="center"/>
          </w:tcPr>
          <w:p w14:paraId="32E6993C">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5E6FC67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E4C2EDA">
      <w:pPr>
        <w:jc w:val="center"/>
        <w:rPr>
          <w:rFonts w:ascii="宋体" w:hAnsi="宋体" w:cs="宋体"/>
          <w:b/>
          <w:color w:val="auto"/>
          <w:kern w:val="0"/>
          <w:sz w:val="32"/>
          <w:szCs w:val="32"/>
          <w:highlight w:val="none"/>
        </w:rPr>
      </w:pPr>
    </w:p>
    <w:p w14:paraId="0A3A2038">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45DB22C">
      <w:pPr>
        <w:jc w:val="center"/>
        <w:rPr>
          <w:rFonts w:ascii="宋体" w:hAnsi="宋体" w:cs="宋体"/>
          <w:b/>
          <w:color w:val="auto"/>
          <w:kern w:val="0"/>
          <w:sz w:val="32"/>
          <w:szCs w:val="32"/>
          <w:highlight w:val="none"/>
        </w:rPr>
      </w:pPr>
    </w:p>
    <w:p w14:paraId="2D3C7C44">
      <w:pPr>
        <w:jc w:val="center"/>
        <w:rPr>
          <w:rFonts w:ascii="宋体" w:hAnsi="宋体" w:cs="宋体"/>
          <w:b/>
          <w:color w:val="auto"/>
          <w:kern w:val="0"/>
          <w:sz w:val="32"/>
          <w:szCs w:val="32"/>
          <w:highlight w:val="none"/>
        </w:rPr>
      </w:pPr>
    </w:p>
    <w:p w14:paraId="6864F467">
      <w:pPr>
        <w:jc w:val="center"/>
        <w:rPr>
          <w:rFonts w:ascii="宋体" w:hAnsi="宋体" w:cs="宋体"/>
          <w:b/>
          <w:color w:val="auto"/>
          <w:kern w:val="0"/>
          <w:sz w:val="32"/>
          <w:szCs w:val="32"/>
          <w:highlight w:val="none"/>
        </w:rPr>
      </w:pPr>
    </w:p>
    <w:p w14:paraId="180A7300">
      <w:pPr>
        <w:jc w:val="center"/>
        <w:rPr>
          <w:rFonts w:ascii="宋体" w:hAnsi="宋体" w:cs="宋体"/>
          <w:b/>
          <w:color w:val="auto"/>
          <w:kern w:val="0"/>
          <w:sz w:val="32"/>
          <w:szCs w:val="32"/>
          <w:highlight w:val="none"/>
        </w:rPr>
      </w:pPr>
    </w:p>
    <w:p w14:paraId="1B530D2E">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30E2589">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E870716">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67AC779F">
      <w:pPr>
        <w:jc w:val="center"/>
        <w:rPr>
          <w:rFonts w:ascii="宋体" w:hAnsi="宋体" w:cs="宋体"/>
          <w:b/>
          <w:color w:val="auto"/>
          <w:kern w:val="0"/>
          <w:sz w:val="32"/>
          <w:szCs w:val="32"/>
          <w:highlight w:val="none"/>
        </w:rPr>
      </w:pPr>
    </w:p>
    <w:p w14:paraId="4F239C7E">
      <w:pPr>
        <w:jc w:val="center"/>
        <w:rPr>
          <w:rFonts w:ascii="宋体" w:hAnsi="宋体" w:cs="宋体"/>
          <w:b/>
          <w:color w:val="auto"/>
          <w:kern w:val="0"/>
          <w:sz w:val="32"/>
          <w:szCs w:val="32"/>
          <w:highlight w:val="none"/>
        </w:rPr>
      </w:pPr>
    </w:p>
    <w:p w14:paraId="2EF36096">
      <w:pPr>
        <w:jc w:val="center"/>
        <w:rPr>
          <w:rFonts w:ascii="宋体" w:hAnsi="宋体" w:cs="宋体"/>
          <w:b/>
          <w:color w:val="auto"/>
          <w:kern w:val="0"/>
          <w:sz w:val="32"/>
          <w:szCs w:val="32"/>
          <w:highlight w:val="none"/>
        </w:rPr>
      </w:pPr>
    </w:p>
    <w:p w14:paraId="31517D53">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1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16AC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35545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9BAA51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ECAC18B">
            <w:pPr>
              <w:spacing w:line="360" w:lineRule="auto"/>
              <w:jc w:val="center"/>
              <w:rPr>
                <w:rFonts w:ascii="宋体" w:hAnsi="宋体" w:cs="宋体"/>
                <w:b/>
                <w:color w:val="auto"/>
                <w:sz w:val="24"/>
                <w:highlight w:val="none"/>
              </w:rPr>
            </w:pPr>
          </w:p>
          <w:p w14:paraId="339789C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7B2A6D4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F29A35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45EBD10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16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DEC39B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2CE5D37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E5DE326">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CBE4B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EA456D4">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6276825">
            <w:pPr>
              <w:spacing w:line="360" w:lineRule="auto"/>
              <w:jc w:val="center"/>
              <w:rPr>
                <w:rFonts w:ascii="宋体" w:hAnsi="宋体" w:cs="宋体"/>
                <w:color w:val="auto"/>
                <w:sz w:val="24"/>
                <w:highlight w:val="none"/>
              </w:rPr>
            </w:pPr>
          </w:p>
        </w:tc>
      </w:tr>
      <w:tr w14:paraId="06BB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54AC09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4FE004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8D51E4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78588C2">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A3A1B43">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8F56133">
            <w:pPr>
              <w:spacing w:line="360" w:lineRule="auto"/>
              <w:jc w:val="center"/>
              <w:rPr>
                <w:rFonts w:ascii="宋体" w:hAnsi="宋体" w:cs="宋体"/>
                <w:color w:val="auto"/>
                <w:sz w:val="24"/>
                <w:highlight w:val="none"/>
              </w:rPr>
            </w:pPr>
          </w:p>
        </w:tc>
      </w:tr>
      <w:tr w14:paraId="0F1E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E9651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16DA5F0D">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2435F67">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F9BF8C">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0EE275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086B351">
            <w:pPr>
              <w:spacing w:line="360" w:lineRule="auto"/>
              <w:jc w:val="center"/>
              <w:rPr>
                <w:rFonts w:ascii="宋体" w:hAnsi="宋体" w:cs="宋体"/>
                <w:color w:val="auto"/>
                <w:sz w:val="24"/>
                <w:highlight w:val="none"/>
              </w:rPr>
            </w:pPr>
          </w:p>
        </w:tc>
      </w:tr>
    </w:tbl>
    <w:p w14:paraId="45157B2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255C5BF">
      <w:pPr>
        <w:jc w:val="center"/>
        <w:rPr>
          <w:rFonts w:ascii="宋体" w:hAnsi="宋体" w:cs="宋体"/>
          <w:b/>
          <w:color w:val="auto"/>
          <w:kern w:val="0"/>
          <w:sz w:val="32"/>
          <w:szCs w:val="32"/>
          <w:highlight w:val="none"/>
        </w:rPr>
      </w:pPr>
    </w:p>
    <w:p w14:paraId="6AE2CD3B">
      <w:pPr>
        <w:jc w:val="center"/>
        <w:rPr>
          <w:rFonts w:ascii="宋体" w:hAnsi="宋体" w:cs="宋体"/>
          <w:b/>
          <w:color w:val="auto"/>
          <w:kern w:val="0"/>
          <w:sz w:val="32"/>
          <w:szCs w:val="32"/>
          <w:highlight w:val="none"/>
        </w:rPr>
      </w:pPr>
    </w:p>
    <w:p w14:paraId="3CF359ED">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1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639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8E8610">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7656F8E7">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37A2E7C2">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6CE908DE">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374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FE965FF">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6A1D70E0">
            <w:pPr>
              <w:jc w:val="center"/>
              <w:rPr>
                <w:rFonts w:ascii="宋体" w:hAnsi="宋体" w:cs="宋体"/>
                <w:b/>
                <w:color w:val="auto"/>
                <w:kern w:val="0"/>
                <w:sz w:val="32"/>
                <w:szCs w:val="32"/>
                <w:highlight w:val="none"/>
              </w:rPr>
            </w:pPr>
          </w:p>
        </w:tc>
        <w:tc>
          <w:tcPr>
            <w:tcW w:w="3546" w:type="dxa"/>
          </w:tcPr>
          <w:p w14:paraId="71F4AE87">
            <w:pPr>
              <w:jc w:val="center"/>
              <w:rPr>
                <w:rFonts w:ascii="宋体" w:hAnsi="宋体" w:cs="宋体"/>
                <w:b/>
                <w:color w:val="auto"/>
                <w:kern w:val="0"/>
                <w:sz w:val="32"/>
                <w:szCs w:val="32"/>
                <w:highlight w:val="none"/>
              </w:rPr>
            </w:pPr>
          </w:p>
        </w:tc>
        <w:tc>
          <w:tcPr>
            <w:tcW w:w="1276" w:type="dxa"/>
          </w:tcPr>
          <w:p w14:paraId="7C88F5B5">
            <w:pPr>
              <w:jc w:val="center"/>
              <w:rPr>
                <w:rFonts w:ascii="宋体" w:hAnsi="宋体" w:cs="宋体"/>
                <w:b/>
                <w:color w:val="auto"/>
                <w:kern w:val="0"/>
                <w:sz w:val="32"/>
                <w:szCs w:val="32"/>
                <w:highlight w:val="none"/>
              </w:rPr>
            </w:pPr>
          </w:p>
        </w:tc>
      </w:tr>
      <w:tr w14:paraId="3E02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CCB8810">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4EA1C7BC">
            <w:pPr>
              <w:jc w:val="center"/>
              <w:rPr>
                <w:rFonts w:ascii="宋体" w:hAnsi="宋体" w:cs="宋体"/>
                <w:b/>
                <w:color w:val="auto"/>
                <w:kern w:val="0"/>
                <w:sz w:val="32"/>
                <w:szCs w:val="32"/>
                <w:highlight w:val="none"/>
              </w:rPr>
            </w:pPr>
          </w:p>
        </w:tc>
        <w:tc>
          <w:tcPr>
            <w:tcW w:w="3546" w:type="dxa"/>
          </w:tcPr>
          <w:p w14:paraId="3FC50CA5">
            <w:pPr>
              <w:jc w:val="center"/>
              <w:rPr>
                <w:rFonts w:ascii="宋体" w:hAnsi="宋体" w:cs="宋体"/>
                <w:b/>
                <w:color w:val="auto"/>
                <w:kern w:val="0"/>
                <w:sz w:val="32"/>
                <w:szCs w:val="32"/>
                <w:highlight w:val="none"/>
              </w:rPr>
            </w:pPr>
          </w:p>
        </w:tc>
        <w:tc>
          <w:tcPr>
            <w:tcW w:w="1276" w:type="dxa"/>
          </w:tcPr>
          <w:p w14:paraId="5470DFEB">
            <w:pPr>
              <w:jc w:val="center"/>
              <w:rPr>
                <w:rFonts w:ascii="宋体" w:hAnsi="宋体" w:cs="宋体"/>
                <w:b/>
                <w:color w:val="auto"/>
                <w:kern w:val="0"/>
                <w:sz w:val="32"/>
                <w:szCs w:val="32"/>
                <w:highlight w:val="none"/>
              </w:rPr>
            </w:pPr>
          </w:p>
        </w:tc>
      </w:tr>
      <w:tr w14:paraId="5183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6056D4D">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672707C7">
            <w:pPr>
              <w:jc w:val="center"/>
              <w:rPr>
                <w:rFonts w:ascii="宋体" w:hAnsi="宋体" w:cs="宋体"/>
                <w:b/>
                <w:color w:val="auto"/>
                <w:kern w:val="0"/>
                <w:sz w:val="32"/>
                <w:szCs w:val="32"/>
                <w:highlight w:val="none"/>
              </w:rPr>
            </w:pPr>
          </w:p>
        </w:tc>
        <w:tc>
          <w:tcPr>
            <w:tcW w:w="3546" w:type="dxa"/>
          </w:tcPr>
          <w:p w14:paraId="1ED15B65">
            <w:pPr>
              <w:jc w:val="center"/>
              <w:rPr>
                <w:rFonts w:ascii="宋体" w:hAnsi="宋体" w:cs="宋体"/>
                <w:b/>
                <w:color w:val="auto"/>
                <w:kern w:val="0"/>
                <w:sz w:val="32"/>
                <w:szCs w:val="32"/>
                <w:highlight w:val="none"/>
              </w:rPr>
            </w:pPr>
          </w:p>
        </w:tc>
        <w:tc>
          <w:tcPr>
            <w:tcW w:w="1276" w:type="dxa"/>
          </w:tcPr>
          <w:p w14:paraId="1DF70C19">
            <w:pPr>
              <w:jc w:val="center"/>
              <w:rPr>
                <w:rFonts w:ascii="宋体" w:hAnsi="宋体" w:cs="宋体"/>
                <w:b/>
                <w:color w:val="auto"/>
                <w:kern w:val="0"/>
                <w:sz w:val="32"/>
                <w:szCs w:val="32"/>
                <w:highlight w:val="none"/>
              </w:rPr>
            </w:pPr>
          </w:p>
        </w:tc>
      </w:tr>
    </w:tbl>
    <w:p w14:paraId="2A99E471">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7B8A404">
      <w:pPr>
        <w:spacing w:line="360" w:lineRule="auto"/>
        <w:ind w:firstLine="3600" w:firstLineChars="1500"/>
        <w:rPr>
          <w:rFonts w:ascii="宋体" w:hAnsi="宋体" w:cs="宋体"/>
          <w:color w:val="auto"/>
          <w:sz w:val="24"/>
          <w:highlight w:val="none"/>
        </w:rPr>
      </w:pPr>
    </w:p>
    <w:p w14:paraId="468A53A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1E2F410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6256AE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F57CBB8">
      <w:pPr>
        <w:jc w:val="center"/>
        <w:rPr>
          <w:rFonts w:ascii="宋体" w:hAnsi="宋体" w:cs="宋体"/>
          <w:b/>
          <w:color w:val="auto"/>
          <w:kern w:val="0"/>
          <w:sz w:val="32"/>
          <w:szCs w:val="32"/>
          <w:highlight w:val="none"/>
        </w:rPr>
      </w:pPr>
    </w:p>
    <w:p w14:paraId="2748D93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9077D49">
      <w:pPr>
        <w:ind w:firstLine="1911" w:firstLineChars="595"/>
        <w:rPr>
          <w:rFonts w:ascii="宋体" w:hAnsi="宋体" w:cs="宋体"/>
          <w:b/>
          <w:bCs/>
          <w:color w:val="auto"/>
          <w:sz w:val="32"/>
          <w:szCs w:val="32"/>
          <w:highlight w:val="none"/>
        </w:rPr>
      </w:pPr>
    </w:p>
    <w:p w14:paraId="3791593E">
      <w:pPr>
        <w:ind w:firstLine="1911" w:firstLineChars="595"/>
        <w:rPr>
          <w:rFonts w:ascii="宋体" w:hAnsi="宋体" w:cs="宋体"/>
          <w:b/>
          <w:bCs/>
          <w:color w:val="auto"/>
          <w:sz w:val="32"/>
          <w:szCs w:val="32"/>
          <w:highlight w:val="none"/>
        </w:rPr>
      </w:pPr>
    </w:p>
    <w:p w14:paraId="57BC0512">
      <w:pPr>
        <w:ind w:firstLine="1911" w:firstLineChars="595"/>
        <w:rPr>
          <w:rFonts w:ascii="宋体" w:hAnsi="宋体" w:cs="宋体"/>
          <w:b/>
          <w:bCs/>
          <w:color w:val="auto"/>
          <w:sz w:val="32"/>
          <w:szCs w:val="32"/>
          <w:highlight w:val="none"/>
        </w:rPr>
      </w:pPr>
    </w:p>
    <w:p w14:paraId="5AB99905">
      <w:pPr>
        <w:ind w:firstLine="1911" w:firstLineChars="595"/>
        <w:rPr>
          <w:rFonts w:ascii="宋体" w:hAnsi="宋体" w:cs="宋体"/>
          <w:b/>
          <w:bCs/>
          <w:color w:val="auto"/>
          <w:sz w:val="32"/>
          <w:szCs w:val="32"/>
          <w:highlight w:val="none"/>
        </w:rPr>
      </w:pPr>
    </w:p>
    <w:p w14:paraId="70A2C5E6">
      <w:pPr>
        <w:widowControl/>
        <w:adjustRightInd/>
        <w:jc w:val="left"/>
        <w:rPr>
          <w:rFonts w:ascii="宋体" w:hAnsi="宋体" w:cs="宋体"/>
          <w:b/>
          <w:bCs/>
          <w:color w:val="auto"/>
          <w:sz w:val="32"/>
          <w:szCs w:val="32"/>
          <w:highlight w:val="none"/>
        </w:rPr>
      </w:pPr>
    </w:p>
    <w:p w14:paraId="4A9192A2">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4E626657">
      <w:pPr>
        <w:snapToGrid w:val="0"/>
        <w:spacing w:line="360" w:lineRule="auto"/>
        <w:rPr>
          <w:rFonts w:ascii="宋体" w:hAnsi="宋体" w:cs="宋体"/>
          <w:color w:val="auto"/>
          <w:sz w:val="24"/>
          <w:highlight w:val="none"/>
        </w:rPr>
      </w:pPr>
    </w:p>
    <w:p w14:paraId="66C185B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6403D5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5712CC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D2CAA7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8C65BB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5E265E6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97C94BF">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4E3D44B">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75349EB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52B2568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6DC024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7D024680">
      <w:pPr>
        <w:autoSpaceDE w:val="0"/>
        <w:autoSpaceDN w:val="0"/>
        <w:spacing w:line="360" w:lineRule="auto"/>
        <w:ind w:left="2"/>
        <w:jc w:val="left"/>
        <w:rPr>
          <w:rFonts w:ascii="宋体" w:hAnsi="宋体" w:cs="宋体"/>
          <w:color w:val="auto"/>
          <w:kern w:val="0"/>
          <w:sz w:val="24"/>
          <w:highlight w:val="none"/>
          <w:lang w:val="zh-CN"/>
        </w:rPr>
      </w:pPr>
    </w:p>
    <w:p w14:paraId="055C5744">
      <w:pPr>
        <w:autoSpaceDE w:val="0"/>
        <w:autoSpaceDN w:val="0"/>
        <w:spacing w:line="360" w:lineRule="auto"/>
        <w:ind w:left="2"/>
        <w:jc w:val="left"/>
        <w:rPr>
          <w:rFonts w:ascii="宋体" w:hAnsi="宋体" w:cs="宋体"/>
          <w:color w:val="auto"/>
          <w:kern w:val="0"/>
          <w:sz w:val="24"/>
          <w:highlight w:val="none"/>
          <w:lang w:val="zh-CN"/>
        </w:rPr>
      </w:pPr>
    </w:p>
    <w:p w14:paraId="67B24628">
      <w:pPr>
        <w:autoSpaceDE w:val="0"/>
        <w:autoSpaceDN w:val="0"/>
        <w:spacing w:line="360" w:lineRule="auto"/>
        <w:ind w:left="2"/>
        <w:jc w:val="left"/>
        <w:rPr>
          <w:rFonts w:ascii="宋体" w:hAnsi="宋体" w:cs="宋体"/>
          <w:color w:val="auto"/>
          <w:kern w:val="0"/>
          <w:sz w:val="24"/>
          <w:highlight w:val="none"/>
          <w:lang w:val="zh-CN"/>
        </w:rPr>
      </w:pPr>
    </w:p>
    <w:p w14:paraId="3719744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17E49DE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E3DDA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F0CF079">
      <w:pPr>
        <w:spacing w:line="360" w:lineRule="auto"/>
        <w:ind w:left="4620" w:leftChars="2200"/>
        <w:rPr>
          <w:rFonts w:ascii="宋体" w:hAnsi="宋体" w:cs="宋体"/>
          <w:color w:val="auto"/>
          <w:sz w:val="24"/>
          <w:highlight w:val="none"/>
        </w:rPr>
      </w:pPr>
    </w:p>
    <w:p w14:paraId="214BF5FF">
      <w:pPr>
        <w:spacing w:line="360" w:lineRule="auto"/>
        <w:jc w:val="center"/>
        <w:rPr>
          <w:rFonts w:ascii="宋体" w:hAnsi="宋体" w:cs="宋体"/>
          <w:b/>
          <w:bCs/>
          <w:color w:val="auto"/>
          <w:sz w:val="24"/>
          <w:highlight w:val="none"/>
        </w:rPr>
      </w:pPr>
    </w:p>
    <w:p w14:paraId="1EE679B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39E1BC2">
      <w:pPr>
        <w:ind w:firstLine="1911" w:firstLineChars="595"/>
        <w:jc w:val="center"/>
        <w:rPr>
          <w:rFonts w:ascii="宋体" w:hAnsi="宋体" w:cs="宋体"/>
          <w:b/>
          <w:bCs/>
          <w:color w:val="auto"/>
          <w:sz w:val="32"/>
          <w:szCs w:val="32"/>
          <w:highlight w:val="none"/>
        </w:rPr>
      </w:pPr>
    </w:p>
    <w:p w14:paraId="2FC9F0E4">
      <w:pPr>
        <w:ind w:firstLine="1911" w:firstLineChars="595"/>
        <w:jc w:val="center"/>
        <w:rPr>
          <w:rFonts w:ascii="宋体" w:hAnsi="宋体" w:cs="宋体"/>
          <w:b/>
          <w:bCs/>
          <w:color w:val="auto"/>
          <w:sz w:val="32"/>
          <w:szCs w:val="32"/>
          <w:highlight w:val="none"/>
        </w:rPr>
      </w:pPr>
    </w:p>
    <w:p w14:paraId="4D897E93">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5292B4F1">
      <w:pPr>
        <w:widowControl/>
        <w:adjustRightInd/>
        <w:ind w:firstLine="640" w:firstLineChars="200"/>
        <w:jc w:val="left"/>
        <w:rPr>
          <w:rFonts w:ascii="宋体" w:hAnsi="宋体" w:cs="宋体"/>
          <w:color w:val="auto"/>
          <w:kern w:val="0"/>
          <w:sz w:val="32"/>
          <w:szCs w:val="21"/>
          <w:highlight w:val="none"/>
        </w:rPr>
      </w:pPr>
    </w:p>
    <w:p w14:paraId="6D6DB1D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D581B0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6D9C77F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63548CB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14:paraId="7685AAD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3DFF2B5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14:paraId="2142D4D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6FE2D3E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39F27C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518651D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55CD644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05F3E7B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000ABB4A">
      <w:pPr>
        <w:widowControl/>
        <w:adjustRightInd/>
        <w:spacing w:line="360" w:lineRule="auto"/>
        <w:ind w:firstLine="480" w:firstLineChars="200"/>
        <w:jc w:val="left"/>
        <w:rPr>
          <w:rFonts w:ascii="宋体" w:hAnsi="宋体" w:cs="宋体"/>
          <w:color w:val="auto"/>
          <w:kern w:val="0"/>
          <w:sz w:val="24"/>
          <w:highlight w:val="none"/>
        </w:rPr>
      </w:pPr>
    </w:p>
    <w:p w14:paraId="0AD50F5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FABDB5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D6AE49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F6AE08D">
      <w:pPr>
        <w:spacing w:line="360" w:lineRule="auto"/>
        <w:jc w:val="center"/>
        <w:rPr>
          <w:rFonts w:ascii="宋体" w:hAnsi="宋体" w:cs="宋体"/>
          <w:b/>
          <w:bCs/>
          <w:color w:val="auto"/>
          <w:sz w:val="24"/>
          <w:highlight w:val="none"/>
        </w:rPr>
      </w:pPr>
    </w:p>
    <w:p w14:paraId="7D4D6AC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B9F2DDA">
      <w:pPr>
        <w:spacing w:line="300" w:lineRule="auto"/>
        <w:rPr>
          <w:rFonts w:cs="仿宋_GB2312" w:asciiTheme="minorEastAsia" w:hAnsiTheme="minorEastAsia" w:eastAsiaTheme="minorEastAsia"/>
          <w:b/>
          <w:bCs/>
          <w:color w:val="auto"/>
          <w:sz w:val="32"/>
          <w:szCs w:val="32"/>
          <w:highlight w:val="none"/>
        </w:rPr>
      </w:pPr>
    </w:p>
    <w:p w14:paraId="3180AFE8">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十、技术解决方案</w:t>
      </w:r>
    </w:p>
    <w:p w14:paraId="0ADFA44D">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6C993872">
      <w:pPr>
        <w:spacing w:line="300" w:lineRule="auto"/>
        <w:jc w:val="center"/>
        <w:rPr>
          <w:rFonts w:cs="仿宋_GB2312" w:asciiTheme="minorEastAsia" w:hAnsiTheme="minorEastAsia" w:eastAsiaTheme="minorEastAsia"/>
          <w:color w:val="auto"/>
          <w:sz w:val="24"/>
          <w:highlight w:val="none"/>
        </w:rPr>
      </w:pPr>
    </w:p>
    <w:p w14:paraId="1201176E">
      <w:pPr>
        <w:autoSpaceDE w:val="0"/>
        <w:autoSpaceDN w:val="0"/>
        <w:spacing w:line="300" w:lineRule="auto"/>
        <w:rPr>
          <w:rFonts w:cs="仿宋_GB2312" w:asciiTheme="minorEastAsia" w:hAnsiTheme="minorEastAsia" w:eastAsiaTheme="minorEastAsia"/>
          <w:color w:val="auto"/>
          <w:kern w:val="0"/>
          <w:sz w:val="24"/>
          <w:highlight w:val="none"/>
        </w:rPr>
      </w:pPr>
    </w:p>
    <w:p w14:paraId="4374AD11">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1226FED7">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45DEF26">
      <w:pPr>
        <w:spacing w:line="300" w:lineRule="auto"/>
        <w:jc w:val="center"/>
        <w:rPr>
          <w:rFonts w:cs="仿宋_GB2312" w:asciiTheme="minorEastAsia" w:hAnsiTheme="minorEastAsia" w:eastAsiaTheme="minorEastAsia"/>
          <w:b/>
          <w:bCs/>
          <w:color w:val="auto"/>
          <w:sz w:val="32"/>
          <w:szCs w:val="32"/>
          <w:highlight w:val="none"/>
        </w:rPr>
      </w:pPr>
    </w:p>
    <w:p w14:paraId="12F0AB21">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十一、组织实施方案</w:t>
      </w:r>
    </w:p>
    <w:p w14:paraId="16C34DAB">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4F40BCB9">
      <w:pPr>
        <w:spacing w:line="300" w:lineRule="auto"/>
        <w:jc w:val="center"/>
        <w:rPr>
          <w:rFonts w:cs="仿宋_GB2312" w:asciiTheme="minorEastAsia" w:hAnsiTheme="minorEastAsia" w:eastAsiaTheme="minorEastAsia"/>
          <w:color w:val="auto"/>
          <w:sz w:val="24"/>
          <w:highlight w:val="none"/>
        </w:rPr>
      </w:pPr>
    </w:p>
    <w:p w14:paraId="1CA43E9A">
      <w:pPr>
        <w:autoSpaceDE w:val="0"/>
        <w:autoSpaceDN w:val="0"/>
        <w:spacing w:line="300" w:lineRule="auto"/>
        <w:rPr>
          <w:rFonts w:cs="仿宋_GB2312" w:asciiTheme="minorEastAsia" w:hAnsiTheme="minorEastAsia" w:eastAsiaTheme="minorEastAsia"/>
          <w:color w:val="auto"/>
          <w:kern w:val="0"/>
          <w:sz w:val="24"/>
          <w:highlight w:val="none"/>
        </w:rPr>
      </w:pPr>
    </w:p>
    <w:p w14:paraId="233AF088">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0F0ABC5E">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6743CD6">
      <w:pPr>
        <w:spacing w:line="300" w:lineRule="auto"/>
        <w:jc w:val="center"/>
        <w:rPr>
          <w:rFonts w:cs="仿宋_GB2312" w:asciiTheme="minorEastAsia" w:hAnsiTheme="minorEastAsia" w:eastAsiaTheme="minorEastAsia"/>
          <w:b/>
          <w:bCs/>
          <w:color w:val="auto"/>
          <w:sz w:val="32"/>
          <w:szCs w:val="32"/>
          <w:highlight w:val="none"/>
        </w:rPr>
      </w:pPr>
    </w:p>
    <w:p w14:paraId="64644713">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十二、售后服务方案</w:t>
      </w:r>
    </w:p>
    <w:p w14:paraId="3C79F365">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4D7AD1C5">
      <w:pPr>
        <w:spacing w:line="300" w:lineRule="auto"/>
        <w:jc w:val="center"/>
        <w:rPr>
          <w:rFonts w:cs="仿宋_GB2312" w:asciiTheme="minorEastAsia" w:hAnsiTheme="minorEastAsia" w:eastAsiaTheme="minorEastAsia"/>
          <w:color w:val="auto"/>
          <w:sz w:val="24"/>
          <w:highlight w:val="none"/>
        </w:rPr>
      </w:pPr>
    </w:p>
    <w:p w14:paraId="5B3C21A4">
      <w:pPr>
        <w:autoSpaceDE w:val="0"/>
        <w:autoSpaceDN w:val="0"/>
        <w:spacing w:line="300" w:lineRule="auto"/>
        <w:rPr>
          <w:rFonts w:cs="仿宋_GB2312" w:asciiTheme="minorEastAsia" w:hAnsiTheme="minorEastAsia" w:eastAsiaTheme="minorEastAsia"/>
          <w:color w:val="auto"/>
          <w:kern w:val="0"/>
          <w:sz w:val="24"/>
          <w:highlight w:val="none"/>
        </w:rPr>
      </w:pPr>
    </w:p>
    <w:p w14:paraId="57245B57">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5459DE1B">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7E20C8B">
      <w:pPr>
        <w:pStyle w:val="2"/>
        <w:ind w:left="0" w:firstLine="0"/>
        <w:rPr>
          <w:color w:val="auto"/>
          <w:highlight w:val="none"/>
          <w:lang w:val="en-US"/>
        </w:rPr>
        <w:sectPr>
          <w:headerReference r:id="rId20" w:type="first"/>
          <w:footerReference r:id="rId22" w:type="first"/>
          <w:headerReference r:id="rId19" w:type="default"/>
          <w:footerReference r:id="rId21" w:type="default"/>
          <w:pgSz w:w="11906" w:h="16838"/>
          <w:pgMar w:top="1276" w:right="1418" w:bottom="1247" w:left="1418" w:header="851" w:footer="992" w:gutter="0"/>
          <w:cols w:space="720" w:num="1"/>
          <w:titlePg/>
          <w:docGrid w:linePitch="312" w:charSpace="0"/>
        </w:sectPr>
      </w:pPr>
    </w:p>
    <w:p w14:paraId="6156DFA2">
      <w:pPr>
        <w:spacing w:line="360" w:lineRule="auto"/>
        <w:jc w:val="center"/>
        <w:rPr>
          <w:rFonts w:ascii="宋体" w:hAnsi="宋体" w:cs="宋体"/>
          <w:b/>
          <w:color w:val="auto"/>
          <w:kern w:val="0"/>
          <w:sz w:val="36"/>
          <w:szCs w:val="36"/>
          <w:highlight w:val="none"/>
        </w:rPr>
      </w:pPr>
    </w:p>
    <w:p w14:paraId="7DCC948C">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544B0B5A">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E9AD71B">
      <w:pPr>
        <w:spacing w:line="360" w:lineRule="auto"/>
        <w:jc w:val="center"/>
        <w:rPr>
          <w:rFonts w:ascii="宋体" w:hAnsi="宋体" w:cs="宋体"/>
          <w:b/>
          <w:color w:val="auto"/>
          <w:kern w:val="0"/>
          <w:sz w:val="36"/>
          <w:szCs w:val="36"/>
          <w:highlight w:val="none"/>
        </w:rPr>
      </w:pPr>
    </w:p>
    <w:p w14:paraId="095A32F5">
      <w:pPr>
        <w:snapToGrid w:val="0"/>
        <w:spacing w:line="360" w:lineRule="auto"/>
        <w:rPr>
          <w:rFonts w:ascii="宋体" w:hAnsi="宋体" w:cs="宋体"/>
          <w:color w:val="auto"/>
          <w:sz w:val="24"/>
          <w:highlight w:val="none"/>
        </w:rPr>
      </w:pPr>
      <w:bookmarkStart w:id="483" w:name="OLE_LINK218"/>
      <w:bookmarkStart w:id="484" w:name="OLE_LINK217"/>
      <w:r>
        <w:rPr>
          <w:rFonts w:hint="eastAsia" w:ascii="宋体" w:hAnsi="宋体" w:cs="宋体"/>
          <w:color w:val="auto"/>
          <w:szCs w:val="21"/>
          <w:highlight w:val="none"/>
        </w:rPr>
        <w:t>▲</w:t>
      </w:r>
      <w:bookmarkEnd w:id="483"/>
      <w:bookmarkEnd w:id="484"/>
      <w:r>
        <w:rPr>
          <w:rFonts w:hint="eastAsia" w:ascii="宋体" w:hAnsi="宋体" w:cs="宋体"/>
          <w:color w:val="auto"/>
          <w:sz w:val="24"/>
          <w:highlight w:val="none"/>
        </w:rPr>
        <w:t>（1）</w:t>
      </w:r>
      <w:bookmarkStart w:id="485" w:name="OLE_LINK220"/>
      <w:bookmarkStart w:id="486" w:name="OLE_LINK219"/>
      <w:r>
        <w:rPr>
          <w:rFonts w:hint="eastAsia" w:ascii="宋体" w:hAnsi="宋体" w:cs="宋体"/>
          <w:color w:val="auto"/>
          <w:sz w:val="24"/>
          <w:highlight w:val="none"/>
        </w:rPr>
        <w:t>开标一览表</w:t>
      </w:r>
      <w:bookmarkEnd w:id="485"/>
      <w:bookmarkEnd w:id="486"/>
      <w:r>
        <w:rPr>
          <w:rFonts w:hint="eastAsia" w:ascii="宋体" w:hAnsi="宋体" w:cs="宋体"/>
          <w:color w:val="auto"/>
          <w:sz w:val="24"/>
          <w:highlight w:val="none"/>
        </w:rPr>
        <w:t>（报价表）………………………………………………………（页码）</w:t>
      </w:r>
    </w:p>
    <w:p w14:paraId="5EC86CF2">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（2）中小企业声明函………………………………………………………………（页码）</w:t>
      </w:r>
    </w:p>
    <w:p w14:paraId="652E5F61">
      <w:pPr>
        <w:snapToGrid w:val="0"/>
        <w:spacing w:line="360" w:lineRule="auto"/>
        <w:ind w:right="480"/>
        <w:jc w:val="center"/>
        <w:rPr>
          <w:rFonts w:ascii="宋体" w:hAnsi="宋体" w:cs="宋体"/>
          <w:b/>
          <w:color w:val="auto"/>
          <w:kern w:val="0"/>
          <w:sz w:val="32"/>
          <w:szCs w:val="32"/>
          <w:highlight w:val="none"/>
        </w:rPr>
      </w:pPr>
    </w:p>
    <w:p w14:paraId="01EA264D">
      <w:pPr>
        <w:snapToGrid w:val="0"/>
        <w:spacing w:line="360" w:lineRule="auto"/>
        <w:ind w:right="480"/>
        <w:jc w:val="center"/>
        <w:rPr>
          <w:rFonts w:ascii="宋体" w:hAnsi="宋体" w:cs="宋体"/>
          <w:b/>
          <w:color w:val="auto"/>
          <w:kern w:val="0"/>
          <w:sz w:val="32"/>
          <w:szCs w:val="32"/>
          <w:highlight w:val="none"/>
        </w:rPr>
      </w:pPr>
    </w:p>
    <w:p w14:paraId="219B437B">
      <w:pPr>
        <w:snapToGrid w:val="0"/>
        <w:spacing w:line="360" w:lineRule="auto"/>
        <w:ind w:right="480"/>
        <w:jc w:val="center"/>
        <w:rPr>
          <w:rFonts w:ascii="宋体" w:hAnsi="宋体" w:cs="宋体"/>
          <w:b/>
          <w:color w:val="auto"/>
          <w:kern w:val="0"/>
          <w:sz w:val="32"/>
          <w:szCs w:val="32"/>
          <w:highlight w:val="none"/>
        </w:rPr>
      </w:pPr>
    </w:p>
    <w:p w14:paraId="2A719FB9">
      <w:pPr>
        <w:snapToGrid w:val="0"/>
        <w:spacing w:line="360" w:lineRule="auto"/>
        <w:ind w:right="480"/>
        <w:jc w:val="center"/>
        <w:rPr>
          <w:rFonts w:ascii="宋体" w:hAnsi="宋体" w:cs="宋体"/>
          <w:b/>
          <w:color w:val="auto"/>
          <w:kern w:val="0"/>
          <w:sz w:val="32"/>
          <w:szCs w:val="32"/>
          <w:highlight w:val="none"/>
        </w:rPr>
      </w:pPr>
    </w:p>
    <w:p w14:paraId="234F6850">
      <w:pPr>
        <w:snapToGrid w:val="0"/>
        <w:spacing w:line="360" w:lineRule="auto"/>
        <w:ind w:right="480"/>
        <w:jc w:val="center"/>
        <w:rPr>
          <w:rFonts w:ascii="宋体" w:hAnsi="宋体" w:cs="宋体"/>
          <w:b/>
          <w:color w:val="auto"/>
          <w:kern w:val="0"/>
          <w:sz w:val="32"/>
          <w:szCs w:val="32"/>
          <w:highlight w:val="none"/>
        </w:rPr>
      </w:pPr>
    </w:p>
    <w:p w14:paraId="4E1A80B0">
      <w:pPr>
        <w:snapToGrid w:val="0"/>
        <w:spacing w:line="360" w:lineRule="auto"/>
        <w:ind w:right="480"/>
        <w:jc w:val="center"/>
        <w:rPr>
          <w:rFonts w:ascii="宋体" w:hAnsi="宋体" w:cs="宋体"/>
          <w:b/>
          <w:color w:val="auto"/>
          <w:kern w:val="0"/>
          <w:sz w:val="32"/>
          <w:szCs w:val="32"/>
          <w:highlight w:val="none"/>
        </w:rPr>
      </w:pPr>
    </w:p>
    <w:p w14:paraId="1836CF7D">
      <w:pPr>
        <w:snapToGrid w:val="0"/>
        <w:spacing w:line="360" w:lineRule="auto"/>
        <w:ind w:right="480"/>
        <w:jc w:val="center"/>
        <w:rPr>
          <w:rFonts w:ascii="宋体" w:hAnsi="宋体" w:cs="宋体"/>
          <w:b/>
          <w:color w:val="auto"/>
          <w:kern w:val="0"/>
          <w:sz w:val="32"/>
          <w:szCs w:val="32"/>
          <w:highlight w:val="none"/>
        </w:rPr>
      </w:pPr>
    </w:p>
    <w:p w14:paraId="55E3802C">
      <w:pPr>
        <w:snapToGrid w:val="0"/>
        <w:spacing w:line="360" w:lineRule="auto"/>
        <w:ind w:right="480"/>
        <w:jc w:val="center"/>
        <w:rPr>
          <w:rFonts w:ascii="宋体" w:hAnsi="宋体" w:cs="宋体"/>
          <w:b/>
          <w:color w:val="auto"/>
          <w:kern w:val="0"/>
          <w:sz w:val="32"/>
          <w:szCs w:val="32"/>
          <w:highlight w:val="none"/>
        </w:rPr>
      </w:pPr>
    </w:p>
    <w:p w14:paraId="2E630CCE">
      <w:pPr>
        <w:snapToGrid w:val="0"/>
        <w:spacing w:line="360" w:lineRule="auto"/>
        <w:ind w:right="480"/>
        <w:jc w:val="center"/>
        <w:rPr>
          <w:rFonts w:ascii="宋体" w:hAnsi="宋体" w:cs="宋体"/>
          <w:b/>
          <w:color w:val="auto"/>
          <w:kern w:val="0"/>
          <w:sz w:val="32"/>
          <w:szCs w:val="32"/>
          <w:highlight w:val="none"/>
        </w:rPr>
      </w:pPr>
    </w:p>
    <w:p w14:paraId="00D37707">
      <w:pPr>
        <w:snapToGrid w:val="0"/>
        <w:spacing w:line="360" w:lineRule="auto"/>
        <w:ind w:right="480"/>
        <w:jc w:val="center"/>
        <w:rPr>
          <w:rFonts w:ascii="宋体" w:hAnsi="宋体" w:cs="宋体"/>
          <w:b/>
          <w:color w:val="auto"/>
          <w:kern w:val="0"/>
          <w:sz w:val="32"/>
          <w:szCs w:val="32"/>
          <w:highlight w:val="none"/>
        </w:rPr>
      </w:pPr>
    </w:p>
    <w:p w14:paraId="70CFC20B">
      <w:pPr>
        <w:snapToGrid w:val="0"/>
        <w:spacing w:line="360" w:lineRule="auto"/>
        <w:ind w:right="480"/>
        <w:jc w:val="center"/>
        <w:rPr>
          <w:rFonts w:ascii="宋体" w:hAnsi="宋体" w:cs="宋体"/>
          <w:b/>
          <w:color w:val="auto"/>
          <w:kern w:val="0"/>
          <w:sz w:val="32"/>
          <w:szCs w:val="32"/>
          <w:highlight w:val="none"/>
        </w:rPr>
      </w:pPr>
    </w:p>
    <w:p w14:paraId="0CBF80FC">
      <w:pPr>
        <w:snapToGrid w:val="0"/>
        <w:spacing w:line="360" w:lineRule="auto"/>
        <w:ind w:right="480"/>
        <w:jc w:val="center"/>
        <w:rPr>
          <w:rFonts w:ascii="宋体" w:hAnsi="宋体" w:cs="宋体"/>
          <w:b/>
          <w:color w:val="auto"/>
          <w:kern w:val="0"/>
          <w:sz w:val="32"/>
          <w:szCs w:val="32"/>
          <w:highlight w:val="none"/>
        </w:rPr>
      </w:pPr>
    </w:p>
    <w:p w14:paraId="46BBAC19">
      <w:pPr>
        <w:snapToGrid w:val="0"/>
        <w:spacing w:line="360" w:lineRule="auto"/>
        <w:ind w:right="480"/>
        <w:jc w:val="center"/>
        <w:rPr>
          <w:rFonts w:ascii="宋体" w:hAnsi="宋体" w:cs="宋体"/>
          <w:b/>
          <w:color w:val="auto"/>
          <w:kern w:val="0"/>
          <w:sz w:val="32"/>
          <w:szCs w:val="32"/>
          <w:highlight w:val="none"/>
        </w:rPr>
      </w:pPr>
    </w:p>
    <w:p w14:paraId="27BD4432">
      <w:pPr>
        <w:snapToGrid w:val="0"/>
        <w:spacing w:line="360" w:lineRule="auto"/>
        <w:ind w:right="480"/>
        <w:jc w:val="center"/>
        <w:rPr>
          <w:rFonts w:ascii="宋体" w:hAnsi="宋体" w:cs="宋体"/>
          <w:b/>
          <w:color w:val="auto"/>
          <w:kern w:val="0"/>
          <w:sz w:val="32"/>
          <w:szCs w:val="32"/>
          <w:highlight w:val="none"/>
        </w:rPr>
      </w:pPr>
    </w:p>
    <w:p w14:paraId="54ACB0A5">
      <w:pPr>
        <w:snapToGrid w:val="0"/>
        <w:spacing w:line="360" w:lineRule="auto"/>
        <w:ind w:right="480"/>
        <w:jc w:val="center"/>
        <w:rPr>
          <w:rFonts w:ascii="宋体" w:hAnsi="宋体" w:cs="宋体"/>
          <w:b/>
          <w:color w:val="auto"/>
          <w:kern w:val="0"/>
          <w:sz w:val="32"/>
          <w:szCs w:val="32"/>
          <w:highlight w:val="none"/>
        </w:rPr>
      </w:pPr>
    </w:p>
    <w:p w14:paraId="4AA100C1">
      <w:pPr>
        <w:pStyle w:val="2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4" w:type="first"/>
          <w:footerReference r:id="rId26" w:type="first"/>
          <w:headerReference r:id="rId23" w:type="default"/>
          <w:footerReference r:id="rId25" w:type="default"/>
          <w:pgSz w:w="11906" w:h="16838"/>
          <w:pgMar w:top="1276" w:right="1418" w:bottom="1247" w:left="1418" w:header="851" w:footer="992" w:gutter="0"/>
          <w:cols w:space="720" w:num="1"/>
          <w:titlePg/>
          <w:docGrid w:linePitch="312" w:charSpace="0"/>
        </w:sectPr>
      </w:pPr>
    </w:p>
    <w:p w14:paraId="0E60B742">
      <w:pPr>
        <w:pStyle w:val="16"/>
        <w:jc w:val="center"/>
        <w:rPr>
          <w:b/>
          <w:color w:val="auto"/>
          <w:sz w:val="32"/>
          <w:szCs w:val="32"/>
          <w:highlight w:val="none"/>
        </w:rPr>
      </w:pPr>
      <w:bookmarkStart w:id="487" w:name="_Toc176185127"/>
      <w:r>
        <w:rPr>
          <w:rFonts w:hint="eastAsia"/>
          <w:b/>
          <w:color w:val="auto"/>
          <w:sz w:val="32"/>
          <w:szCs w:val="32"/>
          <w:highlight w:val="none"/>
        </w:rPr>
        <w:t>一、开标一览表（报价表）</w:t>
      </w:r>
      <w:bookmarkEnd w:id="487"/>
    </w:p>
    <w:p w14:paraId="5F777BB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EC469B3">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3C8EBDC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11"/>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4282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44CD14B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782769C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14:paraId="6423183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14:paraId="1D3E728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0AEB2B7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7EEF3C4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6E17E9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3CE31F4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1977AE12">
            <w:pPr>
              <w:spacing w:line="360" w:lineRule="auto"/>
              <w:jc w:val="center"/>
              <w:rPr>
                <w:rFonts w:ascii="宋体" w:hAnsi="宋体" w:cs="宋体"/>
                <w:b/>
                <w:color w:val="auto"/>
                <w:sz w:val="24"/>
                <w:highlight w:val="none"/>
              </w:rPr>
            </w:pPr>
          </w:p>
          <w:p w14:paraId="6A6C947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1F437787">
            <w:pPr>
              <w:spacing w:line="360" w:lineRule="auto"/>
              <w:jc w:val="center"/>
              <w:rPr>
                <w:rFonts w:ascii="宋体" w:hAnsi="宋体" w:cs="宋体"/>
                <w:b/>
                <w:color w:val="auto"/>
                <w:sz w:val="24"/>
                <w:highlight w:val="none"/>
              </w:rPr>
            </w:pPr>
          </w:p>
        </w:tc>
      </w:tr>
      <w:tr w14:paraId="0EC8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5BF2A8B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628AAF1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785A4730">
            <w:pPr>
              <w:snapToGrid w:val="0"/>
              <w:spacing w:line="360" w:lineRule="auto"/>
              <w:jc w:val="center"/>
              <w:rPr>
                <w:rFonts w:ascii="宋体" w:hAnsi="宋体" w:cs="宋体"/>
                <w:color w:val="auto"/>
                <w:sz w:val="24"/>
                <w:highlight w:val="none"/>
              </w:rPr>
            </w:pPr>
          </w:p>
        </w:tc>
        <w:tc>
          <w:tcPr>
            <w:tcW w:w="3118" w:type="dxa"/>
            <w:vAlign w:val="center"/>
          </w:tcPr>
          <w:p w14:paraId="0943DB17">
            <w:pPr>
              <w:snapToGrid w:val="0"/>
              <w:spacing w:line="360" w:lineRule="auto"/>
              <w:jc w:val="center"/>
              <w:rPr>
                <w:rFonts w:ascii="宋体" w:hAnsi="宋体" w:cs="宋体"/>
                <w:color w:val="auto"/>
                <w:sz w:val="24"/>
                <w:highlight w:val="none"/>
              </w:rPr>
            </w:pPr>
          </w:p>
        </w:tc>
        <w:tc>
          <w:tcPr>
            <w:tcW w:w="993" w:type="dxa"/>
            <w:vAlign w:val="center"/>
          </w:tcPr>
          <w:p w14:paraId="4AC469A8">
            <w:pPr>
              <w:snapToGrid w:val="0"/>
              <w:spacing w:line="360" w:lineRule="auto"/>
              <w:jc w:val="center"/>
              <w:rPr>
                <w:rFonts w:ascii="宋体" w:hAnsi="宋体" w:cs="宋体"/>
                <w:color w:val="auto"/>
                <w:sz w:val="24"/>
                <w:highlight w:val="none"/>
              </w:rPr>
            </w:pPr>
          </w:p>
        </w:tc>
        <w:tc>
          <w:tcPr>
            <w:tcW w:w="1559" w:type="dxa"/>
            <w:vAlign w:val="center"/>
          </w:tcPr>
          <w:p w14:paraId="2CC74EB4">
            <w:pPr>
              <w:spacing w:line="360" w:lineRule="auto"/>
              <w:jc w:val="center"/>
              <w:rPr>
                <w:rFonts w:ascii="宋体" w:hAnsi="宋体" w:cs="宋体"/>
                <w:color w:val="auto"/>
                <w:sz w:val="24"/>
                <w:highlight w:val="none"/>
              </w:rPr>
            </w:pPr>
          </w:p>
        </w:tc>
        <w:tc>
          <w:tcPr>
            <w:tcW w:w="1984" w:type="dxa"/>
            <w:vAlign w:val="center"/>
          </w:tcPr>
          <w:p w14:paraId="3C599AA9">
            <w:pPr>
              <w:spacing w:line="360" w:lineRule="auto"/>
              <w:jc w:val="center"/>
              <w:rPr>
                <w:rFonts w:ascii="宋体" w:hAnsi="宋体" w:cs="宋体"/>
                <w:color w:val="auto"/>
                <w:sz w:val="24"/>
                <w:highlight w:val="none"/>
              </w:rPr>
            </w:pPr>
          </w:p>
        </w:tc>
        <w:tc>
          <w:tcPr>
            <w:tcW w:w="3119" w:type="dxa"/>
            <w:vAlign w:val="center"/>
          </w:tcPr>
          <w:p w14:paraId="562B2FDE">
            <w:pPr>
              <w:spacing w:line="360" w:lineRule="auto"/>
              <w:jc w:val="center"/>
              <w:rPr>
                <w:rFonts w:ascii="宋体" w:hAnsi="宋体" w:cs="宋体"/>
                <w:color w:val="auto"/>
                <w:sz w:val="24"/>
                <w:highlight w:val="none"/>
              </w:rPr>
            </w:pPr>
          </w:p>
        </w:tc>
      </w:tr>
      <w:tr w14:paraId="2221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DE43C7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2092C42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3460A9AC">
            <w:pPr>
              <w:snapToGrid w:val="0"/>
              <w:spacing w:line="360" w:lineRule="auto"/>
              <w:jc w:val="center"/>
              <w:rPr>
                <w:rFonts w:ascii="宋体" w:hAnsi="宋体" w:cs="宋体"/>
                <w:color w:val="auto"/>
                <w:sz w:val="24"/>
                <w:highlight w:val="none"/>
              </w:rPr>
            </w:pPr>
          </w:p>
        </w:tc>
        <w:tc>
          <w:tcPr>
            <w:tcW w:w="3118" w:type="dxa"/>
            <w:vAlign w:val="center"/>
          </w:tcPr>
          <w:p w14:paraId="55075FD3">
            <w:pPr>
              <w:snapToGrid w:val="0"/>
              <w:spacing w:line="360" w:lineRule="auto"/>
              <w:jc w:val="center"/>
              <w:rPr>
                <w:rFonts w:ascii="宋体" w:hAnsi="宋体" w:cs="宋体"/>
                <w:color w:val="auto"/>
                <w:sz w:val="24"/>
                <w:highlight w:val="none"/>
              </w:rPr>
            </w:pPr>
          </w:p>
        </w:tc>
        <w:tc>
          <w:tcPr>
            <w:tcW w:w="993" w:type="dxa"/>
            <w:vAlign w:val="center"/>
          </w:tcPr>
          <w:p w14:paraId="5DDF7BCF">
            <w:pPr>
              <w:snapToGrid w:val="0"/>
              <w:spacing w:line="360" w:lineRule="auto"/>
              <w:jc w:val="center"/>
              <w:rPr>
                <w:rFonts w:ascii="宋体" w:hAnsi="宋体" w:cs="宋体"/>
                <w:color w:val="auto"/>
                <w:sz w:val="24"/>
                <w:highlight w:val="none"/>
              </w:rPr>
            </w:pPr>
          </w:p>
        </w:tc>
        <w:tc>
          <w:tcPr>
            <w:tcW w:w="1559" w:type="dxa"/>
            <w:vAlign w:val="center"/>
          </w:tcPr>
          <w:p w14:paraId="1D42D769">
            <w:pPr>
              <w:spacing w:line="360" w:lineRule="auto"/>
              <w:jc w:val="center"/>
              <w:rPr>
                <w:rFonts w:ascii="宋体" w:hAnsi="宋体" w:cs="宋体"/>
                <w:color w:val="auto"/>
                <w:sz w:val="24"/>
                <w:highlight w:val="none"/>
              </w:rPr>
            </w:pPr>
          </w:p>
        </w:tc>
        <w:tc>
          <w:tcPr>
            <w:tcW w:w="1984" w:type="dxa"/>
            <w:vAlign w:val="center"/>
          </w:tcPr>
          <w:p w14:paraId="4D937545">
            <w:pPr>
              <w:spacing w:line="360" w:lineRule="auto"/>
              <w:jc w:val="center"/>
              <w:rPr>
                <w:rFonts w:ascii="宋体" w:hAnsi="宋体" w:cs="宋体"/>
                <w:color w:val="auto"/>
                <w:sz w:val="24"/>
                <w:highlight w:val="none"/>
              </w:rPr>
            </w:pPr>
          </w:p>
        </w:tc>
        <w:tc>
          <w:tcPr>
            <w:tcW w:w="3119" w:type="dxa"/>
            <w:vAlign w:val="center"/>
          </w:tcPr>
          <w:p w14:paraId="4B871242">
            <w:pPr>
              <w:spacing w:line="360" w:lineRule="auto"/>
              <w:jc w:val="center"/>
              <w:rPr>
                <w:rFonts w:ascii="宋体" w:hAnsi="宋体" w:cs="宋体"/>
                <w:color w:val="auto"/>
                <w:sz w:val="24"/>
                <w:highlight w:val="none"/>
              </w:rPr>
            </w:pPr>
          </w:p>
        </w:tc>
      </w:tr>
      <w:tr w14:paraId="5634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755FB5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1D4667EB">
            <w:pPr>
              <w:snapToGrid w:val="0"/>
              <w:spacing w:line="360" w:lineRule="auto"/>
              <w:jc w:val="center"/>
              <w:rPr>
                <w:rFonts w:ascii="宋体" w:hAnsi="宋体" w:cs="宋体"/>
                <w:color w:val="auto"/>
                <w:sz w:val="24"/>
                <w:highlight w:val="none"/>
              </w:rPr>
            </w:pPr>
          </w:p>
        </w:tc>
        <w:tc>
          <w:tcPr>
            <w:tcW w:w="1843" w:type="dxa"/>
            <w:vAlign w:val="center"/>
          </w:tcPr>
          <w:p w14:paraId="6E3B8A94">
            <w:pPr>
              <w:snapToGrid w:val="0"/>
              <w:spacing w:line="360" w:lineRule="auto"/>
              <w:jc w:val="center"/>
              <w:rPr>
                <w:rFonts w:ascii="宋体" w:hAnsi="宋体" w:cs="宋体"/>
                <w:color w:val="auto"/>
                <w:sz w:val="24"/>
                <w:highlight w:val="none"/>
              </w:rPr>
            </w:pPr>
          </w:p>
        </w:tc>
        <w:tc>
          <w:tcPr>
            <w:tcW w:w="3118" w:type="dxa"/>
            <w:vAlign w:val="center"/>
          </w:tcPr>
          <w:p w14:paraId="076968FE">
            <w:pPr>
              <w:snapToGrid w:val="0"/>
              <w:spacing w:line="360" w:lineRule="auto"/>
              <w:jc w:val="center"/>
              <w:rPr>
                <w:rFonts w:ascii="宋体" w:hAnsi="宋体" w:cs="宋体"/>
                <w:color w:val="auto"/>
                <w:sz w:val="24"/>
                <w:highlight w:val="none"/>
              </w:rPr>
            </w:pPr>
          </w:p>
        </w:tc>
        <w:tc>
          <w:tcPr>
            <w:tcW w:w="993" w:type="dxa"/>
            <w:vAlign w:val="center"/>
          </w:tcPr>
          <w:p w14:paraId="66B528DC">
            <w:pPr>
              <w:snapToGrid w:val="0"/>
              <w:spacing w:line="360" w:lineRule="auto"/>
              <w:jc w:val="center"/>
              <w:rPr>
                <w:rFonts w:ascii="宋体" w:hAnsi="宋体" w:cs="宋体"/>
                <w:color w:val="auto"/>
                <w:sz w:val="24"/>
                <w:highlight w:val="none"/>
              </w:rPr>
            </w:pPr>
          </w:p>
        </w:tc>
        <w:tc>
          <w:tcPr>
            <w:tcW w:w="1559" w:type="dxa"/>
            <w:vAlign w:val="center"/>
          </w:tcPr>
          <w:p w14:paraId="369B3277">
            <w:pPr>
              <w:spacing w:line="360" w:lineRule="auto"/>
              <w:jc w:val="center"/>
              <w:rPr>
                <w:rFonts w:ascii="宋体" w:hAnsi="宋体" w:cs="宋体"/>
                <w:color w:val="auto"/>
                <w:sz w:val="24"/>
                <w:highlight w:val="none"/>
              </w:rPr>
            </w:pPr>
          </w:p>
        </w:tc>
        <w:tc>
          <w:tcPr>
            <w:tcW w:w="1984" w:type="dxa"/>
            <w:vAlign w:val="center"/>
          </w:tcPr>
          <w:p w14:paraId="0A237F97">
            <w:pPr>
              <w:spacing w:line="360" w:lineRule="auto"/>
              <w:jc w:val="center"/>
              <w:rPr>
                <w:rFonts w:ascii="宋体" w:hAnsi="宋体" w:cs="宋体"/>
                <w:color w:val="auto"/>
                <w:sz w:val="24"/>
                <w:highlight w:val="none"/>
              </w:rPr>
            </w:pPr>
          </w:p>
        </w:tc>
        <w:tc>
          <w:tcPr>
            <w:tcW w:w="3119" w:type="dxa"/>
            <w:vAlign w:val="center"/>
          </w:tcPr>
          <w:p w14:paraId="2C02C00A">
            <w:pPr>
              <w:spacing w:line="360" w:lineRule="auto"/>
              <w:jc w:val="center"/>
              <w:rPr>
                <w:rFonts w:ascii="宋体" w:hAnsi="宋体" w:cs="宋体"/>
                <w:color w:val="auto"/>
                <w:sz w:val="24"/>
                <w:highlight w:val="none"/>
              </w:rPr>
            </w:pPr>
          </w:p>
        </w:tc>
      </w:tr>
      <w:tr w14:paraId="04A1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805B2E1">
            <w:pPr>
              <w:spacing w:line="360" w:lineRule="auto"/>
              <w:jc w:val="center"/>
              <w:rPr>
                <w:rFonts w:ascii="宋体" w:hAnsi="宋体" w:cs="宋体"/>
                <w:color w:val="auto"/>
                <w:sz w:val="24"/>
                <w:highlight w:val="none"/>
              </w:rPr>
            </w:pPr>
          </w:p>
        </w:tc>
        <w:tc>
          <w:tcPr>
            <w:tcW w:w="1417" w:type="dxa"/>
            <w:vAlign w:val="center"/>
          </w:tcPr>
          <w:p w14:paraId="6AE34B18">
            <w:pPr>
              <w:snapToGrid w:val="0"/>
              <w:spacing w:line="360" w:lineRule="auto"/>
              <w:jc w:val="center"/>
              <w:rPr>
                <w:rFonts w:ascii="宋体" w:hAnsi="宋体" w:cs="宋体"/>
                <w:color w:val="auto"/>
                <w:sz w:val="24"/>
                <w:highlight w:val="none"/>
              </w:rPr>
            </w:pPr>
          </w:p>
        </w:tc>
        <w:tc>
          <w:tcPr>
            <w:tcW w:w="1843" w:type="dxa"/>
            <w:vAlign w:val="center"/>
          </w:tcPr>
          <w:p w14:paraId="08C56EAE">
            <w:pPr>
              <w:snapToGrid w:val="0"/>
              <w:spacing w:line="360" w:lineRule="auto"/>
              <w:jc w:val="center"/>
              <w:rPr>
                <w:rFonts w:ascii="宋体" w:hAnsi="宋体" w:cs="宋体"/>
                <w:color w:val="auto"/>
                <w:sz w:val="24"/>
                <w:highlight w:val="none"/>
              </w:rPr>
            </w:pPr>
          </w:p>
        </w:tc>
        <w:tc>
          <w:tcPr>
            <w:tcW w:w="3118" w:type="dxa"/>
            <w:vAlign w:val="center"/>
          </w:tcPr>
          <w:p w14:paraId="4F5B3F4B">
            <w:pPr>
              <w:snapToGrid w:val="0"/>
              <w:spacing w:line="360" w:lineRule="auto"/>
              <w:jc w:val="center"/>
              <w:rPr>
                <w:rFonts w:ascii="宋体" w:hAnsi="宋体" w:cs="宋体"/>
                <w:color w:val="auto"/>
                <w:sz w:val="24"/>
                <w:highlight w:val="none"/>
              </w:rPr>
            </w:pPr>
          </w:p>
        </w:tc>
        <w:tc>
          <w:tcPr>
            <w:tcW w:w="993" w:type="dxa"/>
            <w:vAlign w:val="center"/>
          </w:tcPr>
          <w:p w14:paraId="187D2E7F">
            <w:pPr>
              <w:snapToGrid w:val="0"/>
              <w:spacing w:line="360" w:lineRule="auto"/>
              <w:jc w:val="center"/>
              <w:rPr>
                <w:rFonts w:ascii="宋体" w:hAnsi="宋体" w:cs="宋体"/>
                <w:color w:val="auto"/>
                <w:sz w:val="24"/>
                <w:highlight w:val="none"/>
              </w:rPr>
            </w:pPr>
          </w:p>
        </w:tc>
        <w:tc>
          <w:tcPr>
            <w:tcW w:w="1559" w:type="dxa"/>
            <w:vAlign w:val="center"/>
          </w:tcPr>
          <w:p w14:paraId="073317D4">
            <w:pPr>
              <w:spacing w:line="360" w:lineRule="auto"/>
              <w:jc w:val="center"/>
              <w:rPr>
                <w:rFonts w:ascii="宋体" w:hAnsi="宋体" w:cs="宋体"/>
                <w:color w:val="auto"/>
                <w:sz w:val="24"/>
                <w:highlight w:val="none"/>
              </w:rPr>
            </w:pPr>
          </w:p>
        </w:tc>
        <w:tc>
          <w:tcPr>
            <w:tcW w:w="1984" w:type="dxa"/>
            <w:vAlign w:val="center"/>
          </w:tcPr>
          <w:p w14:paraId="0D018C83">
            <w:pPr>
              <w:spacing w:line="360" w:lineRule="auto"/>
              <w:jc w:val="center"/>
              <w:rPr>
                <w:rFonts w:ascii="宋体" w:hAnsi="宋体" w:cs="宋体"/>
                <w:color w:val="auto"/>
                <w:sz w:val="24"/>
                <w:highlight w:val="none"/>
              </w:rPr>
            </w:pPr>
          </w:p>
        </w:tc>
        <w:tc>
          <w:tcPr>
            <w:tcW w:w="3119" w:type="dxa"/>
            <w:vAlign w:val="center"/>
          </w:tcPr>
          <w:p w14:paraId="4FEB8F0D">
            <w:pPr>
              <w:spacing w:line="360" w:lineRule="auto"/>
              <w:jc w:val="center"/>
              <w:rPr>
                <w:rFonts w:ascii="宋体" w:hAnsi="宋体" w:cs="宋体"/>
                <w:color w:val="auto"/>
                <w:sz w:val="24"/>
                <w:highlight w:val="none"/>
              </w:rPr>
            </w:pPr>
          </w:p>
        </w:tc>
      </w:tr>
      <w:tr w14:paraId="2B55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53E9EE3">
            <w:pPr>
              <w:spacing w:line="360" w:lineRule="auto"/>
              <w:jc w:val="center"/>
              <w:rPr>
                <w:rFonts w:ascii="宋体" w:hAnsi="宋体" w:cs="宋体"/>
                <w:color w:val="auto"/>
                <w:sz w:val="24"/>
                <w:highlight w:val="none"/>
              </w:rPr>
            </w:pPr>
          </w:p>
        </w:tc>
        <w:tc>
          <w:tcPr>
            <w:tcW w:w="1417" w:type="dxa"/>
            <w:vAlign w:val="center"/>
          </w:tcPr>
          <w:p w14:paraId="79ED4D33">
            <w:pPr>
              <w:snapToGrid w:val="0"/>
              <w:spacing w:line="360" w:lineRule="auto"/>
              <w:jc w:val="center"/>
              <w:rPr>
                <w:rFonts w:ascii="宋体" w:hAnsi="宋体" w:cs="宋体"/>
                <w:color w:val="auto"/>
                <w:sz w:val="24"/>
                <w:highlight w:val="none"/>
              </w:rPr>
            </w:pPr>
          </w:p>
        </w:tc>
        <w:tc>
          <w:tcPr>
            <w:tcW w:w="1843" w:type="dxa"/>
            <w:vAlign w:val="center"/>
          </w:tcPr>
          <w:p w14:paraId="0E532F84">
            <w:pPr>
              <w:snapToGrid w:val="0"/>
              <w:spacing w:line="360" w:lineRule="auto"/>
              <w:jc w:val="center"/>
              <w:rPr>
                <w:rFonts w:ascii="宋体" w:hAnsi="宋体" w:cs="宋体"/>
                <w:color w:val="auto"/>
                <w:sz w:val="24"/>
                <w:highlight w:val="none"/>
              </w:rPr>
            </w:pPr>
          </w:p>
        </w:tc>
        <w:tc>
          <w:tcPr>
            <w:tcW w:w="3118" w:type="dxa"/>
            <w:vAlign w:val="center"/>
          </w:tcPr>
          <w:p w14:paraId="51634EAA">
            <w:pPr>
              <w:snapToGrid w:val="0"/>
              <w:spacing w:line="360" w:lineRule="auto"/>
              <w:jc w:val="center"/>
              <w:rPr>
                <w:rFonts w:ascii="宋体" w:hAnsi="宋体" w:cs="宋体"/>
                <w:color w:val="auto"/>
                <w:sz w:val="24"/>
                <w:highlight w:val="none"/>
              </w:rPr>
            </w:pPr>
          </w:p>
        </w:tc>
        <w:tc>
          <w:tcPr>
            <w:tcW w:w="993" w:type="dxa"/>
            <w:vAlign w:val="center"/>
          </w:tcPr>
          <w:p w14:paraId="2F98691E">
            <w:pPr>
              <w:snapToGrid w:val="0"/>
              <w:spacing w:line="360" w:lineRule="auto"/>
              <w:jc w:val="center"/>
              <w:rPr>
                <w:rFonts w:ascii="宋体" w:hAnsi="宋体" w:cs="宋体"/>
                <w:color w:val="auto"/>
                <w:sz w:val="24"/>
                <w:highlight w:val="none"/>
              </w:rPr>
            </w:pPr>
          </w:p>
        </w:tc>
        <w:tc>
          <w:tcPr>
            <w:tcW w:w="1559" w:type="dxa"/>
            <w:vAlign w:val="center"/>
          </w:tcPr>
          <w:p w14:paraId="5FC63A7A">
            <w:pPr>
              <w:spacing w:line="360" w:lineRule="auto"/>
              <w:jc w:val="center"/>
              <w:rPr>
                <w:rFonts w:ascii="宋体" w:hAnsi="宋体" w:cs="宋体"/>
                <w:color w:val="auto"/>
                <w:sz w:val="24"/>
                <w:highlight w:val="none"/>
              </w:rPr>
            </w:pPr>
          </w:p>
        </w:tc>
        <w:tc>
          <w:tcPr>
            <w:tcW w:w="1984" w:type="dxa"/>
            <w:vAlign w:val="center"/>
          </w:tcPr>
          <w:p w14:paraId="5D4A41CC">
            <w:pPr>
              <w:spacing w:line="360" w:lineRule="auto"/>
              <w:jc w:val="center"/>
              <w:rPr>
                <w:rFonts w:ascii="宋体" w:hAnsi="宋体" w:cs="宋体"/>
                <w:color w:val="auto"/>
                <w:sz w:val="24"/>
                <w:highlight w:val="none"/>
              </w:rPr>
            </w:pPr>
          </w:p>
        </w:tc>
        <w:tc>
          <w:tcPr>
            <w:tcW w:w="3119" w:type="dxa"/>
            <w:vAlign w:val="center"/>
          </w:tcPr>
          <w:p w14:paraId="61347E70">
            <w:pPr>
              <w:spacing w:line="360" w:lineRule="auto"/>
              <w:jc w:val="center"/>
              <w:rPr>
                <w:rFonts w:ascii="宋体" w:hAnsi="宋体" w:cs="宋体"/>
                <w:color w:val="auto"/>
                <w:sz w:val="24"/>
                <w:highlight w:val="none"/>
              </w:rPr>
            </w:pPr>
          </w:p>
        </w:tc>
      </w:tr>
      <w:tr w14:paraId="61DA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3BB9E82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2467F184">
            <w:pPr>
              <w:spacing w:line="360" w:lineRule="auto"/>
              <w:jc w:val="center"/>
              <w:rPr>
                <w:rFonts w:ascii="宋体" w:hAnsi="宋体" w:cs="宋体"/>
                <w:color w:val="auto"/>
                <w:sz w:val="24"/>
                <w:highlight w:val="none"/>
              </w:rPr>
            </w:pPr>
          </w:p>
        </w:tc>
      </w:tr>
      <w:tr w14:paraId="0C2B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67F42B8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160F2BC2">
            <w:pPr>
              <w:spacing w:line="360" w:lineRule="auto"/>
              <w:jc w:val="center"/>
              <w:rPr>
                <w:rFonts w:ascii="宋体" w:hAnsi="宋体" w:cs="宋体"/>
                <w:color w:val="auto"/>
                <w:sz w:val="24"/>
                <w:highlight w:val="none"/>
              </w:rPr>
            </w:pPr>
          </w:p>
        </w:tc>
      </w:tr>
    </w:tbl>
    <w:p w14:paraId="177EBC81">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6ACF5BC">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w:t>
      </w:r>
      <w:bookmarkStart w:id="488" w:name="OLE_LINK137"/>
      <w:bookmarkStart w:id="489" w:name="OLE_LINK138"/>
      <w:r>
        <w:rPr>
          <w:rFonts w:hint="eastAsia" w:ascii="宋体" w:hAnsi="宋体" w:cs="宋体"/>
          <w:color w:val="auto"/>
          <w:kern w:val="0"/>
          <w:sz w:val="24"/>
          <w:highlight w:val="none"/>
          <w:lang w:val="zh-CN"/>
        </w:rPr>
        <w:t>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w:t>
      </w:r>
      <w:bookmarkEnd w:id="488"/>
      <w:bookmarkEnd w:id="489"/>
      <w:r>
        <w:rPr>
          <w:rFonts w:hint="eastAsia" w:ascii="宋体" w:hAnsi="宋体" w:cs="宋体"/>
          <w:b/>
          <w:color w:val="auto"/>
          <w:sz w:val="24"/>
          <w:highlight w:val="none"/>
        </w:rPr>
        <w:t>效</w:t>
      </w:r>
      <w:r>
        <w:rPr>
          <w:rFonts w:hint="eastAsia" w:ascii="宋体" w:hAnsi="宋体" w:cs="宋体"/>
          <w:color w:val="auto"/>
          <w:kern w:val="0"/>
          <w:sz w:val="24"/>
          <w:highlight w:val="none"/>
          <w:lang w:val="zh-CN"/>
        </w:rPr>
        <w:t>。</w:t>
      </w:r>
    </w:p>
    <w:p w14:paraId="7C0FF606">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55B7D26E">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2173C0E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4、</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A862727">
      <w:pPr>
        <w:pStyle w:val="2"/>
        <w:rPr>
          <w:color w:val="auto"/>
          <w:highlight w:val="none"/>
        </w:rPr>
      </w:pPr>
    </w:p>
    <w:p w14:paraId="6A01D338">
      <w:pPr>
        <w:autoSpaceDE w:val="0"/>
        <w:autoSpaceDN w:val="0"/>
        <w:spacing w:line="360" w:lineRule="auto"/>
        <w:ind w:left="2"/>
        <w:jc w:val="left"/>
        <w:rPr>
          <w:rFonts w:ascii="宋体" w:hAnsi="宋体" w:cs="宋体"/>
          <w:color w:val="auto"/>
          <w:kern w:val="0"/>
          <w:sz w:val="24"/>
          <w:highlight w:val="none"/>
          <w:lang w:val="zh-CN"/>
        </w:rPr>
      </w:pPr>
    </w:p>
    <w:p w14:paraId="7E82FA1B">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14:paraId="4612C7FD">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56140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BDCCB75">
      <w:pPr>
        <w:spacing w:line="360" w:lineRule="auto"/>
        <w:ind w:firstLine="482" w:firstLineChars="200"/>
        <w:rPr>
          <w:rFonts w:ascii="宋体" w:hAnsi="宋体" w:cs="宋体"/>
          <w:b/>
          <w:color w:val="auto"/>
          <w:kern w:val="0"/>
          <w:sz w:val="24"/>
          <w:highlight w:val="none"/>
        </w:rPr>
      </w:pPr>
    </w:p>
    <w:p w14:paraId="5014DB97">
      <w:pPr>
        <w:pStyle w:val="2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14976546">
      <w:pPr>
        <w:pStyle w:val="2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9E77638">
      <w:pPr>
        <w:pStyle w:val="16"/>
        <w:jc w:val="center"/>
        <w:rPr>
          <w:b/>
          <w:color w:val="auto"/>
          <w:sz w:val="32"/>
          <w:szCs w:val="32"/>
          <w:highlight w:val="none"/>
        </w:rPr>
      </w:pPr>
      <w:bookmarkStart w:id="490" w:name="_Toc176185128"/>
      <w:r>
        <w:rPr>
          <w:rFonts w:hint="eastAsia"/>
          <w:b/>
          <w:color w:val="auto"/>
          <w:kern w:val="2"/>
          <w:sz w:val="32"/>
          <w:szCs w:val="32"/>
          <w:highlight w:val="none"/>
        </w:rPr>
        <w:t>二、</w:t>
      </w:r>
      <w:r>
        <w:rPr>
          <w:rFonts w:hint="eastAsia"/>
          <w:b/>
          <w:color w:val="auto"/>
          <w:sz w:val="32"/>
          <w:szCs w:val="32"/>
          <w:highlight w:val="none"/>
        </w:rPr>
        <w:t>中小企业声明函</w:t>
      </w:r>
      <w:bookmarkStart w:id="491" w:name="_Hlk101259491"/>
      <w:r>
        <w:rPr>
          <w:rFonts w:hint="eastAsia"/>
          <w:b/>
          <w:color w:val="auto"/>
          <w:sz w:val="32"/>
          <w:szCs w:val="32"/>
          <w:highlight w:val="none"/>
        </w:rPr>
        <w:t>（如果有）</w:t>
      </w:r>
      <w:bookmarkEnd w:id="490"/>
      <w:bookmarkEnd w:id="491"/>
    </w:p>
    <w:p w14:paraId="126209BD">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4A151639">
      <w:pPr>
        <w:pStyle w:val="2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3213DCBC">
      <w:pPr>
        <w:spacing w:line="360" w:lineRule="auto"/>
        <w:ind w:right="420" w:firstLine="3614" w:firstLineChars="1000"/>
        <w:rPr>
          <w:rFonts w:ascii="宋体" w:hAnsi="宋体" w:cs="宋体"/>
          <w:b/>
          <w:color w:val="auto"/>
          <w:kern w:val="0"/>
          <w:sz w:val="36"/>
          <w:szCs w:val="36"/>
          <w:highlight w:val="none"/>
        </w:rPr>
      </w:pPr>
    </w:p>
    <w:p w14:paraId="5E60A077">
      <w:pPr>
        <w:spacing w:line="360" w:lineRule="auto"/>
        <w:ind w:right="420" w:firstLine="3614" w:firstLineChars="1000"/>
        <w:rPr>
          <w:rFonts w:ascii="宋体" w:hAnsi="宋体" w:cs="宋体"/>
          <w:b/>
          <w:color w:val="auto"/>
          <w:kern w:val="0"/>
          <w:sz w:val="36"/>
          <w:szCs w:val="36"/>
          <w:highlight w:val="none"/>
        </w:rPr>
      </w:pPr>
    </w:p>
    <w:p w14:paraId="16AC0BA8">
      <w:pPr>
        <w:spacing w:line="360" w:lineRule="auto"/>
        <w:ind w:right="420" w:firstLine="3614" w:firstLineChars="1000"/>
        <w:rPr>
          <w:rFonts w:ascii="宋体" w:hAnsi="宋体" w:cs="宋体"/>
          <w:b/>
          <w:color w:val="auto"/>
          <w:kern w:val="0"/>
          <w:sz w:val="36"/>
          <w:szCs w:val="36"/>
          <w:highlight w:val="none"/>
        </w:rPr>
      </w:pPr>
    </w:p>
    <w:p w14:paraId="48110B3B">
      <w:pPr>
        <w:spacing w:line="360" w:lineRule="auto"/>
        <w:ind w:right="420" w:firstLine="3614" w:firstLineChars="1000"/>
        <w:rPr>
          <w:rFonts w:ascii="宋体" w:hAnsi="宋体" w:cs="宋体"/>
          <w:b/>
          <w:color w:val="auto"/>
          <w:kern w:val="0"/>
          <w:sz w:val="36"/>
          <w:szCs w:val="36"/>
          <w:highlight w:val="none"/>
        </w:rPr>
      </w:pPr>
    </w:p>
    <w:p w14:paraId="0B9CA093">
      <w:pPr>
        <w:spacing w:line="360" w:lineRule="auto"/>
        <w:ind w:right="420" w:firstLine="3614" w:firstLineChars="1000"/>
        <w:rPr>
          <w:rFonts w:ascii="宋体" w:hAnsi="宋体" w:cs="宋体"/>
          <w:b/>
          <w:color w:val="auto"/>
          <w:kern w:val="0"/>
          <w:sz w:val="36"/>
          <w:szCs w:val="36"/>
          <w:highlight w:val="none"/>
        </w:rPr>
      </w:pPr>
    </w:p>
    <w:p w14:paraId="3D8C24DA">
      <w:pPr>
        <w:spacing w:line="360" w:lineRule="auto"/>
        <w:ind w:right="420" w:firstLine="3614" w:firstLineChars="1000"/>
        <w:rPr>
          <w:rFonts w:ascii="宋体" w:hAnsi="宋体" w:cs="宋体"/>
          <w:b/>
          <w:color w:val="auto"/>
          <w:kern w:val="0"/>
          <w:sz w:val="36"/>
          <w:szCs w:val="36"/>
          <w:highlight w:val="none"/>
        </w:rPr>
      </w:pPr>
    </w:p>
    <w:p w14:paraId="73295B29">
      <w:pPr>
        <w:spacing w:line="360" w:lineRule="auto"/>
        <w:ind w:right="420" w:firstLine="3614" w:firstLineChars="1000"/>
        <w:rPr>
          <w:rFonts w:ascii="宋体" w:hAnsi="宋体" w:cs="宋体"/>
          <w:b/>
          <w:color w:val="auto"/>
          <w:kern w:val="0"/>
          <w:sz w:val="36"/>
          <w:szCs w:val="36"/>
          <w:highlight w:val="none"/>
        </w:rPr>
      </w:pPr>
    </w:p>
    <w:p w14:paraId="3B8DA265">
      <w:pPr>
        <w:spacing w:line="360" w:lineRule="auto"/>
        <w:ind w:right="420" w:firstLine="3614" w:firstLineChars="1000"/>
        <w:rPr>
          <w:rFonts w:ascii="宋体" w:hAnsi="宋体" w:cs="宋体"/>
          <w:b/>
          <w:color w:val="auto"/>
          <w:kern w:val="0"/>
          <w:sz w:val="36"/>
          <w:szCs w:val="36"/>
          <w:highlight w:val="none"/>
        </w:rPr>
      </w:pPr>
    </w:p>
    <w:p w14:paraId="1A3466C8">
      <w:pPr>
        <w:spacing w:line="360" w:lineRule="auto"/>
        <w:ind w:right="420" w:firstLine="3614" w:firstLineChars="1000"/>
        <w:rPr>
          <w:rFonts w:ascii="宋体" w:hAnsi="宋体" w:cs="宋体"/>
          <w:b/>
          <w:color w:val="auto"/>
          <w:kern w:val="0"/>
          <w:sz w:val="36"/>
          <w:szCs w:val="36"/>
          <w:highlight w:val="none"/>
        </w:rPr>
      </w:pPr>
    </w:p>
    <w:p w14:paraId="1CEA1F5D">
      <w:pPr>
        <w:spacing w:line="360" w:lineRule="auto"/>
        <w:ind w:right="420" w:firstLine="3614" w:firstLineChars="1000"/>
        <w:rPr>
          <w:rFonts w:ascii="宋体" w:hAnsi="宋体" w:cs="宋体"/>
          <w:b/>
          <w:color w:val="auto"/>
          <w:kern w:val="0"/>
          <w:sz w:val="36"/>
          <w:szCs w:val="36"/>
          <w:highlight w:val="none"/>
        </w:rPr>
      </w:pPr>
    </w:p>
    <w:p w14:paraId="4DAA3C22">
      <w:pPr>
        <w:spacing w:line="360" w:lineRule="auto"/>
        <w:ind w:right="420" w:firstLine="3614" w:firstLineChars="1000"/>
        <w:rPr>
          <w:rFonts w:ascii="宋体" w:hAnsi="宋体" w:cs="宋体"/>
          <w:b/>
          <w:color w:val="auto"/>
          <w:kern w:val="0"/>
          <w:sz w:val="36"/>
          <w:szCs w:val="36"/>
          <w:highlight w:val="none"/>
        </w:rPr>
      </w:pPr>
    </w:p>
    <w:p w14:paraId="62AB3C66">
      <w:pPr>
        <w:spacing w:line="360" w:lineRule="auto"/>
        <w:ind w:right="420" w:firstLine="3614" w:firstLineChars="1000"/>
        <w:rPr>
          <w:rFonts w:ascii="宋体" w:hAnsi="宋体" w:cs="宋体"/>
          <w:b/>
          <w:color w:val="auto"/>
          <w:kern w:val="0"/>
          <w:sz w:val="36"/>
          <w:szCs w:val="36"/>
          <w:highlight w:val="none"/>
        </w:rPr>
      </w:pPr>
    </w:p>
    <w:p w14:paraId="749D88E5">
      <w:pPr>
        <w:spacing w:line="360" w:lineRule="auto"/>
        <w:ind w:right="420" w:firstLine="3614" w:firstLineChars="1000"/>
        <w:rPr>
          <w:rFonts w:ascii="宋体" w:hAnsi="宋体" w:cs="宋体"/>
          <w:b/>
          <w:color w:val="auto"/>
          <w:kern w:val="0"/>
          <w:sz w:val="36"/>
          <w:szCs w:val="36"/>
          <w:highlight w:val="none"/>
        </w:rPr>
      </w:pPr>
    </w:p>
    <w:p w14:paraId="6F6207B5">
      <w:pPr>
        <w:spacing w:line="360" w:lineRule="auto"/>
        <w:ind w:right="420" w:firstLine="3614" w:firstLineChars="1000"/>
        <w:rPr>
          <w:rFonts w:ascii="宋体" w:hAnsi="宋体" w:cs="宋体"/>
          <w:b/>
          <w:color w:val="auto"/>
          <w:kern w:val="0"/>
          <w:sz w:val="36"/>
          <w:szCs w:val="36"/>
          <w:highlight w:val="none"/>
        </w:rPr>
      </w:pPr>
    </w:p>
    <w:p w14:paraId="46667410">
      <w:pPr>
        <w:spacing w:line="360" w:lineRule="auto"/>
        <w:ind w:right="420" w:firstLine="3614" w:firstLineChars="1000"/>
        <w:rPr>
          <w:rFonts w:ascii="宋体" w:hAnsi="宋体" w:cs="宋体"/>
          <w:b/>
          <w:color w:val="auto"/>
          <w:kern w:val="0"/>
          <w:sz w:val="36"/>
          <w:szCs w:val="36"/>
          <w:highlight w:val="none"/>
        </w:rPr>
      </w:pPr>
    </w:p>
    <w:p w14:paraId="2C0977D1">
      <w:pPr>
        <w:spacing w:line="360" w:lineRule="auto"/>
        <w:ind w:right="420" w:firstLine="3614" w:firstLineChars="1000"/>
        <w:rPr>
          <w:rFonts w:ascii="宋体" w:hAnsi="宋体" w:cs="宋体"/>
          <w:b/>
          <w:color w:val="auto"/>
          <w:kern w:val="0"/>
          <w:sz w:val="36"/>
          <w:szCs w:val="36"/>
          <w:highlight w:val="none"/>
        </w:rPr>
      </w:pPr>
    </w:p>
    <w:p w14:paraId="43F168BD">
      <w:pPr>
        <w:pStyle w:val="16"/>
        <w:jc w:val="center"/>
        <w:rPr>
          <w:b/>
          <w:color w:val="auto"/>
          <w:sz w:val="36"/>
          <w:szCs w:val="36"/>
          <w:highlight w:val="none"/>
        </w:rPr>
      </w:pPr>
      <w:bookmarkStart w:id="492" w:name="_Toc465665161"/>
      <w:r>
        <w:rPr>
          <w:rFonts w:hint="eastAsia"/>
          <w:b/>
          <w:color w:val="auto"/>
          <w:sz w:val="36"/>
          <w:szCs w:val="36"/>
          <w:highlight w:val="none"/>
        </w:rPr>
        <w:t>附件</w:t>
      </w:r>
      <w:bookmarkEnd w:id="492"/>
    </w:p>
    <w:p w14:paraId="10657137">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1CA1CA08">
      <w:pPr>
        <w:spacing w:line="360" w:lineRule="auto"/>
        <w:jc w:val="center"/>
        <w:rPr>
          <w:rFonts w:ascii="宋体" w:hAnsi="宋体" w:cs="宋体"/>
          <w:b/>
          <w:color w:val="auto"/>
          <w:spacing w:val="6"/>
          <w:sz w:val="32"/>
          <w:szCs w:val="32"/>
          <w:highlight w:val="none"/>
        </w:rPr>
      </w:pPr>
      <w:bookmarkStart w:id="493" w:name="OLE_LINK14"/>
      <w:bookmarkStart w:id="494" w:name="OLE_LINK13"/>
      <w:r>
        <w:rPr>
          <w:rFonts w:hint="eastAsia" w:ascii="宋体" w:hAnsi="宋体" w:cs="宋体"/>
          <w:b/>
          <w:color w:val="auto"/>
          <w:spacing w:val="6"/>
          <w:sz w:val="32"/>
          <w:szCs w:val="32"/>
          <w:highlight w:val="none"/>
        </w:rPr>
        <w:t>残疾人福利性单位声明函</w:t>
      </w:r>
    </w:p>
    <w:bookmarkEnd w:id="493"/>
    <w:bookmarkEnd w:id="494"/>
    <w:p w14:paraId="4E2364DC">
      <w:pPr>
        <w:spacing w:line="360" w:lineRule="auto"/>
        <w:rPr>
          <w:rFonts w:ascii="宋体" w:hAnsi="宋体" w:cs="宋体"/>
          <w:b/>
          <w:color w:val="auto"/>
          <w:spacing w:val="6"/>
          <w:sz w:val="30"/>
          <w:szCs w:val="30"/>
          <w:highlight w:val="none"/>
        </w:rPr>
      </w:pPr>
    </w:p>
    <w:p w14:paraId="13827C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06D911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5FAA168">
      <w:pPr>
        <w:spacing w:line="360" w:lineRule="auto"/>
        <w:ind w:firstLine="480" w:firstLineChars="200"/>
        <w:rPr>
          <w:rFonts w:ascii="宋体" w:hAnsi="宋体" w:cs="宋体"/>
          <w:color w:val="auto"/>
          <w:sz w:val="24"/>
          <w:highlight w:val="none"/>
        </w:rPr>
      </w:pPr>
    </w:p>
    <w:p w14:paraId="5DCAE0FA">
      <w:pPr>
        <w:spacing w:line="360" w:lineRule="auto"/>
        <w:ind w:firstLine="480" w:firstLineChars="200"/>
        <w:rPr>
          <w:rFonts w:ascii="宋体" w:hAnsi="宋体" w:cs="宋体"/>
          <w:color w:val="auto"/>
          <w:sz w:val="24"/>
          <w:highlight w:val="none"/>
        </w:rPr>
      </w:pPr>
    </w:p>
    <w:p w14:paraId="14827D81">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00D89F5C">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74DB6A3">
      <w:pPr>
        <w:spacing w:line="360" w:lineRule="auto"/>
        <w:ind w:firstLine="480" w:firstLineChars="200"/>
        <w:rPr>
          <w:rFonts w:ascii="宋体" w:hAnsi="宋体" w:cs="宋体"/>
          <w:color w:val="auto"/>
          <w:sz w:val="24"/>
          <w:highlight w:val="none"/>
        </w:rPr>
      </w:pPr>
    </w:p>
    <w:p w14:paraId="0C9A0749">
      <w:pPr>
        <w:spacing w:line="360" w:lineRule="auto"/>
        <w:ind w:firstLine="420" w:firstLineChars="200"/>
        <w:rPr>
          <w:rFonts w:ascii="宋体" w:hAnsi="宋体" w:cs="宋体"/>
          <w:color w:val="auto"/>
          <w:highlight w:val="none"/>
        </w:rPr>
      </w:pPr>
    </w:p>
    <w:p w14:paraId="3BA941DA">
      <w:pPr>
        <w:spacing w:line="360" w:lineRule="auto"/>
        <w:ind w:firstLine="420" w:firstLineChars="200"/>
        <w:rPr>
          <w:rFonts w:ascii="宋体" w:hAnsi="宋体" w:cs="宋体"/>
          <w:color w:val="auto"/>
          <w:highlight w:val="none"/>
        </w:rPr>
      </w:pPr>
    </w:p>
    <w:p w14:paraId="41E4045B">
      <w:pPr>
        <w:spacing w:line="360" w:lineRule="auto"/>
        <w:ind w:firstLine="420" w:firstLineChars="200"/>
        <w:rPr>
          <w:rFonts w:ascii="宋体" w:hAnsi="宋体" w:cs="宋体"/>
          <w:color w:val="auto"/>
          <w:highlight w:val="none"/>
        </w:rPr>
      </w:pPr>
    </w:p>
    <w:p w14:paraId="72A62808">
      <w:pPr>
        <w:spacing w:line="360" w:lineRule="auto"/>
        <w:ind w:firstLine="420" w:firstLineChars="200"/>
        <w:rPr>
          <w:rFonts w:ascii="宋体" w:hAnsi="宋体" w:cs="宋体"/>
          <w:color w:val="auto"/>
          <w:highlight w:val="none"/>
        </w:rPr>
      </w:pPr>
    </w:p>
    <w:p w14:paraId="37230206">
      <w:pPr>
        <w:spacing w:line="360" w:lineRule="auto"/>
        <w:rPr>
          <w:rFonts w:ascii="宋体" w:hAnsi="宋体" w:cs="宋体"/>
          <w:b/>
          <w:color w:val="auto"/>
          <w:sz w:val="24"/>
          <w:highlight w:val="none"/>
        </w:rPr>
      </w:pPr>
    </w:p>
    <w:p w14:paraId="7CC17284">
      <w:pPr>
        <w:spacing w:line="360" w:lineRule="auto"/>
        <w:rPr>
          <w:rFonts w:ascii="宋体" w:hAnsi="宋体" w:cs="宋体"/>
          <w:b/>
          <w:color w:val="auto"/>
          <w:sz w:val="24"/>
          <w:highlight w:val="none"/>
        </w:rPr>
      </w:pPr>
    </w:p>
    <w:p w14:paraId="7409C19D">
      <w:pPr>
        <w:spacing w:line="360" w:lineRule="auto"/>
        <w:rPr>
          <w:rFonts w:ascii="宋体" w:hAnsi="宋体" w:cs="宋体"/>
          <w:b/>
          <w:color w:val="auto"/>
          <w:sz w:val="24"/>
          <w:highlight w:val="none"/>
        </w:rPr>
      </w:pPr>
    </w:p>
    <w:p w14:paraId="20EEFC7D">
      <w:pPr>
        <w:spacing w:line="360" w:lineRule="auto"/>
        <w:rPr>
          <w:rFonts w:ascii="宋体" w:hAnsi="宋体" w:cs="宋体"/>
          <w:b/>
          <w:color w:val="auto"/>
          <w:sz w:val="24"/>
          <w:highlight w:val="none"/>
        </w:rPr>
      </w:pPr>
    </w:p>
    <w:p w14:paraId="5AB8CAD1">
      <w:pPr>
        <w:spacing w:line="360" w:lineRule="auto"/>
        <w:rPr>
          <w:rFonts w:ascii="宋体" w:hAnsi="宋体" w:cs="宋体"/>
          <w:b/>
          <w:color w:val="auto"/>
          <w:sz w:val="24"/>
          <w:highlight w:val="none"/>
        </w:rPr>
      </w:pPr>
    </w:p>
    <w:p w14:paraId="225E0348">
      <w:pPr>
        <w:spacing w:line="360" w:lineRule="auto"/>
        <w:rPr>
          <w:rFonts w:ascii="宋体" w:hAnsi="宋体" w:cs="宋体"/>
          <w:b/>
          <w:color w:val="auto"/>
          <w:sz w:val="24"/>
          <w:highlight w:val="none"/>
        </w:rPr>
      </w:pPr>
    </w:p>
    <w:p w14:paraId="5A74F407">
      <w:pPr>
        <w:spacing w:line="360" w:lineRule="auto"/>
        <w:rPr>
          <w:rFonts w:ascii="宋体" w:hAnsi="宋体" w:cs="宋体"/>
          <w:b/>
          <w:color w:val="auto"/>
          <w:sz w:val="24"/>
          <w:highlight w:val="none"/>
        </w:rPr>
      </w:pPr>
    </w:p>
    <w:p w14:paraId="4CA4A55F">
      <w:pPr>
        <w:spacing w:line="360" w:lineRule="auto"/>
        <w:rPr>
          <w:rFonts w:ascii="宋体" w:hAnsi="宋体" w:cs="宋体"/>
          <w:b/>
          <w:color w:val="auto"/>
          <w:sz w:val="24"/>
          <w:highlight w:val="none"/>
        </w:rPr>
      </w:pPr>
    </w:p>
    <w:p w14:paraId="2CAD6A1E">
      <w:pPr>
        <w:spacing w:line="360" w:lineRule="auto"/>
        <w:rPr>
          <w:rFonts w:ascii="宋体" w:hAnsi="宋体" w:cs="宋体"/>
          <w:b/>
          <w:color w:val="auto"/>
          <w:sz w:val="24"/>
          <w:highlight w:val="none"/>
        </w:rPr>
      </w:pPr>
    </w:p>
    <w:p w14:paraId="143CE66A">
      <w:pPr>
        <w:spacing w:line="360" w:lineRule="auto"/>
        <w:jc w:val="left"/>
        <w:rPr>
          <w:rFonts w:ascii="宋体" w:hAnsi="宋体" w:cs="宋体"/>
          <w:b/>
          <w:color w:val="auto"/>
          <w:spacing w:val="6"/>
          <w:sz w:val="32"/>
          <w:szCs w:val="32"/>
          <w:highlight w:val="none"/>
        </w:rPr>
      </w:pPr>
    </w:p>
    <w:p w14:paraId="6F0E8292">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9C5F55E">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D95E530">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1D206A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6C535A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816F8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0D0273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6B8937F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61DC5C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2FF507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1121D1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79651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3C238AD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2F838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26A984C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B2846A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60B0FE5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B817CAD">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39A5960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818ED8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7A4FF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6F927BF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0CD6FA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C62C9E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552105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70AD72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2DC494D">
      <w:pPr>
        <w:spacing w:line="360" w:lineRule="auto"/>
        <w:jc w:val="center"/>
        <w:rPr>
          <w:rFonts w:ascii="宋体" w:hAnsi="宋体" w:cs="宋体"/>
          <w:b/>
          <w:bCs/>
          <w:color w:val="auto"/>
          <w:sz w:val="24"/>
          <w:highlight w:val="none"/>
        </w:rPr>
      </w:pPr>
    </w:p>
    <w:p w14:paraId="1D61E335">
      <w:pPr>
        <w:spacing w:line="360" w:lineRule="auto"/>
        <w:rPr>
          <w:rFonts w:ascii="宋体" w:hAnsi="宋体" w:cs="宋体"/>
          <w:b/>
          <w:color w:val="auto"/>
          <w:sz w:val="24"/>
          <w:highlight w:val="none"/>
        </w:rPr>
      </w:pPr>
    </w:p>
    <w:p w14:paraId="6737DCC2">
      <w:pPr>
        <w:spacing w:line="360" w:lineRule="auto"/>
        <w:rPr>
          <w:rFonts w:ascii="宋体" w:hAnsi="宋体" w:cs="宋体"/>
          <w:b/>
          <w:color w:val="auto"/>
          <w:sz w:val="24"/>
          <w:highlight w:val="none"/>
        </w:rPr>
      </w:pPr>
    </w:p>
    <w:p w14:paraId="54ADA227">
      <w:pPr>
        <w:spacing w:line="360" w:lineRule="auto"/>
        <w:rPr>
          <w:rFonts w:ascii="宋体" w:hAnsi="宋体" w:cs="宋体"/>
          <w:b/>
          <w:color w:val="auto"/>
          <w:sz w:val="24"/>
          <w:highlight w:val="none"/>
        </w:rPr>
      </w:pPr>
    </w:p>
    <w:p w14:paraId="5A2201E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8FC6BB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FB1E1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219620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CACFE5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85EA58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4941EB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4984075">
      <w:pPr>
        <w:widowControl/>
        <w:spacing w:line="360" w:lineRule="auto"/>
        <w:ind w:firstLine="600" w:firstLineChars="200"/>
        <w:jc w:val="left"/>
        <w:rPr>
          <w:rFonts w:ascii="宋体" w:hAnsi="宋体" w:cs="宋体"/>
          <w:color w:val="auto"/>
          <w:sz w:val="30"/>
          <w:szCs w:val="30"/>
          <w:highlight w:val="none"/>
        </w:rPr>
      </w:pPr>
    </w:p>
    <w:p w14:paraId="233930F9">
      <w:pPr>
        <w:spacing w:line="360" w:lineRule="auto"/>
        <w:jc w:val="center"/>
        <w:rPr>
          <w:rFonts w:ascii="宋体" w:hAnsi="宋体" w:cs="宋体"/>
          <w:b/>
          <w:color w:val="auto"/>
          <w:spacing w:val="6"/>
          <w:sz w:val="32"/>
          <w:szCs w:val="32"/>
          <w:highlight w:val="none"/>
        </w:rPr>
      </w:pPr>
    </w:p>
    <w:p w14:paraId="641D904B">
      <w:pPr>
        <w:spacing w:line="360" w:lineRule="auto"/>
        <w:jc w:val="center"/>
        <w:rPr>
          <w:rFonts w:ascii="宋体" w:hAnsi="宋体" w:cs="宋体"/>
          <w:b/>
          <w:color w:val="auto"/>
          <w:spacing w:val="6"/>
          <w:sz w:val="32"/>
          <w:szCs w:val="32"/>
          <w:highlight w:val="none"/>
        </w:rPr>
      </w:pPr>
    </w:p>
    <w:p w14:paraId="533F34AD">
      <w:pPr>
        <w:spacing w:line="360" w:lineRule="auto"/>
        <w:jc w:val="center"/>
        <w:rPr>
          <w:rFonts w:ascii="宋体" w:hAnsi="宋体" w:cs="宋体"/>
          <w:b/>
          <w:color w:val="auto"/>
          <w:spacing w:val="6"/>
          <w:sz w:val="32"/>
          <w:szCs w:val="32"/>
          <w:highlight w:val="none"/>
        </w:rPr>
      </w:pPr>
    </w:p>
    <w:p w14:paraId="2E04870D">
      <w:pPr>
        <w:spacing w:line="360" w:lineRule="auto"/>
        <w:jc w:val="center"/>
        <w:rPr>
          <w:rFonts w:ascii="宋体" w:hAnsi="宋体" w:cs="宋体"/>
          <w:b/>
          <w:color w:val="auto"/>
          <w:spacing w:val="6"/>
          <w:sz w:val="32"/>
          <w:szCs w:val="32"/>
          <w:highlight w:val="none"/>
        </w:rPr>
      </w:pPr>
    </w:p>
    <w:p w14:paraId="2D594EA3">
      <w:pPr>
        <w:spacing w:line="360" w:lineRule="auto"/>
        <w:jc w:val="center"/>
        <w:rPr>
          <w:rFonts w:ascii="宋体" w:hAnsi="宋体" w:cs="宋体"/>
          <w:b/>
          <w:color w:val="auto"/>
          <w:spacing w:val="6"/>
          <w:sz w:val="32"/>
          <w:szCs w:val="32"/>
          <w:highlight w:val="none"/>
        </w:rPr>
      </w:pPr>
    </w:p>
    <w:p w14:paraId="0F060CDC">
      <w:pPr>
        <w:spacing w:line="360" w:lineRule="auto"/>
        <w:jc w:val="center"/>
        <w:rPr>
          <w:rFonts w:ascii="宋体" w:hAnsi="宋体" w:cs="宋体"/>
          <w:b/>
          <w:color w:val="auto"/>
          <w:spacing w:val="6"/>
          <w:sz w:val="32"/>
          <w:szCs w:val="32"/>
          <w:highlight w:val="none"/>
        </w:rPr>
      </w:pPr>
    </w:p>
    <w:p w14:paraId="4237694D">
      <w:pPr>
        <w:spacing w:line="360" w:lineRule="auto"/>
        <w:jc w:val="center"/>
        <w:rPr>
          <w:rFonts w:ascii="宋体" w:hAnsi="宋体" w:cs="宋体"/>
          <w:b/>
          <w:color w:val="auto"/>
          <w:spacing w:val="6"/>
          <w:sz w:val="32"/>
          <w:szCs w:val="32"/>
          <w:highlight w:val="none"/>
        </w:rPr>
      </w:pPr>
    </w:p>
    <w:p w14:paraId="3168B10C">
      <w:pPr>
        <w:spacing w:line="360" w:lineRule="auto"/>
        <w:jc w:val="center"/>
        <w:rPr>
          <w:rFonts w:ascii="宋体" w:hAnsi="宋体" w:cs="宋体"/>
          <w:b/>
          <w:color w:val="auto"/>
          <w:spacing w:val="6"/>
          <w:sz w:val="32"/>
          <w:szCs w:val="32"/>
          <w:highlight w:val="none"/>
        </w:rPr>
      </w:pPr>
    </w:p>
    <w:p w14:paraId="633F52A4">
      <w:pPr>
        <w:spacing w:line="360" w:lineRule="auto"/>
        <w:jc w:val="center"/>
        <w:rPr>
          <w:rFonts w:ascii="宋体" w:hAnsi="宋体" w:cs="宋体"/>
          <w:b/>
          <w:color w:val="auto"/>
          <w:spacing w:val="6"/>
          <w:sz w:val="32"/>
          <w:szCs w:val="32"/>
          <w:highlight w:val="none"/>
        </w:rPr>
      </w:pPr>
    </w:p>
    <w:p w14:paraId="2D3770CC">
      <w:pPr>
        <w:spacing w:line="360" w:lineRule="auto"/>
        <w:jc w:val="center"/>
        <w:rPr>
          <w:rFonts w:ascii="宋体" w:hAnsi="宋体" w:cs="宋体"/>
          <w:b/>
          <w:color w:val="auto"/>
          <w:spacing w:val="6"/>
          <w:sz w:val="32"/>
          <w:szCs w:val="32"/>
          <w:highlight w:val="none"/>
        </w:rPr>
      </w:pPr>
    </w:p>
    <w:p w14:paraId="162008CE">
      <w:pPr>
        <w:spacing w:line="360" w:lineRule="auto"/>
        <w:jc w:val="center"/>
        <w:rPr>
          <w:rFonts w:ascii="宋体" w:hAnsi="宋体" w:cs="宋体"/>
          <w:b/>
          <w:color w:val="auto"/>
          <w:spacing w:val="6"/>
          <w:sz w:val="32"/>
          <w:szCs w:val="32"/>
          <w:highlight w:val="none"/>
        </w:rPr>
      </w:pPr>
    </w:p>
    <w:p w14:paraId="2BC680F7">
      <w:pPr>
        <w:spacing w:line="360" w:lineRule="auto"/>
        <w:jc w:val="center"/>
        <w:rPr>
          <w:rFonts w:ascii="宋体" w:hAnsi="宋体" w:cs="宋体"/>
          <w:b/>
          <w:color w:val="auto"/>
          <w:spacing w:val="6"/>
          <w:sz w:val="32"/>
          <w:szCs w:val="32"/>
          <w:highlight w:val="none"/>
        </w:rPr>
      </w:pPr>
    </w:p>
    <w:p w14:paraId="0082A679">
      <w:pPr>
        <w:spacing w:line="360" w:lineRule="auto"/>
        <w:jc w:val="left"/>
        <w:rPr>
          <w:rFonts w:ascii="宋体" w:hAnsi="宋体" w:cs="宋体"/>
          <w:b/>
          <w:color w:val="auto"/>
          <w:spacing w:val="6"/>
          <w:sz w:val="32"/>
          <w:szCs w:val="32"/>
          <w:highlight w:val="none"/>
        </w:rPr>
      </w:pPr>
    </w:p>
    <w:p w14:paraId="383D2418">
      <w:pPr>
        <w:spacing w:line="360" w:lineRule="auto"/>
        <w:jc w:val="left"/>
        <w:rPr>
          <w:rFonts w:ascii="宋体" w:hAnsi="宋体" w:cs="宋体"/>
          <w:b/>
          <w:color w:val="auto"/>
          <w:spacing w:val="6"/>
          <w:sz w:val="32"/>
          <w:szCs w:val="32"/>
          <w:highlight w:val="none"/>
        </w:rPr>
      </w:pPr>
    </w:p>
    <w:p w14:paraId="2BFA6E62">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314F3348">
      <w:pPr>
        <w:spacing w:line="360" w:lineRule="auto"/>
        <w:jc w:val="center"/>
        <w:rPr>
          <w:rFonts w:ascii="宋体" w:hAnsi="宋体" w:cs="宋体"/>
          <w:b/>
          <w:color w:val="auto"/>
          <w:sz w:val="24"/>
          <w:highlight w:val="none"/>
        </w:rPr>
      </w:pPr>
    </w:p>
    <w:p w14:paraId="02BE6D0F">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54A88C81">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31FBABDE">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1608129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CBB5119">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AAA78BF">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E2829F0">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3ED45F2">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08D06B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BA4C48A">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1D4FF89">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E77C573">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7DED6090">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2435900">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52BB2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26E6D22">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351957D">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0FAA2DA2">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734A4E99">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693C744">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7E88968">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309A2DB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E94E7C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F0FD7AF">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09BA6D46">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17F556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18D710D">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2750F82A">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7A5863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15846324">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2E8946A">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BEBAF59">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8D8C682">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EEB96FB">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08BC177B">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24ECA11">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230D8D9C">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756178B">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2E1DE7A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3A623A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9A4E6ED">
      <w:pPr>
        <w:spacing w:line="360" w:lineRule="auto"/>
        <w:rPr>
          <w:rFonts w:ascii="宋体" w:hAnsi="宋体" w:cs="宋体"/>
          <w:b/>
          <w:color w:val="auto"/>
          <w:sz w:val="24"/>
          <w:highlight w:val="none"/>
        </w:rPr>
      </w:pPr>
    </w:p>
    <w:p w14:paraId="01C1B779">
      <w:pPr>
        <w:spacing w:line="360" w:lineRule="auto"/>
        <w:rPr>
          <w:rFonts w:ascii="宋体" w:hAnsi="宋体" w:cs="宋体"/>
          <w:b/>
          <w:color w:val="auto"/>
          <w:sz w:val="24"/>
          <w:highlight w:val="none"/>
        </w:rPr>
      </w:pPr>
    </w:p>
    <w:p w14:paraId="4734868C">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4678BA74">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208CF6A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7DC27E4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49F4D85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7AF2015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8691C0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3266DD7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0E86A75">
      <w:pPr>
        <w:spacing w:line="360" w:lineRule="auto"/>
        <w:rPr>
          <w:rFonts w:ascii="宋体" w:hAnsi="宋体" w:cs="宋体"/>
          <w:b/>
          <w:color w:val="auto"/>
          <w:sz w:val="24"/>
          <w:highlight w:val="none"/>
        </w:rPr>
      </w:pPr>
    </w:p>
    <w:p w14:paraId="0B3CD0EB">
      <w:pPr>
        <w:autoSpaceDE w:val="0"/>
        <w:autoSpaceDN w:val="0"/>
        <w:jc w:val="center"/>
        <w:rPr>
          <w:rFonts w:ascii="宋体" w:hAnsi="宋体" w:cs="宋体"/>
          <w:b/>
          <w:color w:val="auto"/>
          <w:spacing w:val="6"/>
          <w:sz w:val="32"/>
          <w:szCs w:val="32"/>
          <w:highlight w:val="none"/>
        </w:rPr>
      </w:pPr>
    </w:p>
    <w:p w14:paraId="5680E56B">
      <w:pPr>
        <w:autoSpaceDE w:val="0"/>
        <w:autoSpaceDN w:val="0"/>
        <w:jc w:val="center"/>
        <w:rPr>
          <w:rFonts w:ascii="宋体" w:hAnsi="宋体" w:cs="宋体"/>
          <w:b/>
          <w:color w:val="auto"/>
          <w:spacing w:val="6"/>
          <w:sz w:val="32"/>
          <w:szCs w:val="32"/>
          <w:highlight w:val="none"/>
        </w:rPr>
      </w:pPr>
    </w:p>
    <w:p w14:paraId="2FDD0DC1">
      <w:pPr>
        <w:autoSpaceDE w:val="0"/>
        <w:autoSpaceDN w:val="0"/>
        <w:jc w:val="left"/>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0BEAE8AB">
      <w:pPr>
        <w:spacing w:line="360" w:lineRule="auto"/>
        <w:rPr>
          <w:rFonts w:ascii="宋体" w:hAnsi="宋体" w:cs="宋体"/>
          <w:color w:val="auto"/>
          <w:sz w:val="24"/>
          <w:highlight w:val="none"/>
          <w:u w:val="single"/>
        </w:rPr>
      </w:pPr>
    </w:p>
    <w:p w14:paraId="33EEB327">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22E53A8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D19FA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6DA8864A">
      <w:pPr>
        <w:spacing w:line="360" w:lineRule="auto"/>
        <w:ind w:firstLine="494"/>
        <w:rPr>
          <w:rFonts w:ascii="宋体" w:hAnsi="宋体" w:cs="宋体"/>
          <w:color w:val="auto"/>
          <w:sz w:val="24"/>
          <w:highlight w:val="none"/>
        </w:rPr>
      </w:pPr>
    </w:p>
    <w:p w14:paraId="18221503">
      <w:pPr>
        <w:spacing w:line="360" w:lineRule="auto"/>
        <w:ind w:firstLine="494"/>
        <w:rPr>
          <w:rFonts w:ascii="宋体" w:hAnsi="宋体" w:cs="宋体"/>
          <w:color w:val="auto"/>
          <w:sz w:val="24"/>
          <w:highlight w:val="none"/>
        </w:rPr>
      </w:pPr>
    </w:p>
    <w:p w14:paraId="5495D2FB">
      <w:pPr>
        <w:spacing w:line="360" w:lineRule="auto"/>
        <w:ind w:firstLine="494"/>
        <w:rPr>
          <w:rFonts w:ascii="宋体" w:hAnsi="宋体" w:cs="宋体"/>
          <w:color w:val="auto"/>
          <w:sz w:val="24"/>
          <w:highlight w:val="none"/>
        </w:rPr>
      </w:pPr>
    </w:p>
    <w:p w14:paraId="2CA41207">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489DA087">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56CFE9E">
      <w:pPr>
        <w:rPr>
          <w:rFonts w:ascii="宋体" w:hAnsi="宋体" w:cs="宋体"/>
          <w:color w:val="auto"/>
          <w:sz w:val="24"/>
          <w:highlight w:val="none"/>
        </w:rPr>
      </w:pPr>
      <w:r>
        <w:rPr>
          <w:rFonts w:hint="eastAsia" w:ascii="宋体" w:hAnsi="宋体" w:cs="宋体"/>
          <w:b/>
          <w:bCs/>
          <w:color w:val="auto"/>
          <w:sz w:val="24"/>
          <w:highlight w:val="none"/>
        </w:rPr>
        <w:t>附：</w:t>
      </w:r>
    </w:p>
    <w:p w14:paraId="6DCCB73C">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44E85EB1">
      <w:pPr>
        <w:autoSpaceDE w:val="0"/>
        <w:autoSpaceDN w:val="0"/>
        <w:jc w:val="center"/>
        <w:rPr>
          <w:rFonts w:ascii="宋体" w:hAnsi="宋体" w:cs="宋体"/>
          <w:b/>
          <w:color w:val="auto"/>
          <w:spacing w:val="6"/>
          <w:sz w:val="32"/>
          <w:szCs w:val="32"/>
          <w:highlight w:val="none"/>
        </w:rPr>
      </w:pPr>
    </w:p>
    <w:p w14:paraId="4BE0D785">
      <w:pPr>
        <w:autoSpaceDE w:val="0"/>
        <w:autoSpaceDN w:val="0"/>
        <w:jc w:val="center"/>
        <w:rPr>
          <w:rFonts w:ascii="宋体" w:hAnsi="宋体" w:cs="宋体"/>
          <w:b/>
          <w:color w:val="auto"/>
          <w:spacing w:val="6"/>
          <w:sz w:val="32"/>
          <w:szCs w:val="32"/>
          <w:highlight w:val="none"/>
        </w:rPr>
      </w:pPr>
    </w:p>
    <w:p w14:paraId="164B3E4E">
      <w:pPr>
        <w:autoSpaceDE w:val="0"/>
        <w:autoSpaceDN w:val="0"/>
        <w:jc w:val="center"/>
        <w:rPr>
          <w:rFonts w:ascii="宋体" w:hAnsi="宋体" w:cs="宋体"/>
          <w:b/>
          <w:color w:val="auto"/>
          <w:spacing w:val="6"/>
          <w:sz w:val="32"/>
          <w:szCs w:val="32"/>
          <w:highlight w:val="none"/>
        </w:rPr>
      </w:pPr>
    </w:p>
    <w:p w14:paraId="43ED60A4">
      <w:pPr>
        <w:autoSpaceDE w:val="0"/>
        <w:autoSpaceDN w:val="0"/>
        <w:jc w:val="center"/>
        <w:rPr>
          <w:rFonts w:ascii="宋体" w:hAnsi="宋体" w:cs="宋体"/>
          <w:b/>
          <w:color w:val="auto"/>
          <w:spacing w:val="6"/>
          <w:sz w:val="32"/>
          <w:szCs w:val="32"/>
          <w:highlight w:val="none"/>
        </w:rPr>
      </w:pPr>
    </w:p>
    <w:p w14:paraId="5542CF01">
      <w:pPr>
        <w:autoSpaceDE w:val="0"/>
        <w:autoSpaceDN w:val="0"/>
        <w:jc w:val="center"/>
        <w:rPr>
          <w:rFonts w:ascii="宋体" w:hAnsi="宋体" w:cs="宋体"/>
          <w:b/>
          <w:color w:val="auto"/>
          <w:spacing w:val="6"/>
          <w:sz w:val="32"/>
          <w:szCs w:val="32"/>
          <w:highlight w:val="none"/>
        </w:rPr>
      </w:pPr>
    </w:p>
    <w:p w14:paraId="0AA97CC5">
      <w:pPr>
        <w:autoSpaceDE w:val="0"/>
        <w:autoSpaceDN w:val="0"/>
        <w:jc w:val="center"/>
        <w:rPr>
          <w:rFonts w:ascii="宋体" w:hAnsi="宋体" w:cs="宋体"/>
          <w:b/>
          <w:color w:val="auto"/>
          <w:spacing w:val="6"/>
          <w:sz w:val="32"/>
          <w:szCs w:val="32"/>
          <w:highlight w:val="none"/>
        </w:rPr>
      </w:pPr>
    </w:p>
    <w:p w14:paraId="789D944A">
      <w:pPr>
        <w:autoSpaceDE w:val="0"/>
        <w:autoSpaceDN w:val="0"/>
        <w:jc w:val="center"/>
        <w:rPr>
          <w:rFonts w:ascii="宋体" w:hAnsi="宋体" w:cs="宋体"/>
          <w:b/>
          <w:color w:val="auto"/>
          <w:spacing w:val="6"/>
          <w:sz w:val="32"/>
          <w:szCs w:val="32"/>
          <w:highlight w:val="none"/>
        </w:rPr>
      </w:pPr>
    </w:p>
    <w:p w14:paraId="2F4977EA">
      <w:pPr>
        <w:autoSpaceDE w:val="0"/>
        <w:autoSpaceDN w:val="0"/>
        <w:jc w:val="center"/>
        <w:rPr>
          <w:rFonts w:ascii="宋体" w:hAnsi="宋体" w:cs="宋体"/>
          <w:b/>
          <w:color w:val="auto"/>
          <w:spacing w:val="6"/>
          <w:sz w:val="32"/>
          <w:szCs w:val="32"/>
          <w:highlight w:val="none"/>
        </w:rPr>
      </w:pPr>
    </w:p>
    <w:p w14:paraId="148628FB">
      <w:pPr>
        <w:autoSpaceDE w:val="0"/>
        <w:autoSpaceDN w:val="0"/>
        <w:jc w:val="center"/>
        <w:rPr>
          <w:rFonts w:ascii="宋体" w:hAnsi="宋体" w:cs="宋体"/>
          <w:b/>
          <w:color w:val="auto"/>
          <w:spacing w:val="6"/>
          <w:sz w:val="32"/>
          <w:szCs w:val="32"/>
          <w:highlight w:val="none"/>
        </w:rPr>
      </w:pPr>
    </w:p>
    <w:p w14:paraId="0B85C268">
      <w:pPr>
        <w:autoSpaceDE w:val="0"/>
        <w:autoSpaceDN w:val="0"/>
        <w:jc w:val="center"/>
        <w:rPr>
          <w:rFonts w:ascii="宋体" w:hAnsi="宋体" w:cs="宋体"/>
          <w:b/>
          <w:color w:val="auto"/>
          <w:spacing w:val="6"/>
          <w:sz w:val="32"/>
          <w:szCs w:val="32"/>
          <w:highlight w:val="none"/>
        </w:rPr>
      </w:pPr>
    </w:p>
    <w:p w14:paraId="4A53470E">
      <w:pPr>
        <w:autoSpaceDE w:val="0"/>
        <w:autoSpaceDN w:val="0"/>
        <w:jc w:val="center"/>
        <w:rPr>
          <w:rFonts w:ascii="宋体" w:hAnsi="宋体" w:cs="宋体"/>
          <w:b/>
          <w:color w:val="auto"/>
          <w:spacing w:val="6"/>
          <w:sz w:val="32"/>
          <w:szCs w:val="32"/>
          <w:highlight w:val="none"/>
        </w:rPr>
      </w:pPr>
    </w:p>
    <w:p w14:paraId="2083EADF">
      <w:pPr>
        <w:autoSpaceDE w:val="0"/>
        <w:autoSpaceDN w:val="0"/>
        <w:jc w:val="center"/>
        <w:rPr>
          <w:rFonts w:ascii="宋体" w:hAnsi="宋体" w:cs="宋体"/>
          <w:b/>
          <w:color w:val="auto"/>
          <w:spacing w:val="6"/>
          <w:sz w:val="32"/>
          <w:szCs w:val="32"/>
          <w:highlight w:val="none"/>
        </w:rPr>
      </w:pPr>
    </w:p>
    <w:p w14:paraId="01F7F453">
      <w:pPr>
        <w:autoSpaceDE w:val="0"/>
        <w:autoSpaceDN w:val="0"/>
        <w:jc w:val="center"/>
        <w:rPr>
          <w:rFonts w:ascii="宋体" w:hAnsi="宋体" w:cs="宋体"/>
          <w:b/>
          <w:color w:val="auto"/>
          <w:spacing w:val="6"/>
          <w:sz w:val="32"/>
          <w:szCs w:val="32"/>
          <w:highlight w:val="none"/>
        </w:rPr>
      </w:pPr>
    </w:p>
    <w:p w14:paraId="6735D188">
      <w:pPr>
        <w:autoSpaceDE w:val="0"/>
        <w:autoSpaceDN w:val="0"/>
        <w:jc w:val="center"/>
        <w:rPr>
          <w:rFonts w:ascii="宋体" w:hAnsi="宋体" w:cs="宋体"/>
          <w:b/>
          <w:color w:val="auto"/>
          <w:spacing w:val="6"/>
          <w:sz w:val="32"/>
          <w:szCs w:val="32"/>
          <w:highlight w:val="none"/>
        </w:rPr>
      </w:pPr>
    </w:p>
    <w:p w14:paraId="7B337EC2">
      <w:pPr>
        <w:autoSpaceDE w:val="0"/>
        <w:autoSpaceDN w:val="0"/>
        <w:jc w:val="center"/>
        <w:rPr>
          <w:rFonts w:ascii="宋体" w:hAnsi="宋体" w:cs="宋体"/>
          <w:b/>
          <w:color w:val="auto"/>
          <w:spacing w:val="6"/>
          <w:sz w:val="32"/>
          <w:szCs w:val="32"/>
          <w:highlight w:val="none"/>
        </w:rPr>
      </w:pPr>
    </w:p>
    <w:p w14:paraId="65A282E1">
      <w:pPr>
        <w:autoSpaceDE w:val="0"/>
        <w:autoSpaceDN w:val="0"/>
        <w:jc w:val="center"/>
        <w:rPr>
          <w:rFonts w:ascii="宋体" w:hAnsi="宋体" w:cs="宋体"/>
          <w:b/>
          <w:color w:val="auto"/>
          <w:spacing w:val="6"/>
          <w:sz w:val="32"/>
          <w:szCs w:val="32"/>
          <w:highlight w:val="none"/>
        </w:rPr>
      </w:pPr>
    </w:p>
    <w:p w14:paraId="3889A98F">
      <w:pPr>
        <w:autoSpaceDE w:val="0"/>
        <w:autoSpaceDN w:val="0"/>
        <w:jc w:val="center"/>
        <w:rPr>
          <w:rFonts w:ascii="宋体" w:hAnsi="宋体" w:cs="宋体"/>
          <w:b/>
          <w:color w:val="auto"/>
          <w:spacing w:val="6"/>
          <w:sz w:val="32"/>
          <w:szCs w:val="32"/>
          <w:highlight w:val="none"/>
        </w:rPr>
      </w:pPr>
    </w:p>
    <w:p w14:paraId="2E8004CE">
      <w:pPr>
        <w:autoSpaceDE w:val="0"/>
        <w:autoSpaceDN w:val="0"/>
        <w:jc w:val="center"/>
        <w:rPr>
          <w:rFonts w:ascii="宋体" w:hAnsi="宋体" w:cs="宋体"/>
          <w:b/>
          <w:color w:val="auto"/>
          <w:spacing w:val="6"/>
          <w:sz w:val="32"/>
          <w:szCs w:val="32"/>
          <w:highlight w:val="none"/>
        </w:rPr>
      </w:pPr>
    </w:p>
    <w:p w14:paraId="1CB1B766">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099346BE">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630387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04CF2C4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6A328D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20FA221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07F8E0C4">
      <w:pPr>
        <w:snapToGrid w:val="0"/>
        <w:spacing w:line="360" w:lineRule="auto"/>
        <w:ind w:firstLine="576"/>
        <w:rPr>
          <w:rFonts w:ascii="宋体" w:hAnsi="宋体" w:cs="宋体"/>
          <w:color w:val="auto"/>
          <w:kern w:val="0"/>
          <w:sz w:val="24"/>
          <w:highlight w:val="none"/>
          <w:lang w:val="zh-CN"/>
        </w:rPr>
      </w:pPr>
      <w:bookmarkStart w:id="495"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B3F6F2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C10D0F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95"/>
    <w:p w14:paraId="3F96C1B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D79D00E">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DADFE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259C3D4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5203799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4FD04C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E0D35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F9E399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0BC45E5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57C603ED">
      <w:pPr>
        <w:snapToGrid w:val="0"/>
        <w:spacing w:line="360" w:lineRule="auto"/>
        <w:ind w:firstLine="5040" w:firstLineChars="2100"/>
        <w:rPr>
          <w:rStyle w:val="22"/>
          <w:color w:val="auto"/>
          <w:highlight w:val="none"/>
        </w:rPr>
      </w:pPr>
      <w:r>
        <w:rPr>
          <w:rStyle w:val="22"/>
          <w:rFonts w:hint="eastAsia"/>
          <w:color w:val="auto"/>
          <w:highlight w:val="none"/>
        </w:rPr>
        <w:t>法定代表人（负责人） (签名)：</w:t>
      </w:r>
    </w:p>
    <w:p w14:paraId="0CAAE9D0">
      <w:pPr>
        <w:snapToGrid w:val="0"/>
        <w:spacing w:line="360" w:lineRule="auto"/>
        <w:ind w:firstLine="5040" w:firstLineChars="2100"/>
        <w:rPr>
          <w:rFonts w:ascii="宋体" w:hAnsi="宋体" w:cs="宋体"/>
          <w:color w:val="auto"/>
          <w:kern w:val="0"/>
          <w:sz w:val="24"/>
          <w:highlight w:val="none"/>
          <w:lang w:val="zh-CN"/>
        </w:rPr>
      </w:pPr>
      <w:r>
        <w:rPr>
          <w:rStyle w:val="22"/>
          <w:rFonts w:hint="eastAsia"/>
          <w:color w:val="auto"/>
          <w:highlight w:val="none"/>
        </w:rPr>
        <w:t>联合体成</w:t>
      </w:r>
      <w:r>
        <w:rPr>
          <w:rFonts w:hint="eastAsia" w:ascii="宋体" w:hAnsi="宋体" w:cs="宋体"/>
          <w:color w:val="auto"/>
          <w:kern w:val="0"/>
          <w:sz w:val="24"/>
          <w:highlight w:val="none"/>
          <w:lang w:val="zh-CN"/>
        </w:rPr>
        <w:t>员名称(公章)：</w:t>
      </w:r>
    </w:p>
    <w:p w14:paraId="66D4A2F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14:paraId="2ACBCC19">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AA9B66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654885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D8CDC74">
      <w:pPr>
        <w:autoSpaceDE w:val="0"/>
        <w:autoSpaceDN w:val="0"/>
        <w:jc w:val="center"/>
        <w:rPr>
          <w:rFonts w:ascii="宋体" w:hAnsi="宋体" w:cs="宋体"/>
          <w:b/>
          <w:color w:val="auto"/>
          <w:spacing w:val="6"/>
          <w:sz w:val="32"/>
          <w:szCs w:val="32"/>
          <w:highlight w:val="none"/>
        </w:rPr>
      </w:pPr>
    </w:p>
    <w:p w14:paraId="533399C7">
      <w:pPr>
        <w:autoSpaceDE w:val="0"/>
        <w:autoSpaceDN w:val="0"/>
        <w:jc w:val="center"/>
        <w:rPr>
          <w:rFonts w:ascii="宋体" w:hAnsi="宋体" w:cs="宋体"/>
          <w:b/>
          <w:color w:val="auto"/>
          <w:spacing w:val="6"/>
          <w:sz w:val="32"/>
          <w:szCs w:val="32"/>
          <w:highlight w:val="none"/>
        </w:rPr>
      </w:pPr>
    </w:p>
    <w:p w14:paraId="2519E94D">
      <w:pPr>
        <w:autoSpaceDE w:val="0"/>
        <w:autoSpaceDN w:val="0"/>
        <w:jc w:val="center"/>
        <w:rPr>
          <w:rFonts w:ascii="宋体" w:hAnsi="宋体" w:cs="宋体"/>
          <w:b/>
          <w:color w:val="auto"/>
          <w:spacing w:val="6"/>
          <w:sz w:val="32"/>
          <w:szCs w:val="32"/>
          <w:highlight w:val="none"/>
        </w:rPr>
      </w:pPr>
    </w:p>
    <w:p w14:paraId="40F96FEE">
      <w:pPr>
        <w:autoSpaceDE w:val="0"/>
        <w:autoSpaceDN w:val="0"/>
        <w:jc w:val="center"/>
        <w:rPr>
          <w:rFonts w:ascii="宋体" w:hAnsi="宋体" w:cs="宋体"/>
          <w:b/>
          <w:color w:val="auto"/>
          <w:spacing w:val="6"/>
          <w:sz w:val="32"/>
          <w:szCs w:val="32"/>
          <w:highlight w:val="none"/>
        </w:rPr>
      </w:pPr>
    </w:p>
    <w:p w14:paraId="0E3267D3">
      <w:pPr>
        <w:autoSpaceDE w:val="0"/>
        <w:autoSpaceDN w:val="0"/>
        <w:jc w:val="center"/>
        <w:rPr>
          <w:rFonts w:ascii="宋体" w:hAnsi="宋体" w:cs="宋体"/>
          <w:b/>
          <w:color w:val="auto"/>
          <w:spacing w:val="6"/>
          <w:sz w:val="32"/>
          <w:szCs w:val="32"/>
          <w:highlight w:val="none"/>
        </w:rPr>
      </w:pPr>
    </w:p>
    <w:p w14:paraId="05A62B81">
      <w:pPr>
        <w:autoSpaceDE w:val="0"/>
        <w:autoSpaceDN w:val="0"/>
        <w:jc w:val="center"/>
        <w:rPr>
          <w:rFonts w:ascii="宋体" w:hAnsi="宋体" w:cs="宋体"/>
          <w:b/>
          <w:color w:val="auto"/>
          <w:spacing w:val="6"/>
          <w:sz w:val="32"/>
          <w:szCs w:val="32"/>
          <w:highlight w:val="none"/>
        </w:rPr>
      </w:pPr>
    </w:p>
    <w:p w14:paraId="754CB5F7">
      <w:pPr>
        <w:autoSpaceDE w:val="0"/>
        <w:autoSpaceDN w:val="0"/>
        <w:jc w:val="center"/>
        <w:rPr>
          <w:rFonts w:ascii="宋体" w:hAnsi="宋体" w:cs="宋体"/>
          <w:b/>
          <w:color w:val="auto"/>
          <w:spacing w:val="6"/>
          <w:sz w:val="32"/>
          <w:szCs w:val="32"/>
          <w:highlight w:val="none"/>
        </w:rPr>
      </w:pPr>
    </w:p>
    <w:p w14:paraId="3FB3BB60">
      <w:pPr>
        <w:autoSpaceDE w:val="0"/>
        <w:autoSpaceDN w:val="0"/>
        <w:jc w:val="center"/>
        <w:rPr>
          <w:rFonts w:ascii="宋体" w:hAnsi="宋体" w:cs="宋体"/>
          <w:b/>
          <w:color w:val="auto"/>
          <w:spacing w:val="6"/>
          <w:sz w:val="32"/>
          <w:szCs w:val="32"/>
          <w:highlight w:val="none"/>
        </w:rPr>
      </w:pPr>
    </w:p>
    <w:p w14:paraId="50418EE1">
      <w:pPr>
        <w:autoSpaceDE w:val="0"/>
        <w:autoSpaceDN w:val="0"/>
        <w:jc w:val="center"/>
        <w:rPr>
          <w:rFonts w:ascii="宋体" w:hAnsi="宋体" w:cs="宋体"/>
          <w:b/>
          <w:color w:val="auto"/>
          <w:spacing w:val="6"/>
          <w:sz w:val="32"/>
          <w:szCs w:val="32"/>
          <w:highlight w:val="none"/>
        </w:rPr>
      </w:pPr>
    </w:p>
    <w:p w14:paraId="75F16B32">
      <w:pPr>
        <w:autoSpaceDE w:val="0"/>
        <w:autoSpaceDN w:val="0"/>
        <w:jc w:val="center"/>
        <w:rPr>
          <w:rFonts w:ascii="宋体" w:hAnsi="宋体" w:cs="宋体"/>
          <w:b/>
          <w:color w:val="auto"/>
          <w:spacing w:val="6"/>
          <w:sz w:val="32"/>
          <w:szCs w:val="32"/>
          <w:highlight w:val="none"/>
        </w:rPr>
      </w:pPr>
    </w:p>
    <w:p w14:paraId="11BF6DED">
      <w:pPr>
        <w:autoSpaceDE w:val="0"/>
        <w:autoSpaceDN w:val="0"/>
        <w:jc w:val="center"/>
        <w:rPr>
          <w:rFonts w:ascii="宋体" w:hAnsi="宋体" w:cs="宋体"/>
          <w:b/>
          <w:color w:val="auto"/>
          <w:spacing w:val="6"/>
          <w:sz w:val="32"/>
          <w:szCs w:val="32"/>
          <w:highlight w:val="none"/>
        </w:rPr>
      </w:pPr>
    </w:p>
    <w:p w14:paraId="582E8056">
      <w:pPr>
        <w:autoSpaceDE w:val="0"/>
        <w:autoSpaceDN w:val="0"/>
        <w:jc w:val="center"/>
        <w:rPr>
          <w:rFonts w:ascii="宋体" w:hAnsi="宋体" w:cs="宋体"/>
          <w:b/>
          <w:color w:val="auto"/>
          <w:spacing w:val="6"/>
          <w:sz w:val="32"/>
          <w:szCs w:val="32"/>
          <w:highlight w:val="none"/>
        </w:rPr>
      </w:pPr>
    </w:p>
    <w:p w14:paraId="22417412">
      <w:pPr>
        <w:autoSpaceDE w:val="0"/>
        <w:autoSpaceDN w:val="0"/>
        <w:jc w:val="center"/>
        <w:rPr>
          <w:rFonts w:ascii="宋体" w:hAnsi="宋体" w:cs="宋体"/>
          <w:b/>
          <w:color w:val="auto"/>
          <w:spacing w:val="6"/>
          <w:sz w:val="32"/>
          <w:szCs w:val="32"/>
          <w:highlight w:val="none"/>
        </w:rPr>
      </w:pPr>
    </w:p>
    <w:p w14:paraId="5CC34449">
      <w:pPr>
        <w:autoSpaceDE w:val="0"/>
        <w:autoSpaceDN w:val="0"/>
        <w:jc w:val="center"/>
        <w:rPr>
          <w:rFonts w:ascii="宋体" w:hAnsi="宋体" w:cs="宋体"/>
          <w:b/>
          <w:color w:val="auto"/>
          <w:spacing w:val="6"/>
          <w:sz w:val="32"/>
          <w:szCs w:val="32"/>
          <w:highlight w:val="none"/>
        </w:rPr>
      </w:pPr>
    </w:p>
    <w:p w14:paraId="3DFF5B0F">
      <w:pPr>
        <w:autoSpaceDE w:val="0"/>
        <w:autoSpaceDN w:val="0"/>
        <w:jc w:val="center"/>
        <w:rPr>
          <w:rFonts w:ascii="宋体" w:hAnsi="宋体" w:cs="宋体"/>
          <w:b/>
          <w:color w:val="auto"/>
          <w:spacing w:val="6"/>
          <w:sz w:val="32"/>
          <w:szCs w:val="32"/>
          <w:highlight w:val="none"/>
        </w:rPr>
      </w:pPr>
    </w:p>
    <w:p w14:paraId="5A33A32D">
      <w:pPr>
        <w:autoSpaceDE w:val="0"/>
        <w:autoSpaceDN w:val="0"/>
        <w:jc w:val="center"/>
        <w:rPr>
          <w:rFonts w:ascii="宋体" w:hAnsi="宋体" w:cs="宋体"/>
          <w:b/>
          <w:color w:val="auto"/>
          <w:spacing w:val="6"/>
          <w:sz w:val="32"/>
          <w:szCs w:val="32"/>
          <w:highlight w:val="none"/>
        </w:rPr>
      </w:pPr>
    </w:p>
    <w:p w14:paraId="41879AEE">
      <w:pPr>
        <w:autoSpaceDE w:val="0"/>
        <w:autoSpaceDN w:val="0"/>
        <w:jc w:val="center"/>
        <w:rPr>
          <w:rFonts w:ascii="宋体" w:hAnsi="宋体" w:cs="宋体"/>
          <w:b/>
          <w:color w:val="auto"/>
          <w:spacing w:val="6"/>
          <w:sz w:val="32"/>
          <w:szCs w:val="32"/>
          <w:highlight w:val="none"/>
        </w:rPr>
      </w:pPr>
    </w:p>
    <w:p w14:paraId="178488A6">
      <w:pPr>
        <w:autoSpaceDE w:val="0"/>
        <w:autoSpaceDN w:val="0"/>
        <w:jc w:val="center"/>
        <w:rPr>
          <w:rFonts w:ascii="宋体" w:hAnsi="宋体" w:cs="宋体"/>
          <w:b/>
          <w:color w:val="auto"/>
          <w:spacing w:val="6"/>
          <w:sz w:val="32"/>
          <w:szCs w:val="32"/>
          <w:highlight w:val="none"/>
        </w:rPr>
      </w:pPr>
    </w:p>
    <w:p w14:paraId="1CA3DD52">
      <w:pPr>
        <w:autoSpaceDE w:val="0"/>
        <w:autoSpaceDN w:val="0"/>
        <w:jc w:val="center"/>
        <w:rPr>
          <w:rFonts w:ascii="宋体" w:hAnsi="宋体" w:cs="宋体"/>
          <w:b/>
          <w:color w:val="auto"/>
          <w:spacing w:val="6"/>
          <w:sz w:val="32"/>
          <w:szCs w:val="32"/>
          <w:highlight w:val="none"/>
        </w:rPr>
      </w:pPr>
    </w:p>
    <w:p w14:paraId="74D7BCCB">
      <w:pPr>
        <w:autoSpaceDE w:val="0"/>
        <w:autoSpaceDN w:val="0"/>
        <w:jc w:val="center"/>
        <w:rPr>
          <w:rFonts w:ascii="宋体" w:hAnsi="宋体" w:cs="宋体"/>
          <w:b/>
          <w:color w:val="auto"/>
          <w:spacing w:val="6"/>
          <w:sz w:val="32"/>
          <w:szCs w:val="32"/>
          <w:highlight w:val="none"/>
        </w:rPr>
      </w:pPr>
    </w:p>
    <w:p w14:paraId="4AE15FC5">
      <w:pPr>
        <w:autoSpaceDE w:val="0"/>
        <w:autoSpaceDN w:val="0"/>
        <w:jc w:val="center"/>
        <w:rPr>
          <w:rFonts w:ascii="宋体" w:hAnsi="宋体" w:cs="宋体"/>
          <w:b/>
          <w:color w:val="auto"/>
          <w:spacing w:val="6"/>
          <w:sz w:val="32"/>
          <w:szCs w:val="32"/>
          <w:highlight w:val="none"/>
        </w:rPr>
      </w:pPr>
    </w:p>
    <w:p w14:paraId="05FAA552">
      <w:pPr>
        <w:autoSpaceDE w:val="0"/>
        <w:autoSpaceDN w:val="0"/>
        <w:jc w:val="center"/>
        <w:rPr>
          <w:rFonts w:ascii="宋体" w:hAnsi="宋体" w:cs="宋体"/>
          <w:b/>
          <w:color w:val="auto"/>
          <w:spacing w:val="6"/>
          <w:sz w:val="32"/>
          <w:szCs w:val="32"/>
          <w:highlight w:val="none"/>
        </w:rPr>
      </w:pPr>
    </w:p>
    <w:p w14:paraId="44C19EE2">
      <w:pPr>
        <w:autoSpaceDE w:val="0"/>
        <w:autoSpaceDN w:val="0"/>
        <w:jc w:val="center"/>
        <w:rPr>
          <w:rFonts w:ascii="宋体" w:hAnsi="宋体" w:cs="宋体"/>
          <w:b/>
          <w:color w:val="auto"/>
          <w:spacing w:val="6"/>
          <w:sz w:val="32"/>
          <w:szCs w:val="32"/>
          <w:highlight w:val="none"/>
        </w:rPr>
      </w:pPr>
    </w:p>
    <w:p w14:paraId="7B192AB6">
      <w:pPr>
        <w:autoSpaceDE w:val="0"/>
        <w:autoSpaceDN w:val="0"/>
        <w:jc w:val="center"/>
        <w:rPr>
          <w:rFonts w:ascii="宋体" w:hAnsi="宋体" w:cs="宋体"/>
          <w:b/>
          <w:color w:val="auto"/>
          <w:spacing w:val="6"/>
          <w:sz w:val="32"/>
          <w:szCs w:val="32"/>
          <w:highlight w:val="none"/>
        </w:rPr>
      </w:pPr>
    </w:p>
    <w:p w14:paraId="5FAE459E">
      <w:pPr>
        <w:autoSpaceDE w:val="0"/>
        <w:autoSpaceDN w:val="0"/>
        <w:jc w:val="center"/>
        <w:rPr>
          <w:rFonts w:ascii="宋体" w:hAnsi="宋体" w:cs="宋体"/>
          <w:b/>
          <w:color w:val="auto"/>
          <w:spacing w:val="6"/>
          <w:sz w:val="32"/>
          <w:szCs w:val="32"/>
          <w:highlight w:val="none"/>
        </w:rPr>
      </w:pPr>
    </w:p>
    <w:p w14:paraId="24425863">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33C2BB7C">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67DB64D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11175F4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15527B0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05094002">
      <w:pPr>
        <w:pStyle w:val="16"/>
        <w:rPr>
          <w:color w:val="auto"/>
          <w:highlight w:val="none"/>
        </w:rPr>
      </w:pPr>
      <w:r>
        <w:rPr>
          <w:rFonts w:hint="eastAsia"/>
          <w:color w:val="auto"/>
          <w:highlight w:val="none"/>
        </w:rPr>
        <w:t>……</w:t>
      </w:r>
    </w:p>
    <w:p w14:paraId="141C42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85BBE76">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84AEFCF">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96"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96"/>
    </w:p>
    <w:p w14:paraId="48E837E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62959D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98905C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3DF0FF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8601C1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FBA4E7C">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DC52DC0">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6F54982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C3E7B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43C0A3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614808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投标人名称(公章)：</w:t>
      </w:r>
    </w:p>
    <w:p w14:paraId="1600B00C">
      <w:pPr>
        <w:snapToGrid w:val="0"/>
        <w:spacing w:line="360" w:lineRule="auto"/>
        <w:rPr>
          <w:rStyle w:val="22"/>
          <w:color w:val="auto"/>
          <w:highlight w:val="none"/>
        </w:rPr>
      </w:pPr>
      <w:r>
        <w:rPr>
          <w:rStyle w:val="22"/>
          <w:rFonts w:hint="eastAsia"/>
          <w:color w:val="auto"/>
          <w:highlight w:val="none"/>
        </w:rPr>
        <w:t xml:space="preserve">                                              法定代表人（负责人） (签名)：</w:t>
      </w:r>
    </w:p>
    <w:p w14:paraId="75931CA1">
      <w:pPr>
        <w:snapToGrid w:val="0"/>
        <w:spacing w:line="360" w:lineRule="auto"/>
        <w:ind w:right="480"/>
        <w:rPr>
          <w:rFonts w:ascii="宋体" w:hAnsi="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分包供应商名称(公章)：</w:t>
      </w:r>
    </w:p>
    <w:p w14:paraId="05DF9EBE">
      <w:pPr>
        <w:pStyle w:val="16"/>
        <w:ind w:firstLine="5520" w:firstLineChars="2300"/>
        <w:jc w:val="both"/>
        <w:rPr>
          <w:color w:val="auto"/>
          <w:highlight w:val="none"/>
        </w:rPr>
      </w:pPr>
      <w:r>
        <w:rPr>
          <w:rStyle w:val="22"/>
          <w:rFonts w:hint="eastAsia"/>
          <w:color w:val="auto"/>
          <w:highlight w:val="none"/>
        </w:rPr>
        <w:t>法定代表人（负责人） (签名)：</w:t>
      </w:r>
    </w:p>
    <w:p w14:paraId="6646F44F">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rPr>
        <w:t>……</w:t>
      </w:r>
    </w:p>
    <w:p w14:paraId="4C90562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4EDAE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DBDB13B">
      <w:pPr>
        <w:autoSpaceDE w:val="0"/>
        <w:autoSpaceDN w:val="0"/>
        <w:jc w:val="center"/>
        <w:rPr>
          <w:rFonts w:ascii="宋体" w:hAnsi="宋体" w:cs="宋体"/>
          <w:b/>
          <w:color w:val="auto"/>
          <w:spacing w:val="6"/>
          <w:sz w:val="32"/>
          <w:szCs w:val="32"/>
          <w:highlight w:val="none"/>
        </w:rPr>
      </w:pPr>
    </w:p>
    <w:p w14:paraId="444E14E7">
      <w:pPr>
        <w:autoSpaceDE w:val="0"/>
        <w:autoSpaceDN w:val="0"/>
        <w:jc w:val="center"/>
        <w:rPr>
          <w:rFonts w:ascii="宋体" w:hAnsi="宋体" w:cs="宋体"/>
          <w:b/>
          <w:color w:val="auto"/>
          <w:spacing w:val="6"/>
          <w:sz w:val="32"/>
          <w:szCs w:val="32"/>
          <w:highlight w:val="none"/>
        </w:rPr>
      </w:pPr>
    </w:p>
    <w:p w14:paraId="62D306F5">
      <w:pPr>
        <w:autoSpaceDE w:val="0"/>
        <w:autoSpaceDN w:val="0"/>
        <w:jc w:val="center"/>
        <w:rPr>
          <w:rFonts w:ascii="宋体" w:hAnsi="宋体" w:cs="宋体"/>
          <w:b/>
          <w:color w:val="auto"/>
          <w:spacing w:val="6"/>
          <w:sz w:val="32"/>
          <w:szCs w:val="32"/>
          <w:highlight w:val="none"/>
        </w:rPr>
      </w:pPr>
    </w:p>
    <w:p w14:paraId="33726C42">
      <w:pPr>
        <w:autoSpaceDE w:val="0"/>
        <w:autoSpaceDN w:val="0"/>
        <w:jc w:val="center"/>
        <w:rPr>
          <w:rFonts w:ascii="宋体" w:hAnsi="宋体" w:cs="宋体"/>
          <w:b/>
          <w:color w:val="auto"/>
          <w:spacing w:val="6"/>
          <w:sz w:val="32"/>
          <w:szCs w:val="32"/>
          <w:highlight w:val="none"/>
        </w:rPr>
      </w:pPr>
    </w:p>
    <w:p w14:paraId="4AE17347">
      <w:pPr>
        <w:autoSpaceDE w:val="0"/>
        <w:autoSpaceDN w:val="0"/>
        <w:jc w:val="center"/>
        <w:rPr>
          <w:rFonts w:ascii="宋体" w:hAnsi="宋体" w:cs="宋体"/>
          <w:b/>
          <w:color w:val="auto"/>
          <w:spacing w:val="6"/>
          <w:sz w:val="32"/>
          <w:szCs w:val="32"/>
          <w:highlight w:val="none"/>
        </w:rPr>
      </w:pPr>
    </w:p>
    <w:p w14:paraId="5E6C3013">
      <w:pPr>
        <w:autoSpaceDE w:val="0"/>
        <w:autoSpaceDN w:val="0"/>
        <w:jc w:val="center"/>
        <w:rPr>
          <w:rFonts w:ascii="宋体" w:hAnsi="宋体" w:cs="宋体"/>
          <w:b/>
          <w:color w:val="auto"/>
          <w:spacing w:val="6"/>
          <w:sz w:val="32"/>
          <w:szCs w:val="32"/>
          <w:highlight w:val="none"/>
        </w:rPr>
      </w:pPr>
    </w:p>
    <w:p w14:paraId="7DA47DBC">
      <w:pPr>
        <w:autoSpaceDE w:val="0"/>
        <w:autoSpaceDN w:val="0"/>
        <w:jc w:val="center"/>
        <w:rPr>
          <w:rFonts w:ascii="宋体" w:hAnsi="宋体" w:cs="宋体"/>
          <w:b/>
          <w:color w:val="auto"/>
          <w:spacing w:val="6"/>
          <w:sz w:val="32"/>
          <w:szCs w:val="32"/>
          <w:highlight w:val="none"/>
        </w:rPr>
      </w:pPr>
    </w:p>
    <w:p w14:paraId="0C123874">
      <w:pPr>
        <w:autoSpaceDE w:val="0"/>
        <w:autoSpaceDN w:val="0"/>
        <w:jc w:val="center"/>
        <w:rPr>
          <w:rFonts w:ascii="宋体" w:hAnsi="宋体" w:cs="宋体"/>
          <w:b/>
          <w:color w:val="auto"/>
          <w:spacing w:val="6"/>
          <w:sz w:val="32"/>
          <w:szCs w:val="32"/>
          <w:highlight w:val="none"/>
        </w:rPr>
      </w:pPr>
    </w:p>
    <w:p w14:paraId="59444F5B">
      <w:pPr>
        <w:autoSpaceDE w:val="0"/>
        <w:autoSpaceDN w:val="0"/>
        <w:jc w:val="center"/>
        <w:rPr>
          <w:rFonts w:ascii="宋体" w:hAnsi="宋体" w:cs="宋体"/>
          <w:b/>
          <w:color w:val="auto"/>
          <w:spacing w:val="6"/>
          <w:sz w:val="32"/>
          <w:szCs w:val="32"/>
          <w:highlight w:val="none"/>
        </w:rPr>
      </w:pPr>
    </w:p>
    <w:p w14:paraId="4F8B856F">
      <w:pPr>
        <w:autoSpaceDE w:val="0"/>
        <w:autoSpaceDN w:val="0"/>
        <w:jc w:val="center"/>
        <w:rPr>
          <w:rFonts w:ascii="宋体" w:hAnsi="宋体" w:cs="宋体"/>
          <w:b/>
          <w:color w:val="auto"/>
          <w:spacing w:val="6"/>
          <w:sz w:val="32"/>
          <w:szCs w:val="32"/>
          <w:highlight w:val="none"/>
        </w:rPr>
      </w:pPr>
    </w:p>
    <w:p w14:paraId="100D2C9F">
      <w:pPr>
        <w:autoSpaceDE w:val="0"/>
        <w:autoSpaceDN w:val="0"/>
        <w:jc w:val="center"/>
        <w:rPr>
          <w:rFonts w:ascii="宋体" w:hAnsi="宋体" w:cs="宋体"/>
          <w:b/>
          <w:color w:val="auto"/>
          <w:spacing w:val="6"/>
          <w:sz w:val="32"/>
          <w:szCs w:val="32"/>
          <w:highlight w:val="none"/>
        </w:rPr>
      </w:pPr>
    </w:p>
    <w:p w14:paraId="177BC747">
      <w:pPr>
        <w:autoSpaceDE w:val="0"/>
        <w:autoSpaceDN w:val="0"/>
        <w:jc w:val="center"/>
        <w:rPr>
          <w:rFonts w:ascii="宋体" w:hAnsi="宋体" w:cs="宋体"/>
          <w:b/>
          <w:color w:val="auto"/>
          <w:spacing w:val="6"/>
          <w:sz w:val="32"/>
          <w:szCs w:val="32"/>
          <w:highlight w:val="none"/>
        </w:rPr>
      </w:pPr>
    </w:p>
    <w:p w14:paraId="16F18F21">
      <w:pPr>
        <w:autoSpaceDE w:val="0"/>
        <w:autoSpaceDN w:val="0"/>
        <w:jc w:val="center"/>
        <w:rPr>
          <w:rFonts w:ascii="宋体" w:hAnsi="宋体" w:cs="宋体"/>
          <w:b/>
          <w:color w:val="auto"/>
          <w:spacing w:val="6"/>
          <w:sz w:val="32"/>
          <w:szCs w:val="32"/>
          <w:highlight w:val="none"/>
        </w:rPr>
      </w:pPr>
    </w:p>
    <w:p w14:paraId="4248EA9E">
      <w:pPr>
        <w:autoSpaceDE w:val="0"/>
        <w:autoSpaceDN w:val="0"/>
        <w:jc w:val="center"/>
        <w:rPr>
          <w:rFonts w:ascii="宋体" w:hAnsi="宋体" w:cs="宋体"/>
          <w:b/>
          <w:color w:val="auto"/>
          <w:spacing w:val="6"/>
          <w:sz w:val="32"/>
          <w:szCs w:val="32"/>
          <w:highlight w:val="none"/>
        </w:rPr>
      </w:pPr>
    </w:p>
    <w:p w14:paraId="05378571">
      <w:pPr>
        <w:autoSpaceDE w:val="0"/>
        <w:autoSpaceDN w:val="0"/>
        <w:jc w:val="center"/>
        <w:rPr>
          <w:rFonts w:ascii="宋体" w:hAnsi="宋体" w:cs="宋体"/>
          <w:b/>
          <w:color w:val="auto"/>
          <w:spacing w:val="6"/>
          <w:sz w:val="32"/>
          <w:szCs w:val="32"/>
          <w:highlight w:val="none"/>
        </w:rPr>
      </w:pPr>
    </w:p>
    <w:p w14:paraId="221BAD39">
      <w:pPr>
        <w:autoSpaceDE w:val="0"/>
        <w:autoSpaceDN w:val="0"/>
        <w:jc w:val="center"/>
        <w:rPr>
          <w:rFonts w:ascii="宋体" w:hAnsi="宋体" w:cs="宋体"/>
          <w:b/>
          <w:color w:val="auto"/>
          <w:spacing w:val="6"/>
          <w:sz w:val="32"/>
          <w:szCs w:val="32"/>
          <w:highlight w:val="none"/>
        </w:rPr>
      </w:pPr>
    </w:p>
    <w:p w14:paraId="5040F0A3">
      <w:pPr>
        <w:autoSpaceDE w:val="0"/>
        <w:autoSpaceDN w:val="0"/>
        <w:jc w:val="center"/>
        <w:rPr>
          <w:rFonts w:ascii="宋体" w:hAnsi="宋体" w:cs="宋体"/>
          <w:b/>
          <w:color w:val="auto"/>
          <w:spacing w:val="6"/>
          <w:sz w:val="32"/>
          <w:szCs w:val="32"/>
          <w:highlight w:val="none"/>
        </w:rPr>
      </w:pPr>
    </w:p>
    <w:p w14:paraId="33BF5A27">
      <w:pPr>
        <w:autoSpaceDE w:val="0"/>
        <w:autoSpaceDN w:val="0"/>
        <w:jc w:val="center"/>
        <w:rPr>
          <w:rFonts w:ascii="宋体" w:hAnsi="宋体" w:cs="宋体"/>
          <w:b/>
          <w:color w:val="auto"/>
          <w:spacing w:val="6"/>
          <w:sz w:val="32"/>
          <w:szCs w:val="32"/>
          <w:highlight w:val="none"/>
        </w:rPr>
      </w:pPr>
    </w:p>
    <w:p w14:paraId="3CB2EA72">
      <w:pPr>
        <w:autoSpaceDE w:val="0"/>
        <w:autoSpaceDN w:val="0"/>
        <w:jc w:val="center"/>
        <w:rPr>
          <w:rFonts w:ascii="宋体" w:hAnsi="宋体" w:cs="宋体"/>
          <w:b/>
          <w:color w:val="auto"/>
          <w:spacing w:val="6"/>
          <w:sz w:val="32"/>
          <w:szCs w:val="32"/>
          <w:highlight w:val="none"/>
        </w:rPr>
      </w:pPr>
    </w:p>
    <w:p w14:paraId="28A12BB1">
      <w:pPr>
        <w:autoSpaceDE w:val="0"/>
        <w:autoSpaceDN w:val="0"/>
        <w:jc w:val="center"/>
        <w:rPr>
          <w:rFonts w:ascii="宋体" w:hAnsi="宋体" w:cs="宋体"/>
          <w:b/>
          <w:color w:val="auto"/>
          <w:spacing w:val="6"/>
          <w:sz w:val="32"/>
          <w:szCs w:val="32"/>
          <w:highlight w:val="none"/>
        </w:rPr>
      </w:pPr>
    </w:p>
    <w:p w14:paraId="757DA7F6">
      <w:pPr>
        <w:autoSpaceDE w:val="0"/>
        <w:autoSpaceDN w:val="0"/>
        <w:jc w:val="center"/>
        <w:rPr>
          <w:rFonts w:ascii="宋体" w:hAnsi="宋体" w:cs="宋体"/>
          <w:b/>
          <w:color w:val="auto"/>
          <w:spacing w:val="6"/>
          <w:sz w:val="32"/>
          <w:szCs w:val="32"/>
          <w:highlight w:val="none"/>
        </w:rPr>
      </w:pPr>
    </w:p>
    <w:p w14:paraId="3EF04FE2">
      <w:pPr>
        <w:autoSpaceDE w:val="0"/>
        <w:autoSpaceDN w:val="0"/>
        <w:jc w:val="center"/>
        <w:rPr>
          <w:rFonts w:ascii="宋体" w:hAnsi="宋体" w:cs="宋体"/>
          <w:b/>
          <w:color w:val="auto"/>
          <w:spacing w:val="6"/>
          <w:sz w:val="32"/>
          <w:szCs w:val="32"/>
          <w:highlight w:val="none"/>
        </w:rPr>
      </w:pPr>
    </w:p>
    <w:p w14:paraId="126AE402">
      <w:pPr>
        <w:autoSpaceDE w:val="0"/>
        <w:autoSpaceDN w:val="0"/>
        <w:jc w:val="center"/>
        <w:rPr>
          <w:rFonts w:ascii="宋体" w:hAnsi="宋体" w:cs="宋体"/>
          <w:b/>
          <w:color w:val="auto"/>
          <w:spacing w:val="6"/>
          <w:sz w:val="32"/>
          <w:szCs w:val="32"/>
          <w:highlight w:val="none"/>
        </w:rPr>
      </w:pPr>
    </w:p>
    <w:p w14:paraId="0F1379F9">
      <w:pPr>
        <w:autoSpaceDE w:val="0"/>
        <w:autoSpaceDN w:val="0"/>
        <w:jc w:val="center"/>
        <w:rPr>
          <w:rFonts w:ascii="宋体" w:hAnsi="宋体" w:cs="宋体"/>
          <w:b/>
          <w:color w:val="auto"/>
          <w:spacing w:val="6"/>
          <w:sz w:val="32"/>
          <w:szCs w:val="32"/>
          <w:highlight w:val="none"/>
        </w:rPr>
      </w:pPr>
    </w:p>
    <w:p w14:paraId="616BDA56">
      <w:pPr>
        <w:autoSpaceDE w:val="0"/>
        <w:autoSpaceDN w:val="0"/>
        <w:jc w:val="center"/>
        <w:rPr>
          <w:rFonts w:ascii="宋体" w:hAnsi="宋体" w:cs="宋体"/>
          <w:b/>
          <w:color w:val="auto"/>
          <w:spacing w:val="6"/>
          <w:sz w:val="32"/>
          <w:szCs w:val="32"/>
          <w:highlight w:val="none"/>
        </w:rPr>
      </w:pPr>
    </w:p>
    <w:p w14:paraId="27A9E596">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8274D1E">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7</w:t>
      </w:r>
      <w:r>
        <w:rPr>
          <w:rFonts w:hint="eastAsia" w:ascii="宋体" w:hAnsi="宋体" w:cs="宋体"/>
          <w:b/>
          <w:color w:val="auto"/>
          <w:kern w:val="0"/>
          <w:sz w:val="32"/>
          <w:szCs w:val="32"/>
          <w:highlight w:val="none"/>
        </w:rPr>
        <w:t>：中小企业声明函</w:t>
      </w:r>
    </w:p>
    <w:p w14:paraId="5DD56BB9">
      <w:pPr>
        <w:spacing w:line="360" w:lineRule="auto"/>
        <w:jc w:val="center"/>
        <w:rPr>
          <w:rFonts w:ascii="宋体" w:hAnsi="宋体" w:cs="宋体"/>
          <w:color w:val="auto"/>
          <w:sz w:val="24"/>
          <w:highlight w:val="none"/>
          <w:u w:val="single"/>
        </w:rPr>
      </w:pPr>
    </w:p>
    <w:p w14:paraId="20142FC1">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144D1E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568946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7559D6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089DA1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588B3B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51A04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1311909C">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14:paraId="2009FCA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E20D855">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523DAC78">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1BE2CF06">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66EC199">
      <w:pPr>
        <w:spacing w:line="360" w:lineRule="auto"/>
        <w:jc w:val="center"/>
        <w:rPr>
          <w:rFonts w:ascii="宋体" w:hAnsi="宋体" w:cs="宋体"/>
          <w:b/>
          <w:color w:val="auto"/>
          <w:sz w:val="32"/>
          <w:szCs w:val="32"/>
          <w:highlight w:val="none"/>
        </w:rPr>
      </w:pPr>
    </w:p>
    <w:p w14:paraId="1DAB84A0">
      <w:pPr>
        <w:spacing w:line="360" w:lineRule="auto"/>
        <w:jc w:val="center"/>
        <w:rPr>
          <w:rFonts w:ascii="宋体" w:hAnsi="宋体" w:cs="宋体"/>
          <w:b/>
          <w:color w:val="auto"/>
          <w:sz w:val="32"/>
          <w:szCs w:val="32"/>
          <w:highlight w:val="none"/>
        </w:rPr>
      </w:pPr>
    </w:p>
    <w:p w14:paraId="2B708CA6">
      <w:pPr>
        <w:spacing w:line="360" w:lineRule="auto"/>
        <w:jc w:val="center"/>
        <w:rPr>
          <w:rFonts w:ascii="宋体" w:hAnsi="宋体" w:cs="宋体"/>
          <w:b/>
          <w:color w:val="auto"/>
          <w:sz w:val="32"/>
          <w:szCs w:val="32"/>
          <w:highlight w:val="none"/>
        </w:rPr>
      </w:pPr>
    </w:p>
    <w:p w14:paraId="3B413BA9">
      <w:pPr>
        <w:spacing w:line="360" w:lineRule="auto"/>
        <w:jc w:val="center"/>
        <w:rPr>
          <w:rFonts w:ascii="宋体" w:hAnsi="宋体" w:cs="宋体"/>
          <w:b/>
          <w:color w:val="auto"/>
          <w:sz w:val="32"/>
          <w:szCs w:val="32"/>
          <w:highlight w:val="none"/>
        </w:rPr>
      </w:pPr>
    </w:p>
    <w:p w14:paraId="454AA925">
      <w:pPr>
        <w:spacing w:line="360" w:lineRule="auto"/>
        <w:jc w:val="center"/>
        <w:rPr>
          <w:rFonts w:ascii="宋体" w:hAnsi="宋体" w:cs="宋体"/>
          <w:b/>
          <w:color w:val="auto"/>
          <w:sz w:val="32"/>
          <w:szCs w:val="32"/>
          <w:highlight w:val="none"/>
        </w:rPr>
      </w:pPr>
    </w:p>
    <w:p w14:paraId="7C9C8F9D">
      <w:pPr>
        <w:spacing w:line="360" w:lineRule="auto"/>
        <w:jc w:val="center"/>
        <w:rPr>
          <w:rFonts w:ascii="宋体" w:hAnsi="宋体" w:cs="宋体"/>
          <w:b/>
          <w:color w:val="auto"/>
          <w:sz w:val="32"/>
          <w:szCs w:val="32"/>
          <w:highlight w:val="none"/>
        </w:rPr>
      </w:pPr>
    </w:p>
    <w:p w14:paraId="15669801">
      <w:pPr>
        <w:spacing w:line="360" w:lineRule="auto"/>
        <w:jc w:val="center"/>
        <w:rPr>
          <w:rFonts w:ascii="宋体" w:hAnsi="宋体" w:cs="宋体"/>
          <w:b/>
          <w:color w:val="auto"/>
          <w:sz w:val="32"/>
          <w:szCs w:val="32"/>
          <w:highlight w:val="none"/>
        </w:rPr>
      </w:pPr>
    </w:p>
    <w:p w14:paraId="30BECF15">
      <w:pPr>
        <w:spacing w:line="360" w:lineRule="auto"/>
        <w:jc w:val="center"/>
        <w:rPr>
          <w:rFonts w:ascii="宋体" w:hAnsi="宋体" w:cs="宋体"/>
          <w:b/>
          <w:color w:val="auto"/>
          <w:sz w:val="32"/>
          <w:szCs w:val="32"/>
          <w:highlight w:val="none"/>
        </w:rPr>
      </w:pPr>
    </w:p>
    <w:p w14:paraId="5671867C">
      <w:pPr>
        <w:spacing w:line="360" w:lineRule="auto"/>
        <w:jc w:val="center"/>
        <w:rPr>
          <w:rFonts w:ascii="宋体" w:hAnsi="宋体" w:cs="宋体"/>
          <w:b/>
          <w:color w:val="auto"/>
          <w:sz w:val="32"/>
          <w:szCs w:val="32"/>
          <w:highlight w:val="none"/>
        </w:rPr>
      </w:pPr>
    </w:p>
    <w:p w14:paraId="4F017067">
      <w:pPr>
        <w:spacing w:line="360" w:lineRule="auto"/>
        <w:jc w:val="center"/>
        <w:rPr>
          <w:rFonts w:ascii="宋体" w:hAnsi="宋体" w:cs="宋体"/>
          <w:b/>
          <w:color w:val="auto"/>
          <w:sz w:val="32"/>
          <w:szCs w:val="32"/>
          <w:highlight w:val="none"/>
        </w:rPr>
      </w:pPr>
    </w:p>
    <w:p w14:paraId="45D0909B">
      <w:pPr>
        <w:spacing w:line="360" w:lineRule="auto"/>
        <w:jc w:val="center"/>
        <w:rPr>
          <w:rFonts w:ascii="宋体" w:hAnsi="宋体" w:cs="宋体"/>
          <w:b/>
          <w:color w:val="auto"/>
          <w:sz w:val="32"/>
          <w:szCs w:val="32"/>
          <w:highlight w:val="none"/>
        </w:rPr>
      </w:pPr>
    </w:p>
    <w:p w14:paraId="14583CA2">
      <w:pPr>
        <w:spacing w:line="360" w:lineRule="auto"/>
        <w:jc w:val="center"/>
        <w:rPr>
          <w:rFonts w:ascii="宋体" w:hAnsi="宋体" w:cs="宋体"/>
          <w:b/>
          <w:color w:val="auto"/>
          <w:sz w:val="32"/>
          <w:szCs w:val="32"/>
          <w:highlight w:val="none"/>
        </w:rPr>
      </w:pPr>
    </w:p>
    <w:p w14:paraId="3A489E06">
      <w:pPr>
        <w:spacing w:line="360" w:lineRule="auto"/>
        <w:jc w:val="center"/>
        <w:rPr>
          <w:rFonts w:ascii="宋体" w:hAnsi="宋体" w:cs="宋体"/>
          <w:b/>
          <w:color w:val="auto"/>
          <w:sz w:val="32"/>
          <w:szCs w:val="32"/>
          <w:highlight w:val="none"/>
        </w:rPr>
      </w:pPr>
    </w:p>
    <w:p w14:paraId="0D80A98A">
      <w:pPr>
        <w:spacing w:line="360" w:lineRule="auto"/>
        <w:jc w:val="center"/>
        <w:rPr>
          <w:rFonts w:ascii="宋体" w:hAnsi="宋体" w:cs="宋体"/>
          <w:b/>
          <w:color w:val="auto"/>
          <w:sz w:val="32"/>
          <w:szCs w:val="32"/>
          <w:highlight w:val="none"/>
        </w:rPr>
      </w:pPr>
    </w:p>
    <w:p w14:paraId="77F62842">
      <w:pPr>
        <w:spacing w:line="360" w:lineRule="auto"/>
        <w:jc w:val="center"/>
        <w:rPr>
          <w:rFonts w:ascii="宋体" w:hAnsi="宋体" w:cs="宋体"/>
          <w:b/>
          <w:color w:val="auto"/>
          <w:sz w:val="32"/>
          <w:szCs w:val="32"/>
          <w:highlight w:val="none"/>
        </w:rPr>
      </w:pPr>
    </w:p>
    <w:p w14:paraId="5FECC98E">
      <w:pPr>
        <w:spacing w:line="360" w:lineRule="auto"/>
        <w:jc w:val="center"/>
        <w:rPr>
          <w:rFonts w:ascii="宋体" w:hAnsi="宋体" w:cs="宋体"/>
          <w:b/>
          <w:color w:val="auto"/>
          <w:sz w:val="32"/>
          <w:szCs w:val="32"/>
          <w:highlight w:val="none"/>
        </w:rPr>
      </w:pPr>
    </w:p>
    <w:p w14:paraId="5A323B23">
      <w:pPr>
        <w:spacing w:line="360" w:lineRule="auto"/>
        <w:jc w:val="center"/>
        <w:rPr>
          <w:rFonts w:ascii="宋体" w:hAnsi="宋体" w:cs="宋体"/>
          <w:b/>
          <w:color w:val="auto"/>
          <w:sz w:val="32"/>
          <w:szCs w:val="32"/>
          <w:highlight w:val="none"/>
        </w:rPr>
      </w:pPr>
    </w:p>
    <w:p w14:paraId="0ED8D220">
      <w:pPr>
        <w:spacing w:line="360" w:lineRule="auto"/>
        <w:rPr>
          <w:rFonts w:ascii="宋体" w:hAnsi="宋体" w:cs="宋体"/>
          <w:bCs/>
          <w:color w:val="auto"/>
          <w:sz w:val="24"/>
          <w:highlight w:val="none"/>
        </w:rPr>
      </w:pPr>
    </w:p>
    <w:p w14:paraId="5DC4A42C"/>
    <w:sectPr>
      <w:headerReference r:id="rId28" w:type="first"/>
      <w:footerReference r:id="rId31" w:type="first"/>
      <w:headerReference r:id="rId27" w:type="default"/>
      <w:footerReference r:id="rId29" w:type="default"/>
      <w:footerReference r:id="rId30"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D4D6C">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F563">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D34BD84">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3457">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B76237E">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2BFD">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13F7875">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3B0B1">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DD441">
    <w:pPr>
      <w:pStyle w:val="8"/>
      <w:framePr w:wrap="around" w:vAnchor="text" w:hAnchor="margin" w:xAlign="right" w:y="1"/>
      <w:rPr>
        <w:rStyle w:val="14"/>
      </w:rPr>
    </w:pPr>
    <w:r>
      <w:fldChar w:fldCharType="begin"/>
    </w:r>
    <w:r>
      <w:rPr>
        <w:rStyle w:val="14"/>
      </w:rPr>
      <w:instrText xml:space="preserve">PAGE  </w:instrText>
    </w:r>
    <w:r>
      <w:fldChar w:fldCharType="end"/>
    </w:r>
  </w:p>
  <w:p w14:paraId="34C882F9">
    <w:pPr>
      <w:pStyle w:val="8"/>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8CCDD">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bookmarkStart w:id="497" w:name="_Toc36110187"/>
    <w:bookmarkStart w:id="498" w:name="_Toc131845147"/>
    <w:bookmarkStart w:id="499" w:name="_Toc91899912"/>
    <w:bookmarkStart w:id="500" w:name="_Toc164085800"/>
    <w:r>
      <w:rPr>
        <w:rFonts w:hint="eastAsia" w:ascii="仿宋_GB2312" w:eastAsia="仿宋_GB2312"/>
        <w:kern w:val="0"/>
        <w:sz w:val="21"/>
        <w:szCs w:val="21"/>
      </w:rPr>
      <w:t xml:space="preserve"> 页</w:t>
    </w:r>
    <w:bookmarkEnd w:id="497"/>
    <w:bookmarkEnd w:id="498"/>
    <w:bookmarkEnd w:id="499"/>
    <w:bookmarkEnd w:id="50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AEF9">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2D85">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B496C33">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3DFB">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585BA7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A8FF">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200768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3CBA">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F29634E">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2273">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093B6A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84D7">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796FBC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8014B">
    <w:pPr>
      <w:pStyle w:val="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246B91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93ADC">
    <w:pPr>
      <w:pStyle w:val="9"/>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4FAE5">
    <w:pPr>
      <w:pStyle w:val="9"/>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63ED0">
    <w:pPr>
      <w:pStyle w:val="9"/>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14:paraId="29711D0A">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6222D">
    <w:pPr>
      <w:pStyle w:val="9"/>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B24DF">
    <w:pPr>
      <w:pStyle w:val="9"/>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CF52">
    <w:pPr>
      <w:pStyle w:val="9"/>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1998E">
    <w:pPr>
      <w:pStyle w:val="9"/>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6820">
    <w:pPr>
      <w:pStyle w:val="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A8C44">
    <w:pPr>
      <w:pStyle w:val="9"/>
    </w:pPr>
    <w:r>
      <w:t></w:t>
    </w:r>
    <w:r>
      <w:rPr>
        <w:rFonts w:hint="eastAsia"/>
      </w:rPr>
      <w:t xml:space="preserve">         </w:t>
    </w:r>
  </w:p>
  <w:p w14:paraId="31B138AF">
    <w:pPr>
      <w:pStyle w:val="9"/>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FC700">
    <w:pPr>
      <w:pStyle w:val="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4BE75">
    <w:pPr>
      <w:pStyle w:val="9"/>
    </w:pPr>
    <w:r>
      <w:t></w:t>
    </w:r>
    <w:r>
      <w:rPr>
        <w:rFonts w:hint="eastAsia"/>
      </w:rPr>
      <w:t xml:space="preserve">         </w:t>
    </w:r>
  </w:p>
  <w:p w14:paraId="154B0648">
    <w:pPr>
      <w:pStyle w:val="9"/>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D1C4">
    <w:pPr>
      <w:pStyle w:val="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E01CE">
    <w:pPr>
      <w:pStyle w:val="9"/>
    </w:pPr>
    <w:r>
      <w:t></w:t>
    </w:r>
    <w:r>
      <w:rPr>
        <w:rFonts w:hint="eastAsia"/>
      </w:rPr>
      <w:t xml:space="preserve">         </w:t>
    </w:r>
  </w:p>
  <w:p w14:paraId="6246F12D">
    <w:pPr>
      <w:pStyle w:val="9"/>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D4A57">
    <w:pPr>
      <w:pStyle w:val="9"/>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14:paraId="2455E40F">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4F700"/>
    <w:multiLevelType w:val="singleLevel"/>
    <w:tmpl w:val="A0E4F700"/>
    <w:lvl w:ilvl="0" w:tentative="0">
      <w:start w:val="1"/>
      <w:numFmt w:val="decimal"/>
      <w:lvlText w:val="%1."/>
      <w:lvlJc w:val="left"/>
      <w:pPr>
        <w:tabs>
          <w:tab w:val="left" w:pos="312"/>
        </w:tabs>
      </w:pPr>
    </w:lvl>
  </w:abstractNum>
  <w:abstractNum w:abstractNumId="1">
    <w:nsid w:val="76B8A6D4"/>
    <w:multiLevelType w:val="singleLevel"/>
    <w:tmpl w:val="76B8A6D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92C97"/>
    <w:rsid w:val="0AF92C97"/>
    <w:rsid w:val="18DA62E4"/>
    <w:rsid w:val="23BC6801"/>
    <w:rsid w:val="71B8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3">
    <w:name w:val="heading 4"/>
    <w:basedOn w:val="1"/>
    <w:next w:val="1"/>
    <w:qFormat/>
    <w:uiPriority w:val="1"/>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5">
    <w:name w:val="Body Text"/>
    <w:basedOn w:val="1"/>
    <w:qFormat/>
    <w:uiPriority w:val="0"/>
    <w:pPr>
      <w:autoSpaceDE w:val="0"/>
      <w:autoSpaceDN w:val="0"/>
      <w:spacing w:line="360" w:lineRule="auto"/>
    </w:pPr>
    <w:rPr>
      <w:rFonts w:ascii="宋体" w:hAnsi="Arial" w:cs="Arial"/>
      <w:snapToGrid w:val="0"/>
      <w:sz w:val="24"/>
      <w:szCs w:val="21"/>
      <w:lang w:val="zh-CN"/>
    </w:rPr>
  </w:style>
  <w:style w:type="paragraph" w:styleId="6">
    <w:name w:val="Body Text Indent"/>
    <w:basedOn w:val="1"/>
    <w:qFormat/>
    <w:uiPriority w:val="99"/>
    <w:pPr>
      <w:spacing w:line="480" w:lineRule="exact"/>
      <w:ind w:firstLine="480" w:firstLineChars="200"/>
    </w:pPr>
    <w:rPr>
      <w:rFonts w:ascii="宋体" w:hAnsi="宋体"/>
      <w:sz w:val="24"/>
    </w:rPr>
  </w:style>
  <w:style w:type="paragraph" w:styleId="7">
    <w:name w:val="Plain Text"/>
    <w:basedOn w:val="1"/>
    <w:qFormat/>
    <w:uiPriority w:val="0"/>
    <w:rPr>
      <w:rFonts w:ascii="宋体" w:hAnsi="Courier New" w:cs="Arial"/>
      <w:snapToGrid w:val="0"/>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rPr>
      <w:rFonts w:ascii="Arial" w:hAnsi="Arial" w:eastAsia="黑体" w:cs="Arial"/>
      <w:snapToGrid w:val="0"/>
      <w:kern w:val="0"/>
      <w:szCs w:val="21"/>
    </w:rPr>
  </w:style>
  <w:style w:type="character" w:styleId="15">
    <w:name w:val="Hyperlink"/>
    <w:qFormat/>
    <w:uiPriority w:val="99"/>
    <w:rPr>
      <w:rFonts w:ascii="Arial" w:hAnsi="Arial" w:eastAsia="黑体" w:cs="Arial"/>
      <w:snapToGrid w:val="0"/>
      <w:color w:val="000000"/>
      <w:kern w:val="0"/>
      <w:sz w:val="18"/>
      <w:szCs w:val="18"/>
      <w:u w:val="none"/>
    </w:rPr>
  </w:style>
  <w:style w:type="paragraph" w:customStyle="1" w:styleId="16">
    <w:name w:val="*正文"/>
    <w:basedOn w:val="1"/>
    <w:link w:val="22"/>
    <w:qFormat/>
    <w:uiPriority w:val="0"/>
    <w:pPr>
      <w:snapToGrid w:val="0"/>
      <w:spacing w:line="360" w:lineRule="auto"/>
      <w:ind w:firstLine="482"/>
      <w:jc w:val="left"/>
    </w:pPr>
    <w:rPr>
      <w:rFonts w:ascii="宋体" w:hAnsi="宋体"/>
      <w:kern w:val="0"/>
      <w:sz w:val="24"/>
      <w:szCs w:val="20"/>
    </w:rPr>
  </w:style>
  <w:style w:type="paragraph" w:customStyle="1" w:styleId="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8">
    <w:name w:val="正文2"/>
    <w:basedOn w:val="1"/>
    <w:qFormat/>
    <w:uiPriority w:val="0"/>
    <w:pPr>
      <w:spacing w:before="156" w:line="360" w:lineRule="auto"/>
      <w:ind w:firstLine="510" w:firstLineChars="200"/>
    </w:pPr>
    <w:rPr>
      <w:sz w:val="24"/>
      <w:szCs w:val="20"/>
    </w:rPr>
  </w:style>
  <w:style w:type="paragraph" w:customStyle="1" w:styleId="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0">
    <w:name w:val="纯文本_0_0"/>
    <w:basedOn w:val="21"/>
    <w:qFormat/>
    <w:uiPriority w:val="0"/>
    <w:rPr>
      <w:rFonts w:ascii="宋体" w:hAnsi="Courier New"/>
      <w:szCs w:val="21"/>
    </w:rPr>
  </w:style>
  <w:style w:type="paragraph" w:customStyle="1" w:styleId="2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正文 Char"/>
    <w:link w:val="16"/>
    <w:qFormat/>
    <w:locked/>
    <w:uiPriority w:val="0"/>
    <w:rPr>
      <w:rFonts w:ascii="宋体" w:hAnsi="宋体"/>
      <w:kern w:val="0"/>
      <w:sz w:val="24"/>
      <w:szCs w:val="20"/>
    </w:rPr>
  </w:style>
  <w:style w:type="paragraph" w:customStyle="1" w:styleId="2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319</Words>
  <Characters>404</Characters>
  <Lines>0</Lines>
  <Paragraphs>0</Paragraphs>
  <TotalTime>0</TotalTime>
  <ScaleCrop>false</ScaleCrop>
  <LinksUpToDate>false</LinksUpToDate>
  <CharactersWithSpaces>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2025-12-04T08:24:00Z</dcterms:created>
  <dc:creator>琼琼</dc:creator>
  <cp:lastModifiedBy>琼琼</cp:lastModifiedBy>
  <dcterms:modified xsi:type="dcterms:W3CDTF">2025-12-09T03:45:46Z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712C6116ECA546279A493965FD835255_11</vt:lpwstr>
  </property>
  <property fmtid="{D5CDD505-2E9C-101B-9397-08002B2CF9AE}" pid="4" name="KSOTemplateDocerSaveRecord">
    <vt:lpwstr>eyJoZGlkIjoiZGNhZjdiM2M4OGNmNTdlOWZmMDU0OGM4ZjRjZTkzZGIiLCJ1c2VySWQiOiIzNTY1NDY2MzgifQ==</vt:lpwstr>
  </property>
</Properties>
</file>