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F1755">
      <w:pPr>
        <w:spacing w:before="120" w:beforeLines="50" w:line="360" w:lineRule="auto"/>
        <w:jc w:val="center"/>
        <w:rPr>
          <w:rFonts w:hint="eastAsia" w:ascii="宋体" w:hAnsi="宋体" w:eastAsia="宋体"/>
          <w:color w:val="auto"/>
          <w:sz w:val="52"/>
          <w:szCs w:val="52"/>
          <w:highlight w:val="none"/>
          <w:lang w:val="en-US" w:eastAsia="zh-CN"/>
        </w:rPr>
      </w:pPr>
    </w:p>
    <w:p w14:paraId="04C7853A">
      <w:pPr>
        <w:spacing w:before="120"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71EDCE36">
      <w:pPr>
        <w:spacing w:before="120"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1F3912E6">
      <w:pPr>
        <w:spacing w:before="120" w:beforeLines="50" w:line="360" w:lineRule="auto"/>
        <w:jc w:val="center"/>
        <w:rPr>
          <w:rFonts w:hint="eastAsia" w:ascii="仿宋_GB2312" w:hAnsi="宋体" w:eastAsia="仿宋_GB2312"/>
          <w:b/>
          <w:color w:val="auto"/>
          <w:sz w:val="48"/>
          <w:szCs w:val="48"/>
          <w:highlight w:val="none"/>
        </w:rPr>
      </w:pPr>
    </w:p>
    <w:p w14:paraId="77008B85">
      <w:pPr>
        <w:snapToGrid w:val="0"/>
        <w:spacing w:before="120"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7CFC8F47">
      <w:pPr>
        <w:snapToGrid w:val="0"/>
        <w:spacing w:before="120"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2D034CF7">
      <w:pPr>
        <w:jc w:val="center"/>
        <w:rPr>
          <w:rFonts w:hint="eastAsia" w:ascii="Calibri" w:hAnsi="Calibri"/>
          <w:color w:val="auto"/>
          <w:highlight w:val="none"/>
        </w:rPr>
      </w:pPr>
    </w:p>
    <w:p w14:paraId="4A004E7A">
      <w:pPr>
        <w:jc w:val="center"/>
        <w:rPr>
          <w:rFonts w:hint="eastAsia" w:ascii="Calibri" w:hAnsi="Calibri"/>
          <w:color w:val="auto"/>
          <w:highlight w:val="none"/>
        </w:rPr>
      </w:pPr>
    </w:p>
    <w:p w14:paraId="36A89D84">
      <w:pPr>
        <w:jc w:val="center"/>
        <w:rPr>
          <w:rFonts w:hint="eastAsia" w:ascii="Calibri" w:hAnsi="Calibri"/>
          <w:color w:val="auto"/>
          <w:highlight w:val="none"/>
        </w:rPr>
      </w:pPr>
    </w:p>
    <w:p w14:paraId="67265A39">
      <w:pPr>
        <w:jc w:val="center"/>
        <w:rPr>
          <w:rFonts w:hint="eastAsia" w:ascii="Calibri" w:hAnsi="Calibri"/>
          <w:color w:val="auto"/>
          <w:szCs w:val="20"/>
          <w:highlight w:val="none"/>
        </w:rPr>
      </w:pPr>
    </w:p>
    <w:p w14:paraId="297F720F">
      <w:pPr>
        <w:jc w:val="center"/>
        <w:rPr>
          <w:rFonts w:hint="eastAsia" w:ascii="Calibri" w:hAnsi="Calibri"/>
          <w:color w:val="auto"/>
          <w:szCs w:val="20"/>
          <w:highlight w:val="none"/>
        </w:rPr>
      </w:pPr>
    </w:p>
    <w:p w14:paraId="1E5C13BE">
      <w:pPr>
        <w:snapToGrid w:val="0"/>
        <w:spacing w:before="120" w:beforeLines="50" w:line="360" w:lineRule="auto"/>
        <w:jc w:val="center"/>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项目名称：南宁市武鸣区现代农业产业园沃柑智能水肥一体化建设试点项目</w:t>
      </w:r>
    </w:p>
    <w:p w14:paraId="7A2BAF9B">
      <w:pPr>
        <w:snapToGrid w:val="0"/>
        <w:spacing w:before="120" w:beforeLines="50" w:line="360" w:lineRule="auto"/>
        <w:jc w:val="center"/>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NNZC2025-G3-100141-TQGC</w:t>
      </w:r>
    </w:p>
    <w:p w14:paraId="2D917003">
      <w:pPr>
        <w:snapToGrid w:val="0"/>
        <w:spacing w:before="120" w:beforeLines="50" w:line="360" w:lineRule="auto"/>
        <w:jc w:val="center"/>
        <w:rPr>
          <w:rFonts w:ascii="仿宋_GB2312" w:hAnsi="宋体" w:eastAsia="仿宋_GB2312"/>
          <w:b/>
          <w:color w:val="auto"/>
          <w:sz w:val="30"/>
          <w:szCs w:val="48"/>
          <w:highlight w:val="none"/>
        </w:rPr>
      </w:pPr>
      <w:r>
        <w:rPr>
          <w:rFonts w:hint="eastAsia" w:ascii="仿宋_GB2312" w:hAnsi="宋体" w:eastAsia="仿宋_GB2312"/>
          <w:b/>
          <w:color w:val="auto"/>
          <w:sz w:val="30"/>
          <w:szCs w:val="48"/>
          <w:highlight w:val="none"/>
        </w:rPr>
        <w:t>项目所属区划：南宁市武鸣区</w:t>
      </w:r>
    </w:p>
    <w:p w14:paraId="5437F4A5">
      <w:pPr>
        <w:jc w:val="center"/>
        <w:rPr>
          <w:rFonts w:hint="eastAsia" w:ascii="Calibri" w:hAnsi="Calibri"/>
          <w:color w:val="auto"/>
          <w:highlight w:val="none"/>
        </w:rPr>
      </w:pPr>
    </w:p>
    <w:p w14:paraId="68872293">
      <w:pPr>
        <w:jc w:val="center"/>
        <w:rPr>
          <w:rFonts w:hint="eastAsia" w:ascii="Calibri" w:hAnsi="Calibri"/>
          <w:color w:val="auto"/>
          <w:szCs w:val="20"/>
          <w:highlight w:val="none"/>
        </w:rPr>
      </w:pPr>
    </w:p>
    <w:p w14:paraId="492E0FB4">
      <w:pPr>
        <w:jc w:val="center"/>
        <w:rPr>
          <w:rFonts w:hint="eastAsia" w:ascii="Calibri" w:hAnsi="Calibri"/>
          <w:color w:val="auto"/>
          <w:highlight w:val="none"/>
        </w:rPr>
      </w:pPr>
    </w:p>
    <w:p w14:paraId="6172EE97">
      <w:pPr>
        <w:jc w:val="center"/>
        <w:rPr>
          <w:rFonts w:hint="eastAsia" w:ascii="Calibri" w:hAnsi="Calibri"/>
          <w:color w:val="auto"/>
          <w:szCs w:val="20"/>
          <w:highlight w:val="none"/>
        </w:rPr>
      </w:pPr>
    </w:p>
    <w:p w14:paraId="36D2EBA5">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采购人：南宁市武鸣区农业农村局</w:t>
      </w:r>
    </w:p>
    <w:p w14:paraId="7781DCBF">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采购代理机构：天勤工程咨询有限公司</w:t>
      </w:r>
    </w:p>
    <w:p w14:paraId="7EFF735D">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29</w:t>
      </w:r>
      <w:r>
        <w:rPr>
          <w:rFonts w:hint="eastAsia" w:ascii="仿宋_GB2312" w:hAnsi="宋体" w:eastAsia="仿宋_GB2312"/>
          <w:b/>
          <w:bCs/>
          <w:color w:val="auto"/>
          <w:w w:val="95"/>
          <w:sz w:val="30"/>
          <w:szCs w:val="30"/>
          <w:highlight w:val="none"/>
        </w:rPr>
        <w:t>日</w:t>
      </w:r>
    </w:p>
    <w:p w14:paraId="58F4B2FE">
      <w:pPr>
        <w:snapToGrid w:val="0"/>
        <w:spacing w:before="50" w:after="120" w:line="360" w:lineRule="auto"/>
        <w:jc w:val="center"/>
        <w:rPr>
          <w:rFonts w:hint="eastAsia"/>
          <w:b/>
          <w:color w:val="auto"/>
          <w:sz w:val="48"/>
          <w:szCs w:val="48"/>
          <w:highlight w:val="none"/>
        </w:rPr>
        <w:sectPr>
          <w:headerReference r:id="rId3" w:type="default"/>
          <w:footerReference r:id="rId4" w:type="default"/>
          <w:pgSz w:w="11911" w:h="16838"/>
          <w:pgMar w:top="1134" w:right="1134" w:bottom="1134" w:left="1134" w:header="720" w:footer="720" w:gutter="0"/>
          <w:pgNumType w:start="1"/>
          <w:cols w:space="720" w:num="1"/>
          <w:titlePg/>
          <w:docGrid w:linePitch="331" w:charSpace="0"/>
        </w:sectPr>
      </w:pPr>
    </w:p>
    <w:p w14:paraId="04690C9A">
      <w:pPr>
        <w:snapToGrid w:val="0"/>
        <w:spacing w:before="50" w:after="120" w:line="560" w:lineRule="exact"/>
        <w:jc w:val="center"/>
        <w:rPr>
          <w:rFonts w:hint="eastAsia"/>
          <w:b/>
          <w:color w:val="auto"/>
          <w:sz w:val="48"/>
          <w:szCs w:val="48"/>
          <w:highlight w:val="none"/>
        </w:rPr>
      </w:pPr>
      <w:r>
        <w:rPr>
          <w:rFonts w:hint="eastAsia"/>
          <w:b/>
          <w:color w:val="auto"/>
          <w:sz w:val="48"/>
          <w:szCs w:val="48"/>
          <w:highlight w:val="none"/>
        </w:rPr>
        <w:t>目     录</w:t>
      </w:r>
    </w:p>
    <w:p w14:paraId="50CE7046">
      <w:pPr>
        <w:pStyle w:val="10"/>
        <w:tabs>
          <w:tab w:val="right" w:leader="dot" w:pos="9643"/>
        </w:tabs>
        <w:rPr>
          <w:rFonts w:hint="eastAsia" w:ascii="宋体" w:hAnsi="宋体" w:cs="宋体"/>
          <w:color w:val="auto"/>
          <w:highlight w:val="none"/>
        </w:rPr>
      </w:pPr>
      <w:bookmarkStart w:id="0" w:name="_Toc532545041"/>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"1-3"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_Toc26386 </w:instrText>
      </w:r>
      <w:r>
        <w:rPr>
          <w:rFonts w:hint="eastAsia" w:ascii="宋体" w:hAnsi="宋体" w:cs="宋体"/>
          <w:bCs w:val="0"/>
          <w:caps w:val="0"/>
          <w:color w:val="auto"/>
          <w:highlight w:val="none"/>
        </w:rPr>
        <w:fldChar w:fldCharType="separate"/>
      </w:r>
      <w:r>
        <w:rPr>
          <w:rFonts w:hint="eastAsia" w:ascii="宋体" w:hAnsi="宋体" w:cs="宋体"/>
          <w:color w:val="auto"/>
          <w:highlight w:val="none"/>
        </w:rPr>
        <w:t>第一章  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_Toc26386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bCs w:val="0"/>
          <w:caps w:val="0"/>
          <w:color w:val="auto"/>
          <w:highlight w:val="none"/>
        </w:rPr>
        <w:fldChar w:fldCharType="end"/>
      </w:r>
    </w:p>
    <w:p w14:paraId="52AB2016">
      <w:pPr>
        <w:pStyle w:val="10"/>
        <w:tabs>
          <w:tab w:val="right" w:leader="dot" w:pos="9643"/>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_Toc26461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olor w:val="auto"/>
          <w:highlight w:val="none"/>
        </w:rPr>
        <w:fldChar w:fldCharType="end"/>
      </w:r>
    </w:p>
    <w:p w14:paraId="5C4D6085">
      <w:pPr>
        <w:pStyle w:val="10"/>
        <w:tabs>
          <w:tab w:val="right" w:leader="dot" w:pos="9643"/>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_Toc27946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_Toc27946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1EE8002">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_Toc2600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投标人须知前附表</w:t>
      </w:r>
      <w:r>
        <w:rPr>
          <w:rFonts w:hint="eastAsia" w:ascii="宋体" w:hAnsi="宋体" w:cs="宋体"/>
          <w:color w:val="auto"/>
          <w:highlight w:val="none"/>
        </w:rPr>
        <w:tab/>
      </w:r>
      <w:r>
        <w:rPr>
          <w:rFonts w:hint="eastAsia" w:ascii="宋体" w:hAnsi="宋体" w:cs="宋体"/>
          <w:color w:val="auto"/>
          <w:highlight w:val="none"/>
        </w:rPr>
        <w:t>2</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312E4544">
      <w:pPr>
        <w:pStyle w:val="11"/>
        <w:tabs>
          <w:tab w:val="right" w:leader="dot" w:pos="9643"/>
        </w:tabs>
        <w:rPr>
          <w:rFonts w:hint="eastAsia"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_Toc8364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投标人须知正文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_Toc8364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aps/>
          <w:color w:val="auto"/>
          <w:highlight w:val="none"/>
          <w:u w:val="single"/>
        </w:rPr>
        <w:fldChar w:fldCharType="end"/>
      </w:r>
    </w:p>
    <w:p w14:paraId="3ABBFB29">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_Toc27288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3</w:t>
      </w:r>
    </w:p>
    <w:p w14:paraId="600A7218">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_Toc8855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二、招标文件</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01E85A8C">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_Toc16067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6</w:t>
      </w:r>
    </w:p>
    <w:p w14:paraId="42C4B259">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_Toc19830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四、开标</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8</w:t>
      </w:r>
    </w:p>
    <w:p w14:paraId="6CA39945">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_Toc10406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五、资格审查</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9</w:t>
      </w:r>
    </w:p>
    <w:p w14:paraId="67AD5406">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_Toc11882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六、评标</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9</w:t>
      </w:r>
    </w:p>
    <w:p w14:paraId="1F7889C2">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_Toc3987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七、中标和合同</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1</w:t>
      </w:r>
    </w:p>
    <w:p w14:paraId="0F49DBBE">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_Toc11111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八、验收</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77AD5E07">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_Toc5616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九、其他事项</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28CB4576">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_Toc26743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评标方法及评分标准</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t>7</w:t>
      </w:r>
    </w:p>
    <w:p w14:paraId="28533FA1">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_Toc5618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评标方法</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1657AF54">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_Toc19457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评标程序</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1B959AD2">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_Toc9537 </w:instrText>
      </w:r>
      <w:r>
        <w:rPr>
          <w:rFonts w:hint="eastAsia" w:ascii="宋体" w:hAnsi="宋体" w:cs="宋体"/>
          <w:caps/>
          <w:color w:val="auto"/>
          <w:highlight w:val="none"/>
        </w:rPr>
        <w:fldChar w:fldCharType="separate"/>
      </w:r>
      <w:r>
        <w:rPr>
          <w:rFonts w:hint="eastAsia" w:ascii="宋体" w:hAnsi="宋体" w:cs="宋体"/>
          <w:color w:val="auto"/>
          <w:highlight w:val="none"/>
        </w:rPr>
        <w:t>第三节 评分标准</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0</w:t>
      </w:r>
    </w:p>
    <w:p w14:paraId="6780471D">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_Toc17002 </w:instrText>
      </w:r>
      <w:r>
        <w:rPr>
          <w:rFonts w:hint="eastAsia" w:ascii="宋体" w:hAnsi="宋体" w:cs="宋体"/>
          <w:caps/>
          <w:color w:val="auto"/>
          <w:highlight w:val="none"/>
        </w:rPr>
        <w:fldChar w:fldCharType="separate"/>
      </w:r>
      <w:r>
        <w:rPr>
          <w:rFonts w:hint="eastAsia" w:ascii="宋体" w:hAnsi="宋体" w:cs="宋体"/>
          <w:color w:val="auto"/>
          <w:highlight w:val="none"/>
        </w:rPr>
        <w:t>第四节 中标候选人推荐原则</w:t>
      </w:r>
      <w:r>
        <w:rPr>
          <w:rFonts w:hint="eastAsia" w:ascii="宋体" w:hAnsi="宋体" w:cs="宋体"/>
          <w:color w:val="auto"/>
          <w:highlight w:val="none"/>
        </w:rPr>
        <w:tab/>
      </w:r>
      <w:r>
        <w:rPr>
          <w:rFonts w:hint="eastAsia" w:ascii="宋体" w:hAnsi="宋体" w:cs="宋体"/>
          <w:color w:val="auto"/>
          <w:highlight w:val="none"/>
        </w:rPr>
        <w:t>53</w:t>
      </w:r>
      <w:r>
        <w:rPr>
          <w:rFonts w:hint="eastAsia" w:ascii="宋体" w:hAnsi="宋体" w:cs="宋体"/>
          <w:caps/>
          <w:color w:val="auto"/>
          <w:highlight w:val="none"/>
          <w:u w:val="single"/>
        </w:rPr>
        <w:fldChar w:fldCharType="end"/>
      </w:r>
    </w:p>
    <w:p w14:paraId="66D446F6">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_Toc24229 </w:instrText>
      </w:r>
      <w:r>
        <w:rPr>
          <w:rFonts w:hint="eastAsia" w:ascii="宋体" w:hAnsi="宋体" w:cs="宋体"/>
          <w:caps/>
          <w:color w:val="auto"/>
          <w:highlight w:val="none"/>
        </w:rPr>
        <w:fldChar w:fldCharType="separate"/>
      </w:r>
      <w:r>
        <w:rPr>
          <w:rFonts w:hint="eastAsia" w:ascii="宋体" w:hAnsi="宋体" w:cs="宋体"/>
          <w:color w:val="auto"/>
          <w:highlight w:val="none"/>
        </w:rPr>
        <w:t>第五节 评标报告</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3</w:t>
      </w:r>
    </w:p>
    <w:p w14:paraId="651B264B">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_Toc9091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t>4</w:t>
      </w:r>
    </w:p>
    <w:p w14:paraId="7B59079D">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_Toc27178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t>6</w:t>
      </w:r>
    </w:p>
    <w:p w14:paraId="45D4FA24">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_Toc28834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投标文件外封面格式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786BAB7C">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_Toc16225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8</w:t>
      </w:r>
    </w:p>
    <w:p w14:paraId="5BB65DD3">
      <w:pPr>
        <w:pStyle w:val="11"/>
        <w:tabs>
          <w:tab w:val="right" w:leader="dot" w:pos="9643"/>
        </w:tabs>
        <w:rPr>
          <w:rFonts w:hint="eastAsia" w:ascii="宋体" w:hAnsi="宋体" w:eastAsia="宋体" w:cs="宋体"/>
          <w:color w:val="auto"/>
          <w:highlight w:val="none"/>
          <w:lang w:eastAsia="zh-CN"/>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_Toc6239 </w:instrText>
      </w:r>
      <w:r>
        <w:rPr>
          <w:rFonts w:hint="eastAsia" w:ascii="宋体" w:hAnsi="宋体" w:cs="宋体"/>
          <w:caps/>
          <w:color w:val="auto"/>
          <w:highlight w:val="none"/>
        </w:rPr>
        <w:fldChar w:fldCharType="separate"/>
      </w:r>
      <w:r>
        <w:rPr>
          <w:rFonts w:hint="eastAsia" w:ascii="宋体" w:hAnsi="宋体" w:cs="宋体"/>
          <w:color w:val="auto"/>
          <w:highlight w:val="none"/>
        </w:rPr>
        <w:t>第三节 商务文件格式</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lang w:val="en-US" w:eastAsia="zh-CN"/>
        </w:rPr>
        <w:t>7</w:t>
      </w:r>
    </w:p>
    <w:p w14:paraId="201F6BF0">
      <w:pPr>
        <w:pStyle w:val="11"/>
        <w:tabs>
          <w:tab w:val="right" w:leader="dot" w:pos="9643"/>
        </w:tabs>
        <w:rPr>
          <w:rFonts w:hint="eastAsia" w:ascii="宋体" w:hAnsi="宋体" w:eastAsia="宋体" w:cs="宋体"/>
          <w:color w:val="auto"/>
          <w:highlight w:val="none"/>
          <w:lang w:eastAsia="zh-CN"/>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_Toc15013 </w:instrText>
      </w:r>
      <w:r>
        <w:rPr>
          <w:rFonts w:hint="eastAsia" w:ascii="宋体" w:hAnsi="宋体" w:cs="宋体"/>
          <w:caps/>
          <w:color w:val="auto"/>
          <w:highlight w:val="none"/>
        </w:rPr>
        <w:fldChar w:fldCharType="separate"/>
      </w:r>
      <w:r>
        <w:rPr>
          <w:rFonts w:hint="eastAsia" w:ascii="宋体" w:hAnsi="宋体" w:cs="宋体"/>
          <w:color w:val="auto"/>
          <w:highlight w:val="none"/>
        </w:rPr>
        <w:t>第四节 技术文件格式</w:t>
      </w:r>
      <w:r>
        <w:rPr>
          <w:rFonts w:hint="eastAsia" w:ascii="宋体" w:hAnsi="宋体" w:cs="宋体"/>
          <w:color w:val="auto"/>
          <w:highlight w:val="none"/>
        </w:rPr>
        <w:tab/>
      </w:r>
      <w:r>
        <w:rPr>
          <w:rFonts w:hint="eastAsia" w:ascii="宋体" w:hAnsi="宋体" w:cs="宋体"/>
          <w:color w:val="auto"/>
          <w:highlight w:val="none"/>
        </w:rPr>
        <w:t>8</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lang w:val="en-US" w:eastAsia="zh-CN"/>
        </w:rPr>
        <w:t>4</w:t>
      </w:r>
    </w:p>
    <w:p w14:paraId="2B24C3F6">
      <w:pPr>
        <w:pStyle w:val="11"/>
        <w:tabs>
          <w:tab w:val="right" w:leader="dot" w:pos="9643"/>
        </w:tabs>
        <w:rPr>
          <w:rFonts w:hint="eastAsia" w:ascii="宋体" w:hAnsi="宋体" w:eastAsia="宋体" w:cs="宋体"/>
          <w:color w:val="auto"/>
          <w:highlight w:val="none"/>
          <w:lang w:eastAsia="zh-CN"/>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_Toc5443 </w:instrText>
      </w:r>
      <w:r>
        <w:rPr>
          <w:rFonts w:hint="eastAsia" w:ascii="宋体" w:hAnsi="宋体" w:cs="宋体"/>
          <w:caps/>
          <w:color w:val="auto"/>
          <w:highlight w:val="none"/>
        </w:rPr>
        <w:fldChar w:fldCharType="separate"/>
      </w:r>
      <w:r>
        <w:rPr>
          <w:rFonts w:hint="eastAsia" w:ascii="宋体" w:hAnsi="宋体" w:cs="宋体"/>
          <w:color w:val="auto"/>
          <w:highlight w:val="none"/>
        </w:rPr>
        <w:t>第五节 报价文件格式</w:t>
      </w:r>
      <w:r>
        <w:rPr>
          <w:rFonts w:hint="eastAsia" w:ascii="宋体" w:hAnsi="宋体" w:cs="宋体"/>
          <w:color w:val="auto"/>
          <w:highlight w:val="none"/>
        </w:rPr>
        <w:tab/>
      </w:r>
      <w:r>
        <w:rPr>
          <w:rFonts w:hint="eastAsia" w:ascii="宋体" w:hAnsi="宋体" w:cs="宋体"/>
          <w:color w:val="auto"/>
          <w:highlight w:val="none"/>
        </w:rPr>
        <w:t>8</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lang w:val="en-US" w:eastAsia="zh-CN"/>
        </w:rPr>
        <w:t>8</w:t>
      </w:r>
    </w:p>
    <w:p w14:paraId="29026B22">
      <w:pPr>
        <w:pStyle w:val="11"/>
        <w:tabs>
          <w:tab w:val="right" w:leader="dot" w:pos="9643"/>
        </w:tabs>
        <w:rPr>
          <w:rFonts w:hint="eastAsia" w:ascii="宋体" w:hAnsi="宋体" w:eastAsia="宋体" w:cs="宋体"/>
          <w:color w:val="auto"/>
          <w:highlight w:val="none"/>
          <w:lang w:eastAsia="zh-CN"/>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_Toc9966 </w:instrText>
      </w:r>
      <w:r>
        <w:rPr>
          <w:rFonts w:hint="eastAsia" w:ascii="宋体" w:hAnsi="宋体" w:cs="宋体"/>
          <w:caps/>
          <w:color w:val="auto"/>
          <w:highlight w:val="none"/>
        </w:rPr>
        <w:fldChar w:fldCharType="separate"/>
      </w:r>
      <w:r>
        <w:rPr>
          <w:rFonts w:hint="eastAsia" w:ascii="宋体" w:hAnsi="宋体" w:cs="宋体"/>
          <w:color w:val="auto"/>
          <w:highlight w:val="none"/>
        </w:rPr>
        <w:t>第六节 其他文书、文件格式</w:t>
      </w:r>
      <w:r>
        <w:rPr>
          <w:rFonts w:hint="eastAsia" w:ascii="宋体" w:hAnsi="宋体" w:cs="宋体"/>
          <w:color w:val="auto"/>
          <w:highlight w:val="none"/>
        </w:rPr>
        <w:tab/>
      </w:r>
      <w:r>
        <w:rPr>
          <w:rFonts w:hint="eastAsia" w:ascii="宋体" w:hAnsi="宋体" w:cs="宋体"/>
          <w:color w:val="auto"/>
          <w:highlight w:val="none"/>
        </w:rPr>
        <w:t>9</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lang w:val="en-US" w:eastAsia="zh-CN"/>
        </w:rPr>
        <w:t>5</w:t>
      </w:r>
    </w:p>
    <w:p w14:paraId="159B943B">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_Toc5112 </w:instrText>
      </w:r>
      <w:r>
        <w:rPr>
          <w:rFonts w:hint="eastAsia" w:ascii="宋体" w:hAnsi="宋体" w:cs="宋体"/>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rPr>
        <w:t>98</w:t>
      </w:r>
    </w:p>
    <w:p w14:paraId="70E5FBCD">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_Toc8582 </w:instrText>
      </w:r>
      <w:r>
        <w:rPr>
          <w:rFonts w:hint="eastAsia" w:ascii="宋体" w:hAnsi="宋体" w:cs="宋体"/>
          <w:caps/>
          <w:color w:val="auto"/>
          <w:highlight w:val="none"/>
        </w:rPr>
        <w:fldChar w:fldCharType="separate"/>
      </w:r>
      <w:r>
        <w:rPr>
          <w:rFonts w:hint="eastAsia" w:ascii="宋体" w:hAnsi="宋体" w:cs="宋体"/>
          <w:bCs w:val="0"/>
          <w:color w:val="auto"/>
          <w:highlight w:val="none"/>
        </w:rPr>
        <w:t>第一节 质疑函（格式）</w:t>
      </w:r>
      <w:r>
        <w:rPr>
          <w:rFonts w:hint="eastAsia" w:ascii="宋体" w:hAnsi="宋体" w:cs="宋体"/>
          <w:color w:val="auto"/>
          <w:highlight w:val="none"/>
        </w:rPr>
        <w:tab/>
      </w:r>
      <w:r>
        <w:rPr>
          <w:rFonts w:hint="eastAsia" w:ascii="宋体" w:hAnsi="宋体" w:cs="宋体"/>
          <w:color w:val="auto"/>
          <w:highlight w:val="none"/>
        </w:rPr>
        <w:t>99</w:t>
      </w:r>
      <w:r>
        <w:rPr>
          <w:rFonts w:hint="eastAsia" w:ascii="宋体" w:hAnsi="宋体" w:cs="宋体"/>
          <w:caps/>
          <w:color w:val="auto"/>
          <w:highlight w:val="none"/>
          <w:u w:val="single"/>
        </w:rPr>
        <w:fldChar w:fldCharType="end"/>
      </w:r>
    </w:p>
    <w:p w14:paraId="59DB0D68">
      <w:pPr>
        <w:pStyle w:val="11"/>
        <w:tabs>
          <w:tab w:val="right" w:leader="dot" w:pos="9643"/>
        </w:tabs>
        <w:rPr>
          <w:rFonts w:ascii="宋体" w:hAnsi="Courier New"/>
          <w:color w:val="auto"/>
          <w:sz w:val="21"/>
          <w:szCs w:val="20"/>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_Toc16970 </w:instrText>
      </w:r>
      <w:r>
        <w:rPr>
          <w:rFonts w:hint="eastAsia" w:ascii="宋体" w:hAnsi="宋体" w:cs="宋体"/>
          <w:caps/>
          <w:color w:val="auto"/>
          <w:highlight w:val="none"/>
        </w:rPr>
        <w:fldChar w:fldCharType="separate"/>
      </w:r>
      <w:r>
        <w:rPr>
          <w:rFonts w:hint="eastAsia" w:ascii="宋体" w:hAnsi="宋体" w:cs="宋体"/>
          <w:bCs w:val="0"/>
          <w:color w:val="auto"/>
          <w:highlight w:val="none"/>
        </w:rPr>
        <w:t>第二节 投诉书（格式）</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01</w:t>
      </w:r>
      <w:r>
        <w:rPr>
          <w:rFonts w:hint="eastAsia" w:ascii="宋体" w:hAnsi="宋体" w:cs="宋体"/>
          <w:caps/>
          <w:color w:val="auto"/>
          <w:highlight w:val="none"/>
          <w:u w:val="single"/>
        </w:rPr>
        <w:fldChar w:fldCharType="end"/>
      </w:r>
      <w:r>
        <w:rPr>
          <w:rFonts w:ascii="宋体" w:hAnsi="Courier New"/>
          <w:color w:val="auto"/>
          <w:sz w:val="21"/>
          <w:szCs w:val="20"/>
          <w:highlight w:val="none"/>
        </w:rPr>
        <w:tab/>
      </w:r>
    </w:p>
    <w:p w14:paraId="15D4BF0C">
      <w:pPr>
        <w:jc w:val="center"/>
        <w:rPr>
          <w:rFonts w:ascii="宋体" w:hAnsi="Courier New"/>
          <w:color w:val="auto"/>
          <w:szCs w:val="20"/>
          <w:highlight w:val="none"/>
        </w:rPr>
      </w:pPr>
      <w:r>
        <w:rPr>
          <w:rFonts w:ascii="宋体" w:hAnsi="Courier New"/>
          <w:color w:val="auto"/>
          <w:szCs w:val="20"/>
          <w:highlight w:val="none"/>
        </w:rPr>
        <w:br w:type="page"/>
      </w:r>
    </w:p>
    <w:p w14:paraId="52D57686">
      <w:pPr>
        <w:spacing w:line="360" w:lineRule="auto"/>
        <w:jc w:val="center"/>
        <w:outlineLvl w:val="0"/>
        <w:rPr>
          <w:rFonts w:hint="eastAsia"/>
          <w:b/>
          <w:color w:val="auto"/>
          <w:sz w:val="36"/>
          <w:szCs w:val="20"/>
          <w:highlight w:val="none"/>
        </w:rPr>
      </w:pPr>
      <w:bookmarkStart w:id="1" w:name="_Toc532545042"/>
      <w:bookmarkStart w:id="2" w:name="_Toc26461"/>
      <w:bookmarkStart w:id="3" w:name="_Toc26386"/>
      <w:r>
        <w:rPr>
          <w:rFonts w:hint="eastAsia"/>
          <w:b/>
          <w:color w:val="auto"/>
          <w:sz w:val="36"/>
          <w:szCs w:val="20"/>
          <w:highlight w:val="none"/>
        </w:rPr>
        <w:t>第一章  招标公告</w:t>
      </w:r>
    </w:p>
    <w:p w14:paraId="5B6208DE">
      <w:pPr>
        <w:jc w:val="center"/>
        <w:rPr>
          <w:rFonts w:hint="eastAsia"/>
          <w:b/>
          <w:color w:val="auto"/>
          <w:sz w:val="30"/>
          <w:szCs w:val="30"/>
          <w:highlight w:val="none"/>
        </w:rPr>
      </w:pPr>
    </w:p>
    <w:p w14:paraId="58DCEC53">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天勤工程咨询有限公司关于南宁市武鸣区现代农业产业园沃柑智能水肥一体化建设试点项目（</w:t>
      </w:r>
      <w:r>
        <w:rPr>
          <w:rFonts w:hint="eastAsia" w:ascii="宋体" w:hAnsi="宋体" w:cs="宋体"/>
          <w:b/>
          <w:color w:val="auto"/>
          <w:sz w:val="36"/>
          <w:szCs w:val="36"/>
          <w:highlight w:val="none"/>
          <w:lang w:eastAsia="zh-CN"/>
        </w:rPr>
        <w:t>NNZC2025-G3-100141-TQGC</w:t>
      </w:r>
      <w:r>
        <w:rPr>
          <w:rFonts w:hint="eastAsia" w:ascii="宋体" w:hAnsi="宋体" w:cs="宋体"/>
          <w:b/>
          <w:color w:val="auto"/>
          <w:sz w:val="36"/>
          <w:szCs w:val="36"/>
          <w:highlight w:val="none"/>
        </w:rPr>
        <w:t>）的</w:t>
      </w:r>
      <w:r>
        <w:rPr>
          <w:rFonts w:hint="eastAsia" w:ascii="宋体" w:hAnsi="宋体" w:cs="宋体"/>
          <w:b/>
          <w:color w:val="auto"/>
          <w:sz w:val="36"/>
          <w:szCs w:val="36"/>
          <w:highlight w:val="none"/>
          <w:lang w:val="en-US" w:eastAsia="zh-CN"/>
        </w:rPr>
        <w:t>公开</w:t>
      </w:r>
      <w:r>
        <w:rPr>
          <w:rFonts w:hint="eastAsia" w:ascii="宋体" w:hAnsi="宋体" w:cs="宋体"/>
          <w:b/>
          <w:color w:val="auto"/>
          <w:sz w:val="36"/>
          <w:szCs w:val="36"/>
          <w:highlight w:val="none"/>
        </w:rPr>
        <w:t>招标公告</w:t>
      </w:r>
    </w:p>
    <w:p w14:paraId="6F105F92">
      <w:pPr>
        <w:spacing w:line="360" w:lineRule="exact"/>
        <w:jc w:val="center"/>
        <w:rPr>
          <w:rFonts w:hint="eastAsia" w:ascii="宋体" w:hAnsi="宋体" w:cs="宋体"/>
          <w:b/>
          <w:color w:val="auto"/>
          <w:sz w:val="30"/>
          <w:szCs w:val="30"/>
          <w:highlight w:val="none"/>
        </w:rPr>
      </w:pPr>
    </w:p>
    <w:p w14:paraId="41B596FB">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337EE2A2">
      <w:pPr>
        <w:pBdr>
          <w:top w:val="single" w:color="auto" w:sz="4" w:space="1"/>
          <w:left w:val="single" w:color="auto" w:sz="4" w:space="4"/>
          <w:bottom w:val="single" w:color="auto" w:sz="4" w:space="1"/>
          <w:right w:val="single" w:color="auto" w:sz="4" w:space="4"/>
        </w:pBdr>
        <w:spacing w:line="36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南宁市武鸣区现代农业产业园沃柑智能水肥一体化建设试点项目</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日 </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30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6FA00597">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7BA3A018">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NNZC2025-G3-100141-TQGC</w:t>
      </w:r>
    </w:p>
    <w:p w14:paraId="1A55E87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项目名称：南宁市武鸣区现代农业产业园沃柑智能水肥一体化建设试点项目</w:t>
      </w:r>
    </w:p>
    <w:p w14:paraId="3509180C">
      <w:pPr>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预算总金额（元）：17000000.00</w:t>
      </w:r>
    </w:p>
    <w:p w14:paraId="2DF6A63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45A133D5">
      <w:pPr>
        <w:spacing w:line="360" w:lineRule="exact"/>
        <w:ind w:firstLine="420" w:firstLineChars="200"/>
        <w:rPr>
          <w:rFonts w:hint="eastAsia" w:ascii="宋体" w:hAnsi="宋体" w:cs="宋体"/>
          <w:color w:val="auto"/>
          <w:szCs w:val="21"/>
          <w:highlight w:val="none"/>
        </w:rPr>
      </w:pPr>
    </w:p>
    <w:p w14:paraId="78EAA2F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标项名称：南宁市武鸣区现代农业产业园沃柑智能水肥一体化建设试点项目</w:t>
      </w:r>
    </w:p>
    <w:p w14:paraId="30F428A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数量：1</w:t>
      </w:r>
    </w:p>
    <w:p w14:paraId="5726530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预算金额（元）：17000000.00</w:t>
      </w:r>
    </w:p>
    <w:p w14:paraId="0E6CA0C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w:t>
      </w:r>
      <w:r>
        <w:rPr>
          <w:rFonts w:hint="eastAsia" w:ascii="宋体" w:hAnsi="宋体" w:cs="宋体"/>
          <w:color w:val="auto"/>
          <w:szCs w:val="21"/>
          <w:highlight w:val="none"/>
        </w:rPr>
        <w:t>南宁市武鸣区现代农业产业园沃柑智能水肥一体化建设试点项目1项，具体内容详见公开招标文件。</w:t>
      </w:r>
    </w:p>
    <w:p w14:paraId="707C43E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最高限价（如有）：/</w:t>
      </w:r>
    </w:p>
    <w:p w14:paraId="40BD568E">
      <w:pPr>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olor w:val="auto"/>
          <w:szCs w:val="21"/>
          <w:highlight w:val="none"/>
        </w:rPr>
        <w:t>本项目分三期进度，从每期项目验收之日起（经采购人验收通过之日起计），中标人每期整体均提供三年服务</w:t>
      </w:r>
      <w:r>
        <w:rPr>
          <w:rFonts w:hint="eastAsia"/>
          <w:color w:val="auto"/>
          <w:highlight w:val="none"/>
        </w:rPr>
        <w:t>。</w:t>
      </w:r>
    </w:p>
    <w:p w14:paraId="51620CA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本项目(是)接受联合体投标</w:t>
      </w:r>
      <w:r>
        <w:rPr>
          <w:rFonts w:ascii="宋体" w:hAnsi="宋体" w:cs="宋体"/>
          <w:color w:val="auto"/>
          <w:szCs w:val="21"/>
          <w:highlight w:val="none"/>
        </w:rPr>
        <w:t>。</w:t>
      </w:r>
    </w:p>
    <w:p w14:paraId="6100186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39FB8D2D">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二、申请人的资格要求：</w:t>
      </w:r>
    </w:p>
    <w:p w14:paraId="15B51BB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3286F3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分标1：</w:t>
      </w:r>
      <w:r>
        <w:rPr>
          <w:rFonts w:hint="eastAsia" w:ascii="宋体" w:hAnsi="宋体" w:cs="宋体"/>
          <w:color w:val="auto"/>
          <w:szCs w:val="21"/>
          <w:highlight w:val="none"/>
        </w:rPr>
        <w:t>本项目预留30%专门面向中小企业采购；投标人应为中小微企业，或投标人以联合体形式参加采购活动且联合体中中小微企业承担的部分达到一定比例。即：投标人若为中小微企业（监狱企业或者残疾人福利性单位依据规定视为小型、微型企业），可与其他中小微企业组成联合体形式投标；投标人若为大型企业，则必须以联合体的形式为中小微企业预留份额，预留份额通过下列措施进行：</w:t>
      </w:r>
    </w:p>
    <w:p w14:paraId="40EB08D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联合体中中小微企业承担的部分</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rPr>
        <w:t xml:space="preserve">合同总额的 30%，需在联合体协议中明确中小微企业合同金额所占比例，并提供《中小企业声明函》，填写联合体中的中小企业的相关信息。 </w:t>
      </w:r>
    </w:p>
    <w:p w14:paraId="4407E2C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组成联合体的中小微企业与联合体内其他企业之间不得存在直接控股、管理关系。</w:t>
      </w:r>
    </w:p>
    <w:p w14:paraId="40A1DBA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76712538">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1399FF80">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时间：</w:t>
      </w:r>
      <w:r>
        <w:rPr>
          <w:rFonts w:ascii="仿宋" w:hAnsi="仿宋" w:eastAsia="仿宋" w:cs="仿宋"/>
          <w:i w:val="0"/>
          <w:iCs w:val="0"/>
          <w:caps w:val="0"/>
          <w:color w:val="auto"/>
          <w:spacing w:val="0"/>
          <w:sz w:val="27"/>
          <w:szCs w:val="27"/>
          <w:highlight w:val="none"/>
        </w:rPr>
        <w:t>/</w:t>
      </w:r>
      <w:r>
        <w:rPr>
          <w:rFonts w:hint="eastAsia" w:ascii="宋体" w:hAnsi="宋体" w:cs="宋体"/>
          <w:color w:val="auto"/>
          <w:szCs w:val="21"/>
          <w:highlight w:val="none"/>
        </w:rPr>
        <w:t>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日，每天上午00:00至12:00，下午12:00至23:59（北京时间，法定节假日除外）</w:t>
      </w:r>
    </w:p>
    <w:p w14:paraId="29906870">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14:paraId="4C6D17B7">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方式 : 供应商登录广西政府采购云平台https://www.gcy.zfcg.gxzf.gov.cn/在线申请获取采购文件（进入“项目采购”应用，在获取采购文件菜单中选择项目，申请获取采购文件）</w:t>
      </w:r>
    </w:p>
    <w:p w14:paraId="571847AD">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：0</w:t>
      </w:r>
    </w:p>
    <w:p w14:paraId="2399762B">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579FDF9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（北京时间）</w:t>
      </w:r>
    </w:p>
    <w:p w14:paraId="6DDE53D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投标地点（网址）：广西政府采购云平台（https://www.gcy.zfcg.gxzf.gov.cn/）</w:t>
      </w:r>
    </w:p>
    <w:p w14:paraId="13D21D3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（北京时间）</w:t>
      </w:r>
    </w:p>
    <w:p w14:paraId="147A598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4E5F01EE">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731E7ED5">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98F4BF4">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627A3518">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3F2A32E6">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446CA35D">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http://www.ccgp-guangxi.gov.cn/site/detail?parentId=66485&amp;articleId=dmQx9bQUezGV4ijub+3qeg==</w:t>
      </w:r>
    </w:p>
    <w:p w14:paraId="14A1EC91">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3.网上查询地址：http://www.ccgp.gov.cn (中国政府采购网)、http://zfcg.gxzf.gov.cn (广西政府采购网)、http://ggzy.jgswj.gxzf.gov.cn/nnggzy/（全国公共资源交易平台（广西•南宁））。</w:t>
      </w:r>
    </w:p>
    <w:p w14:paraId="6649D7A7">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 本项目需要落实的政府采购政策（如有）：</w:t>
      </w:r>
    </w:p>
    <w:p w14:paraId="08CA6E6F">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B7F8DC3">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1468212">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6D1F59D">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6E7E92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B8F263D">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招标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D8F6AC1">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A43F5F">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7.对在“信用中国”网站(www.creditchina.gov.cn) 、中国政府采购网(www.ccgp.gov.cn)被列入失信被执行人、重大税收违法案件当事人名单（重大税收违法失信主体）、政府采购严重违法失信行为记录名单及其他不符合《中华人民共和国政府采购法》第二十二条规定条件的供应商，不得参与政府采购活动。</w:t>
      </w:r>
    </w:p>
    <w:p w14:paraId="19B0645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8.投标人投标注意事项：</w:t>
      </w:r>
    </w:p>
    <w:p w14:paraId="1EE8BE48">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（1）投标文件提交方式：本项目为南宁市全流程电子化项目，通过广西政府采购云平台（https://www.gcy.zfcg.gxzf.gov.cn/）实行在线电子投标，供应商应先安装</w:t>
      </w:r>
      <w:r>
        <w:rPr>
          <w:rFonts w:hint="eastAsia" w:ascii="宋体" w:hAnsi="宋体" w:cs="宋体"/>
          <w:color w:val="auto"/>
          <w:kern w:val="0"/>
          <w:szCs w:val="21"/>
          <w:highlight w:val="none"/>
        </w:rPr>
        <w:t>广西政府采购云平台新版客户端</w:t>
      </w:r>
      <w:r>
        <w:rPr>
          <w:rFonts w:hint="eastAsia" w:ascii="宋体" w:hAnsi="宋体" w:cs="宋体"/>
          <w:color w:val="auto"/>
          <w:szCs w:val="21"/>
          <w:highlight w:val="none"/>
        </w:rPr>
        <w:t>（请自行前往广西政府采购云平台进行下载），并按照本项目招标文件和广西政府采购云平台的要求编制、加密后在投标截止时间前通过网络上传至南宁市广西政府采购云平台，供应商在广西政府采购云平台提交电子版投标文件时，请填写参加远程开标活动经办人联系方式，电子投标具体操作流程详见本公告文字附件2。</w:t>
      </w:r>
    </w:p>
    <w:p w14:paraId="70534A97">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文字附件1）及投标文件的提交。完成CA数字证书办理预计7日左右，投标人只需办理其中一家CA数字证书及签章，建议各投标人抓紧时间办理。</w:t>
      </w:r>
    </w:p>
    <w:p w14:paraId="7068C87D">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79F63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A8A7FF3">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（4）开标地点：本次招标将在广西政府采购云平台电子开标大厅开标。</w:t>
      </w:r>
    </w:p>
    <w:p w14:paraId="404A22D3">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51E4A7A9">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w:t>
      </w:r>
      <w:r>
        <w:rPr>
          <w:rFonts w:hint="eastAsia" w:ascii="宋体" w:hAnsi="宋体" w:cs="宋体"/>
          <w:b/>
          <w:bCs/>
          <w:color w:val="auto"/>
          <w:kern w:val="0"/>
          <w:szCs w:val="21"/>
          <w:highlight w:val="none"/>
        </w:rPr>
        <w:t>广西政府采购云平台服务热线95763</w:t>
      </w:r>
      <w:r>
        <w:rPr>
          <w:rFonts w:hint="eastAsia" w:ascii="宋体" w:hAnsi="宋体" w:cs="宋体"/>
          <w:color w:val="auto"/>
          <w:kern w:val="0"/>
          <w:szCs w:val="21"/>
          <w:highlight w:val="none"/>
        </w:rPr>
        <w:t>获取热线服务帮助。</w:t>
      </w:r>
    </w:p>
    <w:p w14:paraId="592C6D17">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9.公告附件：</w:t>
      </w:r>
    </w:p>
    <w:p w14:paraId="17633938">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CA证书申请方式及操作指南下载地址（登录</w:t>
      </w:r>
      <w:r>
        <w:rPr>
          <w:rFonts w:hint="eastAsia" w:ascii="宋体" w:hAnsi="宋体" w:cs="宋体"/>
          <w:color w:val="auto"/>
          <w:highlight w:val="none"/>
        </w:rPr>
        <w:t>http://nncz.nanning.gov.cn/（南宁市财政局官网）-业务专题-政府采购监督管理-资料下载-“广西政采云西部CA办理方式”或“南宁市政采云CA证书办理操作指南”</w:t>
      </w:r>
      <w:r>
        <w:rPr>
          <w:rFonts w:hint="eastAsia" w:ascii="宋体" w:hAnsi="宋体" w:cs="宋体"/>
          <w:color w:val="auto"/>
          <w:szCs w:val="21"/>
          <w:highlight w:val="none"/>
        </w:rPr>
        <w:t>）</w:t>
      </w:r>
    </w:p>
    <w:p w14:paraId="4A479D82">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电子投标文件制作与投送教程（在此网址下载：</w:t>
      </w:r>
      <w:r>
        <w:rPr>
          <w:rFonts w:hint="eastAsia" w:ascii="宋体" w:hAnsi="宋体" w:cs="宋体"/>
          <w:color w:val="auto"/>
          <w:highlight w:val="none"/>
        </w:rPr>
        <w:t>http://nncz.nanning.gov.cn/（南宁市财政局官网）-业务专题-政府采购监督管理-资料下载-南宁市政府采购项目全流程电子化交易操作指南</w:t>
      </w:r>
      <w:r>
        <w:rPr>
          <w:rFonts w:hint="eastAsia" w:ascii="宋体" w:hAnsi="宋体" w:cs="宋体"/>
          <w:color w:val="auto"/>
          <w:szCs w:val="21"/>
          <w:highlight w:val="none"/>
        </w:rPr>
        <w:t>）</w:t>
      </w:r>
      <w:r>
        <w:rPr>
          <w:rFonts w:hint="eastAsia" w:ascii="宋体" w:hAnsi="宋体" w:cs="宋体"/>
          <w:color w:val="auto"/>
          <w:kern w:val="0"/>
          <w:szCs w:val="21"/>
          <w:highlight w:val="none"/>
        </w:rPr>
        <w:t>。</w:t>
      </w:r>
    </w:p>
    <w:p w14:paraId="224AA834">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7D023C6C">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330A19E7">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名称：南宁市武鸣区农业农村局</w:t>
      </w:r>
    </w:p>
    <w:p w14:paraId="298807B0">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地址：武鸣区城厢镇灵源路112号</w:t>
      </w:r>
    </w:p>
    <w:p w14:paraId="06B952CA">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项目联系人：黄勇明</w:t>
      </w:r>
    </w:p>
    <w:p w14:paraId="6B4AC305">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联系电话：0771-6212463</w:t>
      </w:r>
    </w:p>
    <w:p w14:paraId="5A4F00E4">
      <w:pPr>
        <w:snapToGrid w:val="0"/>
        <w:spacing w:line="360" w:lineRule="exact"/>
        <w:ind w:firstLine="420" w:firstLineChars="200"/>
        <w:rPr>
          <w:rFonts w:hint="eastAsia" w:ascii="宋体" w:hAnsi="宋体" w:cs="宋体"/>
          <w:color w:val="auto"/>
          <w:kern w:val="0"/>
          <w:szCs w:val="21"/>
          <w:highlight w:val="none"/>
        </w:rPr>
      </w:pPr>
    </w:p>
    <w:p w14:paraId="13D0949F">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F69A5C3">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名称：天勤工程咨询有限公司</w:t>
      </w:r>
    </w:p>
    <w:p w14:paraId="196B6834">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地址：南宁市民族大道157号财富国际广场3号楼2501</w:t>
      </w:r>
    </w:p>
    <w:p w14:paraId="01E0E9F8">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项目联系人：刘熙堂</w:t>
      </w:r>
    </w:p>
    <w:p w14:paraId="26351571">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项目联系方式：0771-5784126</w:t>
      </w:r>
    </w:p>
    <w:p w14:paraId="55E525DF">
      <w:pPr>
        <w:snapToGrid w:val="0"/>
        <w:spacing w:line="360" w:lineRule="exact"/>
        <w:ind w:firstLine="420" w:firstLineChars="200"/>
        <w:rPr>
          <w:rFonts w:hint="eastAsia" w:ascii="宋体" w:hAnsi="宋体" w:cs="宋体"/>
          <w:color w:val="auto"/>
          <w:kern w:val="0"/>
          <w:szCs w:val="21"/>
          <w:highlight w:val="none"/>
        </w:rPr>
      </w:pPr>
    </w:p>
    <w:p w14:paraId="0656E84E">
      <w:pPr>
        <w:keepNext w:val="0"/>
        <w:keepLines w:val="0"/>
        <w:pageBreakBefore w:val="0"/>
        <w:kinsoku/>
        <w:wordWrap/>
        <w:overflowPunct/>
        <w:topLinePunct w:val="0"/>
        <w:autoSpaceDE/>
        <w:autoSpaceDN/>
        <w:bidi w:val="0"/>
        <w:adjustRightInd/>
        <w:snapToGrid w:val="0"/>
        <w:spacing w:line="320" w:lineRule="exact"/>
        <w:ind w:firstLine="420" w:firstLineChars="200"/>
        <w:jc w:val="righ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天勤工程咨询有限公司</w:t>
      </w:r>
    </w:p>
    <w:p w14:paraId="5499C899">
      <w:pPr>
        <w:keepNext w:val="0"/>
        <w:keepLines w:val="0"/>
        <w:pageBreakBefore w:val="0"/>
        <w:kinsoku/>
        <w:wordWrap/>
        <w:overflowPunct/>
        <w:topLinePunct w:val="0"/>
        <w:autoSpaceDE/>
        <w:autoSpaceDN/>
        <w:bidi w:val="0"/>
        <w:adjustRightInd/>
        <w:snapToGrid w:val="0"/>
        <w:spacing w:line="320" w:lineRule="exact"/>
        <w:ind w:firstLine="420" w:firstLineChars="200"/>
        <w:jc w:val="righ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2025年12月29日</w:t>
      </w:r>
    </w:p>
    <w:p w14:paraId="608C6274">
      <w:pPr>
        <w:snapToGrid w:val="0"/>
        <w:spacing w:line="360" w:lineRule="exact"/>
        <w:ind w:firstLine="420" w:firstLineChars="200"/>
        <w:rPr>
          <w:rFonts w:hint="eastAsia" w:ascii="宋体" w:hAnsi="宋体" w:cs="宋体"/>
          <w:color w:val="auto"/>
          <w:kern w:val="0"/>
          <w:szCs w:val="21"/>
          <w:highlight w:val="none"/>
          <w:lang w:val="zh-CN"/>
        </w:rPr>
        <w:sectPr>
          <w:footerReference r:id="rId6" w:type="first"/>
          <w:footerReference r:id="rId5" w:type="default"/>
          <w:pgSz w:w="11911" w:h="16838"/>
          <w:pgMar w:top="1134" w:right="1134" w:bottom="1134" w:left="1134" w:header="720" w:footer="720" w:gutter="0"/>
          <w:pgNumType w:start="1"/>
          <w:cols w:space="720" w:num="1"/>
          <w:docGrid w:linePitch="331" w:charSpace="0"/>
        </w:sectPr>
      </w:pPr>
    </w:p>
    <w:p w14:paraId="197A202C">
      <w:pPr>
        <w:jc w:val="center"/>
        <w:outlineLvl w:val="0"/>
        <w:rPr>
          <w:rFonts w:hint="eastAsia"/>
          <w:b/>
          <w:color w:val="auto"/>
          <w:sz w:val="36"/>
          <w:szCs w:val="20"/>
          <w:highlight w:val="none"/>
        </w:rPr>
      </w:pPr>
      <w:r>
        <w:rPr>
          <w:rFonts w:hint="eastAsia"/>
          <w:b/>
          <w:color w:val="auto"/>
          <w:sz w:val="36"/>
          <w:szCs w:val="20"/>
          <w:highlight w:val="none"/>
        </w:rPr>
        <w:t>第二章</w:t>
      </w:r>
      <w:r>
        <w:rPr>
          <w:b/>
          <w:color w:val="auto"/>
          <w:sz w:val="36"/>
          <w:szCs w:val="20"/>
          <w:highlight w:val="none"/>
        </w:rPr>
        <w:t xml:space="preserve">  </w:t>
      </w:r>
      <w:bookmarkEnd w:id="1"/>
      <w:r>
        <w:rPr>
          <w:rFonts w:hint="eastAsia"/>
          <w:b/>
          <w:color w:val="auto"/>
          <w:sz w:val="36"/>
          <w:szCs w:val="20"/>
          <w:highlight w:val="none"/>
        </w:rPr>
        <w:t>采购需求</w:t>
      </w:r>
      <w:bookmarkEnd w:id="2"/>
    </w:p>
    <w:p w14:paraId="24691686">
      <w:pPr>
        <w:shd w:val="clear" w:color="auto" w:fill="FFFFFF"/>
        <w:adjustRightInd w:val="0"/>
        <w:snapToGrid w:val="0"/>
        <w:spacing w:line="360" w:lineRule="exact"/>
        <w:rPr>
          <w:rFonts w:hAnsi="宋体"/>
          <w:b/>
          <w:color w:val="auto"/>
          <w:szCs w:val="21"/>
          <w:highlight w:val="none"/>
        </w:rPr>
      </w:pPr>
      <w:r>
        <w:rPr>
          <w:rFonts w:hint="eastAsia" w:hAnsi="宋体" w:cs="宋体"/>
          <w:b/>
          <w:color w:val="auto"/>
          <w:szCs w:val="21"/>
          <w:highlight w:val="none"/>
          <w:lang w:bidi="ar"/>
        </w:rPr>
        <w:t>说明：</w:t>
      </w:r>
    </w:p>
    <w:p w14:paraId="31B4C3F1">
      <w:pPr>
        <w:shd w:val="clear" w:color="auto" w:fill="FFFFFF"/>
        <w:snapToGrid w:val="0"/>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lang w:bidi="ar"/>
        </w:rPr>
        <w:t>1.为落实政府采购政策需满足的要求：</w:t>
      </w:r>
    </w:p>
    <w:p w14:paraId="6EC9F74C">
      <w:pPr>
        <w:shd w:val="clear" w:color="auto" w:fill="FFFFFF"/>
        <w:snapToGrid w:val="0"/>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bidi="ar"/>
        </w:rPr>
        <w:t>（1）本招标文件所称中小企业必须符合《政府采购促进中小企业发展管理办法》（财库〔2020〕46号）的规定。</w:t>
      </w:r>
    </w:p>
    <w:p w14:paraId="20139991">
      <w:pPr>
        <w:shd w:val="clear" w:color="auto" w:fill="FFFFFF"/>
        <w:snapToGrid w:val="0"/>
        <w:spacing w:line="360" w:lineRule="exact"/>
        <w:ind w:firstLine="424" w:firstLineChars="202"/>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3），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3D5B763">
      <w:pPr>
        <w:shd w:val="clear" w:color="auto" w:fill="FFFFFF"/>
        <w:snapToGrid w:val="0"/>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bidi="ar"/>
        </w:rPr>
        <w:t>（3）</w:t>
      </w:r>
      <w:r>
        <w:rPr>
          <w:rFonts w:hint="eastAsia" w:ascii="宋体" w:hAnsi="宋体" w:cs="宋体"/>
          <w:bCs/>
          <w:color w:val="auto"/>
          <w:szCs w:val="21"/>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71E477FE">
      <w:pPr>
        <w:shd w:val="clear" w:color="auto" w:fill="FFFFFF"/>
        <w:snapToGrid w:val="0"/>
        <w:spacing w:line="360" w:lineRule="exact"/>
        <w:ind w:firstLine="424" w:firstLineChars="202"/>
        <w:jc w:val="left"/>
        <w:rPr>
          <w:rFonts w:hint="eastAsia" w:ascii="宋体" w:hAnsi="宋体" w:cs="宋体"/>
          <w:bCs/>
          <w:color w:val="auto"/>
          <w:highlight w:val="none"/>
        </w:rPr>
      </w:pPr>
      <w:r>
        <w:rPr>
          <w:rFonts w:hint="eastAsia" w:ascii="宋体" w:hAnsi="宋体" w:cs="宋体"/>
          <w:bCs/>
          <w:color w:val="auto"/>
          <w:highlight w:val="none"/>
          <w:lang w:bidi="ar"/>
        </w:rPr>
        <w:t>2.“实质性要求”是指招标文件中已经指明不满足则投标无效的条款，或者不能负偏离的条款，或者采购需求中带“▲”的条款。</w:t>
      </w:r>
    </w:p>
    <w:p w14:paraId="319BB43C">
      <w:pPr>
        <w:shd w:val="clear" w:color="auto" w:fill="FFFFFF"/>
        <w:snapToGrid w:val="0"/>
        <w:spacing w:line="360" w:lineRule="exact"/>
        <w:ind w:firstLine="424" w:firstLineChars="202"/>
        <w:jc w:val="left"/>
        <w:rPr>
          <w:rFonts w:ascii="宋体" w:hAnsi="宋体" w:cs="宋体"/>
          <w:bCs/>
          <w:color w:val="auto"/>
          <w:highlight w:val="none"/>
          <w:lang w:bidi="ar"/>
        </w:rPr>
      </w:pPr>
      <w:r>
        <w:rPr>
          <w:rFonts w:hint="eastAsia" w:ascii="宋体" w:hAnsi="宋体" w:cs="宋体"/>
          <w:bCs/>
          <w:color w:val="auto"/>
          <w:highlight w:val="none"/>
          <w:lang w:bidi="ar"/>
        </w:rPr>
        <w:t>3.“◆”的条款为本次服务采购项目配套设备的重要技术指标、功能条款。</w:t>
      </w:r>
    </w:p>
    <w:p w14:paraId="30547F94">
      <w:pPr>
        <w:shd w:val="clear" w:color="auto" w:fill="FFFFFF"/>
        <w:snapToGrid w:val="0"/>
        <w:spacing w:line="360" w:lineRule="exact"/>
        <w:ind w:firstLine="424" w:firstLineChars="202"/>
        <w:jc w:val="left"/>
        <w:rPr>
          <w:rFonts w:hint="eastAsia" w:cs="宋体"/>
          <w:bCs/>
          <w:color w:val="auto"/>
          <w:highlight w:val="none"/>
          <w:lang w:bidi="ar"/>
        </w:rPr>
      </w:pPr>
      <w:r>
        <w:rPr>
          <w:rFonts w:hint="eastAsia" w:ascii="宋体" w:hAnsi="宋体" w:cs="宋体"/>
          <w:bCs/>
          <w:color w:val="auto"/>
          <w:highlight w:val="none"/>
          <w:lang w:bidi="ar"/>
        </w:rPr>
        <w:t>4.如投标人投</w:t>
      </w:r>
      <w:r>
        <w:rPr>
          <w:rFonts w:hint="eastAsia" w:cs="宋体"/>
          <w:bCs/>
          <w:color w:val="auto"/>
          <w:highlight w:val="none"/>
          <w:lang w:bidi="ar"/>
        </w:rPr>
        <w:t>标产品存在侵犯他人的知识产权或者专利成果行为的，应承担相应法律责任。</w:t>
      </w:r>
    </w:p>
    <w:p w14:paraId="5D01335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5.采购标的对应的中小企业划分标准所属行业名称：</w:t>
      </w:r>
      <w:r>
        <w:rPr>
          <w:rFonts w:hint="eastAsia" w:ascii="宋体" w:hAnsi="宋体" w:cs="宋体"/>
          <w:b/>
          <w:bCs/>
          <w:color w:val="auto"/>
          <w:highlight w:val="none"/>
        </w:rPr>
        <w:t>软件和信息技术服务业</w:t>
      </w:r>
      <w:r>
        <w:rPr>
          <w:rFonts w:hint="eastAsia" w:ascii="宋体" w:hAnsi="宋体" w:cs="宋体"/>
          <w:color w:val="auto"/>
          <w:highlight w:val="none"/>
        </w:rPr>
        <w:t>。中小企业划分标准详见本章附件4。</w:t>
      </w:r>
    </w:p>
    <w:p w14:paraId="1C4ECC60">
      <w:pPr>
        <w:snapToGrid w:val="0"/>
        <w:rPr>
          <w:color w:val="auto"/>
          <w:highlight w:val="none"/>
        </w:rPr>
      </w:pPr>
    </w:p>
    <w:tbl>
      <w:tblPr>
        <w:tblStyle w:val="13"/>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65"/>
        <w:gridCol w:w="709"/>
        <w:gridCol w:w="405"/>
        <w:gridCol w:w="7810"/>
      </w:tblGrid>
      <w:tr w14:paraId="4B7B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restart"/>
            <w:noWrap w:val="0"/>
            <w:vAlign w:val="center"/>
          </w:tcPr>
          <w:p w14:paraId="4971FACC">
            <w:pPr>
              <w:spacing w:line="376" w:lineRule="exact"/>
              <w:rPr>
                <w:rFonts w:hint="eastAsia"/>
                <w:b/>
                <w:bCs/>
                <w:color w:val="auto"/>
                <w:highlight w:val="none"/>
              </w:rPr>
            </w:pPr>
            <w:r>
              <w:rPr>
                <w:rFonts w:hint="eastAsia"/>
                <w:b/>
                <w:bCs/>
                <w:color w:val="auto"/>
                <w:highlight w:val="none"/>
              </w:rPr>
              <w:t>一、采购清单及服务参数</w:t>
            </w:r>
          </w:p>
        </w:tc>
        <w:tc>
          <w:tcPr>
            <w:tcW w:w="765" w:type="dxa"/>
            <w:noWrap w:val="0"/>
            <w:vAlign w:val="center"/>
          </w:tcPr>
          <w:p w14:paraId="10D05813">
            <w:pPr>
              <w:spacing w:line="376" w:lineRule="exact"/>
              <w:jc w:val="center"/>
              <w:rPr>
                <w:b/>
                <w:bCs/>
                <w:color w:val="auto"/>
                <w:highlight w:val="none"/>
              </w:rPr>
            </w:pPr>
            <w:r>
              <w:rPr>
                <w:rFonts w:hint="eastAsia"/>
                <w:b/>
                <w:bCs/>
                <w:color w:val="auto"/>
                <w:highlight w:val="none"/>
              </w:rPr>
              <w:t>序号</w:t>
            </w:r>
          </w:p>
        </w:tc>
        <w:tc>
          <w:tcPr>
            <w:tcW w:w="709" w:type="dxa"/>
            <w:noWrap w:val="0"/>
            <w:vAlign w:val="center"/>
          </w:tcPr>
          <w:p w14:paraId="63BABBF6">
            <w:pPr>
              <w:spacing w:line="376" w:lineRule="exact"/>
              <w:jc w:val="center"/>
              <w:rPr>
                <w:b/>
                <w:bCs/>
                <w:color w:val="auto"/>
                <w:highlight w:val="none"/>
              </w:rPr>
            </w:pPr>
            <w:r>
              <w:rPr>
                <w:rFonts w:hint="eastAsia"/>
                <w:b/>
                <w:bCs/>
                <w:color w:val="auto"/>
                <w:highlight w:val="none"/>
              </w:rPr>
              <w:t>标的名称</w:t>
            </w:r>
          </w:p>
        </w:tc>
        <w:tc>
          <w:tcPr>
            <w:tcW w:w="405" w:type="dxa"/>
            <w:noWrap w:val="0"/>
            <w:vAlign w:val="center"/>
          </w:tcPr>
          <w:p w14:paraId="0084E4C7">
            <w:pPr>
              <w:spacing w:line="376" w:lineRule="exact"/>
              <w:jc w:val="center"/>
              <w:rPr>
                <w:b/>
                <w:bCs/>
                <w:color w:val="auto"/>
                <w:highlight w:val="none"/>
              </w:rPr>
            </w:pPr>
            <w:r>
              <w:rPr>
                <w:rFonts w:hint="eastAsia"/>
                <w:b/>
                <w:bCs/>
                <w:color w:val="auto"/>
                <w:highlight w:val="none"/>
              </w:rPr>
              <w:t>数量及单位</w:t>
            </w:r>
          </w:p>
        </w:tc>
        <w:tc>
          <w:tcPr>
            <w:tcW w:w="7810" w:type="dxa"/>
            <w:noWrap w:val="0"/>
            <w:tcMar>
              <w:top w:w="0" w:type="dxa"/>
              <w:left w:w="0" w:type="dxa"/>
              <w:bottom w:w="0" w:type="dxa"/>
              <w:right w:w="0" w:type="dxa"/>
            </w:tcMar>
            <w:vAlign w:val="center"/>
          </w:tcPr>
          <w:p w14:paraId="5B84AE87">
            <w:pPr>
              <w:spacing w:line="376" w:lineRule="exact"/>
              <w:jc w:val="center"/>
              <w:rPr>
                <w:b/>
                <w:bCs/>
                <w:color w:val="auto"/>
                <w:highlight w:val="none"/>
              </w:rPr>
            </w:pPr>
            <w:r>
              <w:rPr>
                <w:rFonts w:hint="eastAsia"/>
                <w:b/>
                <w:bCs/>
                <w:color w:val="auto"/>
                <w:highlight w:val="none"/>
              </w:rPr>
              <w:t>服务参数</w:t>
            </w:r>
          </w:p>
        </w:tc>
      </w:tr>
      <w:tr w14:paraId="5F3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27" w:type="dxa"/>
            <w:vMerge w:val="continue"/>
            <w:noWrap w:val="0"/>
            <w:vAlign w:val="center"/>
          </w:tcPr>
          <w:p w14:paraId="121C0B9A">
            <w:pPr>
              <w:spacing w:line="376" w:lineRule="exact"/>
              <w:rPr>
                <w:rFonts w:hint="eastAsia"/>
                <w:b/>
                <w:bCs/>
                <w:color w:val="auto"/>
                <w:highlight w:val="none"/>
              </w:rPr>
            </w:pPr>
          </w:p>
        </w:tc>
        <w:tc>
          <w:tcPr>
            <w:tcW w:w="765" w:type="dxa"/>
            <w:noWrap w:val="0"/>
            <w:vAlign w:val="center"/>
          </w:tcPr>
          <w:p w14:paraId="1A7F3E99">
            <w:pPr>
              <w:widowControl/>
              <w:spacing w:line="376" w:lineRule="exact"/>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709" w:type="dxa"/>
            <w:noWrap w:val="0"/>
            <w:vAlign w:val="center"/>
          </w:tcPr>
          <w:p w14:paraId="3371D528">
            <w:pPr>
              <w:snapToGrid w:val="0"/>
              <w:spacing w:line="376" w:lineRule="exact"/>
              <w:jc w:val="center"/>
              <w:rPr>
                <w:rFonts w:hint="eastAsia" w:ascii="宋体" w:hAnsi="宋体" w:cs="宋体"/>
                <w:color w:val="auto"/>
                <w:szCs w:val="21"/>
                <w:highlight w:val="none"/>
              </w:rPr>
            </w:pPr>
            <w:r>
              <w:rPr>
                <w:rFonts w:hint="eastAsia" w:ascii="宋体" w:hAnsi="宋体" w:cs="宋体"/>
                <w:color w:val="auto"/>
                <w:szCs w:val="21"/>
                <w:highlight w:val="none"/>
              </w:rPr>
              <w:t>南宁市武鸣区现代农业产业园沃柑智能水肥一体化建设试点项目</w:t>
            </w:r>
          </w:p>
        </w:tc>
        <w:tc>
          <w:tcPr>
            <w:tcW w:w="405" w:type="dxa"/>
            <w:noWrap w:val="0"/>
            <w:vAlign w:val="center"/>
          </w:tcPr>
          <w:p w14:paraId="37423398">
            <w:pPr>
              <w:snapToGrid w:val="0"/>
              <w:spacing w:line="376"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810" w:type="dxa"/>
            <w:noWrap w:val="0"/>
            <w:tcMar>
              <w:top w:w="0" w:type="dxa"/>
              <w:left w:w="0" w:type="dxa"/>
              <w:bottom w:w="0" w:type="dxa"/>
              <w:right w:w="0" w:type="dxa"/>
            </w:tcMar>
            <w:vAlign w:val="center"/>
          </w:tcPr>
          <w:p w14:paraId="0F9F43AA">
            <w:pPr>
              <w:spacing w:line="376" w:lineRule="exact"/>
              <w:rPr>
                <w:rFonts w:hint="eastAsia"/>
                <w:b/>
                <w:bCs/>
                <w:color w:val="auto"/>
                <w:highlight w:val="none"/>
              </w:rPr>
            </w:pPr>
            <w:r>
              <w:rPr>
                <w:rFonts w:hint="eastAsia" w:ascii="宋体" w:hAnsi="宋体" w:cs="宋体"/>
                <w:bCs/>
                <w:color w:val="auto"/>
                <w:highlight w:val="none"/>
                <w:lang w:bidi="ar"/>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b/>
                <w:bCs/>
                <w:color w:val="auto"/>
                <w:highlight w:val="none"/>
              </w:rPr>
              <w:t>服务项目建设目标</w:t>
            </w:r>
          </w:p>
          <w:p w14:paraId="3EFB8E9C">
            <w:pPr>
              <w:spacing w:line="376" w:lineRule="exact"/>
              <w:ind w:firstLine="420" w:firstLineChars="200"/>
              <w:rPr>
                <w:color w:val="auto"/>
                <w:highlight w:val="none"/>
              </w:rPr>
            </w:pPr>
            <w:r>
              <w:rPr>
                <w:color w:val="auto"/>
                <w:highlight w:val="none"/>
              </w:rPr>
              <w:t>项目建成后，可实现全园的物联智能管控，手机、电脑远程控制灌溉及监控，用现代化技术手段种植、管理果树种植，智能灌溉系统可实现精准灌溉，定时定量灌溉，智能化、自动化灌溉。智能灌溉系统更大的优势在于可以提高果树产量，水肥一体化基础上升级智能化管理系统，接入虫情监测系统、农场管理系统、溯源系统等，对全园进行智能化、数据化信息采集和分析管理，实现科学种植，进一步提升园区生产效率和管理水平，降低运营成本。同时可以采集生产过程的相关数据，为后期AI赋能农业的标准化生产打下基础，让种植更加简单，管理更加轻松。大幅提升产业园内的灌溉效率和水肥利用率，实现产业园“旱涝保收”。</w:t>
            </w:r>
          </w:p>
          <w:p w14:paraId="1891FC5E">
            <w:pPr>
              <w:spacing w:line="376" w:lineRule="exact"/>
              <w:ind w:firstLine="422" w:firstLineChars="200"/>
              <w:rPr>
                <w:color w:val="auto"/>
                <w:highlight w:val="none"/>
              </w:rPr>
            </w:pPr>
            <w:r>
              <w:rPr>
                <w:b/>
                <w:bCs/>
                <w:color w:val="auto"/>
                <w:highlight w:val="none"/>
              </w:rPr>
              <w:t>（</w:t>
            </w:r>
            <w:r>
              <w:rPr>
                <w:rFonts w:hint="eastAsia"/>
                <w:b/>
                <w:bCs/>
                <w:color w:val="auto"/>
                <w:highlight w:val="none"/>
              </w:rPr>
              <w:t>1</w:t>
            </w:r>
            <w:r>
              <w:rPr>
                <w:b/>
                <w:bCs/>
                <w:color w:val="auto"/>
                <w:highlight w:val="none"/>
              </w:rPr>
              <w:t>）生产效率的大幅提升。</w:t>
            </w:r>
            <w:r>
              <w:rPr>
                <w:color w:val="auto"/>
                <w:highlight w:val="none"/>
              </w:rPr>
              <w:t>项目通过引入智能化管理系统和物联网设备，实现沃柑种植、管护过程的自动化和精准化管理，有效提高生产效率，减少人力成本，显著提升沃柑产量和质量。通过数据分析和决策支持系统，能够科学合理地配置土壤、水资源和肥料等生产要素，有效减少浪费。</w:t>
            </w:r>
          </w:p>
          <w:p w14:paraId="13E21906">
            <w:pPr>
              <w:spacing w:line="376" w:lineRule="exact"/>
              <w:ind w:firstLine="422" w:firstLineChars="200"/>
              <w:rPr>
                <w:color w:val="auto"/>
                <w:highlight w:val="none"/>
              </w:rPr>
            </w:pPr>
            <w:r>
              <w:rPr>
                <w:b/>
                <w:bCs/>
                <w:color w:val="auto"/>
                <w:highlight w:val="none"/>
              </w:rPr>
              <w:t>（</w:t>
            </w:r>
            <w:r>
              <w:rPr>
                <w:rFonts w:hint="eastAsia"/>
                <w:b/>
                <w:bCs/>
                <w:color w:val="auto"/>
                <w:highlight w:val="none"/>
              </w:rPr>
              <w:t>2</w:t>
            </w:r>
            <w:r>
              <w:rPr>
                <w:b/>
                <w:bCs/>
                <w:color w:val="auto"/>
                <w:highlight w:val="none"/>
              </w:rPr>
              <w:t>）经营风险的有效降低。</w:t>
            </w:r>
            <w:r>
              <w:rPr>
                <w:color w:val="auto"/>
                <w:highlight w:val="none"/>
              </w:rPr>
              <w:t>智慧防治系统的引入，提供精准的病虫害预警服务。有助于</w:t>
            </w:r>
            <w:r>
              <w:rPr>
                <w:rFonts w:hint="eastAsia"/>
                <w:color w:val="auto"/>
                <w:highlight w:val="none"/>
              </w:rPr>
              <w:t>种植户</w:t>
            </w:r>
            <w:r>
              <w:rPr>
                <w:color w:val="auto"/>
                <w:highlight w:val="none"/>
              </w:rPr>
              <w:t>提前预测和应对自然灾害和病虫害等风险，减少不可预见因素造成的损失，有效降低经营风险。</w:t>
            </w:r>
          </w:p>
          <w:p w14:paraId="2BAB2FE8">
            <w:pPr>
              <w:spacing w:line="376" w:lineRule="exact"/>
              <w:ind w:firstLine="422" w:firstLineChars="200"/>
              <w:rPr>
                <w:color w:val="auto"/>
                <w:highlight w:val="none"/>
              </w:rPr>
            </w:pPr>
            <w:r>
              <w:rPr>
                <w:b/>
                <w:bCs/>
                <w:color w:val="auto"/>
                <w:highlight w:val="none"/>
              </w:rPr>
              <w:t>（</w:t>
            </w:r>
            <w:r>
              <w:rPr>
                <w:rFonts w:hint="eastAsia"/>
                <w:b/>
                <w:bCs/>
                <w:color w:val="auto"/>
                <w:highlight w:val="none"/>
              </w:rPr>
              <w:t>3</w:t>
            </w:r>
            <w:r>
              <w:rPr>
                <w:b/>
                <w:bCs/>
                <w:color w:val="auto"/>
                <w:highlight w:val="none"/>
              </w:rPr>
              <w:t>）农业现代化的全面推动。</w:t>
            </w:r>
            <w:r>
              <w:rPr>
                <w:color w:val="auto"/>
                <w:highlight w:val="none"/>
              </w:rPr>
              <w:t>通过数字化、信息化手段的应用，项目示范引领有力推动武鸣区沃柑种植，从低效管理型向现代化、智能化、信息化转型。有效提升沃柑种植的规模化、科技化水平，为沃柑产业高质量的可持续发展奠定基础。</w:t>
            </w:r>
          </w:p>
          <w:p w14:paraId="5926088D">
            <w:pPr>
              <w:spacing w:line="376" w:lineRule="exact"/>
              <w:rPr>
                <w:rFonts w:hint="eastAsia"/>
                <w:b/>
                <w:bCs/>
                <w:color w:val="auto"/>
                <w:highlight w:val="none"/>
              </w:rPr>
            </w:pPr>
            <w:r>
              <w:rPr>
                <w:rFonts w:hint="eastAsia" w:ascii="宋体" w:hAnsi="宋体" w:cs="宋体"/>
                <w:bCs/>
                <w:color w:val="auto"/>
                <w:highlight w:val="none"/>
                <w:lang w:bidi="ar"/>
              </w:rPr>
              <w:t>▲</w:t>
            </w:r>
            <w:r>
              <w:rPr>
                <w:rFonts w:hint="eastAsia" w:ascii="宋体" w:hAnsi="宋体" w:cs="宋体"/>
                <w:bCs/>
                <w:color w:val="auto"/>
                <w:highlight w:val="none"/>
                <w:lang w:val="en-US" w:eastAsia="zh-CN" w:bidi="ar"/>
              </w:rPr>
              <w:t>2</w:t>
            </w:r>
            <w:r>
              <w:rPr>
                <w:rFonts w:hint="eastAsia" w:ascii="宋体" w:hAnsi="宋体" w:cs="宋体"/>
                <w:color w:val="auto"/>
                <w:szCs w:val="21"/>
                <w:highlight w:val="none"/>
                <w:lang w:val="en-US" w:eastAsia="zh-CN"/>
              </w:rPr>
              <w:t>.</w:t>
            </w:r>
            <w:r>
              <w:rPr>
                <w:rFonts w:hint="eastAsia"/>
                <w:b/>
                <w:bCs/>
                <w:color w:val="auto"/>
                <w:highlight w:val="none"/>
              </w:rPr>
              <w:t>服务项目建设规模及主要建设内容</w:t>
            </w:r>
          </w:p>
          <w:p w14:paraId="0029DAC6">
            <w:pPr>
              <w:spacing w:line="376" w:lineRule="exact"/>
              <w:ind w:firstLine="422" w:firstLineChars="200"/>
              <w:rPr>
                <w:rFonts w:hint="eastAsia"/>
                <w:b/>
                <w:bCs/>
                <w:color w:val="auto"/>
                <w:highlight w:val="none"/>
              </w:rPr>
            </w:pPr>
            <w:r>
              <w:rPr>
                <w:rFonts w:hint="eastAsia"/>
                <w:b/>
                <w:bCs/>
                <w:color w:val="auto"/>
                <w:highlight w:val="none"/>
              </w:rPr>
              <w:t>计划开展不少于4500亩沃柑的水肥一体化技改提升（①建设总面积不少于4450亩沃柑种植基地升级智能水肥一体化系统；②建设一个面积50亩的高标准智能水肥一体化种植基地）</w:t>
            </w:r>
          </w:p>
          <w:p w14:paraId="3543A280">
            <w:pPr>
              <w:spacing w:line="376" w:lineRule="exact"/>
              <w:ind w:firstLine="422" w:firstLineChars="200"/>
              <w:rPr>
                <w:rFonts w:hint="eastAsia"/>
                <w:b/>
                <w:bCs/>
                <w:color w:val="auto"/>
                <w:highlight w:val="none"/>
              </w:rPr>
            </w:pPr>
            <w:r>
              <w:rPr>
                <w:rFonts w:hint="eastAsia"/>
                <w:b/>
                <w:bCs/>
                <w:color w:val="auto"/>
                <w:highlight w:val="none"/>
              </w:rPr>
              <w:t>（1）泵房首部系统改造升级</w:t>
            </w:r>
          </w:p>
          <w:p w14:paraId="41C576A6">
            <w:pPr>
              <w:spacing w:line="376" w:lineRule="exact"/>
              <w:ind w:firstLine="422" w:firstLineChars="200"/>
              <w:rPr>
                <w:rFonts w:hint="eastAsia"/>
                <w:color w:val="auto"/>
                <w:highlight w:val="none"/>
              </w:rPr>
            </w:pPr>
            <w:r>
              <w:rPr>
                <w:rFonts w:hint="eastAsia"/>
                <w:b/>
                <w:bCs/>
                <w:color w:val="auto"/>
                <w:highlight w:val="none"/>
              </w:rPr>
              <w:fldChar w:fldCharType="begin"/>
            </w:r>
            <w:r>
              <w:rPr>
                <w:rFonts w:hint="eastAsia"/>
                <w:b/>
                <w:bCs/>
                <w:color w:val="auto"/>
                <w:highlight w:val="none"/>
              </w:rPr>
              <w:instrText xml:space="preserve"> = 1 \* GB3 \* MERGEFORMAT </w:instrText>
            </w:r>
            <w:r>
              <w:rPr>
                <w:rFonts w:hint="eastAsia"/>
                <w:b/>
                <w:bCs/>
                <w:color w:val="auto"/>
                <w:highlight w:val="none"/>
              </w:rPr>
              <w:fldChar w:fldCharType="separate"/>
            </w:r>
            <w:r>
              <w:rPr>
                <w:color w:val="auto"/>
                <w:highlight w:val="none"/>
              </w:rPr>
              <w:t>①</w:t>
            </w:r>
            <w:r>
              <w:rPr>
                <w:rFonts w:hint="eastAsia"/>
                <w:b/>
                <w:bCs/>
                <w:color w:val="auto"/>
                <w:highlight w:val="none"/>
              </w:rPr>
              <w:fldChar w:fldCharType="end"/>
            </w:r>
            <w:r>
              <w:rPr>
                <w:rFonts w:hint="eastAsia"/>
                <w:b/>
                <w:bCs/>
                <w:color w:val="auto"/>
                <w:highlight w:val="none"/>
              </w:rPr>
              <w:t>供水泵升级：</w:t>
            </w:r>
            <w:r>
              <w:rPr>
                <w:rFonts w:hint="eastAsia"/>
                <w:color w:val="auto"/>
                <w:highlight w:val="none"/>
              </w:rPr>
              <w:t>将水泵升级为更大功率满足使用需求，同时升级更换配套功率的水泵变频控制柜。升级后水泵将可满足最大轮灌分区面积为30亩以上，缩短灌溉时间，提高灌溉效率。</w:t>
            </w:r>
          </w:p>
          <w:p w14:paraId="41641F94">
            <w:pPr>
              <w:spacing w:line="376" w:lineRule="exact"/>
              <w:ind w:firstLine="422" w:firstLineChars="200"/>
              <w:rPr>
                <w:rFonts w:hint="eastAsia"/>
                <w:color w:val="auto"/>
                <w:highlight w:val="none"/>
              </w:rPr>
            </w:pPr>
            <w:r>
              <w:rPr>
                <w:rFonts w:hint="eastAsia"/>
                <w:b/>
                <w:bCs/>
                <w:color w:val="auto"/>
                <w:highlight w:val="none"/>
              </w:rPr>
              <w:fldChar w:fldCharType="begin"/>
            </w:r>
            <w:r>
              <w:rPr>
                <w:rFonts w:hint="eastAsia"/>
                <w:b/>
                <w:bCs/>
                <w:color w:val="auto"/>
                <w:highlight w:val="none"/>
              </w:rPr>
              <w:instrText xml:space="preserve"> = 2 \* GB3 \* MERGEFORMAT </w:instrText>
            </w:r>
            <w:r>
              <w:rPr>
                <w:rFonts w:hint="eastAsia"/>
                <w:b/>
                <w:bCs/>
                <w:color w:val="auto"/>
                <w:highlight w:val="none"/>
              </w:rPr>
              <w:fldChar w:fldCharType="separate"/>
            </w:r>
            <w:r>
              <w:rPr>
                <w:color w:val="auto"/>
                <w:highlight w:val="none"/>
              </w:rPr>
              <w:t>②</w:t>
            </w:r>
            <w:r>
              <w:rPr>
                <w:rFonts w:hint="eastAsia"/>
                <w:b/>
                <w:bCs/>
                <w:color w:val="auto"/>
                <w:highlight w:val="none"/>
              </w:rPr>
              <w:fldChar w:fldCharType="end"/>
            </w:r>
            <w:r>
              <w:rPr>
                <w:rFonts w:hint="eastAsia"/>
                <w:b/>
                <w:bCs/>
                <w:color w:val="auto"/>
                <w:highlight w:val="none"/>
              </w:rPr>
              <w:t>机房过滤及注肥系统升级：</w:t>
            </w:r>
            <w:r>
              <w:rPr>
                <w:rFonts w:hint="eastAsia"/>
                <w:color w:val="auto"/>
                <w:highlight w:val="none"/>
              </w:rPr>
              <w:t>升级机房过滤系统，将泵房主管路及相关配套阀门等全部升级；注肥泵改用注入式自动调节施肥机，可实现变频定比例注肥、精确注肥。主要升级安装的设备有：机房过滤系统设备，带搅拌机肥料桶，注入式自动调节施肥机，传感器，止回阀，持压阀等。</w:t>
            </w:r>
          </w:p>
          <w:p w14:paraId="219EEAED">
            <w:pPr>
              <w:spacing w:line="376" w:lineRule="exact"/>
              <w:ind w:firstLine="422" w:firstLineChars="200"/>
              <w:rPr>
                <w:rFonts w:hint="eastAsia"/>
                <w:b/>
                <w:bCs/>
                <w:color w:val="auto"/>
                <w:highlight w:val="none"/>
              </w:rPr>
            </w:pPr>
            <w:r>
              <w:rPr>
                <w:rFonts w:hint="eastAsia"/>
                <w:b/>
                <w:bCs/>
                <w:color w:val="auto"/>
                <w:highlight w:val="none"/>
              </w:rPr>
              <w:t>（2）输水管网系统改造升级</w:t>
            </w:r>
          </w:p>
          <w:p w14:paraId="2CFC7C82">
            <w:pPr>
              <w:spacing w:line="376" w:lineRule="exact"/>
              <w:ind w:firstLine="420" w:firstLineChars="200"/>
              <w:rPr>
                <w:rFonts w:hint="eastAsia"/>
                <w:color w:val="auto"/>
                <w:highlight w:val="none"/>
              </w:rPr>
            </w:pPr>
            <w:r>
              <w:rPr>
                <w:rFonts w:hint="eastAsia"/>
                <w:color w:val="auto"/>
                <w:highlight w:val="none"/>
              </w:rPr>
              <w:t>根据各个基地使用需求改造原有PVC与PE管网，预留部分费用购买PVC及PE管材管件用于改造管网。根据实际实施情况调整。</w:t>
            </w:r>
          </w:p>
          <w:p w14:paraId="0A751935">
            <w:pPr>
              <w:spacing w:line="376" w:lineRule="exact"/>
              <w:rPr>
                <w:rFonts w:hint="eastAsia"/>
                <w:b/>
                <w:bCs/>
                <w:color w:val="auto"/>
                <w:highlight w:val="none"/>
              </w:rPr>
            </w:pPr>
            <w:r>
              <w:rPr>
                <w:rFonts w:hint="eastAsia"/>
                <w:b/>
                <w:bCs/>
                <w:color w:val="auto"/>
                <w:highlight w:val="none"/>
              </w:rPr>
              <w:t xml:space="preserve">    （3）自动控制系统改造升级</w:t>
            </w:r>
          </w:p>
          <w:p w14:paraId="4CF51DAA">
            <w:pPr>
              <w:spacing w:line="376" w:lineRule="exact"/>
              <w:ind w:firstLine="420" w:firstLineChars="200"/>
              <w:rPr>
                <w:rFonts w:hint="eastAsia"/>
                <w:color w:val="auto"/>
                <w:highlight w:val="none"/>
              </w:rPr>
            </w:pPr>
            <w:r>
              <w:rPr>
                <w:rFonts w:hint="eastAsia"/>
                <w:color w:val="auto"/>
                <w:highlight w:val="none"/>
              </w:rPr>
              <w:t>更换中央控制系统软件以及田间无线解码控制器等，并将增加相应的气象采集与土壤墒情传感器，与中央控制联动使用。主要升级安装的设备有：灌溉中央服务控制器，配套手机APP软件，田间电磁调压阀，以及相关连接配件等。</w:t>
            </w:r>
          </w:p>
          <w:p w14:paraId="3D7B7152">
            <w:pPr>
              <w:spacing w:line="376" w:lineRule="exact"/>
              <w:ind w:firstLine="422" w:firstLineChars="200"/>
              <w:rPr>
                <w:rFonts w:hint="eastAsia"/>
                <w:b/>
                <w:bCs/>
                <w:color w:val="auto"/>
                <w:highlight w:val="none"/>
              </w:rPr>
            </w:pPr>
            <w:r>
              <w:rPr>
                <w:rFonts w:hint="eastAsia"/>
                <w:b/>
                <w:bCs/>
                <w:color w:val="auto"/>
                <w:highlight w:val="none"/>
              </w:rPr>
              <w:t>（4）田间毛管及灌水器系统升级</w:t>
            </w:r>
          </w:p>
          <w:p w14:paraId="71DFC34B">
            <w:pPr>
              <w:spacing w:line="376" w:lineRule="exact"/>
              <w:ind w:firstLine="420" w:firstLineChars="200"/>
              <w:rPr>
                <w:rFonts w:hint="eastAsia"/>
                <w:color w:val="auto"/>
                <w:highlight w:val="none"/>
              </w:rPr>
            </w:pPr>
            <w:r>
              <w:rPr>
                <w:rFonts w:hint="eastAsia"/>
                <w:color w:val="auto"/>
                <w:highlight w:val="none"/>
              </w:rPr>
              <w:t>将原有的毛管全面升级，微喷头统一更换为压力补偿式微喷头。主要升级安装的设备有：微喷头，全新LDPE管，配套连接配件等。</w:t>
            </w:r>
          </w:p>
          <w:p w14:paraId="66CE671B">
            <w:pPr>
              <w:spacing w:line="376" w:lineRule="exact"/>
              <w:ind w:firstLine="422" w:firstLineChars="200"/>
              <w:rPr>
                <w:rFonts w:hint="eastAsia"/>
                <w:b/>
                <w:bCs/>
                <w:color w:val="auto"/>
                <w:highlight w:val="none"/>
              </w:rPr>
            </w:pPr>
            <w:r>
              <w:rPr>
                <w:rFonts w:hint="eastAsia"/>
                <w:b/>
                <w:bCs/>
                <w:color w:val="auto"/>
                <w:highlight w:val="none"/>
              </w:rPr>
              <w:t>（5）全园物联智能管控系统建设</w:t>
            </w:r>
          </w:p>
          <w:p w14:paraId="1AE34DCA">
            <w:pPr>
              <w:spacing w:line="376" w:lineRule="exact"/>
              <w:ind w:firstLine="420" w:firstLineChars="200"/>
              <w:rPr>
                <w:rFonts w:hint="eastAsia"/>
                <w:color w:val="auto"/>
                <w:highlight w:val="none"/>
              </w:rPr>
            </w:pPr>
            <w:r>
              <w:rPr>
                <w:rFonts w:hint="eastAsia"/>
                <w:color w:val="auto"/>
                <w:highlight w:val="none"/>
              </w:rPr>
              <w:t>主要建设内容包括360°全景系统、物联管控系统、种植生产管理系统、植物生长记录系统、虫情监测系统、温光水肥气热监测系统及小型气象站等设施。主要升级安装的设备有：LED屏显示器，种植基地一张图全景系统，物联网管控系统，综合气象站，土壤墒情传感器，土壤墒情检测仪，气体环境监测传感器等。</w:t>
            </w:r>
          </w:p>
          <w:p w14:paraId="62578CBB">
            <w:pPr>
              <w:spacing w:line="376" w:lineRule="exact"/>
              <w:rPr>
                <w:rFonts w:hint="eastAsia"/>
                <w:b/>
                <w:bCs/>
                <w:color w:val="auto"/>
                <w:highlight w:val="none"/>
              </w:rPr>
            </w:pPr>
          </w:p>
          <w:p w14:paraId="54155950">
            <w:pPr>
              <w:spacing w:line="376" w:lineRule="exact"/>
              <w:rPr>
                <w:b/>
                <w:bCs/>
                <w:color w:val="auto"/>
                <w:highlight w:val="none"/>
              </w:rPr>
            </w:pPr>
            <w:r>
              <w:rPr>
                <w:rFonts w:hint="eastAsia" w:ascii="宋体" w:hAnsi="宋体" w:cs="宋体"/>
                <w:color w:val="auto"/>
                <w:szCs w:val="21"/>
                <w:highlight w:val="none"/>
                <w:lang w:val="en-US" w:eastAsia="zh-CN"/>
              </w:rPr>
              <w:t>3.</w:t>
            </w:r>
            <w:r>
              <w:rPr>
                <w:rFonts w:hint="eastAsia"/>
                <w:b/>
                <w:bCs/>
                <w:color w:val="auto"/>
                <w:highlight w:val="none"/>
              </w:rPr>
              <w:t>服务项目需求清单：</w:t>
            </w:r>
          </w:p>
          <w:p w14:paraId="48836943">
            <w:pPr>
              <w:spacing w:line="376" w:lineRule="exact"/>
              <w:rPr>
                <w:rFonts w:ascii="宋体" w:hAnsi="宋体"/>
                <w:bCs/>
                <w:color w:val="auto"/>
                <w:szCs w:val="21"/>
                <w:highlight w:val="none"/>
              </w:rPr>
            </w:pPr>
            <w:r>
              <w:rPr>
                <w:rFonts w:hint="eastAsia" w:ascii="宋体" w:hAnsi="宋体" w:cs="宋体"/>
                <w:b/>
                <w:bCs/>
                <w:color w:val="auto"/>
                <w:kern w:val="0"/>
                <w:sz w:val="20"/>
                <w:szCs w:val="20"/>
                <w:highlight w:val="none"/>
                <w:lang w:bidi="ar"/>
              </w:rPr>
              <w:t xml:space="preserve"> 本项目需求清单包含两项内容：①建设总面积不少于4450亩沃柑种植基地升级智能水肥一体化系统，需求清单内容详见附件1，该项内容的预算金额为1568万元，超过该项内容预算金额的投标报价将视为无效投标；②建设一个面积50亩的高标准智能水肥一体化种植基地，需求清单内容详见附件2，该项内容的预算金额为132万元，超过该项内容预算金额的投标报价将视为无效投标；投标人须具体响应附件1、附件2的需求清单内容，投标人响应本服务项目的系统要求及配套设备参数时不得低于附件1、附件2的要求。</w:t>
            </w:r>
          </w:p>
        </w:tc>
      </w:tr>
      <w:tr w14:paraId="26F5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27" w:type="dxa"/>
            <w:noWrap w:val="0"/>
            <w:vAlign w:val="center"/>
          </w:tcPr>
          <w:p w14:paraId="55E93A12">
            <w:pPr>
              <w:spacing w:line="376" w:lineRule="exact"/>
              <w:rPr>
                <w:rFonts w:hint="eastAsia"/>
                <w:b/>
                <w:bCs/>
                <w:color w:val="auto"/>
                <w:highlight w:val="none"/>
              </w:rPr>
            </w:pPr>
            <w:r>
              <w:rPr>
                <w:rFonts w:hint="eastAsia" w:ascii="宋体" w:hAnsi="宋体" w:cs="宋体"/>
                <w:bCs/>
                <w:color w:val="auto"/>
                <w:highlight w:val="none"/>
                <w:lang w:bidi="ar"/>
              </w:rPr>
              <w:t>▲</w:t>
            </w:r>
            <w:r>
              <w:rPr>
                <w:rFonts w:hint="eastAsia"/>
                <w:b/>
                <w:bCs/>
                <w:color w:val="auto"/>
                <w:highlight w:val="none"/>
              </w:rPr>
              <w:t>二、商务要求</w:t>
            </w:r>
          </w:p>
        </w:tc>
        <w:tc>
          <w:tcPr>
            <w:tcW w:w="9689" w:type="dxa"/>
            <w:gridSpan w:val="4"/>
            <w:noWrap w:val="0"/>
            <w:vAlign w:val="center"/>
          </w:tcPr>
          <w:p w14:paraId="50E4601D">
            <w:pPr>
              <w:snapToGrid w:val="0"/>
              <w:spacing w:line="376" w:lineRule="exact"/>
              <w:rPr>
                <w:rFonts w:hint="eastAsia"/>
                <w:color w:val="auto"/>
                <w:highlight w:val="none"/>
              </w:rPr>
            </w:pPr>
            <w:r>
              <w:rPr>
                <w:rFonts w:hint="eastAsia" w:ascii="宋体" w:hAnsi="宋体" w:cs="宋体"/>
                <w:b/>
                <w:bCs/>
                <w:color w:val="auto"/>
                <w:szCs w:val="21"/>
                <w:highlight w:val="none"/>
              </w:rPr>
              <w:t>（一）合同签订期：</w:t>
            </w:r>
            <w:r>
              <w:rPr>
                <w:rFonts w:hint="eastAsia" w:ascii="宋体" w:hAnsi="宋体" w:cs="宋体"/>
                <w:color w:val="auto"/>
                <w:szCs w:val="21"/>
                <w:highlight w:val="none"/>
              </w:rPr>
              <w:t>自中标通知书发出之日起10日内。</w:t>
            </w:r>
          </w:p>
          <w:p w14:paraId="617F6825">
            <w:pPr>
              <w:spacing w:line="376" w:lineRule="exact"/>
              <w:rPr>
                <w:rFonts w:hint="eastAsia"/>
                <w:color w:val="auto"/>
                <w:highlight w:val="none"/>
              </w:rPr>
            </w:pPr>
            <w:r>
              <w:rPr>
                <w:rFonts w:hint="eastAsia"/>
                <w:b/>
                <w:bCs/>
                <w:color w:val="auto"/>
                <w:highlight w:val="none"/>
              </w:rPr>
              <w:t>（二）服务成果提交时间：</w:t>
            </w:r>
            <w:r>
              <w:rPr>
                <w:rFonts w:hint="eastAsia"/>
                <w:color w:val="auto"/>
                <w:highlight w:val="none"/>
              </w:rPr>
              <w:t>本项目服务成果分三期进度执行：</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color w:val="auto"/>
                <w:highlight w:val="none"/>
              </w:rPr>
              <w:t>一期进度：合同签订后—2026年8月，根据采购人要求，完成不少于1250亩沃柑标准化种植基地智能水肥一体化基地，以及50亩智能水肥一体化高标准种植基地的提升建设、验收、总结、配合项目审计工作等；</w:t>
            </w:r>
            <w:r>
              <w:rPr>
                <w:rFonts w:hint="eastAsia"/>
                <w:color w:val="auto"/>
                <w:highlight w:val="none"/>
                <w:lang w:val="en-US" w:eastAsia="zh-CN"/>
              </w:rPr>
              <w:t>2</w:t>
            </w:r>
            <w:r>
              <w:rPr>
                <w:rFonts w:hint="eastAsia" w:ascii="宋体" w:hAnsi="宋体" w:cs="宋体"/>
                <w:color w:val="auto"/>
                <w:szCs w:val="21"/>
                <w:highlight w:val="none"/>
                <w:lang w:val="en-US" w:eastAsia="zh-CN"/>
              </w:rPr>
              <w:t>.</w:t>
            </w:r>
            <w:r>
              <w:rPr>
                <w:rFonts w:hint="eastAsia"/>
                <w:color w:val="auto"/>
                <w:highlight w:val="none"/>
              </w:rPr>
              <w:t>二期进度：合同签订后—2026年12月，完成不少于1300亩沃柑标准化种植基地智能水肥一体化基地提升建设、验收、总结、配合项目审计工作等；</w:t>
            </w:r>
            <w:r>
              <w:rPr>
                <w:rFonts w:hint="eastAsia"/>
                <w:color w:val="auto"/>
                <w:highlight w:val="none"/>
                <w:lang w:val="en-US" w:eastAsia="zh-CN"/>
              </w:rPr>
              <w:t>3</w:t>
            </w:r>
            <w:r>
              <w:rPr>
                <w:rFonts w:hint="eastAsia" w:ascii="宋体" w:hAnsi="宋体" w:cs="宋体"/>
                <w:color w:val="auto"/>
                <w:szCs w:val="21"/>
                <w:highlight w:val="none"/>
                <w:lang w:val="en-US" w:eastAsia="zh-CN"/>
              </w:rPr>
              <w:t>.</w:t>
            </w:r>
            <w:r>
              <w:rPr>
                <w:rFonts w:hint="eastAsia"/>
                <w:color w:val="auto"/>
                <w:highlight w:val="none"/>
              </w:rPr>
              <w:t>三期进度：2027年1月—2027年12月，根据采购人要求，完成不少于1900亩沃柑标准化种植基地智能水肥一体化基地提升建设、验收、总结、配合项目审计工作等。</w:t>
            </w:r>
          </w:p>
          <w:p w14:paraId="41CC46A6">
            <w:pPr>
              <w:spacing w:line="376" w:lineRule="exact"/>
              <w:rPr>
                <w:rFonts w:hint="eastAsia"/>
                <w:color w:val="auto"/>
                <w:highlight w:val="none"/>
              </w:rPr>
            </w:pPr>
            <w:r>
              <w:rPr>
                <w:rFonts w:hint="eastAsia"/>
                <w:b/>
                <w:bCs/>
                <w:color w:val="auto"/>
                <w:highlight w:val="none"/>
              </w:rPr>
              <w:t>（三）服务成果提交地点：</w:t>
            </w:r>
            <w:r>
              <w:rPr>
                <w:rFonts w:hint="eastAsia"/>
                <w:color w:val="auto"/>
                <w:highlight w:val="none"/>
              </w:rPr>
              <w:t>采购人指定的地点（南宁市武鸣区）。</w:t>
            </w:r>
          </w:p>
          <w:p w14:paraId="379FFE76">
            <w:pPr>
              <w:spacing w:line="376" w:lineRule="exact"/>
              <w:rPr>
                <w:rFonts w:hint="eastAsia" w:eastAsia="宋体"/>
                <w:color w:val="auto"/>
                <w:highlight w:val="none"/>
                <w:lang w:eastAsia="zh-CN"/>
              </w:rPr>
            </w:pPr>
            <w:r>
              <w:rPr>
                <w:rFonts w:hint="eastAsia"/>
                <w:b/>
                <w:bCs/>
                <w:color w:val="auto"/>
                <w:highlight w:val="none"/>
              </w:rPr>
              <w:t>（四）服务期：</w:t>
            </w:r>
            <w:r>
              <w:rPr>
                <w:rFonts w:hint="eastAsia" w:ascii="宋体" w:hAnsi="宋体"/>
                <w:color w:val="auto"/>
                <w:szCs w:val="21"/>
                <w:highlight w:val="none"/>
              </w:rPr>
              <w:t>本项目分三期进度，从每期项目验收之日起（经采购人验收通过之日起计），中标人每期整体均提供三年服务</w:t>
            </w:r>
            <w:r>
              <w:rPr>
                <w:rFonts w:hint="eastAsia"/>
                <w:color w:val="auto"/>
                <w:highlight w:val="none"/>
              </w:rPr>
              <w:t>。</w:t>
            </w:r>
          </w:p>
          <w:p w14:paraId="69BE4AED">
            <w:pPr>
              <w:spacing w:line="376" w:lineRule="exact"/>
              <w:rPr>
                <w:rFonts w:hint="eastAsia"/>
                <w:b/>
                <w:bCs/>
                <w:color w:val="auto"/>
                <w:highlight w:val="none"/>
              </w:rPr>
            </w:pPr>
            <w:r>
              <w:rPr>
                <w:rFonts w:hint="eastAsia"/>
                <w:b/>
                <w:bCs/>
                <w:color w:val="auto"/>
                <w:highlight w:val="none"/>
              </w:rPr>
              <w:t>（五）售后服务要求：</w:t>
            </w:r>
          </w:p>
          <w:p w14:paraId="7326FFFD">
            <w:pPr>
              <w:spacing w:line="376"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b/>
                <w:bCs/>
                <w:color w:val="auto"/>
                <w:highlight w:val="none"/>
              </w:rPr>
              <w:t>售后服务期：</w:t>
            </w:r>
            <w:r>
              <w:rPr>
                <w:rFonts w:hint="eastAsia"/>
                <w:color w:val="auto"/>
                <w:highlight w:val="none"/>
              </w:rPr>
              <w:t>本项目分三期进度，从每期项目验收之日起（经采购人验收通过之日起计），每期项目平台软硬件所有权归业主方，中标人每期整体均提供三年服务，同时提供服务期内免费维护、质保、保修服务。</w:t>
            </w:r>
          </w:p>
          <w:p w14:paraId="6631B968">
            <w:pPr>
              <w:spacing w:line="376" w:lineRule="exact"/>
              <w:ind w:firstLine="420" w:firstLineChars="200"/>
              <w:rPr>
                <w:rFonts w:hint="eastAsia" w:eastAsia="宋体"/>
                <w:color w:val="auto"/>
                <w:highlight w:val="none"/>
                <w:lang w:eastAsia="zh-CN"/>
              </w:rPr>
            </w:pPr>
            <w:r>
              <w:rPr>
                <w:rFonts w:hint="eastAsia" w:ascii="宋体" w:hAnsi="宋体" w:cs="宋体"/>
                <w:color w:val="auto"/>
                <w:szCs w:val="21"/>
                <w:highlight w:val="none"/>
                <w:lang w:val="en-US" w:eastAsia="zh-CN"/>
              </w:rPr>
              <w:t>2.</w:t>
            </w:r>
            <w:r>
              <w:rPr>
                <w:rFonts w:hint="eastAsia"/>
                <w:color w:val="auto"/>
                <w:highlight w:val="none"/>
              </w:rPr>
              <w:t>在系统上线和试运行阶段，提供不少于6个月驻点服务，提供</w:t>
            </w:r>
            <w:r>
              <w:rPr>
                <w:rFonts w:hint="eastAsia"/>
                <w:color w:val="auto"/>
                <w:highlight w:val="none"/>
                <w:lang w:val="en-US" w:eastAsia="zh-CN"/>
              </w:rPr>
              <w:t>1名</w:t>
            </w:r>
            <w:r>
              <w:rPr>
                <w:rFonts w:hint="eastAsia"/>
                <w:color w:val="auto"/>
                <w:highlight w:val="none"/>
              </w:rPr>
              <w:t>专业技术服务人员进行现场服务及技术指导。</w:t>
            </w:r>
          </w:p>
          <w:p w14:paraId="71BA3132">
            <w:pPr>
              <w:spacing w:line="376" w:lineRule="exact"/>
              <w:ind w:firstLine="420" w:firstLineChars="200"/>
              <w:rPr>
                <w:rFonts w:hint="eastAsia"/>
                <w:color w:val="auto"/>
                <w:highlight w:val="none"/>
                <w:lang w:eastAsia="zh-CN"/>
              </w:rPr>
            </w:pPr>
            <w:r>
              <w:rPr>
                <w:rFonts w:hint="eastAsia" w:ascii="宋体" w:hAnsi="宋体" w:cs="宋体"/>
                <w:color w:val="auto"/>
                <w:szCs w:val="21"/>
                <w:highlight w:val="none"/>
                <w:lang w:val="en-US" w:eastAsia="zh-CN"/>
              </w:rPr>
              <w:t>3.</w:t>
            </w:r>
            <w:r>
              <w:rPr>
                <w:rFonts w:hint="eastAsia"/>
                <w:color w:val="auto"/>
                <w:highlight w:val="none"/>
              </w:rPr>
              <w:t>在维护期提供 7×24 小时电话服务和网络在线客服服务</w:t>
            </w:r>
            <w:r>
              <w:rPr>
                <w:rFonts w:hint="eastAsia"/>
                <w:color w:val="auto"/>
                <w:highlight w:val="none"/>
                <w:lang w:eastAsia="zh-CN"/>
              </w:rPr>
              <w:t>。</w:t>
            </w:r>
          </w:p>
          <w:p w14:paraId="02E7A1AB">
            <w:pPr>
              <w:spacing w:line="376" w:lineRule="exact"/>
              <w:ind w:firstLine="420" w:firstLineChars="200"/>
              <w:rPr>
                <w:rFonts w:hint="eastAsia" w:eastAsia="宋体"/>
                <w:color w:val="auto"/>
                <w:highlight w:val="none"/>
                <w:lang w:eastAsia="zh-CN"/>
              </w:rPr>
            </w:pPr>
            <w:r>
              <w:rPr>
                <w:rFonts w:hint="eastAsia" w:ascii="宋体" w:hAnsi="宋体" w:cs="宋体"/>
                <w:color w:val="auto"/>
                <w:szCs w:val="21"/>
                <w:highlight w:val="none"/>
                <w:lang w:val="en-US" w:eastAsia="zh-CN"/>
              </w:rPr>
              <w:t>4.</w:t>
            </w:r>
            <w:r>
              <w:rPr>
                <w:rFonts w:hint="eastAsia"/>
                <w:color w:val="auto"/>
                <w:highlight w:val="none"/>
              </w:rPr>
              <w:t>在接到故障报修后或采购人有服务需求的，在2小时内响应</w:t>
            </w:r>
            <w:r>
              <w:rPr>
                <w:rFonts w:hint="eastAsia"/>
                <w:color w:val="auto"/>
                <w:highlight w:val="none"/>
                <w:lang w:eastAsia="zh-CN"/>
              </w:rPr>
              <w:t>；</w:t>
            </w:r>
            <w:r>
              <w:rPr>
                <w:rFonts w:hint="eastAsia"/>
                <w:color w:val="auto"/>
                <w:highlight w:val="none"/>
              </w:rPr>
              <w:t>对于一般问题，承诺6个小时内解决</w:t>
            </w:r>
            <w:r>
              <w:rPr>
                <w:rFonts w:hint="eastAsia"/>
                <w:color w:val="auto"/>
                <w:highlight w:val="none"/>
                <w:lang w:eastAsia="zh-CN"/>
              </w:rPr>
              <w:t>；</w:t>
            </w:r>
            <w:r>
              <w:rPr>
                <w:rFonts w:hint="eastAsia"/>
                <w:color w:val="auto"/>
                <w:highlight w:val="none"/>
              </w:rPr>
              <w:t>对于不能远程解决的紧急故障，36小时内到达现场，到达现场后8小时内排除设备故障（遇到自然灾害等不可抗拒事故除外）</w:t>
            </w:r>
            <w:r>
              <w:rPr>
                <w:rFonts w:hint="eastAsia"/>
                <w:color w:val="auto"/>
                <w:highlight w:val="none"/>
                <w:lang w:eastAsia="zh-CN"/>
              </w:rPr>
              <w:t>；</w:t>
            </w:r>
            <w:r>
              <w:rPr>
                <w:rFonts w:hint="eastAsia"/>
                <w:color w:val="auto"/>
                <w:highlight w:val="none"/>
                <w:lang w:val="en-US" w:eastAsia="zh-CN"/>
              </w:rPr>
              <w:t>对于</w:t>
            </w:r>
            <w:r>
              <w:rPr>
                <w:rFonts w:hint="eastAsia"/>
                <w:color w:val="auto"/>
                <w:highlight w:val="none"/>
              </w:rPr>
              <w:t>短时间内不能解决的问题，立即提供应急措施。</w:t>
            </w:r>
          </w:p>
          <w:p w14:paraId="2117C1C0">
            <w:pPr>
              <w:spacing w:line="376" w:lineRule="exact"/>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color w:val="auto"/>
                <w:highlight w:val="none"/>
              </w:rPr>
              <w:t>提供电子邮件、服务电话、远程登录和现场处理等故障响应方式。</w:t>
            </w:r>
          </w:p>
          <w:p w14:paraId="06E03FF4">
            <w:pPr>
              <w:spacing w:line="376" w:lineRule="exact"/>
              <w:rPr>
                <w:rFonts w:hint="eastAsia"/>
                <w:b/>
                <w:bCs/>
                <w:color w:val="auto"/>
                <w:highlight w:val="none"/>
              </w:rPr>
            </w:pPr>
            <w:r>
              <w:rPr>
                <w:rFonts w:hint="eastAsia"/>
                <w:b/>
                <w:bCs/>
                <w:color w:val="auto"/>
                <w:highlight w:val="none"/>
              </w:rPr>
              <w:t>（六）培训要求：</w:t>
            </w:r>
          </w:p>
          <w:p w14:paraId="5ED9991D">
            <w:pPr>
              <w:spacing w:line="376" w:lineRule="exact"/>
              <w:ind w:firstLine="420" w:firstLineChars="200"/>
              <w:rPr>
                <w:rFonts w:hint="eastAsia"/>
                <w:color w:val="auto"/>
                <w:highlight w:val="none"/>
              </w:rPr>
            </w:pPr>
            <w:r>
              <w:rPr>
                <w:rFonts w:hint="eastAsia"/>
                <w:color w:val="auto"/>
                <w:highlight w:val="none"/>
              </w:rPr>
              <w:t>投标人需承诺在每期系统试运行后项目验收前，提供不少于5场次用户操作培训，每次培训</w:t>
            </w:r>
            <w:r>
              <w:rPr>
                <w:rFonts w:hint="eastAsia"/>
                <w:color w:val="auto"/>
                <w:highlight w:val="none"/>
                <w:lang w:val="en-US" w:eastAsia="zh-CN"/>
              </w:rPr>
              <w:t>不</w:t>
            </w:r>
            <w:r>
              <w:rPr>
                <w:rFonts w:hint="eastAsia"/>
                <w:color w:val="auto"/>
                <w:highlight w:val="none"/>
              </w:rPr>
              <w:t>少于5天。培训对象针对项目管理人员（业主领导、项目管理人员、技术人员、种植户等），培训方式主要包括但不限于专题讲座、现场教学、实操演练培训等方式，并制定详细培训计划，进行全方位、多层次的技术培训，从而提升项目管理人员的专业能力和实际操作技能，为项目后续可持续性提供保障。</w:t>
            </w:r>
          </w:p>
          <w:p w14:paraId="13C5BA84">
            <w:pPr>
              <w:spacing w:line="376" w:lineRule="exact"/>
              <w:rPr>
                <w:rFonts w:hint="eastAsia"/>
                <w:b/>
                <w:bCs/>
                <w:color w:val="auto"/>
                <w:highlight w:val="none"/>
              </w:rPr>
            </w:pPr>
            <w:r>
              <w:rPr>
                <w:rFonts w:hint="eastAsia"/>
                <w:b/>
                <w:bCs/>
                <w:color w:val="auto"/>
                <w:highlight w:val="none"/>
              </w:rPr>
              <w:t>（七）其他要求：</w:t>
            </w:r>
          </w:p>
          <w:p w14:paraId="4D31A4CB">
            <w:pPr>
              <w:spacing w:line="376" w:lineRule="exact"/>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color w:val="auto"/>
                <w:highlight w:val="none"/>
              </w:rPr>
              <w:t>配套设备必须是全新、完整、未使用过的产品；设备到货后，供货商和购买方应在现场进行清点；清点过程中如果发现因包装或运输不当引起的产品外观或内部的损坏，供货商应负责更换；若发现错发/漏发情况，供货商应负责更换和补发；</w:t>
            </w:r>
          </w:p>
          <w:p w14:paraId="7C29FED7">
            <w:pPr>
              <w:spacing w:line="376" w:lineRule="exact"/>
              <w:ind w:firstLine="420" w:firstLineChars="200"/>
              <w:rPr>
                <w:rFonts w:hint="eastAsia"/>
                <w:color w:val="auto"/>
                <w:highlight w:val="none"/>
              </w:rPr>
            </w:pPr>
            <w:r>
              <w:rPr>
                <w:rFonts w:hint="eastAsia" w:ascii="宋体" w:hAnsi="宋体" w:cs="宋体"/>
                <w:color w:val="auto"/>
                <w:szCs w:val="21"/>
                <w:highlight w:val="none"/>
                <w:u w:val="none"/>
                <w:lang w:val="en-US" w:eastAsia="zh-CN"/>
              </w:rPr>
              <w:t>2.</w:t>
            </w:r>
            <w:r>
              <w:rPr>
                <w:rFonts w:hint="eastAsia"/>
                <w:color w:val="auto"/>
                <w:highlight w:val="none"/>
              </w:rPr>
              <w:t>服务标准及验收标准：</w:t>
            </w:r>
          </w:p>
          <w:p w14:paraId="60F448EF">
            <w:pPr>
              <w:spacing w:line="37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（1）合同履行过程中，采购人按照本项目合同及招标文件、中标供应商投标文件承诺</w:t>
            </w:r>
            <w:r>
              <w:rPr>
                <w:rFonts w:hint="eastAsia" w:ascii="宋体" w:hAnsi="宋体"/>
                <w:color w:val="auto"/>
                <w:szCs w:val="21"/>
                <w:highlight w:val="none"/>
                <w:lang w:val="en-US" w:eastAsia="zh-CN"/>
              </w:rPr>
              <w:t>的内容</w:t>
            </w:r>
            <w:r>
              <w:rPr>
                <w:rFonts w:hint="eastAsia" w:ascii="宋体" w:hAnsi="宋体"/>
                <w:color w:val="auto"/>
                <w:szCs w:val="21"/>
                <w:highlight w:val="none"/>
              </w:rPr>
              <w:t>进行验收，如服务验收不合格，由中标供应商按采购人要求整改，中标供应商不按要求整改或拒不整改的，采购人有权终止合同，给采购人造成的损失等费用由中标供应商承担。如不符合招标文件采购需求以及提供虚假承诺的，按相关规定做违约处理，采购人依据相关法律规定追究中标供应商的责任，由此带来的一切损失由中标供应商自行承担。</w:t>
            </w:r>
          </w:p>
          <w:p w14:paraId="6A78310E">
            <w:pPr>
              <w:spacing w:line="376" w:lineRule="exact"/>
              <w:ind w:firstLine="420" w:firstLineChars="200"/>
              <w:rPr>
                <w:rFonts w:hint="eastAsia"/>
                <w:color w:val="auto"/>
                <w:highlight w:val="none"/>
              </w:rPr>
            </w:pPr>
            <w:r>
              <w:rPr>
                <w:rFonts w:hint="eastAsia"/>
                <w:color w:val="auto"/>
                <w:highlight w:val="none"/>
              </w:rPr>
              <w:t>（2）中标人所投产品，在质保期如有质量监督部门要求对产品进行检测、检验时，必须派出厂方代表协助检查；</w:t>
            </w:r>
          </w:p>
          <w:p w14:paraId="05B25391">
            <w:pPr>
              <w:spacing w:line="376" w:lineRule="exact"/>
              <w:ind w:firstLine="420" w:firstLineChars="200"/>
              <w:rPr>
                <w:rFonts w:hint="eastAsia"/>
                <w:color w:val="auto"/>
                <w:highlight w:val="none"/>
              </w:rPr>
            </w:pPr>
            <w:r>
              <w:rPr>
                <w:rFonts w:hint="eastAsia"/>
                <w:color w:val="auto"/>
                <w:highlight w:val="none"/>
              </w:rPr>
              <w:t>（3）服务成果提交时，所有产品均严格按签订的政府采购合同、投标人响应和承诺的技术参数及性能和国家有关标准进行验收，达不到要求的不予验收，视为产品验收不合格，采购单位可解除双方的供货合同。</w:t>
            </w:r>
          </w:p>
          <w:p w14:paraId="0F0DBBED">
            <w:pPr>
              <w:spacing w:line="376" w:lineRule="exact"/>
              <w:ind w:firstLine="420" w:firstLineChars="200"/>
              <w:rPr>
                <w:rFonts w:hint="eastAsia"/>
                <w:color w:val="auto"/>
                <w:highlight w:val="none"/>
              </w:rPr>
            </w:pPr>
            <w:r>
              <w:rPr>
                <w:rFonts w:hint="eastAsia" w:ascii="宋体" w:hAnsi="宋体"/>
                <w:color w:val="auto"/>
                <w:szCs w:val="21"/>
                <w:highlight w:val="none"/>
              </w:rPr>
              <w:t>（4）验收程序符合现行国家相关标准、行业标准、地方标准或者其他标准、规范。</w:t>
            </w:r>
          </w:p>
          <w:p w14:paraId="6ADCA0D5">
            <w:pPr>
              <w:spacing w:line="376" w:lineRule="exact"/>
              <w:ind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对本项目可能涉及的运行维护、升级更新、备品备件、耗材等做出相应的优惠措施。</w:t>
            </w:r>
          </w:p>
          <w:p w14:paraId="058EA12B">
            <w:pPr>
              <w:spacing w:line="376" w:lineRule="exact"/>
              <w:ind w:firstLine="420" w:firstLineChars="200"/>
              <w:rPr>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投标人根据招标文件“第四章  评标方法及评分标准”要求，在投标文件中提供关于本项目的报价、技术、商务等方面内容。</w:t>
            </w:r>
          </w:p>
          <w:p w14:paraId="2E580964">
            <w:pPr>
              <w:spacing w:line="376" w:lineRule="exact"/>
              <w:rPr>
                <w:rFonts w:hint="eastAsia"/>
                <w:b/>
                <w:bCs/>
                <w:color w:val="auto"/>
                <w:highlight w:val="none"/>
              </w:rPr>
            </w:pPr>
            <w:r>
              <w:rPr>
                <w:rFonts w:hint="eastAsia"/>
                <w:b/>
                <w:bCs/>
                <w:color w:val="auto"/>
                <w:highlight w:val="none"/>
              </w:rPr>
              <w:t>（八）付款方式：</w:t>
            </w:r>
          </w:p>
          <w:p w14:paraId="38A42931">
            <w:pPr>
              <w:spacing w:line="376" w:lineRule="exact"/>
              <w:ind w:firstLine="420" w:firstLineChars="200"/>
              <w:rPr>
                <w:rFonts w:hint="eastAsia"/>
                <w:color w:val="auto"/>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w:t>
            </w:r>
            <w:r>
              <w:rPr>
                <w:rFonts w:hint="eastAsia"/>
                <w:color w:val="auto"/>
                <w:highlight w:val="none"/>
                <w:u w:val="single"/>
              </w:rPr>
              <w:t>项目签订合同后10个工作日内支付项目合同年度预算金额的30%作为预付款，项目进度拨款不低于项目完成进度金额的90%，项目整体工作完成并通过最终验收后支付至合同总金额的97%；剩余3%为质保金，待项目质保期结束后支付；</w:t>
            </w:r>
          </w:p>
          <w:p w14:paraId="50D51AF2">
            <w:pPr>
              <w:spacing w:line="376" w:lineRule="exact"/>
              <w:ind w:firstLine="420" w:firstLineChars="200"/>
              <w:rPr>
                <w:color w:val="auto"/>
                <w:highlight w:val="none"/>
                <w:u w:val="single"/>
              </w:rPr>
            </w:pPr>
            <w:r>
              <w:rPr>
                <w:rFonts w:hint="eastAsia" w:ascii="宋体" w:hAnsi="宋体" w:cs="宋体"/>
                <w:color w:val="auto"/>
                <w:szCs w:val="21"/>
                <w:highlight w:val="none"/>
                <w:u w:val="single"/>
                <w:lang w:val="en-US" w:eastAsia="zh-CN"/>
              </w:rPr>
              <w:t>2.</w:t>
            </w:r>
            <w:r>
              <w:rPr>
                <w:rFonts w:hint="eastAsia"/>
                <w:color w:val="auto"/>
                <w:highlight w:val="none"/>
                <w:u w:val="single"/>
              </w:rPr>
              <w:t>以上支付方式需待财政资金拨付到位后执行。</w:t>
            </w:r>
          </w:p>
          <w:p w14:paraId="22C285BE">
            <w:pPr>
              <w:pStyle w:val="16"/>
              <w:spacing w:line="376"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（九）报价要求：</w:t>
            </w:r>
          </w:p>
          <w:p w14:paraId="03B789B0">
            <w:pPr>
              <w:spacing w:line="376" w:lineRule="exact"/>
              <w:rPr>
                <w:rFonts w:hint="eastAsia"/>
                <w:color w:val="auto"/>
                <w:highlight w:val="none"/>
              </w:rPr>
            </w:pPr>
            <w:r>
              <w:rPr>
                <w:rFonts w:hint="eastAsia" w:ascii="宋体" w:hAnsi="宋体" w:cs="宋体"/>
                <w:color w:val="auto"/>
                <w:sz w:val="22"/>
                <w:szCs w:val="22"/>
                <w:highlight w:val="none"/>
              </w:rPr>
              <w:t xml:space="preserve">     </w:t>
            </w:r>
            <w:r>
              <w:rPr>
                <w:rFonts w:hint="eastAsia"/>
                <w:color w:val="auto"/>
                <w:highlight w:val="none"/>
              </w:rPr>
              <w:t>本项目实行总承包报价，包括软件开发、项目方案、运输、设计、安装、调试、验收、培训等各种费用和售后服务、税金及其它所有成本费用的总和。投标人应充分考虑项目实施期间各类人员材料的市场价格变化和可能的国家政策性调整，确定风险系数，对本项目的所有内容范围的开发及安装进行总承包报价。</w:t>
            </w:r>
          </w:p>
          <w:p w14:paraId="13E6758D">
            <w:pPr>
              <w:spacing w:line="376" w:lineRule="exact"/>
              <w:rPr>
                <w:rFonts w:hint="eastAsia" w:ascii="宋体" w:hAnsi="宋体" w:cs="宋体"/>
                <w:b/>
                <w:bCs/>
                <w:color w:val="auto"/>
                <w:szCs w:val="21"/>
                <w:highlight w:val="none"/>
              </w:rPr>
            </w:pPr>
            <w:r>
              <w:rPr>
                <w:rFonts w:hint="eastAsia" w:ascii="宋体" w:hAnsi="宋体" w:cs="宋体"/>
                <w:b/>
                <w:bCs/>
                <w:color w:val="auto"/>
                <w:szCs w:val="21"/>
                <w:highlight w:val="none"/>
              </w:rPr>
              <w:t>（十）知识产权归属：</w:t>
            </w:r>
          </w:p>
          <w:p w14:paraId="4209C0DE">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产生成果的知识产权归采购方所有，中标供应商必须对一切成果保密，不得泄露给任何第三方，也不得将项目有关的技术资料用于任何经营、开发及学术活动，否则，承担由此产生的一切责任，并在项目竣工验收通过后，由中标人全部移交给采购人。提供由法人签字的承诺书并加盖投标人公章。</w:t>
            </w:r>
          </w:p>
          <w:p w14:paraId="5094A9BE">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中标供应商不得在向采购方交付成果之前，将成果及非专利技术泄露或转让给第三方。</w:t>
            </w:r>
          </w:p>
          <w:p w14:paraId="2AB58149">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应承诺最终提供给采购方的技术服务成果不得包含任何第三方未授权的知识产权或引起任何第三方基于该产品知识产权的指控。如有任何指控，所产生的一切经济损失和法律责任等后果均由中标供应商无条件承担。</w:t>
            </w:r>
          </w:p>
          <w:p w14:paraId="2F156FBC">
            <w:pPr>
              <w:spacing w:line="376" w:lineRule="exact"/>
              <w:rPr>
                <w:rFonts w:hint="eastAsia" w:ascii="宋体" w:hAnsi="宋体" w:cs="宋体"/>
                <w:b/>
                <w:bCs/>
                <w:color w:val="auto"/>
                <w:kern w:val="0"/>
                <w:sz w:val="20"/>
                <w:szCs w:val="20"/>
                <w:highlight w:val="none"/>
                <w:lang w:bidi="ar"/>
              </w:rPr>
            </w:pPr>
          </w:p>
        </w:tc>
      </w:tr>
    </w:tbl>
    <w:p w14:paraId="6326383E">
      <w:pPr>
        <w:spacing w:line="376" w:lineRule="exact"/>
        <w:ind w:firstLine="420" w:firstLineChars="200"/>
        <w:rPr>
          <w:rFonts w:hint="eastAsia" w:ascii="宋体" w:hAnsi="宋体" w:cs="宋体"/>
          <w:color w:val="auto"/>
          <w:szCs w:val="21"/>
          <w:highlight w:val="none"/>
        </w:rPr>
      </w:pPr>
    </w:p>
    <w:p w14:paraId="4E7D4D43">
      <w:pPr>
        <w:spacing w:line="376" w:lineRule="exact"/>
        <w:rPr>
          <w:rFonts w:hint="eastAsia" w:ascii="宋体" w:hAnsi="宋体" w:cs="宋体"/>
          <w:b/>
          <w:bCs/>
          <w:color w:val="auto"/>
          <w:kern w:val="0"/>
          <w:sz w:val="20"/>
          <w:szCs w:val="20"/>
          <w:highlight w:val="none"/>
          <w:lang w:bidi="ar"/>
        </w:rPr>
      </w:pPr>
    </w:p>
    <w:p w14:paraId="47919947">
      <w:pPr>
        <w:widowControl/>
        <w:spacing w:line="376" w:lineRule="exact"/>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br w:type="page"/>
      </w:r>
      <w:r>
        <w:rPr>
          <w:rFonts w:hint="eastAsia" w:ascii="宋体" w:hAnsi="宋体" w:cs="宋体"/>
          <w:b/>
          <w:bCs/>
          <w:color w:val="auto"/>
          <w:kern w:val="0"/>
          <w:sz w:val="20"/>
          <w:szCs w:val="20"/>
          <w:highlight w:val="none"/>
          <w:lang w:bidi="ar"/>
        </w:rPr>
        <w:t>附件1：</w:t>
      </w:r>
    </w:p>
    <w:p w14:paraId="1F1692E9">
      <w:pPr>
        <w:widowControl/>
        <w:jc w:val="center"/>
        <w:textAlignment w:val="center"/>
        <w:rPr>
          <w:color w:val="auto"/>
          <w:highlight w:val="none"/>
        </w:rPr>
      </w:pPr>
      <w:r>
        <w:rPr>
          <w:rFonts w:hint="eastAsia" w:ascii="宋体" w:hAnsi="宋体" w:cs="宋体"/>
          <w:b/>
          <w:bCs/>
          <w:color w:val="auto"/>
          <w:kern w:val="0"/>
          <w:sz w:val="20"/>
          <w:szCs w:val="20"/>
          <w:highlight w:val="none"/>
          <w:lang w:bidi="ar"/>
        </w:rPr>
        <w:t>一、建设总面积不少于4450亩沃柑种植基地升级智能水肥一体化系统</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679"/>
        <w:gridCol w:w="720"/>
        <w:gridCol w:w="532"/>
        <w:gridCol w:w="6036"/>
      </w:tblGrid>
      <w:tr w14:paraId="4F09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81" w:type="dxa"/>
            <w:noWrap w:val="0"/>
            <w:vAlign w:val="center"/>
          </w:tcPr>
          <w:p w14:paraId="615A26EC">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序号</w:t>
            </w:r>
          </w:p>
        </w:tc>
        <w:tc>
          <w:tcPr>
            <w:tcW w:w="1679" w:type="dxa"/>
            <w:noWrap w:val="0"/>
            <w:vAlign w:val="center"/>
          </w:tcPr>
          <w:p w14:paraId="73551945">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名称</w:t>
            </w:r>
          </w:p>
        </w:tc>
        <w:tc>
          <w:tcPr>
            <w:tcW w:w="720" w:type="dxa"/>
            <w:noWrap w:val="0"/>
            <w:vAlign w:val="center"/>
          </w:tcPr>
          <w:p w14:paraId="5BD09AA9">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数量</w:t>
            </w:r>
          </w:p>
        </w:tc>
        <w:tc>
          <w:tcPr>
            <w:tcW w:w="532" w:type="dxa"/>
            <w:noWrap w:val="0"/>
            <w:vAlign w:val="center"/>
          </w:tcPr>
          <w:p w14:paraId="332CA9DB">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单位</w:t>
            </w:r>
          </w:p>
        </w:tc>
        <w:tc>
          <w:tcPr>
            <w:tcW w:w="6036" w:type="dxa"/>
            <w:noWrap w:val="0"/>
            <w:vAlign w:val="center"/>
          </w:tcPr>
          <w:p w14:paraId="1B42ED6B">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配置要求</w:t>
            </w:r>
          </w:p>
        </w:tc>
      </w:tr>
      <w:tr w14:paraId="3663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48" w:type="dxa"/>
            <w:gridSpan w:val="5"/>
            <w:noWrap w:val="0"/>
            <w:vAlign w:val="center"/>
          </w:tcPr>
          <w:p w14:paraId="36B37B0D">
            <w:pPr>
              <w:widowControl/>
              <w:jc w:val="left"/>
              <w:textAlignment w:val="center"/>
              <w:rPr>
                <w:rFonts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（一）泵房首部系统改造升级</w:t>
            </w:r>
          </w:p>
        </w:tc>
      </w:tr>
      <w:tr w14:paraId="2760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81" w:type="dxa"/>
            <w:noWrap w:val="0"/>
            <w:vAlign w:val="center"/>
          </w:tcPr>
          <w:p w14:paraId="5FDE4ED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679" w:type="dxa"/>
            <w:noWrap w:val="0"/>
            <w:vAlign w:val="center"/>
          </w:tcPr>
          <w:p w14:paraId="632F6768">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泵房首部系统改造升级</w:t>
            </w:r>
          </w:p>
        </w:tc>
        <w:tc>
          <w:tcPr>
            <w:tcW w:w="720" w:type="dxa"/>
            <w:noWrap w:val="0"/>
            <w:vAlign w:val="center"/>
          </w:tcPr>
          <w:p w14:paraId="3063888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532" w:type="dxa"/>
            <w:noWrap w:val="0"/>
            <w:vAlign w:val="center"/>
          </w:tcPr>
          <w:p w14:paraId="6EC3F294">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项</w:t>
            </w:r>
          </w:p>
        </w:tc>
        <w:tc>
          <w:tcPr>
            <w:tcW w:w="6036" w:type="dxa"/>
            <w:noWrap w:val="0"/>
            <w:vAlign w:val="center"/>
          </w:tcPr>
          <w:p w14:paraId="764EF1D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每项泵房首部系统改造升级为供水泵升级和机房过滤及注肥系统升级，主要包含更换安装：</w:t>
            </w:r>
          </w:p>
          <w:p w14:paraId="3CB068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（1）不小于30kw高效水泵1台；</w:t>
            </w:r>
          </w:p>
          <w:p w14:paraId="6D7FDC9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（2）配套水泵恒压变频带PLC控制柜1套；</w:t>
            </w:r>
          </w:p>
          <w:p w14:paraId="2DB20A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（3）全自动反冲洗砂石过滤器1套，处理能力≥180m</w:t>
            </w:r>
            <w:r>
              <w:rPr>
                <w:rFonts w:hint="eastAsia" w:ascii="宋体" w:hAnsi="宋体" w:cs="宋体"/>
                <w:color w:val="auto"/>
                <w:kern w:val="0"/>
                <w:sz w:val="24"/>
                <w:highlight w:val="none"/>
                <w:vertAlign w:val="superscript"/>
                <w:lang w:bidi="ar"/>
              </w:rPr>
              <w:t>3</w:t>
            </w:r>
            <w:r>
              <w:rPr>
                <w:rFonts w:hint="eastAsia" w:ascii="宋体" w:hAnsi="宋体" w:cs="宋体"/>
                <w:color w:val="auto"/>
                <w:kern w:val="0"/>
                <w:sz w:val="20"/>
                <w:szCs w:val="20"/>
                <w:highlight w:val="none"/>
                <w:lang w:bidi="ar"/>
              </w:rPr>
              <w:t>/h；</w:t>
            </w:r>
          </w:p>
          <w:p w14:paraId="758FAE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（4）自吸污清洗式网式过滤器1套，配备不小于6寸过滤器；电控型，吮吸扫描技术自清洗功能；</w:t>
            </w:r>
          </w:p>
          <w:p w14:paraId="770E14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（5）容积不小于2000L的塑料肥料桶2套，带搅拌机及钢架底座；</w:t>
            </w:r>
          </w:p>
          <w:p w14:paraId="15BD4C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（6）注入式自动调节施肥机1套，Q≥4m³/h，H=70m（±1m），P≥1.5kw；</w:t>
            </w:r>
          </w:p>
          <w:p w14:paraId="716FF7F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（7）吸肥通道：单通道≥DN32；</w:t>
            </w:r>
          </w:p>
          <w:p w14:paraId="43B512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（8）吸肥方式：变频比例式；</w:t>
            </w:r>
          </w:p>
          <w:p w14:paraId="43CCC3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（9）联网方式：WIFI/5G（优先采用5G其次4G）/网口；</w:t>
            </w:r>
          </w:p>
          <w:p w14:paraId="58870E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（10）不小于10寸电容屏，支持中文输入法；监测功能：混合液EC，PH数值监测，管道式电极传感器；</w:t>
            </w:r>
          </w:p>
          <w:p w14:paraId="04D74B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（11）远传式电磁流量计1套；</w:t>
            </w:r>
          </w:p>
          <w:p w14:paraId="37B73B4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（12）2寸*2叠片式组合肥料过滤器1套；</w:t>
            </w:r>
          </w:p>
          <w:p w14:paraId="43AC7C0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（13）首部连接配件1批主要包含：≥DN150消声止回阀2个，持压阀1个，软密封闸阀2个，法兰橡胶软接头2个，压力传感器2个，设备首部设备连接管件（三通、弯头、法兰、直通、胶水、室内电缆线螺丝螺母等）。</w:t>
            </w:r>
          </w:p>
        </w:tc>
      </w:tr>
      <w:tr w14:paraId="2AEC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48" w:type="dxa"/>
            <w:gridSpan w:val="5"/>
            <w:noWrap w:val="0"/>
            <w:vAlign w:val="center"/>
          </w:tcPr>
          <w:p w14:paraId="30E5DC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（二）输水管网系统改造升级</w:t>
            </w:r>
          </w:p>
        </w:tc>
      </w:tr>
      <w:tr w14:paraId="563A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04AFE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338E1B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原有管网系统改造升级</w:t>
            </w:r>
          </w:p>
        </w:tc>
        <w:tc>
          <w:tcPr>
            <w:tcW w:w="720" w:type="dxa"/>
            <w:noWrap w:val="0"/>
            <w:vAlign w:val="center"/>
          </w:tcPr>
          <w:p w14:paraId="4CFD885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4450</w:t>
            </w:r>
          </w:p>
        </w:tc>
        <w:tc>
          <w:tcPr>
            <w:tcW w:w="532" w:type="dxa"/>
            <w:noWrap w:val="0"/>
            <w:vAlign w:val="center"/>
          </w:tcPr>
          <w:p w14:paraId="0D8B6F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亩</w:t>
            </w:r>
          </w:p>
        </w:tc>
        <w:tc>
          <w:tcPr>
            <w:tcW w:w="6036" w:type="dxa"/>
            <w:noWrap w:val="0"/>
            <w:vAlign w:val="center"/>
          </w:tcPr>
          <w:p w14:paraId="76C13F3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在原有基地灌溉管网基础上，后期根据使用需求改造原有PVC与PE管网，根据实施地块实际情况采购管材管件改造。</w:t>
            </w:r>
          </w:p>
        </w:tc>
      </w:tr>
      <w:tr w14:paraId="1EF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48" w:type="dxa"/>
            <w:gridSpan w:val="5"/>
            <w:noWrap w:val="0"/>
            <w:vAlign w:val="center"/>
          </w:tcPr>
          <w:p w14:paraId="003BE9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（三）自动控制系统改造升级</w:t>
            </w:r>
          </w:p>
        </w:tc>
      </w:tr>
      <w:tr w14:paraId="542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CF17FF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68D45A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自动控制系统改造升级</w:t>
            </w:r>
          </w:p>
        </w:tc>
        <w:tc>
          <w:tcPr>
            <w:tcW w:w="720" w:type="dxa"/>
            <w:noWrap w:val="0"/>
            <w:vAlign w:val="center"/>
          </w:tcPr>
          <w:p w14:paraId="5F57ED1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0216CFA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7890A2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每项自动控制系统改造升级地块（约640亩）大致包含以下设备：</w:t>
            </w:r>
          </w:p>
          <w:p w14:paraId="40D453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（1）含灌溉中央控制器，1台，脉冲输入点（可接入水源液位计、脉冲流量计、远传压力表）</w:t>
            </w:r>
          </w:p>
          <w:p w14:paraId="36C829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（2）站点扩展类型（选配）：支持总线、无线、有线站点混合控制；</w:t>
            </w:r>
          </w:p>
          <w:p w14:paraId="37179B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（3）通信距离：总线≥3.5KM，无线：≥4.5KM(可视距离)；</w:t>
            </w:r>
          </w:p>
          <w:p w14:paraId="17B0D30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 WIFI/5G（优先采用5G其次4G）/网口；</w:t>
            </w:r>
          </w:p>
          <w:p w14:paraId="4B2B27C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55CA34E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（6）基础功能：定时、定量、土壤湿度及外部IO；</w:t>
            </w:r>
          </w:p>
          <w:p w14:paraId="1EB3F1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（7）含4寸/3寸法兰接口电磁调压阀+无线解码器带立杆套装，约40套，按约15～16亩一个分区预计；</w:t>
            </w:r>
          </w:p>
          <w:p w14:paraId="4C0DBF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（8）手机无线遥控app软件1项。</w:t>
            </w:r>
          </w:p>
        </w:tc>
      </w:tr>
      <w:tr w14:paraId="74B9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48" w:type="dxa"/>
            <w:gridSpan w:val="5"/>
            <w:noWrap w:val="0"/>
            <w:vAlign w:val="center"/>
          </w:tcPr>
          <w:p w14:paraId="25F542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（四）田间毛管及灌水器系统升级</w:t>
            </w:r>
          </w:p>
        </w:tc>
      </w:tr>
      <w:tr w14:paraId="4546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992F3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77A19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田间毛管及灌水器系统升级</w:t>
            </w:r>
          </w:p>
        </w:tc>
        <w:tc>
          <w:tcPr>
            <w:tcW w:w="720" w:type="dxa"/>
            <w:noWrap w:val="0"/>
            <w:vAlign w:val="center"/>
          </w:tcPr>
          <w:p w14:paraId="0E21DD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371DC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07F1A39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每项田间毛管及灌水器系统升级包含满足（约640亩）的田间毛管及灌水器：</w:t>
            </w:r>
          </w:p>
          <w:p w14:paraId="1A7798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（1）地插式压力补偿微喷头50880套，地插杆长：40cm，φ8毛管长：50cm，流量≥55L/H，喷洒直径2.8～3米（带限流条），在1.5～4bar的压力下，能基本保持恒定出水量和相同的喷洒范围；</w:t>
            </w:r>
          </w:p>
          <w:p w14:paraId="15F7D4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（2）全新LDPE管⌀20毛管，152500米；</w:t>
            </w:r>
          </w:p>
          <w:p w14:paraId="331DB2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（3）适配⌀20PE管旁通阀含胶圈，3150套；</w:t>
            </w:r>
          </w:p>
          <w:p w14:paraId="6843E3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（4）适配⌀20PE管，活接直通1000个，活接三通500个；折叠堵头3500个。</w:t>
            </w:r>
          </w:p>
        </w:tc>
      </w:tr>
      <w:tr w14:paraId="2DB2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48" w:type="dxa"/>
            <w:gridSpan w:val="5"/>
            <w:noWrap w:val="0"/>
            <w:vAlign w:val="center"/>
          </w:tcPr>
          <w:p w14:paraId="1E96C6B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（五）全园物联智能管控系统建设</w:t>
            </w:r>
          </w:p>
        </w:tc>
      </w:tr>
      <w:tr w14:paraId="6BB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1ADE1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83DAE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室内智慧显示及操作系统</w:t>
            </w:r>
          </w:p>
        </w:tc>
        <w:tc>
          <w:tcPr>
            <w:tcW w:w="720" w:type="dxa"/>
            <w:noWrap w:val="0"/>
            <w:vAlign w:val="center"/>
          </w:tcPr>
          <w:p w14:paraId="3FF940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4A6A130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04D664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每套系统内包含安装：</w:t>
            </w:r>
          </w:p>
          <w:p w14:paraId="2B14C3E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（1）55寸3.5拼接缝的液晶拼接单元显示设备9块；</w:t>
            </w:r>
          </w:p>
          <w:p w14:paraId="279955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（2）落地底座机柜1套；</w:t>
            </w:r>
          </w:p>
          <w:p w14:paraId="66BF24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（3）拼接屏线缆及附件1套；</w:t>
            </w:r>
          </w:p>
          <w:p w14:paraId="15C4E5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（4）9路4K高清解码器（4路输入）1台；</w:t>
            </w:r>
          </w:p>
          <w:p w14:paraId="1ECBE5F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（5）室内P4.75条形屏，不小于1.2平方；</w:t>
            </w:r>
          </w:p>
          <w:p w14:paraId="24435E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（6）专业音响及挂壁支架2套；</w:t>
            </w:r>
          </w:p>
          <w:p w14:paraId="3D2582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（7）多媒体功放器1台；</w:t>
            </w:r>
          </w:p>
          <w:p w14:paraId="0D3C5A2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（8）一拖二手持无线话筒1套；</w:t>
            </w:r>
          </w:p>
          <w:p w14:paraId="596C72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（9）综合机柜1套（硬盘录像机，交换机，硬盘满足30天存储回放需求，光纤收发器，盒子，防雷器等）；</w:t>
            </w:r>
          </w:p>
          <w:p w14:paraId="181FD29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（10）控制主机1台；</w:t>
            </w:r>
          </w:p>
          <w:p w14:paraId="749BD739">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①性能要求：</w:t>
            </w:r>
            <w:r>
              <w:rPr>
                <w:rFonts w:hint="eastAsia" w:ascii="宋体" w:hAnsi="宋体" w:cs="宋体"/>
                <w:color w:val="auto"/>
                <w:kern w:val="0"/>
                <w:sz w:val="20"/>
                <w:szCs w:val="20"/>
                <w:highlight w:val="none"/>
                <w:lang w:val="en-US" w:eastAsia="zh-CN" w:bidi="ar"/>
              </w:rPr>
              <w:t>采用主流处理器、采购DDR5 32G高速内存、≥1TB的高速固态硬盘</w:t>
            </w:r>
            <w:r>
              <w:rPr>
                <w:rFonts w:hint="eastAsia" w:ascii="宋体" w:hAnsi="宋体" w:cs="宋体"/>
                <w:color w:val="auto"/>
                <w:kern w:val="0"/>
                <w:sz w:val="20"/>
                <w:szCs w:val="20"/>
                <w:highlight w:val="none"/>
                <w:lang w:bidi="ar"/>
              </w:rPr>
              <w:t>；</w:t>
            </w:r>
          </w:p>
          <w:p w14:paraId="69125AD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②兼容性要求：支持 WIN10、支持主流办公软件、安防应用软件、支持主流视音频播放；③业务适用性要求：支持多路高清视频回放、支持多屏显示、视频预览和业务操作并行、提高效率、支持视频监控录像快速下载；</w:t>
            </w:r>
          </w:p>
          <w:p w14:paraId="319048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（11）两位操作台2套，含椅子。</w:t>
            </w:r>
          </w:p>
        </w:tc>
      </w:tr>
      <w:tr w14:paraId="252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noWrap w:val="0"/>
            <w:vAlign w:val="center"/>
          </w:tcPr>
          <w:p w14:paraId="1B019B8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05425E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614393F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40B3F81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34C1132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047D181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41DD34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（3）含横臂及混凝土基础，基础规格为：80cm*80cm*80cm。</w:t>
            </w:r>
          </w:p>
        </w:tc>
      </w:tr>
      <w:tr w14:paraId="2C18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4DB3F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B7E40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0586A0F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56</w:t>
            </w:r>
          </w:p>
        </w:tc>
        <w:tc>
          <w:tcPr>
            <w:tcW w:w="532" w:type="dxa"/>
            <w:noWrap w:val="0"/>
            <w:vAlign w:val="center"/>
          </w:tcPr>
          <w:p w14:paraId="3845D7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77B42D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00678A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55F3BF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（3）含横臂及混凝土基础，基础规格为：60cm*60cm*60cm。</w:t>
            </w:r>
          </w:p>
        </w:tc>
      </w:tr>
      <w:tr w14:paraId="6E71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B5C73B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708662C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LED屏显示器</w:t>
            </w:r>
          </w:p>
        </w:tc>
        <w:tc>
          <w:tcPr>
            <w:tcW w:w="720" w:type="dxa"/>
            <w:noWrap w:val="0"/>
            <w:vAlign w:val="center"/>
          </w:tcPr>
          <w:p w14:paraId="47A872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5408234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513EF08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（1）供电方式：220V交流，50HZ；</w:t>
            </w:r>
          </w:p>
          <w:p w14:paraId="07464E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（2）应用环境：温度 -20～80℃，湿度 0～100%；</w:t>
            </w:r>
          </w:p>
          <w:p w14:paraId="7E892D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（3）LED控制卡具备无线功能，可直接通过无线与传感器通信收集并显示数据；</w:t>
            </w:r>
          </w:p>
          <w:p w14:paraId="7D02A78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（4）LED控制卡具备WIFI功能，电脑软件可通过WIFI连接到控制卡，设置需要显示的界面格式和需要显示的传感器地址等信息。</w:t>
            </w:r>
          </w:p>
        </w:tc>
      </w:tr>
      <w:tr w14:paraId="3D14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81" w:type="dxa"/>
            <w:noWrap w:val="0"/>
            <w:vAlign w:val="center"/>
          </w:tcPr>
          <w:p w14:paraId="282A722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0213BCB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记录仪安装辅材</w:t>
            </w:r>
          </w:p>
        </w:tc>
        <w:tc>
          <w:tcPr>
            <w:tcW w:w="720" w:type="dxa"/>
            <w:noWrap w:val="0"/>
            <w:vAlign w:val="center"/>
          </w:tcPr>
          <w:p w14:paraId="460953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63</w:t>
            </w:r>
          </w:p>
        </w:tc>
        <w:tc>
          <w:tcPr>
            <w:tcW w:w="532" w:type="dxa"/>
            <w:noWrap w:val="0"/>
            <w:vAlign w:val="center"/>
          </w:tcPr>
          <w:p w14:paraId="5E45542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top"/>
          </w:tcPr>
          <w:p w14:paraId="173B6832">
            <w:pPr>
              <w:widowControl/>
              <w:jc w:val="left"/>
              <w:textAlignment w:val="top"/>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防水电箱、开关开关插座、带电源线光纤、网线、水晶头、耦合器、尾纤等。</w:t>
            </w:r>
          </w:p>
        </w:tc>
      </w:tr>
      <w:tr w14:paraId="6D39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F495D6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4B6B6D7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综合气象站</w:t>
            </w:r>
          </w:p>
        </w:tc>
        <w:tc>
          <w:tcPr>
            <w:tcW w:w="720" w:type="dxa"/>
            <w:noWrap w:val="0"/>
            <w:vAlign w:val="center"/>
          </w:tcPr>
          <w:p w14:paraId="717D1B3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94D1AB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681C7D8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象站可对田间的空气温度、空气湿度、光照强度、风速、风向、降雨、辐射，大气压等气象要素进行全天候实时监测，将监测的各项数据通过无线传输到控制系统上，从而进行各种运算，更好的控制灌溉系统的运行。完善的防雷击和抗干扰等保护措施，使其可靠运行于各种恶劣的野外环境，低功耗、高稳定性、高精度、低维护。</w:t>
            </w:r>
          </w:p>
          <w:p w14:paraId="6A0365B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（1）立杆高度 ：≥3.5米； </w:t>
            </w:r>
          </w:p>
          <w:p w14:paraId="41EDEC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 ：太阳能+锂电池（太阳能功率≥20W,锂电池容量≥3400MAH*3）或有线供电；</w:t>
            </w:r>
          </w:p>
          <w:p w14:paraId="2C5FE05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（3）续航时间 ：无光照情况下不少于40天； </w:t>
            </w:r>
          </w:p>
          <w:p w14:paraId="4D1237E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（4）传输方式 ：GPRS和433M本地无线； </w:t>
            </w:r>
          </w:p>
          <w:p w14:paraId="312E89E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（5）传输距离 ：空旷地带不少于480米； </w:t>
            </w:r>
          </w:p>
          <w:p w14:paraId="25AAD4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（6）应用环境 ：-20℃～80℃ ；</w:t>
            </w:r>
          </w:p>
          <w:p w14:paraId="3A9DBE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（7）数据查看 ：云平台或本地网关；</w:t>
            </w:r>
          </w:p>
          <w:p w14:paraId="605196A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（8）可直接将数据传输到手机APP和电脑平台。</w:t>
            </w:r>
          </w:p>
          <w:p w14:paraId="2F083D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（9）系统功能：</w:t>
            </w:r>
          </w:p>
          <w:p w14:paraId="3078A8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①空气温度：测量范围：-40～+90℃、分辨率：0.015℃、准确度：±0.3℃；                                      </w:t>
            </w:r>
          </w:p>
          <w:p w14:paraId="1065C2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②二氧化碳：测量范围：0～2000ppm；</w:t>
            </w:r>
          </w:p>
          <w:p w14:paraId="0AF80B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③空气湿度：测量范围：0～100%、分辨率：0.01%、准确度：±3%；</w:t>
            </w:r>
          </w:p>
          <w:p w14:paraId="534710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④光照强度：测量范围：0～200Klx、分辨率：1lx、准确度：±5%；</w:t>
            </w:r>
          </w:p>
          <w:p w14:paraId="6C9413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⑤风速：测量范围：0～60m/s、分辨率：0.01m/s、准确度：±0.1m/s；</w:t>
            </w:r>
          </w:p>
          <w:p w14:paraId="1AF337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⑥风向：测量范围：0～360°、分辨率：1°、 准确度：±3°；</w:t>
            </w:r>
          </w:p>
          <w:p w14:paraId="439A717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⑦雨量传感器:测量范围：0～50mm/t、分辨率：0.2mm、准确度：±0.4mm；</w:t>
            </w:r>
          </w:p>
          <w:p w14:paraId="5818FEA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⑧太阳总辐射：测量范围：0～2000w/㎡ 、分辨率：1uv/w、准确度：±5%rdg；</w:t>
            </w:r>
          </w:p>
          <w:p w14:paraId="1B5FA87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⑨大气压力：测量范围：50～110Kpa、分辨率：0.01Kpa、准确度：±0.05Kpa。</w:t>
            </w:r>
          </w:p>
        </w:tc>
      </w:tr>
      <w:tr w14:paraId="07E5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8A8AAC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2E39CB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管式多层土壤墒情传感器</w:t>
            </w:r>
          </w:p>
        </w:tc>
        <w:tc>
          <w:tcPr>
            <w:tcW w:w="720" w:type="dxa"/>
            <w:noWrap w:val="0"/>
            <w:vAlign w:val="center"/>
          </w:tcPr>
          <w:p w14:paraId="3EA248C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2576277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4874BBF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（1）一体化管式设计，可测量10层土壤温湿度；</w:t>
            </w:r>
          </w:p>
          <w:p w14:paraId="28116A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（2）5G（优先采用5G其次4G）无线传输；</w:t>
            </w:r>
          </w:p>
          <w:p w14:paraId="49AA7DE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（3）技术参数：</w:t>
            </w:r>
          </w:p>
          <w:p w14:paraId="20B042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①工作电压：5～15V； </w:t>
            </w:r>
          </w:p>
          <w:p w14:paraId="2771E1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②供电方式：太阳能电池板/内部电池；</w:t>
            </w:r>
          </w:p>
          <w:p w14:paraId="5DDE60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③防护等级：IP68；</w:t>
            </w:r>
          </w:p>
          <w:p w14:paraId="78E707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④通讯方式：5G（优先采用5G其次4G）/433M；</w:t>
            </w:r>
          </w:p>
          <w:p w14:paraId="6BEE21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⑤支持运营商：支持国内各大通讯运营商；</w:t>
            </w:r>
          </w:p>
          <w:p w14:paraId="184C02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⑥温度测量范围：-30～80°C；</w:t>
            </w:r>
          </w:p>
          <w:p w14:paraId="40BA33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⑦土壤含水量测量范围：0～100%；</w:t>
            </w:r>
          </w:p>
          <w:p w14:paraId="04C4F01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⑧温度测量精度：±0.5°C；</w:t>
            </w:r>
          </w:p>
          <w:p w14:paraId="4BC501C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⑨土壤含水量测量精度：±5%。</w:t>
            </w:r>
          </w:p>
        </w:tc>
      </w:tr>
      <w:tr w14:paraId="7C57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9A6F0C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01823C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土壤墒情检测仪</w:t>
            </w:r>
          </w:p>
        </w:tc>
        <w:tc>
          <w:tcPr>
            <w:tcW w:w="720" w:type="dxa"/>
            <w:noWrap w:val="0"/>
            <w:vAlign w:val="center"/>
          </w:tcPr>
          <w:p w14:paraId="2F7B2FB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70</w:t>
            </w:r>
          </w:p>
        </w:tc>
        <w:tc>
          <w:tcPr>
            <w:tcW w:w="532" w:type="dxa"/>
            <w:noWrap w:val="0"/>
            <w:vAlign w:val="center"/>
          </w:tcPr>
          <w:p w14:paraId="3B0998B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5DB84FF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（1）采用一体化设计，可测量土壤温湿度；</w:t>
            </w:r>
          </w:p>
          <w:p w14:paraId="09FC5E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（2）供电方式：太阳能+锂电池（太阳能功率≥2W,锂电池容≥3400MAH），太阳能板和机身一体，不单独分开；</w:t>
            </w:r>
          </w:p>
          <w:p w14:paraId="617981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（3）参数范围：</w:t>
            </w:r>
          </w:p>
          <w:p w14:paraId="6176AA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①土壤温度：-25～70℃；</w:t>
            </w:r>
          </w:p>
          <w:p w14:paraId="17281A6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②土壤湿度：0～100%；   </w:t>
            </w:r>
          </w:p>
          <w:p w14:paraId="29267B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（4）续航时间：无光照情况下不小于55天；</w:t>
            </w:r>
          </w:p>
          <w:p w14:paraId="35C223F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（5）数据传输方式：433M本地无线；</w:t>
            </w:r>
          </w:p>
          <w:p w14:paraId="336339D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33FDC63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5FAD2D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707BBE4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601A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09DA7C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36A40C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无线EC传感器</w:t>
            </w:r>
          </w:p>
        </w:tc>
        <w:tc>
          <w:tcPr>
            <w:tcW w:w="720" w:type="dxa"/>
            <w:noWrap w:val="0"/>
            <w:vAlign w:val="center"/>
          </w:tcPr>
          <w:p w14:paraId="644812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70</w:t>
            </w:r>
          </w:p>
        </w:tc>
        <w:tc>
          <w:tcPr>
            <w:tcW w:w="532" w:type="dxa"/>
            <w:noWrap w:val="0"/>
            <w:vAlign w:val="center"/>
          </w:tcPr>
          <w:p w14:paraId="225F79E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19DC767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（1）供电：太阳能+锂电池（太阳能功率≥2W,锂电池容≥3400MAH），太阳能板和机身一体，不单独分开；</w:t>
            </w:r>
          </w:p>
          <w:p w14:paraId="5C803A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（2）参数范围:0～20ms/cm；</w:t>
            </w:r>
          </w:p>
          <w:p w14:paraId="7AC269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（3）测量精度：±0.03ms/cm；</w:t>
            </w:r>
          </w:p>
          <w:p w14:paraId="19D650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（4）续航时间：无光照情况下不小于175天；</w:t>
            </w:r>
          </w:p>
          <w:p w14:paraId="6C684F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（5）数据传输方式：GPRS和433M本地无线；</w:t>
            </w:r>
          </w:p>
          <w:p w14:paraId="056B46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61EBE8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1C4D10C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5DA571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67BC63C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（8）带立杆及三角支架。</w:t>
            </w:r>
          </w:p>
        </w:tc>
      </w:tr>
      <w:tr w14:paraId="3EEB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EC67E3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64C4B7D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水质三要素传感器</w:t>
            </w:r>
          </w:p>
        </w:tc>
        <w:tc>
          <w:tcPr>
            <w:tcW w:w="720" w:type="dxa"/>
            <w:noWrap w:val="0"/>
            <w:vAlign w:val="center"/>
          </w:tcPr>
          <w:p w14:paraId="0472731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06BADD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790BB52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（1）监测要素：水温、溶氧量、PH值；</w:t>
            </w:r>
          </w:p>
          <w:p w14:paraId="52A122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（2）量程：</w:t>
            </w:r>
          </w:p>
          <w:p w14:paraId="298716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①溶氧：0～20mg/L；</w:t>
            </w:r>
          </w:p>
          <w:p w14:paraId="15F2E70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②水温：-20～60℃；</w:t>
            </w:r>
          </w:p>
          <w:p w14:paraId="174637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③pH：0～14；</w:t>
            </w:r>
          </w:p>
          <w:p w14:paraId="022658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w:t>
            </w:r>
          </w:p>
          <w:p w14:paraId="4A0756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①溶氧：±0.3mg/L；</w:t>
            </w:r>
          </w:p>
          <w:p w14:paraId="68FAFA3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②水温：±0.3℃；</w:t>
            </w:r>
          </w:p>
          <w:p w14:paraId="32F91C0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③pH：0.2pH；</w:t>
            </w:r>
          </w:p>
          <w:p w14:paraId="283E7B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（4）供电方式：太阳能板(太阳能功率≥2W)+锂电池（锂电池容≥3400MAH）；</w:t>
            </w:r>
          </w:p>
          <w:p w14:paraId="46C75DC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（5）无线通信方式：433M和网关通信；</w:t>
            </w:r>
          </w:p>
          <w:p w14:paraId="6BCC132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（6）数据查看方式：网关查看；</w:t>
            </w:r>
          </w:p>
          <w:p w14:paraId="0E9F92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（7）数据储存：云端储存和网关储存；</w:t>
            </w:r>
          </w:p>
          <w:p w14:paraId="5F0EFE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（8）防护等级：≥IP63；</w:t>
            </w:r>
          </w:p>
          <w:p w14:paraId="5D88AE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（9）低温工作环境：-30℃；</w:t>
            </w:r>
          </w:p>
          <w:p w14:paraId="65F8FD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（10）续航要求：无光照下不小于55天；</w:t>
            </w:r>
          </w:p>
          <w:p w14:paraId="3ADA88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（11）通信距离：本地433M方式不少于480米；</w:t>
            </w:r>
          </w:p>
          <w:p w14:paraId="272A634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（12）最低数据上传频率：5S。</w:t>
            </w:r>
          </w:p>
        </w:tc>
      </w:tr>
      <w:tr w14:paraId="446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81" w:type="dxa"/>
            <w:noWrap w:val="0"/>
            <w:vAlign w:val="center"/>
          </w:tcPr>
          <w:p w14:paraId="6BEFA6E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5C738D8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大地探针</w:t>
            </w:r>
          </w:p>
        </w:tc>
        <w:tc>
          <w:tcPr>
            <w:tcW w:w="720" w:type="dxa"/>
            <w:noWrap w:val="0"/>
            <w:vAlign w:val="center"/>
          </w:tcPr>
          <w:p w14:paraId="6EBD068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w:t>
            </w:r>
          </w:p>
        </w:tc>
        <w:tc>
          <w:tcPr>
            <w:tcW w:w="532" w:type="dxa"/>
            <w:noWrap w:val="0"/>
            <w:vAlign w:val="center"/>
          </w:tcPr>
          <w:p w14:paraId="4CCD516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26F120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（1）采用一体化设计，非组装式；</w:t>
            </w:r>
          </w:p>
          <w:p w14:paraId="36B39D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（2）可测量空气温度、空气湿度、光照强度、土壤温度、土壤湿度、土壤EC、土壤PH、土壤N/P/K。参数可裁剪（N、P、K 三项分开显示）；</w:t>
            </w:r>
          </w:p>
          <w:p w14:paraId="77A1808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（3）传输方式：支持433M LORA和5G（优先采用5G其次4G）两种传输方式选择；</w:t>
            </w:r>
          </w:p>
          <w:p w14:paraId="6B5055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（4）供电方式：太阳能+锂电池（太阳能功率2W,锂电池容3400MAH），太阳能板和机身一体，不单独分开；</w:t>
            </w:r>
          </w:p>
          <w:p w14:paraId="2CA1C56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（5）参数范围：</w:t>
            </w:r>
          </w:p>
          <w:p w14:paraId="1ED9F9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①空气温度：-40～+90℃；</w:t>
            </w:r>
          </w:p>
          <w:p w14:paraId="7C8EC5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②空气湿度：0～100%；</w:t>
            </w:r>
          </w:p>
          <w:p w14:paraId="787F28F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③光照强度：0～200Klx；</w:t>
            </w:r>
          </w:p>
          <w:p w14:paraId="258424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④土壤温度：-25～70℃；</w:t>
            </w:r>
          </w:p>
          <w:p w14:paraId="10A6104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⑤土壤湿度：0～100%；</w:t>
            </w:r>
          </w:p>
          <w:p w14:paraId="5717699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⑥土壤EC:0～20ms/cm；</w:t>
            </w:r>
          </w:p>
          <w:p w14:paraId="666E55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⑦土壤PH:0～7；</w:t>
            </w:r>
          </w:p>
          <w:p w14:paraId="5706F3C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⑧N/P/K:0～2000mg/kg；</w:t>
            </w:r>
          </w:p>
          <w:p w14:paraId="39CAEB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（6）续航时间：无光照情况下不小于175天；</w:t>
            </w:r>
          </w:p>
          <w:p w14:paraId="28E3AB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（7）传输距离：433M本地无线不少于480米；</w:t>
            </w:r>
          </w:p>
          <w:p w14:paraId="705080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（8）应用环境：</w:t>
            </w:r>
          </w:p>
          <w:p w14:paraId="18D3B0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9BF4E0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62C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B70528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32CFC4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气体环境监测监测传感器</w:t>
            </w:r>
          </w:p>
        </w:tc>
        <w:tc>
          <w:tcPr>
            <w:tcW w:w="720" w:type="dxa"/>
            <w:noWrap w:val="0"/>
            <w:vAlign w:val="center"/>
          </w:tcPr>
          <w:p w14:paraId="5ACC4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3CFE405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10F5FC6C">
            <w:pPr>
              <w:widowControl/>
              <w:jc w:val="left"/>
              <w:textAlignment w:val="center"/>
              <w:rPr>
                <w:rFonts w:hint="eastAsia" w:ascii="宋体" w:hAnsi="宋体" w:cs="宋体"/>
                <w:color w:val="auto"/>
                <w:kern w:val="0"/>
                <w:sz w:val="20"/>
                <w:szCs w:val="20"/>
                <w:highlight w:val="none"/>
                <w:vertAlign w:val="subscript"/>
                <w:lang w:bidi="ar"/>
              </w:rPr>
            </w:pPr>
            <w:r>
              <w:rPr>
                <w:rFonts w:hint="eastAsia" w:ascii="宋体" w:hAnsi="宋体" w:cs="宋体"/>
                <w:color w:val="auto"/>
                <w:kern w:val="0"/>
                <w:sz w:val="20"/>
                <w:szCs w:val="20"/>
                <w:highlight w:val="none"/>
                <w:lang w:bidi="ar"/>
              </w:rPr>
              <w:t>主要监测数据为CO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浓度：</w:t>
            </w:r>
          </w:p>
          <w:p w14:paraId="45221B4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（1）供电方式：DC24直流；</w:t>
            </w:r>
          </w:p>
          <w:p w14:paraId="3724E5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w:t>
            </w:r>
          </w:p>
          <w:p w14:paraId="6FF8E9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8F44F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62DB7F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（3）防护等级：≥IP43；</w:t>
            </w:r>
          </w:p>
          <w:p w14:paraId="6B1289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（4）参数范围：0～2000ppm；</w:t>
            </w:r>
          </w:p>
          <w:p w14:paraId="2AF9373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（5）传感器自带数据显示屏；</w:t>
            </w:r>
          </w:p>
          <w:p w14:paraId="2439D9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（6）数据传输方式：433M无线传输；</w:t>
            </w:r>
          </w:p>
          <w:p w14:paraId="23EFAF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（7）传输距离：433M本地无线不小于950米；</w:t>
            </w:r>
          </w:p>
          <w:p w14:paraId="4D7BCB3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◆（8）</w:t>
            </w:r>
            <w:r>
              <w:rPr>
                <w:rFonts w:hint="eastAsia" w:ascii="宋体" w:hAnsi="宋体" w:cs="宋体"/>
                <w:color w:val="auto"/>
                <w:kern w:val="0"/>
                <w:sz w:val="20"/>
                <w:szCs w:val="20"/>
                <w:highlight w:val="none"/>
                <w:lang w:bidi="ar"/>
              </w:rPr>
              <w:t>传感器需自带风扇和灰尘隔离棉；</w:t>
            </w:r>
          </w:p>
          <w:p w14:paraId="43A3FE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（9）传感器采用吊链安装方式，并支持随时调整高度；</w:t>
            </w:r>
          </w:p>
          <w:p w14:paraId="2D16949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（10）后期可拓展CO、NO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、PM2.5、PM10、H</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S、NH</w:t>
            </w:r>
            <w:r>
              <w:rPr>
                <w:rFonts w:hint="eastAsia" w:ascii="宋体" w:hAnsi="宋体" w:cs="宋体"/>
                <w:color w:val="auto"/>
                <w:kern w:val="0"/>
                <w:sz w:val="24"/>
                <w:highlight w:val="none"/>
                <w:vertAlign w:val="subscript"/>
                <w:lang w:bidi="ar"/>
              </w:rPr>
              <w:t>3</w:t>
            </w:r>
            <w:r>
              <w:rPr>
                <w:rFonts w:hint="eastAsia" w:ascii="宋体" w:hAnsi="宋体" w:cs="宋体"/>
                <w:color w:val="auto"/>
                <w:kern w:val="0"/>
                <w:sz w:val="20"/>
                <w:szCs w:val="20"/>
                <w:highlight w:val="none"/>
                <w:lang w:bidi="ar"/>
              </w:rPr>
              <w:t>浓度监测等功能。</w:t>
            </w:r>
          </w:p>
        </w:tc>
      </w:tr>
      <w:tr w14:paraId="1A49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737358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1DCA67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叶面温湿度传感器</w:t>
            </w:r>
          </w:p>
        </w:tc>
        <w:tc>
          <w:tcPr>
            <w:tcW w:w="720" w:type="dxa"/>
            <w:noWrap w:val="0"/>
            <w:vAlign w:val="center"/>
          </w:tcPr>
          <w:p w14:paraId="07E339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42A781B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54E2EED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6C25A2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107F9E1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w:t>
            </w:r>
          </w:p>
          <w:p w14:paraId="30D7A35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①温度：-40～80℃；</w:t>
            </w:r>
          </w:p>
          <w:p w14:paraId="376B81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34D352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③精度：温度±0.5℃，湿度±3%；</w:t>
            </w:r>
          </w:p>
          <w:p w14:paraId="6B5FFE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（4）防护等级：≥IP67；</w:t>
            </w:r>
          </w:p>
          <w:p w14:paraId="354048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（5）工作环境：</w:t>
            </w:r>
          </w:p>
          <w:p w14:paraId="26568F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5C4CFD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10C3FAB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（6）通信距离：本地433M方式不小于780米；</w:t>
            </w:r>
          </w:p>
          <w:p w14:paraId="0C8FA0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（7）最低数据上传频率：5S。</w:t>
            </w:r>
          </w:p>
        </w:tc>
      </w:tr>
      <w:tr w14:paraId="0BC8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4A5D0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1679" w:type="dxa"/>
            <w:noWrap w:val="0"/>
            <w:vAlign w:val="center"/>
          </w:tcPr>
          <w:p w14:paraId="67435F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果实果径传感器</w:t>
            </w:r>
          </w:p>
        </w:tc>
        <w:tc>
          <w:tcPr>
            <w:tcW w:w="720" w:type="dxa"/>
            <w:noWrap w:val="0"/>
            <w:vAlign w:val="center"/>
          </w:tcPr>
          <w:p w14:paraId="29FA2B6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211C39A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22AF2C4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77FD23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0D1FE0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（3）测量量程：0～150mm；</w:t>
            </w:r>
          </w:p>
          <w:p w14:paraId="7F9740C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（4）分辨率：0.01mm；</w:t>
            </w:r>
          </w:p>
          <w:p w14:paraId="3C2CFF2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（5）精度：0.1mm；</w:t>
            </w:r>
          </w:p>
          <w:p w14:paraId="53A73A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（6）防护等级：≥IP63；</w:t>
            </w:r>
          </w:p>
          <w:p w14:paraId="4479E4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（7）工作环境：</w:t>
            </w:r>
          </w:p>
          <w:p w14:paraId="1F564B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0BB6CD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0480C7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（8）续航要求：30min/次频率下至少两年；</w:t>
            </w:r>
          </w:p>
          <w:p w14:paraId="604D14E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（9）电池容量：≥3400mAH；</w:t>
            </w:r>
          </w:p>
          <w:p w14:paraId="78A64E9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（10）通信距离：本地433M方式不小于780米；</w:t>
            </w:r>
          </w:p>
          <w:p w14:paraId="481575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（11）最低数据上传频率：5S。</w:t>
            </w:r>
          </w:p>
        </w:tc>
      </w:tr>
      <w:tr w14:paraId="63D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00B69B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1679" w:type="dxa"/>
            <w:noWrap w:val="0"/>
            <w:vAlign w:val="center"/>
          </w:tcPr>
          <w:p w14:paraId="2E2E8A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植物生长记录仪</w:t>
            </w:r>
          </w:p>
        </w:tc>
        <w:tc>
          <w:tcPr>
            <w:tcW w:w="720" w:type="dxa"/>
            <w:noWrap w:val="0"/>
            <w:vAlign w:val="center"/>
          </w:tcPr>
          <w:p w14:paraId="2ED89A6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63</w:t>
            </w:r>
          </w:p>
        </w:tc>
        <w:tc>
          <w:tcPr>
            <w:tcW w:w="532" w:type="dxa"/>
            <w:noWrap w:val="0"/>
            <w:vAlign w:val="center"/>
          </w:tcPr>
          <w:p w14:paraId="3E11DD2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4AF6FA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（1）传感器类型：1/2.8英寸CMOS；</w:t>
            </w:r>
          </w:p>
          <w:p w14:paraId="0912F06E">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（2）像素：≥</w:t>
            </w:r>
            <w:r>
              <w:rPr>
                <w:rFonts w:hint="eastAsia" w:ascii="宋体" w:hAnsi="宋体" w:cs="宋体"/>
                <w:color w:val="auto"/>
                <w:kern w:val="0"/>
                <w:sz w:val="20"/>
                <w:szCs w:val="20"/>
                <w:highlight w:val="none"/>
                <w:lang w:val="en-US" w:eastAsia="zh-CN" w:bidi="ar"/>
              </w:rPr>
              <w:t>8</w:t>
            </w:r>
            <w:r>
              <w:rPr>
                <w:rFonts w:hint="eastAsia" w:ascii="宋体" w:hAnsi="宋体" w:cs="宋体"/>
                <w:color w:val="auto"/>
                <w:kern w:val="0"/>
                <w:sz w:val="20"/>
                <w:szCs w:val="20"/>
                <w:highlight w:val="none"/>
                <w:lang w:bidi="ar"/>
              </w:rPr>
              <w:t>00万；</w:t>
            </w:r>
          </w:p>
          <w:p w14:paraId="532BF4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（3）最大分辨率：1920×1080；</w:t>
            </w:r>
          </w:p>
          <w:p w14:paraId="2486505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（4）最低照度：</w:t>
            </w:r>
          </w:p>
          <w:p w14:paraId="47C974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①彩色：0.005lux@F1.2；</w:t>
            </w:r>
          </w:p>
          <w:p w14:paraId="6018F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②黑白：0.0005lux@F1.20Lux（红外灯开启）；</w:t>
            </w:r>
          </w:p>
          <w:p w14:paraId="441575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（5）最大补光距离：30m（白外），150m（红外）；</w:t>
            </w:r>
          </w:p>
          <w:p w14:paraId="233B5E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（6）人脸最大可识别距离：≥230m；</w:t>
            </w:r>
          </w:p>
          <w:p w14:paraId="6B36FE4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（7）车牌最大可识别距离：≥226m；</w:t>
            </w:r>
          </w:p>
          <w:p w14:paraId="1B9631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（8）镜头焦距：4.9mm～156mm；</w:t>
            </w:r>
          </w:p>
          <w:p w14:paraId="057499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（9）光学变倍：32倍；</w:t>
            </w:r>
          </w:p>
          <w:p w14:paraId="0CFFFC4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（10）可视域功能：支持；</w:t>
            </w:r>
          </w:p>
          <w:p w14:paraId="1D820A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（11）周界防范：支持绊线入侵、支持区域入侵、支持穿越围栏、支持徘徊检测、支持物品遗留、支持物品搬移、支持快速移动、支持停车检测、支持人员聚集、支持人车分类报警、支持联动跟踪；</w:t>
            </w:r>
          </w:p>
          <w:p w14:paraId="14691D9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（12）植物表型特征记录：支持定时拍摄不同时期作物生长情况图片上传至专家库，供后期AI分析学习使用；</w:t>
            </w:r>
          </w:p>
          <w:p w14:paraId="140BB5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（13）防抖功能：电子防抖；</w:t>
            </w:r>
          </w:p>
          <w:p w14:paraId="4A087E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（14）透雾功能：电子透雾；</w:t>
            </w:r>
          </w:p>
          <w:p w14:paraId="64E2C2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（15）音频输入：1路（LINE IN；裸线）；</w:t>
            </w:r>
          </w:p>
          <w:p w14:paraId="46CEB8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（16）音频输出：1路（LINE OUT，裸线；内置扬声器；互斥使用）；</w:t>
            </w:r>
          </w:p>
          <w:p w14:paraId="4584F2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（17）语音对讲：支持；</w:t>
            </w:r>
          </w:p>
          <w:p w14:paraId="3FDB87F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（18）报警输入：2路，开关量输入（0～5V DC）；</w:t>
            </w:r>
          </w:p>
          <w:p w14:paraId="0121BB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（19）供电方式：AC24V/3A±25%（标配）；</w:t>
            </w:r>
          </w:p>
          <w:p w14:paraId="51F143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（20）接口类型：RJ45接口。</w:t>
            </w:r>
          </w:p>
        </w:tc>
      </w:tr>
      <w:tr w14:paraId="123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CCC02A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1679" w:type="dxa"/>
            <w:noWrap w:val="0"/>
            <w:vAlign w:val="center"/>
          </w:tcPr>
          <w:p w14:paraId="5FC23D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自动拍照虫情测报灯(不含太阳能供电系统）</w:t>
            </w:r>
          </w:p>
        </w:tc>
        <w:tc>
          <w:tcPr>
            <w:tcW w:w="720" w:type="dxa"/>
            <w:noWrap w:val="0"/>
            <w:vAlign w:val="center"/>
          </w:tcPr>
          <w:p w14:paraId="358321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630C356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74FDEF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（1）自动拍照虫情测报灯（配433Mhz吸盘天线）；</w:t>
            </w:r>
          </w:p>
          <w:p w14:paraId="2AC8A7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（2）电源连接线：RVV1*2.5mm全铜；</w:t>
            </w:r>
          </w:p>
          <w:p w14:paraId="0D5F39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（3）参数要求：</w:t>
            </w:r>
          </w:p>
          <w:p w14:paraId="611DAE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①机体采用碳钢材质；</w:t>
            </w:r>
          </w:p>
          <w:p w14:paraId="397ED7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2 \* GB3 \* MERGEFORMAT </w:instrText>
            </w:r>
            <w:r>
              <w:rPr>
                <w:rFonts w:hint="eastAsia" w:ascii="宋体" w:hAnsi="宋体" w:cs="宋体"/>
                <w:color w:val="auto"/>
                <w:kern w:val="0"/>
                <w:sz w:val="20"/>
                <w:szCs w:val="20"/>
                <w:highlight w:val="none"/>
                <w:lang w:bidi="ar"/>
              </w:rPr>
              <w:fldChar w:fldCharType="separate"/>
            </w:r>
            <w:r>
              <w:rPr>
                <w:color w:val="auto"/>
                <w:highlight w:val="none"/>
              </w:rPr>
              <w:t>②</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供电方式：220V交流；</w:t>
            </w:r>
          </w:p>
          <w:p w14:paraId="4BAB41F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3 \* GB3 \* MERGEFORMAT </w:instrText>
            </w:r>
            <w:r>
              <w:rPr>
                <w:rFonts w:hint="eastAsia" w:ascii="宋体" w:hAnsi="宋体" w:cs="宋体"/>
                <w:color w:val="auto"/>
                <w:kern w:val="0"/>
                <w:sz w:val="20"/>
                <w:szCs w:val="20"/>
                <w:highlight w:val="none"/>
                <w:lang w:bidi="ar"/>
              </w:rPr>
              <w:fldChar w:fldCharType="separate"/>
            </w:r>
            <w:r>
              <w:rPr>
                <w:color w:val="auto"/>
                <w:highlight w:val="none"/>
              </w:rPr>
              <w:t>③</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具有防雷功能，有效避免雷击；</w:t>
            </w:r>
          </w:p>
          <w:p w14:paraId="4BFBE74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4 \* GB3 \* MERGEFORMAT </w:instrText>
            </w:r>
            <w:r>
              <w:rPr>
                <w:rFonts w:hint="eastAsia" w:ascii="宋体" w:hAnsi="宋体" w:cs="宋体"/>
                <w:color w:val="auto"/>
                <w:kern w:val="0"/>
                <w:sz w:val="20"/>
                <w:szCs w:val="20"/>
                <w:highlight w:val="none"/>
                <w:lang w:bidi="ar"/>
              </w:rPr>
              <w:fldChar w:fldCharType="separate"/>
            </w:r>
            <w:r>
              <w:rPr>
                <w:color w:val="auto"/>
                <w:highlight w:val="none"/>
              </w:rPr>
              <w:t>④</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远红外虫体处理仓温度控制：工作3分钟后达到85±5℃，处理时间可调（任意处理时间调整）；远红外虫体处理致死率不小于98%，虫体完整率不小于95%；</w:t>
            </w:r>
          </w:p>
          <w:p w14:paraId="0A8FD7D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（4）内置≥1200万像素拍照摄像机，清晰拍摄虫体照片；</w:t>
            </w:r>
          </w:p>
          <w:p w14:paraId="7B3D0EF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（5）虫体杀灭后，具备抖动功能，将虫体分散，避免堆积；</w:t>
            </w:r>
          </w:p>
          <w:p w14:paraId="2C106B3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6</w:t>
            </w: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灯管外围具备3面滤虫网，能够过滤比目标虫体更大的个体；</w:t>
            </w:r>
          </w:p>
          <w:p w14:paraId="55EDF0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7）机柜门开启时，具备拍照功能，将操作人员的照片清晰拍下，并记录；</w:t>
            </w:r>
          </w:p>
          <w:p w14:paraId="1E7CBF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8）机柜开门时，箱体内照明灯自动开启，便于检修维护，关闭时，自动断电关闭；</w:t>
            </w:r>
          </w:p>
          <w:p w14:paraId="6CE47C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（9）具备不小于10寸电容操作屏幕，便于本地操作。</w:t>
            </w:r>
          </w:p>
          <w:p w14:paraId="007495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10）具备10个旋转接虫盒，可设置不同工作时间段；</w:t>
            </w:r>
          </w:p>
          <w:p w14:paraId="78159B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（11）可外接气象传感器，采集农田气象环境；</w:t>
            </w:r>
          </w:p>
          <w:p w14:paraId="4EDEF1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（12）设备有光控和时控两种模式供用户选择，时控模式可选择是否根据日落时间自动调整；</w:t>
            </w:r>
          </w:p>
          <w:p w14:paraId="6E22C95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（13）设备具有样本仓号管理功能，记录每次收集样本存放的仓号，方便后续管理分析；</w:t>
            </w:r>
          </w:p>
          <w:p w14:paraId="13BDBA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（14）设备可设置降雨停止后多长时间恢复测量；</w:t>
            </w:r>
          </w:p>
          <w:p w14:paraId="6B24CC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（15）设备联网方式：5G（优先采用5G其次4G）、WIFI、有线网可选。</w:t>
            </w:r>
          </w:p>
        </w:tc>
      </w:tr>
      <w:tr w14:paraId="5564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52D61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1679" w:type="dxa"/>
            <w:noWrap w:val="0"/>
            <w:vAlign w:val="center"/>
          </w:tcPr>
          <w:p w14:paraId="0B73C6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种植基地一张图平台软件系统</w:t>
            </w:r>
          </w:p>
        </w:tc>
        <w:tc>
          <w:tcPr>
            <w:tcW w:w="720" w:type="dxa"/>
            <w:noWrap w:val="0"/>
            <w:vAlign w:val="center"/>
          </w:tcPr>
          <w:p w14:paraId="4E5F380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F73288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3E75C1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软件平台定制系统：</w:t>
            </w:r>
          </w:p>
          <w:p w14:paraId="0C11E08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（1）基地360°全景图；实时展示气象监测、环境监测、虫情监测、生长记录、实时监控、智能灌溉、天气预报、历史气象等；</w:t>
            </w:r>
          </w:p>
          <w:p w14:paraId="1DC499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数据可视化展示：系统将实时采集的数据以及设备状态等信息以表格、图形形式直观展现，同时将数据的各个属性值以多维数据的形式表示，可以从不同的维度观察数据，从而对数据进行更深入的观察和后期的深入分析；</w:t>
            </w:r>
          </w:p>
          <w:p w14:paraId="7451FCD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分析存储：根据精准实时的全维度采集数据，对各类数据进行分析处理，为用户的各类复杂问题提供诊断结果、分析结果，助力客户的决策支持，为后期决策提供数据支撑。系统以规定的存储格式对数据进行定制化存储，确保有真实可靠的数据记录和数据的安全；</w:t>
            </w:r>
          </w:p>
          <w:p w14:paraId="16FF44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（4）图像展示：可以通过平台实时远程查看视频图像信息；</w:t>
            </w:r>
          </w:p>
          <w:p w14:paraId="68DBD53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（5）接口开发：前端采集设备数据对接；</w:t>
            </w:r>
          </w:p>
          <w:p w14:paraId="5D3482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（6）数据接口：对外提供数据标准接口。</w:t>
            </w:r>
          </w:p>
        </w:tc>
      </w:tr>
      <w:tr w14:paraId="0C22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81" w:type="dxa"/>
            <w:noWrap w:val="0"/>
            <w:vAlign w:val="center"/>
          </w:tcPr>
          <w:p w14:paraId="68285A4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1679" w:type="dxa"/>
            <w:noWrap w:val="0"/>
            <w:vAlign w:val="center"/>
          </w:tcPr>
          <w:p w14:paraId="436FDC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物联管控系统</w:t>
            </w:r>
          </w:p>
        </w:tc>
        <w:tc>
          <w:tcPr>
            <w:tcW w:w="720" w:type="dxa"/>
            <w:noWrap w:val="0"/>
            <w:vAlign w:val="center"/>
          </w:tcPr>
          <w:p w14:paraId="5A3C6C2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5F7C503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103707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（1）智能控制：客户可根据实时参数监测情况，选取适当的控制模式（包含单点控制、时间控制、条件控制、模型控制等多种控制模式）进行设备的运行控制；</w:t>
            </w:r>
          </w:p>
          <w:p w14:paraId="346897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（2）预警提醒：系统可以根据设置采集数据的阈值，当监测数据超过阈值上下限，平台自动向用户发送预警提。</w:t>
            </w:r>
          </w:p>
        </w:tc>
      </w:tr>
      <w:tr w14:paraId="707C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9FDE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w:t>
            </w:r>
          </w:p>
        </w:tc>
        <w:tc>
          <w:tcPr>
            <w:tcW w:w="1679" w:type="dxa"/>
            <w:noWrap w:val="0"/>
            <w:vAlign w:val="center"/>
          </w:tcPr>
          <w:p w14:paraId="11C8D3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系统集成及调试</w:t>
            </w:r>
          </w:p>
        </w:tc>
        <w:tc>
          <w:tcPr>
            <w:tcW w:w="720" w:type="dxa"/>
            <w:noWrap w:val="0"/>
            <w:vAlign w:val="center"/>
          </w:tcPr>
          <w:p w14:paraId="4393393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FF3DC3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6B7074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针对智能管控系统种植基地一张图、物联管控系统、种植生产管理系统之间调试、兼容性问题检测、以及耦合测试等。</w:t>
            </w:r>
          </w:p>
        </w:tc>
      </w:tr>
      <w:tr w14:paraId="58A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1" w:type="dxa"/>
            <w:noWrap w:val="0"/>
            <w:vAlign w:val="center"/>
          </w:tcPr>
          <w:p w14:paraId="676483A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1679" w:type="dxa"/>
            <w:noWrap w:val="0"/>
            <w:vAlign w:val="center"/>
          </w:tcPr>
          <w:p w14:paraId="041CEC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网络通信服务</w:t>
            </w:r>
          </w:p>
        </w:tc>
        <w:tc>
          <w:tcPr>
            <w:tcW w:w="720" w:type="dxa"/>
            <w:noWrap w:val="0"/>
            <w:vAlign w:val="center"/>
          </w:tcPr>
          <w:p w14:paraId="172F298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36F8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4BFA8D75">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500M</w:t>
            </w:r>
            <w:r>
              <w:rPr>
                <w:rFonts w:hint="eastAsia" w:ascii="宋体" w:hAnsi="宋体" w:cs="宋体"/>
                <w:color w:val="auto"/>
                <w:kern w:val="0"/>
                <w:sz w:val="20"/>
                <w:szCs w:val="20"/>
                <w:highlight w:val="none"/>
                <w:lang w:bidi="ar"/>
              </w:rPr>
              <w:t>互联网专线，3年服务。</w:t>
            </w:r>
          </w:p>
        </w:tc>
      </w:tr>
    </w:tbl>
    <w:p w14:paraId="0EF79EA8">
      <w:pPr>
        <w:rPr>
          <w:rFonts w:hint="eastAsia" w:ascii="宋体" w:hAnsi="宋体" w:cs="宋体"/>
          <w:b/>
          <w:bCs/>
          <w:color w:val="auto"/>
          <w:kern w:val="0"/>
          <w:sz w:val="20"/>
          <w:szCs w:val="20"/>
          <w:highlight w:val="none"/>
          <w:lang w:bidi="ar"/>
        </w:rPr>
      </w:pPr>
    </w:p>
    <w:p w14:paraId="388AB654">
      <w:pPr>
        <w:shd w:val="clear" w:color="auto" w:fill="FFFFFF"/>
        <w:snapToGrid w:val="0"/>
        <w:spacing w:line="360" w:lineRule="auto"/>
        <w:ind w:firstLine="525" w:firstLineChars="250"/>
        <w:rPr>
          <w:color w:val="auto"/>
          <w:highlight w:val="none"/>
        </w:rPr>
      </w:pPr>
    </w:p>
    <w:p w14:paraId="63EAE9D0">
      <w:pPr>
        <w:shd w:val="clear" w:color="auto" w:fill="FFFFFF"/>
        <w:snapToGrid w:val="0"/>
        <w:spacing w:line="360" w:lineRule="auto"/>
        <w:ind w:firstLine="525" w:firstLineChars="250"/>
        <w:rPr>
          <w:color w:val="auto"/>
          <w:highlight w:val="none"/>
        </w:rPr>
      </w:pPr>
    </w:p>
    <w:p w14:paraId="1C7BE19F">
      <w:pPr>
        <w:shd w:val="clear" w:color="auto" w:fill="FFFFFF"/>
        <w:snapToGrid w:val="0"/>
        <w:spacing w:line="360" w:lineRule="auto"/>
        <w:ind w:firstLine="525" w:firstLineChars="250"/>
        <w:rPr>
          <w:color w:val="auto"/>
          <w:highlight w:val="none"/>
        </w:rPr>
      </w:pPr>
    </w:p>
    <w:p w14:paraId="26FEA686">
      <w:pPr>
        <w:shd w:val="clear" w:color="auto" w:fill="FFFFFF"/>
        <w:snapToGrid w:val="0"/>
        <w:spacing w:line="360" w:lineRule="auto"/>
        <w:ind w:firstLine="525" w:firstLineChars="250"/>
        <w:rPr>
          <w:color w:val="auto"/>
          <w:highlight w:val="none"/>
        </w:rPr>
      </w:pPr>
    </w:p>
    <w:p w14:paraId="245FDF67">
      <w:pPr>
        <w:shd w:val="clear" w:color="auto" w:fill="FFFFFF"/>
        <w:snapToGrid w:val="0"/>
        <w:spacing w:line="360" w:lineRule="auto"/>
        <w:ind w:firstLine="525" w:firstLineChars="250"/>
        <w:rPr>
          <w:color w:val="auto"/>
          <w:highlight w:val="none"/>
        </w:rPr>
      </w:pPr>
    </w:p>
    <w:p w14:paraId="1A1F99F6">
      <w:pPr>
        <w:shd w:val="clear" w:color="auto" w:fill="FFFFFF"/>
        <w:snapToGrid w:val="0"/>
        <w:spacing w:line="360" w:lineRule="auto"/>
        <w:ind w:firstLine="525" w:firstLineChars="250"/>
        <w:rPr>
          <w:color w:val="auto"/>
          <w:highlight w:val="none"/>
        </w:rPr>
      </w:pPr>
    </w:p>
    <w:p w14:paraId="7C4EDF37">
      <w:pPr>
        <w:rPr>
          <w:color w:val="auto"/>
          <w:highlight w:val="none"/>
        </w:rPr>
      </w:pPr>
      <w:r>
        <w:rPr>
          <w:color w:val="auto"/>
          <w:highlight w:val="none"/>
        </w:rPr>
        <w:br w:type="page"/>
      </w:r>
    </w:p>
    <w:p w14:paraId="02108FAC">
      <w:pP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附件2：</w:t>
      </w:r>
    </w:p>
    <w:p w14:paraId="2FE89FA9">
      <w:pPr>
        <w:widowControl/>
        <w:jc w:val="center"/>
        <w:textAlignment w:val="center"/>
        <w:rPr>
          <w:color w:val="auto"/>
          <w:highlight w:val="none"/>
        </w:rPr>
      </w:pPr>
      <w:r>
        <w:rPr>
          <w:rFonts w:hint="eastAsia" w:ascii="宋体" w:hAnsi="宋体" w:cs="宋体"/>
          <w:b/>
          <w:bCs/>
          <w:color w:val="auto"/>
          <w:kern w:val="0"/>
          <w:sz w:val="20"/>
          <w:szCs w:val="20"/>
          <w:highlight w:val="none"/>
          <w:lang w:bidi="ar"/>
        </w:rPr>
        <w:t>二、建设一个面积50亩的高标准智能水肥一体化种植基地</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679"/>
        <w:gridCol w:w="720"/>
        <w:gridCol w:w="532"/>
        <w:gridCol w:w="6117"/>
      </w:tblGrid>
      <w:tr w14:paraId="1937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81" w:type="dxa"/>
            <w:noWrap w:val="0"/>
            <w:vAlign w:val="center"/>
          </w:tcPr>
          <w:p w14:paraId="1EC14A8D">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序号</w:t>
            </w:r>
          </w:p>
        </w:tc>
        <w:tc>
          <w:tcPr>
            <w:tcW w:w="1679" w:type="dxa"/>
            <w:noWrap w:val="0"/>
            <w:vAlign w:val="center"/>
          </w:tcPr>
          <w:p w14:paraId="2C11BDD2">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名称</w:t>
            </w:r>
          </w:p>
        </w:tc>
        <w:tc>
          <w:tcPr>
            <w:tcW w:w="720" w:type="dxa"/>
            <w:noWrap w:val="0"/>
            <w:vAlign w:val="center"/>
          </w:tcPr>
          <w:p w14:paraId="0A195C8E">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数量</w:t>
            </w:r>
          </w:p>
        </w:tc>
        <w:tc>
          <w:tcPr>
            <w:tcW w:w="532" w:type="dxa"/>
            <w:noWrap w:val="0"/>
            <w:vAlign w:val="center"/>
          </w:tcPr>
          <w:p w14:paraId="3B3393B2">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单位</w:t>
            </w:r>
          </w:p>
        </w:tc>
        <w:tc>
          <w:tcPr>
            <w:tcW w:w="6117" w:type="dxa"/>
            <w:noWrap w:val="0"/>
            <w:vAlign w:val="center"/>
          </w:tcPr>
          <w:p w14:paraId="502A67E9">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配置要求</w:t>
            </w:r>
          </w:p>
        </w:tc>
      </w:tr>
      <w:tr w14:paraId="3A36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629" w:type="dxa"/>
            <w:gridSpan w:val="5"/>
            <w:noWrap w:val="0"/>
            <w:vAlign w:val="center"/>
          </w:tcPr>
          <w:p w14:paraId="72246078">
            <w:pPr>
              <w:widowControl/>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（一）水源及电源工程</w:t>
            </w:r>
          </w:p>
        </w:tc>
      </w:tr>
      <w:tr w14:paraId="3785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003A7B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70C3C6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膜顶盖装配式蓄水池</w:t>
            </w:r>
          </w:p>
        </w:tc>
        <w:tc>
          <w:tcPr>
            <w:tcW w:w="720" w:type="dxa"/>
            <w:noWrap w:val="0"/>
            <w:vAlign w:val="center"/>
          </w:tcPr>
          <w:p w14:paraId="67E1E2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78A2A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02C5F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装配式蓄水池：</w:t>
            </w:r>
          </w:p>
          <w:p w14:paraId="709779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（1）规格：容积：313m³、直径：11.36m，高度:3.09m；</w:t>
            </w:r>
          </w:p>
          <w:p w14:paraId="7A4F3C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（2）高度为四层：</w:t>
            </w:r>
          </w:p>
          <w:p w14:paraId="264FFD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①第一、二层钢板必须为四排螺栓（如设计资料），第三层为三排螺栓，第四层为二排螺栓，螺栓孔孔径为13mm，采用M12热镀锌8.8级螺栓；</w:t>
            </w:r>
          </w:p>
          <w:p w14:paraId="31F5DD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②波纹钢板采用275克镀锌板，波规为：76.2mm*16mm；</w:t>
            </w:r>
          </w:p>
          <w:p w14:paraId="6EAC24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③内胆采用防尘PVC0.9毫米高分子内胆，内胆具备防风结构；内胆和钢板、地面接触采用200克国标无纺布保护；</w:t>
            </w:r>
          </w:p>
          <w:p w14:paraId="2DCF3A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④蓄水池必须配置整体钢结构防风圈；膜顶盖设计，出水口采用波纹钢板专用两半式夹紧出水口；</w:t>
            </w:r>
          </w:p>
        </w:tc>
      </w:tr>
      <w:tr w14:paraId="132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8B12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C9CB7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蓄水池基础</w:t>
            </w:r>
          </w:p>
        </w:tc>
        <w:tc>
          <w:tcPr>
            <w:tcW w:w="720" w:type="dxa"/>
            <w:noWrap w:val="0"/>
            <w:vAlign w:val="center"/>
          </w:tcPr>
          <w:p w14:paraId="6EBD97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15261A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座</w:t>
            </w:r>
          </w:p>
        </w:tc>
        <w:tc>
          <w:tcPr>
            <w:tcW w:w="6117" w:type="dxa"/>
            <w:noWrap w:val="0"/>
            <w:vAlign w:val="center"/>
          </w:tcPr>
          <w:p w14:paraId="59DEBBF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（1）土地平整压实，压实度大于90%；</w:t>
            </w:r>
          </w:p>
          <w:p w14:paraId="428FB0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（2）浇筑厚度为10cm、素混凝土圆环宽：1m、内径长：10.36m、外径长：12.36m、中间回填不小于10cm细沙。</w:t>
            </w:r>
          </w:p>
        </w:tc>
      </w:tr>
      <w:tr w14:paraId="0A97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0F6E3B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7E275D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引水管路</w:t>
            </w:r>
          </w:p>
        </w:tc>
        <w:tc>
          <w:tcPr>
            <w:tcW w:w="720" w:type="dxa"/>
            <w:noWrap w:val="0"/>
            <w:vAlign w:val="center"/>
          </w:tcPr>
          <w:p w14:paraId="10C1748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0C48A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3AE97D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（1）从进口引至蓄水池；</w:t>
            </w:r>
          </w:p>
          <w:p w14:paraId="303771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（2）不小于DN75的PVC管或PE管，长度不小于400米。</w:t>
            </w:r>
          </w:p>
        </w:tc>
      </w:tr>
      <w:tr w14:paraId="0AA0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963089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2FDFA8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三相电源接入</w:t>
            </w:r>
          </w:p>
        </w:tc>
        <w:tc>
          <w:tcPr>
            <w:tcW w:w="720" w:type="dxa"/>
            <w:noWrap w:val="0"/>
            <w:vAlign w:val="center"/>
          </w:tcPr>
          <w:p w14:paraId="0D44F8D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2755864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2FB15C9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接入泵房为三相电源且满足总功率≥30kw用电设备同时工作（不含变压器）。</w:t>
            </w:r>
          </w:p>
        </w:tc>
      </w:tr>
      <w:tr w14:paraId="5FA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3D2DE8B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（二）泵房首部系统</w:t>
            </w:r>
          </w:p>
        </w:tc>
      </w:tr>
      <w:tr w14:paraId="4235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35FE00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229E32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灌溉水泵</w:t>
            </w:r>
          </w:p>
        </w:tc>
        <w:tc>
          <w:tcPr>
            <w:tcW w:w="720" w:type="dxa"/>
            <w:noWrap w:val="0"/>
            <w:vAlign w:val="center"/>
          </w:tcPr>
          <w:p w14:paraId="507ADB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AA02CB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5D9834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高效离心泵：</w:t>
            </w:r>
          </w:p>
          <w:p w14:paraId="521148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（1）功率：≥15KW；</w:t>
            </w:r>
          </w:p>
          <w:p w14:paraId="069AFA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（2）流量：≥50m³/h；</w:t>
            </w:r>
          </w:p>
          <w:p w14:paraId="2423821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（3）扬程：≥60m。</w:t>
            </w:r>
          </w:p>
        </w:tc>
      </w:tr>
      <w:tr w14:paraId="571B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trPr>
        <w:tc>
          <w:tcPr>
            <w:tcW w:w="581" w:type="dxa"/>
            <w:noWrap w:val="0"/>
            <w:vAlign w:val="center"/>
          </w:tcPr>
          <w:p w14:paraId="6BD656E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2FA449A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变频控制柜</w:t>
            </w:r>
          </w:p>
        </w:tc>
        <w:tc>
          <w:tcPr>
            <w:tcW w:w="720" w:type="dxa"/>
            <w:noWrap w:val="0"/>
            <w:vAlign w:val="center"/>
          </w:tcPr>
          <w:p w14:paraId="3B0285A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0F11E3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7EC151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（1）恒压变频/工频控制，一控二，户外型结构；</w:t>
            </w:r>
          </w:p>
          <w:p w14:paraId="4AE062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（2）主泵采用变频控制，采用优质变频器，匹配≥15KW的水泵电机；同时控制搅拌机工频启动。</w:t>
            </w:r>
          </w:p>
          <w:p w14:paraId="3CD66F7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（3）规格：立式柜体，长度≥1.5m。</w:t>
            </w:r>
          </w:p>
          <w:p w14:paraId="312D05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（4）特点：采用不小于10寸PLC屏+人机操作界面，软启软停，恒压运行，傻瓜式操作，压力设定仅需要加减按钮，面板可视化操作；带有PLC PID自整定功能，可根据实际使用工况调整出适合本套设备的供水参数；</w:t>
            </w:r>
          </w:p>
          <w:p w14:paraId="47345B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（5）压力控制精度：0.01bar；</w:t>
            </w:r>
          </w:p>
          <w:p w14:paraId="1AF9EA4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（6）其他：预留一路柜内220V插座，变频泵标配过热、缺相保护；</w:t>
            </w:r>
          </w:p>
          <w:p w14:paraId="2C8C9A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（7）配置远程APP无线操作启停；</w:t>
            </w:r>
          </w:p>
          <w:p w14:paraId="6F09BA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（8）外显电压、电流指示表，配备电压短路检修旋钮及显表。</w:t>
            </w:r>
          </w:p>
        </w:tc>
      </w:tr>
      <w:tr w14:paraId="2066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166452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89F32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全自动反冲洗砂石过滤器</w:t>
            </w:r>
          </w:p>
        </w:tc>
        <w:tc>
          <w:tcPr>
            <w:tcW w:w="720" w:type="dxa"/>
            <w:noWrap w:val="0"/>
            <w:vAlign w:val="center"/>
          </w:tcPr>
          <w:p w14:paraId="057AF1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7964C6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5905060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（1）3罐组合；</w:t>
            </w:r>
          </w:p>
          <w:p w14:paraId="16C90A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（2）最大流量：≥75立方/小时；</w:t>
            </w:r>
          </w:p>
          <w:p w14:paraId="142465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（3）进出口径：≥4英寸；</w:t>
            </w:r>
          </w:p>
          <w:p w14:paraId="7BD79C0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（4）排污口：≥3英寸；</w:t>
            </w:r>
          </w:p>
          <w:p w14:paraId="6BC62AC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（5）工作压力：10bar。</w:t>
            </w:r>
          </w:p>
        </w:tc>
      </w:tr>
      <w:tr w14:paraId="49D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55607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6031AA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自吸污清洗式网式过滤器</w:t>
            </w:r>
          </w:p>
        </w:tc>
        <w:tc>
          <w:tcPr>
            <w:tcW w:w="720" w:type="dxa"/>
            <w:noWrap w:val="0"/>
            <w:vAlign w:val="center"/>
          </w:tcPr>
          <w:p w14:paraId="5CD0557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30C1E1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CF54E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（1）不小于4寸过滤器；</w:t>
            </w:r>
          </w:p>
          <w:p w14:paraId="3845A2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（2）电控型，吮吸扫描技术自清洗功能；</w:t>
            </w:r>
          </w:p>
          <w:p w14:paraId="0950B3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（3）最大工作压力：10bar；</w:t>
            </w:r>
          </w:p>
          <w:p w14:paraId="22C1AF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（4）最小反冲洗压力：1.5Bar；</w:t>
            </w:r>
          </w:p>
          <w:p w14:paraId="2796676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（5）目数：120目；</w:t>
            </w:r>
          </w:p>
          <w:p w14:paraId="4ACFAB3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（6）最大流量：≥80m</w:t>
            </w:r>
            <w:r>
              <w:rPr>
                <w:rFonts w:hint="eastAsia" w:ascii="宋体" w:hAnsi="宋体" w:cs="宋体"/>
                <w:color w:val="auto"/>
                <w:kern w:val="0"/>
                <w:sz w:val="24"/>
                <w:highlight w:val="none"/>
                <w:vertAlign w:val="superscript"/>
                <w:lang w:bidi="ar"/>
              </w:rPr>
              <w:t>3</w:t>
            </w:r>
            <w:r>
              <w:rPr>
                <w:rFonts w:hint="eastAsia" w:ascii="宋体" w:hAnsi="宋体" w:cs="宋体"/>
                <w:color w:val="auto"/>
                <w:kern w:val="0"/>
                <w:sz w:val="20"/>
                <w:szCs w:val="20"/>
                <w:highlight w:val="none"/>
                <w:lang w:bidi="ar"/>
              </w:rPr>
              <w:t>/h；</w:t>
            </w:r>
          </w:p>
          <w:p w14:paraId="1BD7AA4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（7）法兰尺寸：DN100。</w:t>
            </w:r>
          </w:p>
        </w:tc>
      </w:tr>
      <w:tr w14:paraId="4D8C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C9B9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36169C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塑料肥料桶</w:t>
            </w:r>
          </w:p>
        </w:tc>
        <w:tc>
          <w:tcPr>
            <w:tcW w:w="720" w:type="dxa"/>
            <w:noWrap w:val="0"/>
            <w:vAlign w:val="center"/>
          </w:tcPr>
          <w:p w14:paraId="53DB6E0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C22C2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8703B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（1）容积：不小于2000L；</w:t>
            </w:r>
          </w:p>
          <w:p w14:paraId="36A9A72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（2）规格：直径1300mm，高度1800mm，壁厚7mm；</w:t>
            </w:r>
          </w:p>
          <w:p w14:paraId="6957B6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（3）材质：线性低密度聚乙烯LLDPE；</w:t>
            </w:r>
          </w:p>
          <w:p w14:paraId="2DA1BD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（4）配置：带钢制底架。</w:t>
            </w:r>
          </w:p>
        </w:tc>
      </w:tr>
      <w:tr w14:paraId="5EC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0C504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775412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塑料肥料桶</w:t>
            </w:r>
          </w:p>
        </w:tc>
        <w:tc>
          <w:tcPr>
            <w:tcW w:w="720" w:type="dxa"/>
            <w:noWrap w:val="0"/>
            <w:vAlign w:val="center"/>
          </w:tcPr>
          <w:p w14:paraId="211B55C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3DF018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EC324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（1）容积：不小于1000L；</w:t>
            </w:r>
          </w:p>
          <w:p w14:paraId="7A9107F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（2）规格：直径1040mm，高度1460mm，壁厚7mm；</w:t>
            </w:r>
          </w:p>
          <w:p w14:paraId="177C0C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（3）材质：线性低密度聚乙烯LLDPE；</w:t>
            </w:r>
          </w:p>
          <w:p w14:paraId="1F15DD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（4）配置：带钢制底架。</w:t>
            </w:r>
          </w:p>
        </w:tc>
      </w:tr>
      <w:tr w14:paraId="0625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68BE1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6060160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肥料减速搅拌机</w:t>
            </w:r>
          </w:p>
        </w:tc>
        <w:tc>
          <w:tcPr>
            <w:tcW w:w="720" w:type="dxa"/>
            <w:noWrap w:val="0"/>
            <w:vAlign w:val="center"/>
          </w:tcPr>
          <w:p w14:paraId="3F6CF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BB67BA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798F88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（1）减速比：≥11；</w:t>
            </w:r>
          </w:p>
          <w:p w14:paraId="71423C6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（2）额定功率≥1.5KW；</w:t>
            </w:r>
          </w:p>
          <w:p w14:paraId="3C61EC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（3）规格：不锈钢304与钢衬塑搅拌杆，双层；</w:t>
            </w:r>
          </w:p>
          <w:p w14:paraId="4D376A0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（4）尺寸：叶轮直径400mm，长1400mm。</w:t>
            </w:r>
          </w:p>
        </w:tc>
      </w:tr>
      <w:tr w14:paraId="2F7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010C3F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1D878C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肥料减速搅拌机</w:t>
            </w:r>
          </w:p>
        </w:tc>
        <w:tc>
          <w:tcPr>
            <w:tcW w:w="720" w:type="dxa"/>
            <w:noWrap w:val="0"/>
            <w:vAlign w:val="center"/>
          </w:tcPr>
          <w:p w14:paraId="2B05B1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BF482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6A224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（1）减速比：≥11；</w:t>
            </w:r>
          </w:p>
          <w:p w14:paraId="70B6714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（2）额定功率≥0.75KW；</w:t>
            </w:r>
          </w:p>
          <w:p w14:paraId="66D8DC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（3）规格：不锈钢304与钢衬塑搅拌杆，单层；</w:t>
            </w:r>
          </w:p>
          <w:p w14:paraId="181AE6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（4）尺寸：叶轮直径300mm，长1200mm。</w:t>
            </w:r>
          </w:p>
        </w:tc>
      </w:tr>
      <w:tr w14:paraId="571A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20BA15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465A57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注入式自动调节施肥机</w:t>
            </w:r>
          </w:p>
        </w:tc>
        <w:tc>
          <w:tcPr>
            <w:tcW w:w="720" w:type="dxa"/>
            <w:noWrap w:val="0"/>
            <w:vAlign w:val="center"/>
          </w:tcPr>
          <w:p w14:paraId="4C3DE52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5BBABE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6C932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（1）Q≥4m³/h，H≥70m，P≥1.5kw；</w:t>
            </w:r>
          </w:p>
          <w:p w14:paraId="2168D4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（2）吸肥通道：单通道≥DN32；</w:t>
            </w:r>
          </w:p>
          <w:p w14:paraId="22C48AF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（3）吸肥方式：变频比例式；</w:t>
            </w:r>
          </w:p>
          <w:p w14:paraId="6B319C1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（4）联网方式：WIFI/5G（优先采用5G其次4G）/网口；</w:t>
            </w:r>
          </w:p>
          <w:p w14:paraId="4C32795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7863D8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（6）监测功能：混合液EC，PH数值监测</w:t>
            </w:r>
          </w:p>
          <w:p w14:paraId="33D337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基础功能：定时、定量、土壤湿度及外部IO。</w:t>
            </w:r>
          </w:p>
        </w:tc>
      </w:tr>
      <w:tr w14:paraId="53CA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60785E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75A5B4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EC及PH传感器</w:t>
            </w:r>
          </w:p>
        </w:tc>
        <w:tc>
          <w:tcPr>
            <w:tcW w:w="720" w:type="dxa"/>
            <w:noWrap w:val="0"/>
            <w:vAlign w:val="center"/>
          </w:tcPr>
          <w:p w14:paraId="1D9F37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38AFE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3DD8FD4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规格：管道式电极传感器。</w:t>
            </w:r>
          </w:p>
        </w:tc>
      </w:tr>
      <w:tr w14:paraId="4E3A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7EA51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427DA3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远传式流量计</w:t>
            </w:r>
          </w:p>
        </w:tc>
        <w:tc>
          <w:tcPr>
            <w:tcW w:w="720" w:type="dxa"/>
            <w:noWrap w:val="0"/>
            <w:vAlign w:val="center"/>
          </w:tcPr>
          <w:p w14:paraId="569D0F2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2E7AE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45DF361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规格：DN100，电子脉冲远传流量计。</w:t>
            </w:r>
          </w:p>
        </w:tc>
      </w:tr>
      <w:tr w14:paraId="7AC5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77AC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7B33203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肥料过滤器</w:t>
            </w:r>
          </w:p>
        </w:tc>
        <w:tc>
          <w:tcPr>
            <w:tcW w:w="720" w:type="dxa"/>
            <w:noWrap w:val="0"/>
            <w:vAlign w:val="center"/>
          </w:tcPr>
          <w:p w14:paraId="6554F61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FA04DF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6AE200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2寸*2叠片式组合，120目，T型。</w:t>
            </w:r>
          </w:p>
        </w:tc>
      </w:tr>
      <w:tr w14:paraId="0C7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169AF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00B38F9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首部连接配件</w:t>
            </w:r>
          </w:p>
        </w:tc>
        <w:tc>
          <w:tcPr>
            <w:tcW w:w="720" w:type="dxa"/>
            <w:noWrap w:val="0"/>
            <w:vAlign w:val="center"/>
          </w:tcPr>
          <w:p w14:paraId="348F4FA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0AC8C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663959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每个首部配件主要包含：DN100消声止回阀2个，持压阀1个，软密封闸阀2个，法兰橡胶软接头2个，压力传感器2个，设备首部设备连接管件一批（三通、弯头、法兰、直通、胶水、室内电缆线螺丝螺母等）。</w:t>
            </w:r>
          </w:p>
        </w:tc>
      </w:tr>
      <w:tr w14:paraId="590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15F6D1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（三）输水管网系统</w:t>
            </w:r>
          </w:p>
        </w:tc>
      </w:tr>
      <w:tr w14:paraId="3CF3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5718B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88147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3B7C35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120</w:t>
            </w:r>
          </w:p>
        </w:tc>
        <w:tc>
          <w:tcPr>
            <w:tcW w:w="532" w:type="dxa"/>
            <w:noWrap w:val="0"/>
            <w:vAlign w:val="center"/>
          </w:tcPr>
          <w:p w14:paraId="7CFCBE0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18C45387">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110*1.0MPa。</w:t>
            </w:r>
          </w:p>
        </w:tc>
      </w:tr>
      <w:tr w14:paraId="746F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FCD1E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0EC18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025884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240</w:t>
            </w:r>
          </w:p>
        </w:tc>
        <w:tc>
          <w:tcPr>
            <w:tcW w:w="532" w:type="dxa"/>
            <w:noWrap w:val="0"/>
            <w:vAlign w:val="center"/>
          </w:tcPr>
          <w:p w14:paraId="2BA729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6BD1CFF8">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90*1.0MPa。</w:t>
            </w:r>
          </w:p>
        </w:tc>
      </w:tr>
      <w:tr w14:paraId="606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31A55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D13B95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3F1DD1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480</w:t>
            </w:r>
          </w:p>
        </w:tc>
        <w:tc>
          <w:tcPr>
            <w:tcW w:w="532" w:type="dxa"/>
            <w:noWrap w:val="0"/>
            <w:vAlign w:val="center"/>
          </w:tcPr>
          <w:p w14:paraId="493838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3312BD67">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63*1.0MPa。</w:t>
            </w:r>
          </w:p>
        </w:tc>
      </w:tr>
      <w:tr w14:paraId="1909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4376B7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69A2229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管道连接辅材</w:t>
            </w:r>
          </w:p>
        </w:tc>
        <w:tc>
          <w:tcPr>
            <w:tcW w:w="720" w:type="dxa"/>
            <w:noWrap w:val="0"/>
            <w:vAlign w:val="center"/>
          </w:tcPr>
          <w:p w14:paraId="721F74F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FFFD70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5CC6269F">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8"/>
                <w:rFonts w:hint="default"/>
                <w:color w:val="auto"/>
                <w:highlight w:val="none"/>
                <w:lang w:bidi="ar"/>
              </w:rPr>
              <w:t>63-110mm。</w:t>
            </w:r>
          </w:p>
        </w:tc>
      </w:tr>
      <w:tr w14:paraId="029F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29" w:type="dxa"/>
            <w:gridSpan w:val="5"/>
            <w:noWrap w:val="0"/>
            <w:vAlign w:val="center"/>
          </w:tcPr>
          <w:p w14:paraId="359AAEA1">
            <w:pPr>
              <w:widowControl/>
              <w:jc w:val="left"/>
              <w:textAlignment w:val="center"/>
              <w:rPr>
                <w:rFonts w:ascii="Calibri" w:hAnsi="Calibri" w:cs="Calibri"/>
                <w:color w:val="auto"/>
                <w:kern w:val="0"/>
                <w:sz w:val="20"/>
                <w:szCs w:val="20"/>
                <w:highlight w:val="none"/>
                <w:lang w:bidi="ar"/>
              </w:rPr>
            </w:pPr>
            <w:r>
              <w:rPr>
                <w:rFonts w:hint="eastAsia" w:ascii="宋体" w:hAnsi="宋体" w:cs="宋体"/>
                <w:b/>
                <w:bCs/>
                <w:color w:val="auto"/>
                <w:kern w:val="0"/>
                <w:sz w:val="20"/>
                <w:szCs w:val="20"/>
                <w:highlight w:val="none"/>
                <w:lang w:bidi="ar"/>
              </w:rPr>
              <w:t>（四）自动控制系统</w:t>
            </w:r>
          </w:p>
        </w:tc>
      </w:tr>
      <w:tr w14:paraId="40D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71EE65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78A7F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远程自动控制系统安装</w:t>
            </w:r>
          </w:p>
        </w:tc>
        <w:tc>
          <w:tcPr>
            <w:tcW w:w="720" w:type="dxa"/>
            <w:noWrap w:val="0"/>
            <w:vAlign w:val="center"/>
          </w:tcPr>
          <w:p w14:paraId="258CF87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CE86F7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0D852C4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包含以下设备：</w:t>
            </w:r>
          </w:p>
          <w:p w14:paraId="6FB320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（1）含灌溉中央控制器，1台，脉冲输入点（可接入水源液位计、脉冲流量计、远传压力表）</w:t>
            </w:r>
          </w:p>
          <w:p w14:paraId="1A843FF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站点扩展类型（选配）；</w:t>
            </w:r>
          </w:p>
          <w:p w14:paraId="3C3F07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（2）支持总线、无线、有线站点混合控制；</w:t>
            </w:r>
          </w:p>
          <w:p w14:paraId="7396B8F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（3）通信距离：总线≥3.5KM ，无线：≥4.5KM(可视距离)；</w:t>
            </w:r>
          </w:p>
          <w:p w14:paraId="7495AC1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 WIFI/5G（优先采用5G其次4G）/网口；</w:t>
            </w:r>
          </w:p>
          <w:p w14:paraId="59D3AF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4CA093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（6）基础功能：定时、定量、土壤湿度及外部IO；</w:t>
            </w:r>
          </w:p>
          <w:p w14:paraId="578AC8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（7）含4寸/3寸法兰接口电磁调压阀+无线解码器带立杆套装，约8～10套，按约5～8亩一个分区预计；</w:t>
            </w:r>
          </w:p>
          <w:p w14:paraId="2D43EF5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（8）手机无线遥控app软件1项。</w:t>
            </w:r>
          </w:p>
        </w:tc>
      </w:tr>
      <w:tr w14:paraId="7723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2582D2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（五）田间毛管及灌水器系统</w:t>
            </w:r>
          </w:p>
        </w:tc>
      </w:tr>
      <w:tr w14:paraId="341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E5C763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18577D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地插式压力补偿微喷头</w:t>
            </w:r>
          </w:p>
        </w:tc>
        <w:tc>
          <w:tcPr>
            <w:tcW w:w="720" w:type="dxa"/>
            <w:noWrap w:val="0"/>
            <w:vAlign w:val="center"/>
          </w:tcPr>
          <w:p w14:paraId="4D6218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4000</w:t>
            </w:r>
          </w:p>
        </w:tc>
        <w:tc>
          <w:tcPr>
            <w:tcW w:w="532" w:type="dxa"/>
            <w:noWrap w:val="0"/>
            <w:vAlign w:val="center"/>
          </w:tcPr>
          <w:p w14:paraId="76FC90E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0446D5F3">
            <w:pPr>
              <w:widowControl/>
              <w:jc w:val="left"/>
              <w:textAlignment w:val="center"/>
              <w:rPr>
                <w:rStyle w:val="19"/>
                <w:rFonts w:hint="default"/>
                <w:color w:val="auto"/>
                <w:highlight w:val="none"/>
                <w:lang w:bidi="ar"/>
              </w:rPr>
            </w:pPr>
            <w:r>
              <w:rPr>
                <w:rFonts w:hint="eastAsia" w:ascii="宋体" w:hAnsi="宋体" w:cs="宋体"/>
                <w:color w:val="auto"/>
                <w:kern w:val="0"/>
                <w:sz w:val="20"/>
                <w:szCs w:val="20"/>
                <w:highlight w:val="none"/>
                <w:lang w:bidi="ar"/>
              </w:rPr>
              <w:t>（1）地插杆长40cm，</w:t>
            </w:r>
            <w:r>
              <w:rPr>
                <w:rFonts w:ascii="Calibri" w:hAnsi="Calibri" w:cs="Calibri"/>
                <w:color w:val="auto"/>
                <w:kern w:val="0"/>
                <w:sz w:val="20"/>
                <w:szCs w:val="20"/>
                <w:highlight w:val="none"/>
                <w:lang w:bidi="ar"/>
              </w:rPr>
              <w:t>φ</w:t>
            </w:r>
            <w:r>
              <w:rPr>
                <w:rStyle w:val="19"/>
                <w:rFonts w:hint="default"/>
                <w:color w:val="auto"/>
                <w:highlight w:val="none"/>
                <w:lang w:bidi="ar"/>
              </w:rPr>
              <w:t>8毛管长50cm；</w:t>
            </w:r>
          </w:p>
          <w:p w14:paraId="038B06E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Style w:val="19"/>
                <w:rFonts w:hint="default"/>
                <w:color w:val="auto"/>
                <w:highlight w:val="none"/>
                <w:lang w:bidi="ar"/>
              </w:rPr>
              <w:t>喷头流量</w:t>
            </w:r>
            <w:r>
              <w:rPr>
                <w:rFonts w:hint="eastAsia" w:ascii="宋体" w:hAnsi="宋体" w:cs="宋体"/>
                <w:color w:val="auto"/>
                <w:kern w:val="0"/>
                <w:sz w:val="20"/>
                <w:szCs w:val="20"/>
                <w:highlight w:val="none"/>
                <w:lang w:bidi="ar"/>
              </w:rPr>
              <w:t>≥</w:t>
            </w:r>
            <w:r>
              <w:rPr>
                <w:rStyle w:val="19"/>
                <w:rFonts w:hint="default"/>
                <w:color w:val="auto"/>
                <w:highlight w:val="none"/>
                <w:lang w:bidi="ar"/>
              </w:rPr>
              <w:t>55L/H；</w:t>
            </w:r>
          </w:p>
          <w:p w14:paraId="179985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r>
              <w:rPr>
                <w:rStyle w:val="19"/>
                <w:rFonts w:hint="default"/>
                <w:color w:val="auto"/>
                <w:highlight w:val="none"/>
                <w:lang w:bidi="ar"/>
              </w:rPr>
              <w:t>喷洒直径2.8</w:t>
            </w:r>
            <w:r>
              <w:rPr>
                <w:rFonts w:hint="eastAsia" w:ascii="宋体" w:hAnsi="宋体" w:cs="宋体"/>
                <w:color w:val="auto"/>
                <w:kern w:val="0"/>
                <w:sz w:val="20"/>
                <w:szCs w:val="20"/>
                <w:highlight w:val="none"/>
                <w:lang w:bidi="ar"/>
              </w:rPr>
              <w:t>～</w:t>
            </w:r>
            <w:r>
              <w:rPr>
                <w:rStyle w:val="19"/>
                <w:rFonts w:hint="default"/>
                <w:color w:val="auto"/>
                <w:highlight w:val="none"/>
                <w:lang w:bidi="ar"/>
              </w:rPr>
              <w:t>3米（带限流条），在1.5</w:t>
            </w:r>
            <w:r>
              <w:rPr>
                <w:rFonts w:hint="eastAsia" w:ascii="宋体" w:hAnsi="宋体" w:cs="宋体"/>
                <w:color w:val="auto"/>
                <w:kern w:val="0"/>
                <w:sz w:val="20"/>
                <w:szCs w:val="20"/>
                <w:highlight w:val="none"/>
                <w:lang w:bidi="ar"/>
              </w:rPr>
              <w:t>～</w:t>
            </w:r>
            <w:r>
              <w:rPr>
                <w:rStyle w:val="19"/>
                <w:rFonts w:hint="default"/>
                <w:color w:val="auto"/>
                <w:highlight w:val="none"/>
                <w:lang w:bidi="ar"/>
              </w:rPr>
              <w:t>4.0bar的压力下，能基本保持恒定出水量和相同的喷洒范围。</w:t>
            </w:r>
          </w:p>
        </w:tc>
      </w:tr>
      <w:tr w14:paraId="657C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36E006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5C016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全新LDPE管盲管</w:t>
            </w:r>
          </w:p>
        </w:tc>
        <w:tc>
          <w:tcPr>
            <w:tcW w:w="720" w:type="dxa"/>
            <w:noWrap w:val="0"/>
            <w:vAlign w:val="center"/>
          </w:tcPr>
          <w:p w14:paraId="7861B27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12000</w:t>
            </w:r>
          </w:p>
        </w:tc>
        <w:tc>
          <w:tcPr>
            <w:tcW w:w="532" w:type="dxa"/>
            <w:noWrap w:val="0"/>
            <w:vAlign w:val="center"/>
          </w:tcPr>
          <w:p w14:paraId="789051F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28F16CC6">
            <w:pPr>
              <w:widowControl/>
              <w:jc w:val="left"/>
              <w:textAlignment w:val="center"/>
              <w:rPr>
                <w:rFonts w:hint="eastAsia" w:ascii="宋体" w:hAnsi="宋体" w:cs="宋体"/>
                <w:color w:val="auto"/>
                <w:kern w:val="0"/>
                <w:sz w:val="20"/>
                <w:szCs w:val="20"/>
                <w:highlight w:val="none"/>
                <w:lang w:bidi="ar"/>
              </w:rPr>
            </w:pPr>
            <w:r>
              <w:rPr>
                <w:rFonts w:ascii="Segoe UI Symbol" w:hAnsi="Segoe UI Symbol" w:eastAsia="Segoe UI Symbol" w:cs="Segoe UI Symbol"/>
                <w:color w:val="auto"/>
                <w:kern w:val="0"/>
                <w:sz w:val="20"/>
                <w:szCs w:val="20"/>
                <w:highlight w:val="none"/>
                <w:lang w:bidi="ar"/>
              </w:rPr>
              <w:t>⌀</w:t>
            </w:r>
            <w:r>
              <w:rPr>
                <w:rStyle w:val="19"/>
                <w:rFonts w:hint="default"/>
                <w:color w:val="auto"/>
                <w:highlight w:val="none"/>
                <w:lang w:bidi="ar"/>
              </w:rPr>
              <w:t>20*PN0.6MPa，500米/卷，节水灌溉LDPE管，外径20mm。</w:t>
            </w:r>
          </w:p>
        </w:tc>
      </w:tr>
      <w:tr w14:paraId="0150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5B69B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73E88E3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旁通阀</w:t>
            </w:r>
          </w:p>
        </w:tc>
        <w:tc>
          <w:tcPr>
            <w:tcW w:w="720" w:type="dxa"/>
            <w:noWrap w:val="0"/>
            <w:vAlign w:val="center"/>
          </w:tcPr>
          <w:p w14:paraId="7CA981F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300</w:t>
            </w:r>
          </w:p>
        </w:tc>
        <w:tc>
          <w:tcPr>
            <w:tcW w:w="532" w:type="dxa"/>
            <w:noWrap w:val="0"/>
            <w:vAlign w:val="center"/>
          </w:tcPr>
          <w:p w14:paraId="7652B8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08F1A931">
            <w:pPr>
              <w:widowControl/>
              <w:jc w:val="left"/>
              <w:textAlignment w:val="center"/>
              <w:rPr>
                <w:rStyle w:val="19"/>
                <w:rFonts w:hint="default"/>
                <w:color w:val="auto"/>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20PE管，含橡胶圈。</w:t>
            </w:r>
          </w:p>
        </w:tc>
      </w:tr>
      <w:tr w14:paraId="1AC4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2E4B49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2CC55D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锁扣式管用直通</w:t>
            </w:r>
          </w:p>
        </w:tc>
        <w:tc>
          <w:tcPr>
            <w:tcW w:w="720" w:type="dxa"/>
            <w:noWrap w:val="0"/>
            <w:vAlign w:val="center"/>
          </w:tcPr>
          <w:p w14:paraId="1D5DF3D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100</w:t>
            </w:r>
          </w:p>
        </w:tc>
        <w:tc>
          <w:tcPr>
            <w:tcW w:w="532" w:type="dxa"/>
            <w:noWrap w:val="0"/>
            <w:vAlign w:val="center"/>
          </w:tcPr>
          <w:p w14:paraId="319BB6F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32EEDCF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5CDD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939CE9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2D32BD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承插式管用三通</w:t>
            </w:r>
          </w:p>
        </w:tc>
        <w:tc>
          <w:tcPr>
            <w:tcW w:w="720" w:type="dxa"/>
            <w:noWrap w:val="0"/>
            <w:vAlign w:val="center"/>
          </w:tcPr>
          <w:p w14:paraId="306128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100</w:t>
            </w:r>
          </w:p>
        </w:tc>
        <w:tc>
          <w:tcPr>
            <w:tcW w:w="532" w:type="dxa"/>
            <w:noWrap w:val="0"/>
            <w:vAlign w:val="center"/>
          </w:tcPr>
          <w:p w14:paraId="0AEE80C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29E5D1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00E9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DB86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69580C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折叠管用堵头</w:t>
            </w:r>
          </w:p>
        </w:tc>
        <w:tc>
          <w:tcPr>
            <w:tcW w:w="720" w:type="dxa"/>
            <w:noWrap w:val="0"/>
            <w:vAlign w:val="center"/>
          </w:tcPr>
          <w:p w14:paraId="5204442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400</w:t>
            </w:r>
          </w:p>
        </w:tc>
        <w:tc>
          <w:tcPr>
            <w:tcW w:w="532" w:type="dxa"/>
            <w:noWrap w:val="0"/>
            <w:vAlign w:val="center"/>
          </w:tcPr>
          <w:p w14:paraId="2A18CB1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606C6C0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309D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629" w:type="dxa"/>
            <w:gridSpan w:val="5"/>
            <w:noWrap w:val="0"/>
            <w:vAlign w:val="center"/>
          </w:tcPr>
          <w:p w14:paraId="44B443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（六）全园物联智能管控系统建设</w:t>
            </w:r>
          </w:p>
        </w:tc>
      </w:tr>
      <w:tr w14:paraId="65B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6D57B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1E7BF7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室内智慧显示及操作系统</w:t>
            </w:r>
          </w:p>
        </w:tc>
        <w:tc>
          <w:tcPr>
            <w:tcW w:w="720" w:type="dxa"/>
            <w:noWrap w:val="0"/>
            <w:vAlign w:val="center"/>
          </w:tcPr>
          <w:p w14:paraId="1ECCFFA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43414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6AA8BF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每套系统内包含安装：</w:t>
            </w:r>
          </w:p>
          <w:p w14:paraId="673C4A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（1）55寸3.5拼接缝的液晶拼接单元显示设备9块；</w:t>
            </w:r>
          </w:p>
          <w:p w14:paraId="0E4D9B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（2）落地底座机柜1套；</w:t>
            </w:r>
          </w:p>
          <w:p w14:paraId="1CA07E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（3）拼接屏线缆及附件1套；</w:t>
            </w:r>
          </w:p>
          <w:p w14:paraId="007DB1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（4）9路4K高清解码器（4路输入）1台；</w:t>
            </w:r>
          </w:p>
          <w:p w14:paraId="0A5E4C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（5）室内P4.75条形屏，不小于1.2平方；</w:t>
            </w:r>
          </w:p>
          <w:p w14:paraId="6C095B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（6）专业音响及挂壁支架2套；</w:t>
            </w:r>
          </w:p>
          <w:p w14:paraId="02F850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（7）多媒体功放器1台；</w:t>
            </w:r>
          </w:p>
          <w:p w14:paraId="6184FF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（8）一拖二手持无线话筒1套；</w:t>
            </w:r>
          </w:p>
          <w:p w14:paraId="3407D2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（9）综合机柜1套（硬盘录像机，交换机，硬盘满足30天存储回放需求，光纤收发器，盒子，防雷器等）；</w:t>
            </w:r>
          </w:p>
          <w:p w14:paraId="34062C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（10）控制主机1台；</w:t>
            </w:r>
          </w:p>
          <w:p w14:paraId="34BE9704">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①性能要求：</w:t>
            </w:r>
            <w:r>
              <w:rPr>
                <w:rFonts w:hint="eastAsia" w:ascii="宋体" w:hAnsi="宋体" w:cs="宋体"/>
                <w:color w:val="auto"/>
                <w:kern w:val="0"/>
                <w:sz w:val="20"/>
                <w:szCs w:val="20"/>
                <w:highlight w:val="none"/>
                <w:lang w:val="en-US" w:eastAsia="zh-CN" w:bidi="ar"/>
              </w:rPr>
              <w:t>采用主流处理器、采购DDR5 32G高速内存、≥1TB的高速固态硬盘</w:t>
            </w:r>
            <w:r>
              <w:rPr>
                <w:rFonts w:hint="eastAsia" w:ascii="宋体" w:hAnsi="宋体" w:cs="宋体"/>
                <w:color w:val="auto"/>
                <w:kern w:val="0"/>
                <w:sz w:val="20"/>
                <w:szCs w:val="20"/>
                <w:highlight w:val="none"/>
                <w:lang w:bidi="ar"/>
              </w:rPr>
              <w:t>；</w:t>
            </w:r>
          </w:p>
          <w:p w14:paraId="1F7CC8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②兼容性要求：支持 WIN10、支持主流办公软件、安防应用软件、支持主流视音频播放；③业务适用性要求：支持多路高清视频回放、支持多屏显示、视频预览和业务操作并行、提高效率、支持视频监控录像快速下载；</w:t>
            </w:r>
          </w:p>
          <w:p w14:paraId="4DC642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（11）两位操作台2套，含椅子。</w:t>
            </w:r>
          </w:p>
        </w:tc>
      </w:tr>
      <w:tr w14:paraId="1618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F7867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164EE7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0FCF354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1CB31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1166DC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49A4CA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3D200A1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（3）含横臂及混凝土基础，基础规格为：80cm*80cm*80cm。</w:t>
            </w:r>
          </w:p>
        </w:tc>
      </w:tr>
      <w:tr w14:paraId="222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9952B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34F4BD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4684CEC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77095C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根</w:t>
            </w:r>
          </w:p>
        </w:tc>
        <w:tc>
          <w:tcPr>
            <w:tcW w:w="6117" w:type="dxa"/>
            <w:noWrap w:val="0"/>
            <w:vAlign w:val="center"/>
          </w:tcPr>
          <w:p w14:paraId="5D1C416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3BEE96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4071A9D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（3）含横臂及混凝土基础，基础规格为：60cm*60cm*60cm。</w:t>
            </w:r>
          </w:p>
        </w:tc>
      </w:tr>
      <w:tr w14:paraId="59D3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7EADC7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3CF2CFC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LED屏显示器</w:t>
            </w:r>
          </w:p>
        </w:tc>
        <w:tc>
          <w:tcPr>
            <w:tcW w:w="720" w:type="dxa"/>
            <w:noWrap w:val="0"/>
            <w:vAlign w:val="center"/>
          </w:tcPr>
          <w:p w14:paraId="3A93082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5833D5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19CE5D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（1）供电方式：220V交流，50HZ；</w:t>
            </w:r>
          </w:p>
          <w:p w14:paraId="491F7A2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（2）应用环境：温度 -20～80℃，湿度 0～100%；</w:t>
            </w:r>
          </w:p>
          <w:p w14:paraId="70C6AF8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（3）LED控制卡具备无线功能，可直接通过无线与传感器通信收集并显示数据；</w:t>
            </w:r>
          </w:p>
          <w:p w14:paraId="278DC2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（4）LED控制卡具备WIFI功能，电脑软件可通过WIFI连接到控制卡，设置需要显示的界面格式和需要显示的传感器地址等信息。</w:t>
            </w:r>
          </w:p>
        </w:tc>
      </w:tr>
      <w:tr w14:paraId="6478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81" w:type="dxa"/>
            <w:noWrap w:val="0"/>
            <w:vAlign w:val="center"/>
          </w:tcPr>
          <w:p w14:paraId="24F9AC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734AA2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记录仪安装辅材</w:t>
            </w:r>
          </w:p>
        </w:tc>
        <w:tc>
          <w:tcPr>
            <w:tcW w:w="720" w:type="dxa"/>
            <w:noWrap w:val="0"/>
            <w:vAlign w:val="center"/>
          </w:tcPr>
          <w:p w14:paraId="3261F47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6BEA95C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top"/>
          </w:tcPr>
          <w:p w14:paraId="5F83F895">
            <w:pPr>
              <w:widowControl/>
              <w:jc w:val="left"/>
              <w:textAlignment w:val="top"/>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防水电箱、开关开关插座、带电源线光纤、网线、水晶头、耦合器、尾纤等。</w:t>
            </w:r>
          </w:p>
        </w:tc>
      </w:tr>
      <w:tr w14:paraId="5961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42746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2A947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综合气象站</w:t>
            </w:r>
          </w:p>
        </w:tc>
        <w:tc>
          <w:tcPr>
            <w:tcW w:w="720" w:type="dxa"/>
            <w:noWrap w:val="0"/>
            <w:vAlign w:val="center"/>
          </w:tcPr>
          <w:p w14:paraId="60C73E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4CD2053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CD5B1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象站可对田间的空气温度、空气湿度、光照强度、风速、风向、降雨、辐射，大气压等气象要素进行全天候实时监测，将监测的各项数据通过无线传输到控制系统上，从而进行各种运算，更好的控制灌溉系统的运行。完善的防雷击和抗干扰等保护措施，使其可靠运行于各种恶劣的野外环境，低功耗、高稳定性、高精度、低维护。</w:t>
            </w:r>
          </w:p>
          <w:p w14:paraId="023FF1D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（1）立杆高度 ：≥3.5米； </w:t>
            </w:r>
          </w:p>
          <w:p w14:paraId="28AD5B6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 ：太阳能+锂电池（太阳能功率≥20W,锂电池容量≥3400MAH*3）或有线供电；</w:t>
            </w:r>
          </w:p>
          <w:p w14:paraId="1F27780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（3）续航时间 ：无光照情况下不少于40天； </w:t>
            </w:r>
          </w:p>
          <w:p w14:paraId="473A67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（4）传输方式 ：GPRS和433M本地无线； </w:t>
            </w:r>
          </w:p>
          <w:p w14:paraId="63D867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（5）传输距离 ：空旷地带不少于480米； </w:t>
            </w:r>
          </w:p>
          <w:p w14:paraId="18C80D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（6）应用环境 ：-20℃～80℃ ；</w:t>
            </w:r>
          </w:p>
          <w:p w14:paraId="4F8CEC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（7）数据查看 ：云平台或本地网关；</w:t>
            </w:r>
          </w:p>
          <w:p w14:paraId="45CEC8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（8）可直接将数据传输到手机APP和电脑平台。</w:t>
            </w:r>
          </w:p>
          <w:p w14:paraId="558954C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（9）系统功能：</w:t>
            </w:r>
          </w:p>
          <w:p w14:paraId="11D71A3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①空气温度：测量范围：-40～+90℃、分辨率：0.015℃、准确度：±0.3℃；</w:t>
            </w:r>
          </w:p>
          <w:p w14:paraId="30007D5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②二氧化碳：测量范围：0～2000ppm；</w:t>
            </w:r>
          </w:p>
          <w:p w14:paraId="41F084D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③空气湿度：测量范围：0～100%、分辨率：0.01%、准确度：±3%；</w:t>
            </w:r>
          </w:p>
          <w:p w14:paraId="5AF1EF9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④光照强度：测量范围：0～200Klx、分辨率：1lx、准确度：±5%；</w:t>
            </w:r>
          </w:p>
          <w:p w14:paraId="5ACE37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⑤风速：测量范围：0～60m/s、分辨率：0.01m/s、准确度：±0.1m/s；</w:t>
            </w:r>
          </w:p>
          <w:p w14:paraId="6FC57C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⑥风向：测量范围：0～360°、分辨率：1°、 准确度：±3°；</w:t>
            </w:r>
          </w:p>
          <w:p w14:paraId="59BC003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⑦雨量传感器:测量范围：0～50mm/t、分辨率：0.2mm、准确度：±0.4mm；</w:t>
            </w:r>
          </w:p>
          <w:p w14:paraId="1547EC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⑧太阳总辐射：测量范围：0～2000w/㎡ 、分辨率：1uv/w、准确度：±5%rdg；</w:t>
            </w:r>
          </w:p>
          <w:p w14:paraId="3BCFD9B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⑨大气压力：测量范围：50～110Kpa、分辨率：0.01Kpa、准确度：±0.05Kpa。</w:t>
            </w:r>
          </w:p>
        </w:tc>
      </w:tr>
      <w:tr w14:paraId="0F24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57EADB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0988B6F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管式多层土壤墒情传感器</w:t>
            </w:r>
          </w:p>
        </w:tc>
        <w:tc>
          <w:tcPr>
            <w:tcW w:w="720" w:type="dxa"/>
            <w:noWrap w:val="0"/>
            <w:vAlign w:val="center"/>
          </w:tcPr>
          <w:p w14:paraId="7FD2F25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B939E3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3618E0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（1）一体化管式设计，可测量10层土壤温湿度；</w:t>
            </w:r>
          </w:p>
          <w:p w14:paraId="57130A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（2）5G（优先采用5G其次4G），无线传输；</w:t>
            </w:r>
          </w:p>
          <w:p w14:paraId="305D811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（3）技术参数：</w:t>
            </w:r>
          </w:p>
          <w:p w14:paraId="2CD0CF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①工作电压：5～15V； </w:t>
            </w:r>
          </w:p>
          <w:p w14:paraId="6C8EA51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②供电方式：太阳能电池板/内部电池；</w:t>
            </w:r>
          </w:p>
          <w:p w14:paraId="520D17B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③防护等级：IP68；</w:t>
            </w:r>
          </w:p>
          <w:p w14:paraId="3FCF0FE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④通讯方式：5G（优先采用5G其次4G）/433M；</w:t>
            </w:r>
          </w:p>
          <w:p w14:paraId="052033F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⑤支持运营商：支持国内各大通讯运营商；</w:t>
            </w:r>
          </w:p>
          <w:p w14:paraId="33915B0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⑥温度测量范围：-30～80°C；</w:t>
            </w:r>
          </w:p>
          <w:p w14:paraId="212269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⑦土壤含水量测量范围：0～100%；</w:t>
            </w:r>
          </w:p>
          <w:p w14:paraId="79F1E8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⑧温度测量精度：±0.5°C；</w:t>
            </w:r>
          </w:p>
          <w:p w14:paraId="76707A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⑨土壤含水量测量精度：±5%。</w:t>
            </w:r>
          </w:p>
        </w:tc>
      </w:tr>
      <w:tr w14:paraId="12D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1EFAD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69577F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土壤墒情检测仪</w:t>
            </w:r>
          </w:p>
        </w:tc>
        <w:tc>
          <w:tcPr>
            <w:tcW w:w="720" w:type="dxa"/>
            <w:noWrap w:val="0"/>
            <w:vAlign w:val="center"/>
          </w:tcPr>
          <w:p w14:paraId="1B38C86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57397FB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4C9FB3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（1）采用一体化设计，可测量土壤温湿度；</w:t>
            </w:r>
          </w:p>
          <w:p w14:paraId="0E392A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（2）供电方式：太阳能+锂电池（太阳能功率≥2W,锂电池容≥3400MAH），太阳能板和机身一体，不单独分开；</w:t>
            </w:r>
          </w:p>
          <w:p w14:paraId="3D468B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（3）参数范围：</w:t>
            </w:r>
          </w:p>
          <w:p w14:paraId="1ADD20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①土壤温度：-25～70℃；</w:t>
            </w:r>
          </w:p>
          <w:p w14:paraId="413CE96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②土壤湿度：0～100%；   </w:t>
            </w:r>
          </w:p>
          <w:p w14:paraId="69E5275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（4）续航时间：无光照情况下不小于55天；</w:t>
            </w:r>
          </w:p>
          <w:p w14:paraId="74F1670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（5）数据传输方式：433M本地无线；</w:t>
            </w:r>
          </w:p>
          <w:p w14:paraId="007B477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69EA6B1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34F448A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5D2E5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149F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21DFA8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2A9BCC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无线EC传感器</w:t>
            </w:r>
          </w:p>
        </w:tc>
        <w:tc>
          <w:tcPr>
            <w:tcW w:w="720" w:type="dxa"/>
            <w:noWrap w:val="0"/>
            <w:vAlign w:val="center"/>
          </w:tcPr>
          <w:p w14:paraId="4781E1D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56611FE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6F37C69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（1）供电：太阳能+锂电池（太阳能功率≥2W,锂电池容≥3400MAH），太阳能板和机身一体，不单独分开；</w:t>
            </w:r>
          </w:p>
          <w:p w14:paraId="372204D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（2）参数范围:0～20ms/cm；</w:t>
            </w:r>
          </w:p>
          <w:p w14:paraId="565350A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（3）测量精度：±0.03ms/cm；</w:t>
            </w:r>
          </w:p>
          <w:p w14:paraId="6E75DA2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（4）续航时间：无光照情况下不小于175天；</w:t>
            </w:r>
          </w:p>
          <w:p w14:paraId="078BFB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（5）数据传输方式：GPRS和433M本地无线；</w:t>
            </w:r>
          </w:p>
          <w:p w14:paraId="1C35EF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52DC8E1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316AF4A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45A0DB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249669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（8）带立杆及三角支架。</w:t>
            </w:r>
          </w:p>
        </w:tc>
      </w:tr>
      <w:tr w14:paraId="198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81" w:type="dxa"/>
            <w:noWrap w:val="0"/>
            <w:vAlign w:val="center"/>
          </w:tcPr>
          <w:p w14:paraId="46EBBE9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0BC33C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水质三要素传感器</w:t>
            </w:r>
          </w:p>
        </w:tc>
        <w:tc>
          <w:tcPr>
            <w:tcW w:w="720" w:type="dxa"/>
            <w:noWrap w:val="0"/>
            <w:vAlign w:val="center"/>
          </w:tcPr>
          <w:p w14:paraId="65DA30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CAC7D0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6B942C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（1）监测要素：水温、溶氧量、PH值；</w:t>
            </w:r>
          </w:p>
          <w:p w14:paraId="6C67C2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（2）量程：</w:t>
            </w:r>
          </w:p>
          <w:p w14:paraId="49096E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①溶氧：0～20mg/L；</w:t>
            </w:r>
          </w:p>
          <w:p w14:paraId="02F3FA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②水温：-20～60℃；</w:t>
            </w:r>
          </w:p>
          <w:p w14:paraId="2531B6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③pH：0～14；</w:t>
            </w:r>
          </w:p>
          <w:p w14:paraId="402064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w:t>
            </w:r>
          </w:p>
          <w:p w14:paraId="794C07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①溶氧：±0.3mg/L；</w:t>
            </w:r>
          </w:p>
          <w:p w14:paraId="40B3091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②水温：±0.3℃；</w:t>
            </w:r>
          </w:p>
          <w:p w14:paraId="3417FF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③pH：0.2pH；</w:t>
            </w:r>
          </w:p>
          <w:p w14:paraId="7DF8C4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（4）供电方式：太阳能板(太阳能功率≥2W)+锂电池（锂电池容≥3400MAH）；</w:t>
            </w:r>
          </w:p>
          <w:p w14:paraId="607F80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（5）无线通信方式：433M和网关通信；</w:t>
            </w:r>
          </w:p>
          <w:p w14:paraId="40197F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（6）数据查看方式：网关查看；</w:t>
            </w:r>
          </w:p>
          <w:p w14:paraId="48F3C5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（7）数据储存：云端储存和网关储存；</w:t>
            </w:r>
          </w:p>
          <w:p w14:paraId="22FDF3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（8）防护等级：≥IP63；</w:t>
            </w:r>
          </w:p>
          <w:p w14:paraId="742744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（9）低温工作环境：-30℃；</w:t>
            </w:r>
          </w:p>
          <w:p w14:paraId="583ABB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（10）续航要求：无光照下不小于55天；</w:t>
            </w:r>
          </w:p>
          <w:p w14:paraId="4B0DF88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（11）通信距离：本地433M方式不少于480米；</w:t>
            </w:r>
          </w:p>
          <w:p w14:paraId="35AE1D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（12）最低数据上传频率：5S。</w:t>
            </w:r>
          </w:p>
        </w:tc>
      </w:tr>
      <w:tr w14:paraId="0BE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CDF7E2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1779AFE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大地探针</w:t>
            </w:r>
          </w:p>
        </w:tc>
        <w:tc>
          <w:tcPr>
            <w:tcW w:w="720" w:type="dxa"/>
            <w:noWrap w:val="0"/>
            <w:vAlign w:val="center"/>
          </w:tcPr>
          <w:p w14:paraId="67F291F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3A11C9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221627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（1）采用一体化设计，非组装式；</w:t>
            </w:r>
          </w:p>
          <w:p w14:paraId="6E9969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（2）可测量空气温度、空气湿度、光照强度、土壤温度、土壤湿度、土壤EC、土壤PH、土壤N/P/K。参数可裁剪（N、P、K 三项分开显示）；</w:t>
            </w:r>
          </w:p>
          <w:p w14:paraId="21B6D63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（3）传输方式：支持433M LORA和5G（优先采用5G其次4G）两种传输方式选择；</w:t>
            </w:r>
          </w:p>
          <w:p w14:paraId="2A05EA6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（4）供电方式：太阳能+锂电池（太阳能功率2W,锂电池容3400MAH），太阳能板和机身一体，不单独分开；</w:t>
            </w:r>
          </w:p>
          <w:p w14:paraId="661FA9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（5）参数范围：</w:t>
            </w:r>
          </w:p>
          <w:p w14:paraId="46913A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①空气温度：-40～+90℃；</w:t>
            </w:r>
          </w:p>
          <w:p w14:paraId="15F354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②空气湿度：0～100%；</w:t>
            </w:r>
          </w:p>
          <w:p w14:paraId="2FBC00D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③光照强度：0～200Klx；</w:t>
            </w:r>
          </w:p>
          <w:p w14:paraId="369E712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④土壤温度：-25～70℃；</w:t>
            </w:r>
          </w:p>
          <w:p w14:paraId="7F57B96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⑤土壤湿度：0～100%；</w:t>
            </w:r>
          </w:p>
          <w:p w14:paraId="50AAB8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⑥土壤EC:0～20ms/cm；</w:t>
            </w:r>
          </w:p>
          <w:p w14:paraId="603903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⑦土壤PH:0～7；</w:t>
            </w:r>
          </w:p>
          <w:p w14:paraId="2C63D8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⑧N/P/K:0～2000mg/kg；</w:t>
            </w:r>
          </w:p>
          <w:p w14:paraId="18B938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（6）续航时间：无光照情况下不小于175天；</w:t>
            </w:r>
          </w:p>
          <w:p w14:paraId="39E08B3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（7）传输距离：433M本地无线不少于480米；</w:t>
            </w:r>
          </w:p>
          <w:p w14:paraId="1BF6F5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（8）应用环境：</w:t>
            </w:r>
          </w:p>
          <w:p w14:paraId="022833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08F7417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57D0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F40AD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7DEABD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气体环境监测监测传感器</w:t>
            </w:r>
          </w:p>
        </w:tc>
        <w:tc>
          <w:tcPr>
            <w:tcW w:w="720" w:type="dxa"/>
            <w:noWrap w:val="0"/>
            <w:vAlign w:val="center"/>
          </w:tcPr>
          <w:p w14:paraId="464C82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446F3FB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B8FAC9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主要监测数据为CO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浓度：</w:t>
            </w:r>
          </w:p>
          <w:p w14:paraId="44764DB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（1）供电方式：DC24直流；</w:t>
            </w:r>
          </w:p>
          <w:p w14:paraId="746CA1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w:t>
            </w:r>
          </w:p>
          <w:p w14:paraId="044958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4B34C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7FABFEA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（3）防护等级：≥IP43；</w:t>
            </w:r>
          </w:p>
          <w:p w14:paraId="68FAEA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（4）参数范围：0～2000ppm；</w:t>
            </w:r>
          </w:p>
          <w:p w14:paraId="275F61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（5）传感器自带数据显示屏；</w:t>
            </w:r>
          </w:p>
          <w:p w14:paraId="17190F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（6）数据传输方式：433M无线传输；</w:t>
            </w:r>
          </w:p>
          <w:p w14:paraId="5277A0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（7）传输距离：433M本地无线不小于950米；</w:t>
            </w:r>
          </w:p>
          <w:p w14:paraId="3029C5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（8）传感器需自带风扇和灰尘隔离棉；</w:t>
            </w:r>
          </w:p>
          <w:p w14:paraId="644E46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（9）传感器采用吊链安装方式，并支持随时调整高度；</w:t>
            </w:r>
          </w:p>
          <w:p w14:paraId="382526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（10）后期可拓展CO、NO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、PM2.5、PM10、H</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S、NH</w:t>
            </w:r>
            <w:r>
              <w:rPr>
                <w:rFonts w:hint="eastAsia" w:ascii="宋体" w:hAnsi="宋体" w:cs="宋体"/>
                <w:color w:val="auto"/>
                <w:kern w:val="0"/>
                <w:sz w:val="24"/>
                <w:highlight w:val="none"/>
                <w:vertAlign w:val="subscript"/>
                <w:lang w:bidi="ar"/>
              </w:rPr>
              <w:t>3</w:t>
            </w:r>
            <w:r>
              <w:rPr>
                <w:rFonts w:hint="eastAsia" w:ascii="宋体" w:hAnsi="宋体" w:cs="宋体"/>
                <w:color w:val="auto"/>
                <w:kern w:val="0"/>
                <w:sz w:val="20"/>
                <w:szCs w:val="20"/>
                <w:highlight w:val="none"/>
                <w:lang w:bidi="ar"/>
              </w:rPr>
              <w:t>浓度监测等功能。</w:t>
            </w:r>
          </w:p>
        </w:tc>
      </w:tr>
      <w:tr w14:paraId="36BD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BF48C4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009AB9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叶面温湿度传感器</w:t>
            </w:r>
          </w:p>
        </w:tc>
        <w:tc>
          <w:tcPr>
            <w:tcW w:w="720" w:type="dxa"/>
            <w:noWrap w:val="0"/>
            <w:vAlign w:val="center"/>
          </w:tcPr>
          <w:p w14:paraId="705CCB0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BD3D36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589D7D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0A1AF4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004172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w:t>
            </w:r>
          </w:p>
          <w:p w14:paraId="7D50DD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①温度：-40～80℃；</w:t>
            </w:r>
          </w:p>
          <w:p w14:paraId="4FB4673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21282A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③精度：温度±0.5℃，湿度±3%；</w:t>
            </w:r>
          </w:p>
          <w:p w14:paraId="26DD7C8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（4）防护等级：≥IP67；</w:t>
            </w:r>
          </w:p>
          <w:p w14:paraId="55A8A5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（5）工作环境：</w:t>
            </w:r>
          </w:p>
          <w:p w14:paraId="5120292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4E36E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57BB55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（6）通信距离：本地433M方式不小于780米；</w:t>
            </w:r>
          </w:p>
          <w:p w14:paraId="17F7EE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（7）最低数据上传频率：5S。</w:t>
            </w:r>
          </w:p>
        </w:tc>
      </w:tr>
      <w:tr w14:paraId="10D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61F91A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1679" w:type="dxa"/>
            <w:noWrap w:val="0"/>
            <w:vAlign w:val="center"/>
          </w:tcPr>
          <w:p w14:paraId="2BBB40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果实果径传感器</w:t>
            </w:r>
          </w:p>
        </w:tc>
        <w:tc>
          <w:tcPr>
            <w:tcW w:w="720" w:type="dxa"/>
            <w:noWrap w:val="0"/>
            <w:vAlign w:val="center"/>
          </w:tcPr>
          <w:p w14:paraId="70AC1C2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2C416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72F243D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6E57A4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2BE155C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（3）测量量程：0～150mm；</w:t>
            </w:r>
          </w:p>
          <w:p w14:paraId="3D1C9F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（4）分辨率：0.01mm；</w:t>
            </w:r>
          </w:p>
          <w:p w14:paraId="6A38303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（5）精度：0.1mm；</w:t>
            </w:r>
          </w:p>
          <w:p w14:paraId="79F577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（6）防护等级：≥IP63；</w:t>
            </w:r>
          </w:p>
          <w:p w14:paraId="6B84FC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（7）工作环境：</w:t>
            </w:r>
          </w:p>
          <w:p w14:paraId="3579399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15C28D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7EF13D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（8）续航要求：30min/次频率下至少两年；</w:t>
            </w:r>
          </w:p>
          <w:p w14:paraId="28D9C3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（9）电池容量：≥3400mAH；</w:t>
            </w:r>
          </w:p>
          <w:p w14:paraId="5418662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（10）通信距离：本地433M方式不小于780米；</w:t>
            </w:r>
          </w:p>
          <w:p w14:paraId="6CB015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（11）最低数据上传频率：5S。</w:t>
            </w:r>
          </w:p>
        </w:tc>
      </w:tr>
      <w:tr w14:paraId="43EB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51F6E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1679" w:type="dxa"/>
            <w:noWrap w:val="0"/>
            <w:vAlign w:val="center"/>
          </w:tcPr>
          <w:p w14:paraId="7AA0455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植物生长记录仪</w:t>
            </w:r>
          </w:p>
        </w:tc>
        <w:tc>
          <w:tcPr>
            <w:tcW w:w="720" w:type="dxa"/>
            <w:noWrap w:val="0"/>
            <w:vAlign w:val="center"/>
          </w:tcPr>
          <w:p w14:paraId="1108028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4FBE983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69D9A9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（1）传感器类型：1/2.8英寸CMOS；</w:t>
            </w:r>
          </w:p>
          <w:p w14:paraId="1EDD7E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（2）像素：≥</w:t>
            </w:r>
            <w:r>
              <w:rPr>
                <w:rFonts w:hint="eastAsia" w:ascii="宋体" w:hAnsi="宋体" w:cs="宋体"/>
                <w:color w:val="auto"/>
                <w:kern w:val="0"/>
                <w:sz w:val="20"/>
                <w:szCs w:val="20"/>
                <w:highlight w:val="none"/>
                <w:lang w:val="en-US" w:eastAsia="zh-CN" w:bidi="ar"/>
              </w:rPr>
              <w:t>8</w:t>
            </w:r>
            <w:r>
              <w:rPr>
                <w:rFonts w:hint="eastAsia" w:ascii="宋体" w:hAnsi="宋体" w:cs="宋体"/>
                <w:color w:val="auto"/>
                <w:kern w:val="0"/>
                <w:sz w:val="20"/>
                <w:szCs w:val="20"/>
                <w:highlight w:val="none"/>
                <w:lang w:bidi="ar"/>
              </w:rPr>
              <w:t>00万；</w:t>
            </w:r>
          </w:p>
          <w:p w14:paraId="51DAFD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（3）最大分辨率：1920×1080；</w:t>
            </w:r>
          </w:p>
          <w:p w14:paraId="55D66F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（4）最低照度：</w:t>
            </w:r>
          </w:p>
          <w:p w14:paraId="10ADB8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①彩色：0.005lux@F1.2；</w:t>
            </w:r>
          </w:p>
          <w:p w14:paraId="1F95AB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②黑白：0.0005lux@F1.20Lux（红外灯开启）；</w:t>
            </w:r>
          </w:p>
          <w:p w14:paraId="19D300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（5）最大补光距离：30m（白外），150m（红外）；</w:t>
            </w:r>
          </w:p>
          <w:p w14:paraId="08AB03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（6）人脸最大可识别距离：≥230m；</w:t>
            </w:r>
          </w:p>
          <w:p w14:paraId="360AE2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（7）车牌最大可识别距离：≥226m；</w:t>
            </w:r>
          </w:p>
          <w:p w14:paraId="1BBB59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（8）镜头焦距：4.9mm～156mm；</w:t>
            </w:r>
          </w:p>
          <w:p w14:paraId="5843E79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（9）光学变倍：32倍；</w:t>
            </w:r>
          </w:p>
          <w:p w14:paraId="358108F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（10）可视域功能：支持；</w:t>
            </w:r>
          </w:p>
          <w:p w14:paraId="780FDE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（11）周界防范：支持绊线入侵、支持区域入侵、支持穿越围栏、支持徘徊检测、支持物品遗留、支持物品搬移、支持快速移动、支持停车检测、支持人员聚集、支持人车分类报警、支持联动跟踪；</w:t>
            </w:r>
          </w:p>
          <w:p w14:paraId="7A89DE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（12）植物表型特征记录：支持定时拍摄不同时期作物生长情况图片上传至专家库，供后期AI分析学习使用；</w:t>
            </w:r>
          </w:p>
          <w:p w14:paraId="70156D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（13）防抖功能：电子防抖；</w:t>
            </w:r>
          </w:p>
          <w:p w14:paraId="6907F7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（14）透雾功能：电子透雾；</w:t>
            </w:r>
          </w:p>
          <w:p w14:paraId="6A880D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（15）音频输入：1路（LINE IN；裸线）；</w:t>
            </w:r>
          </w:p>
          <w:p w14:paraId="075F54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（16）音频输出：1路（LINE OUT，裸线；内置扬声器；互斥使用）；</w:t>
            </w:r>
          </w:p>
          <w:p w14:paraId="303C7AC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（17）语音对讲：支持；</w:t>
            </w:r>
          </w:p>
          <w:p w14:paraId="341648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（18）报警输入：2路，开关量输入（0～5V DC）；</w:t>
            </w:r>
          </w:p>
          <w:p w14:paraId="1DA0592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（19）供电方式：AC24V/3A±25%（标配）；</w:t>
            </w:r>
          </w:p>
          <w:p w14:paraId="1A2A7B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（20）接口类型：RJ45接口。</w:t>
            </w:r>
          </w:p>
        </w:tc>
      </w:tr>
      <w:tr w14:paraId="5953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D1D878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1679" w:type="dxa"/>
            <w:noWrap w:val="0"/>
            <w:vAlign w:val="center"/>
          </w:tcPr>
          <w:p w14:paraId="1B8CD36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自动拍照虫情测报灯(不含太阳能供电系统）</w:t>
            </w:r>
          </w:p>
        </w:tc>
        <w:tc>
          <w:tcPr>
            <w:tcW w:w="720" w:type="dxa"/>
            <w:noWrap w:val="0"/>
            <w:vAlign w:val="center"/>
          </w:tcPr>
          <w:p w14:paraId="30E81EE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6C8D9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26527E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（1）自动拍照虫情测报灯（配433Mhz吸盘天线）；</w:t>
            </w:r>
          </w:p>
          <w:p w14:paraId="2F098E6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（2）电源连接线：RVV1*2.5mm全铜；</w:t>
            </w:r>
          </w:p>
          <w:p w14:paraId="421B6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（3）参数要求：</w:t>
            </w:r>
          </w:p>
          <w:p w14:paraId="1ACF1C5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1 \* GB3 \* MERGEFORMAT </w:instrText>
            </w:r>
            <w:r>
              <w:rPr>
                <w:rFonts w:hint="eastAsia" w:ascii="宋体" w:hAnsi="宋体" w:cs="宋体"/>
                <w:color w:val="auto"/>
                <w:kern w:val="0"/>
                <w:sz w:val="20"/>
                <w:szCs w:val="20"/>
                <w:highlight w:val="none"/>
                <w:lang w:bidi="ar"/>
              </w:rPr>
              <w:fldChar w:fldCharType="separate"/>
            </w:r>
            <w:r>
              <w:rPr>
                <w:color w:val="auto"/>
                <w:highlight w:val="none"/>
              </w:rPr>
              <w:t>①</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机体采用碳钢材质；</w:t>
            </w:r>
          </w:p>
          <w:p w14:paraId="20BC96F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2 \* GB3 \* MERGEFORMAT </w:instrText>
            </w:r>
            <w:r>
              <w:rPr>
                <w:rFonts w:hint="eastAsia" w:ascii="宋体" w:hAnsi="宋体" w:cs="宋体"/>
                <w:color w:val="auto"/>
                <w:kern w:val="0"/>
                <w:sz w:val="20"/>
                <w:szCs w:val="20"/>
                <w:highlight w:val="none"/>
                <w:lang w:bidi="ar"/>
              </w:rPr>
              <w:fldChar w:fldCharType="separate"/>
            </w:r>
            <w:r>
              <w:rPr>
                <w:color w:val="auto"/>
                <w:highlight w:val="none"/>
              </w:rPr>
              <w:t>②</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供电方式：220V交流；</w:t>
            </w:r>
          </w:p>
          <w:p w14:paraId="124CA8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3 \* GB3 \* MERGEFORMAT </w:instrText>
            </w:r>
            <w:r>
              <w:rPr>
                <w:rFonts w:hint="eastAsia" w:ascii="宋体" w:hAnsi="宋体" w:cs="宋体"/>
                <w:color w:val="auto"/>
                <w:kern w:val="0"/>
                <w:sz w:val="20"/>
                <w:szCs w:val="20"/>
                <w:highlight w:val="none"/>
                <w:lang w:bidi="ar"/>
              </w:rPr>
              <w:fldChar w:fldCharType="separate"/>
            </w:r>
            <w:r>
              <w:rPr>
                <w:color w:val="auto"/>
                <w:highlight w:val="none"/>
              </w:rPr>
              <w:t>③</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具有防雷功能，有效避免雷击；</w:t>
            </w:r>
          </w:p>
          <w:p w14:paraId="08A0C5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4 \* GB3 \* MERGEFORMAT </w:instrText>
            </w:r>
            <w:r>
              <w:rPr>
                <w:rFonts w:hint="eastAsia" w:ascii="宋体" w:hAnsi="宋体" w:cs="宋体"/>
                <w:color w:val="auto"/>
                <w:kern w:val="0"/>
                <w:sz w:val="20"/>
                <w:szCs w:val="20"/>
                <w:highlight w:val="none"/>
                <w:lang w:bidi="ar"/>
              </w:rPr>
              <w:fldChar w:fldCharType="separate"/>
            </w:r>
            <w:r>
              <w:rPr>
                <w:color w:val="auto"/>
                <w:highlight w:val="none"/>
              </w:rPr>
              <w:t>④</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远红外虫体处理仓温度控制：工作3分钟后达到85±5℃，处理时间可调（任意处理时间调整）；远红外虫体处理致死率不小于98%，虫体完整率不小于95%；</w:t>
            </w:r>
          </w:p>
          <w:p w14:paraId="1D4D83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5 \* GB3 \* MERGEFORMAT </w:instrText>
            </w:r>
            <w:r>
              <w:rPr>
                <w:rFonts w:hint="eastAsia" w:ascii="宋体" w:hAnsi="宋体" w:cs="宋体"/>
                <w:color w:val="auto"/>
                <w:kern w:val="0"/>
                <w:sz w:val="20"/>
                <w:szCs w:val="20"/>
                <w:highlight w:val="none"/>
                <w:lang w:bidi="ar"/>
              </w:rPr>
              <w:fldChar w:fldCharType="separate"/>
            </w:r>
            <w:r>
              <w:rPr>
                <w:color w:val="auto"/>
                <w:highlight w:val="none"/>
              </w:rPr>
              <w:t>⑤</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内置≥1200万像素拍照摄像机，清晰拍摄虫体照片；</w:t>
            </w:r>
          </w:p>
          <w:p w14:paraId="3078A8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6 \* GB3 \* MERGEFORMAT </w:instrText>
            </w:r>
            <w:r>
              <w:rPr>
                <w:rFonts w:hint="eastAsia" w:ascii="宋体" w:hAnsi="宋体" w:cs="宋体"/>
                <w:color w:val="auto"/>
                <w:kern w:val="0"/>
                <w:sz w:val="20"/>
                <w:szCs w:val="20"/>
                <w:highlight w:val="none"/>
                <w:lang w:bidi="ar"/>
              </w:rPr>
              <w:fldChar w:fldCharType="separate"/>
            </w:r>
            <w:r>
              <w:rPr>
                <w:color w:val="auto"/>
                <w:highlight w:val="none"/>
              </w:rPr>
              <w:t>⑥</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虫体杀灭后，具备抖动功能，将虫体分散，避免堆积；</w:t>
            </w:r>
          </w:p>
          <w:p w14:paraId="1C5A362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7 \* GB3 \* MERGEFORMAT </w:instrText>
            </w:r>
            <w:r>
              <w:rPr>
                <w:rFonts w:hint="eastAsia" w:ascii="宋体" w:hAnsi="宋体" w:cs="宋体"/>
                <w:color w:val="auto"/>
                <w:kern w:val="0"/>
                <w:sz w:val="20"/>
                <w:szCs w:val="20"/>
                <w:highlight w:val="none"/>
                <w:lang w:bidi="ar"/>
              </w:rPr>
              <w:fldChar w:fldCharType="separate"/>
            </w:r>
            <w:r>
              <w:rPr>
                <w:color w:val="auto"/>
                <w:highlight w:val="none"/>
              </w:rPr>
              <w:t>⑦</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灯管外围具备3面滤虫网，能够过滤比目标虫体更大的个体；</w:t>
            </w:r>
          </w:p>
          <w:p w14:paraId="51367C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8 \* GB3 \* MERGEFORMAT </w:instrText>
            </w:r>
            <w:r>
              <w:rPr>
                <w:rFonts w:hint="eastAsia" w:ascii="宋体" w:hAnsi="宋体" w:cs="宋体"/>
                <w:color w:val="auto"/>
                <w:kern w:val="0"/>
                <w:sz w:val="20"/>
                <w:szCs w:val="20"/>
                <w:highlight w:val="none"/>
                <w:lang w:bidi="ar"/>
              </w:rPr>
              <w:fldChar w:fldCharType="separate"/>
            </w:r>
            <w:r>
              <w:rPr>
                <w:color w:val="auto"/>
                <w:highlight w:val="none"/>
              </w:rPr>
              <w:t>⑧</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机柜门开启时，具备拍照功能，将操作人员的照片清晰拍下，并记录；</w:t>
            </w:r>
          </w:p>
          <w:p w14:paraId="6A2669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9 \* GB3 \* MERGEFORMAT </w:instrText>
            </w:r>
            <w:r>
              <w:rPr>
                <w:rFonts w:hint="eastAsia" w:ascii="宋体" w:hAnsi="宋体" w:cs="宋体"/>
                <w:color w:val="auto"/>
                <w:kern w:val="0"/>
                <w:sz w:val="20"/>
                <w:szCs w:val="20"/>
                <w:highlight w:val="none"/>
                <w:lang w:bidi="ar"/>
              </w:rPr>
              <w:fldChar w:fldCharType="separate"/>
            </w:r>
            <w:r>
              <w:rPr>
                <w:color w:val="auto"/>
                <w:highlight w:val="none"/>
              </w:rPr>
              <w:t>⑨</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机柜开门时，箱体内照明灯自动开启，便于检修维护，关闭时，自动断电关闭；</w:t>
            </w:r>
          </w:p>
          <w:p w14:paraId="3886DAE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10 \* GB3 \* MERGEFORMAT </w:instrText>
            </w:r>
            <w:r>
              <w:rPr>
                <w:rFonts w:hint="eastAsia" w:ascii="宋体" w:hAnsi="宋体" w:cs="宋体"/>
                <w:color w:val="auto"/>
                <w:kern w:val="0"/>
                <w:sz w:val="20"/>
                <w:szCs w:val="20"/>
                <w:highlight w:val="none"/>
                <w:lang w:bidi="ar"/>
              </w:rPr>
              <w:fldChar w:fldCharType="separate"/>
            </w:r>
            <w:r>
              <w:rPr>
                <w:color w:val="auto"/>
                <w:highlight w:val="none"/>
              </w:rPr>
              <w:t>⑩</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具备不小于10寸电容操作屏幕，便于本地操作。</w:t>
            </w:r>
          </w:p>
          <w:p w14:paraId="615FCE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⑪具备10个旋转接虫盒，可设置不同工作时间段；</w:t>
            </w:r>
          </w:p>
          <w:p w14:paraId="50032D6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⑫可外接气象传感器，采集农田气象环境；</w:t>
            </w:r>
          </w:p>
          <w:p w14:paraId="07C1CB5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⑬设备有光控和时控两种模式供用户选择，时控模式可选择是否根据日落时间自动调整；</w:t>
            </w:r>
          </w:p>
          <w:p w14:paraId="3B8DCF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⑭设备具有样本仓号管理功能，记录每次收集样本存放的仓号，方便后续管理分析；</w:t>
            </w:r>
          </w:p>
          <w:p w14:paraId="436F75F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⑮设备可设置降雨停止后多长时间恢复测量；</w:t>
            </w:r>
          </w:p>
          <w:p w14:paraId="039F55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⑯设备联网方式：5G（优先采用5G其次4G）、WIFI、有线网可选。</w:t>
            </w:r>
          </w:p>
        </w:tc>
      </w:tr>
      <w:tr w14:paraId="67FF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7EEE6F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1679" w:type="dxa"/>
            <w:noWrap w:val="0"/>
            <w:vAlign w:val="center"/>
          </w:tcPr>
          <w:p w14:paraId="2CFEB5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种植基地一张图平台软件系统</w:t>
            </w:r>
          </w:p>
        </w:tc>
        <w:tc>
          <w:tcPr>
            <w:tcW w:w="720" w:type="dxa"/>
            <w:noWrap w:val="0"/>
            <w:vAlign w:val="center"/>
          </w:tcPr>
          <w:p w14:paraId="39B80A4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12864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161A60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软件平台定制系统：</w:t>
            </w:r>
          </w:p>
          <w:p w14:paraId="0BA2A9F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（1）基地360°全景图；实时展示气象监测、环境监测、虫情监测、生长记录、实时监控、智能灌溉、天气预报、历史气象等；</w:t>
            </w:r>
          </w:p>
          <w:p w14:paraId="6331C50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数据可视化展示：系统将实时采集的数据以及设备状态等信息以表格、图形形式直观展现，同时将数据的各个属性值以多维数据的形式表示，可以从不同的维度观察数据，从而对数据进行更深入的观察和后期的深入分析；</w:t>
            </w:r>
          </w:p>
          <w:p w14:paraId="44645B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分析存储：根据精准实时的全维度采集数据，对各类数据进行分析处理，为用户的各类复杂问题提供诊断结果、分析结果，助力客户的决策支持，为后期决策提供数据支撑。系统以规定的存储格式对数据进行定制化存储，确保有真实可靠的数据记录和数据的安全；</w:t>
            </w:r>
          </w:p>
          <w:p w14:paraId="15A682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（4）图像展示：可以通过平台实时远程查看视频图像信息；</w:t>
            </w:r>
          </w:p>
          <w:p w14:paraId="64131C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（5）接口开发：前端采集设备数据对接；</w:t>
            </w:r>
          </w:p>
          <w:p w14:paraId="574800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（6）数据接口：对外提供数据标准接口。</w:t>
            </w:r>
          </w:p>
        </w:tc>
      </w:tr>
      <w:tr w14:paraId="05BB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6772D5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1679" w:type="dxa"/>
            <w:noWrap w:val="0"/>
            <w:vAlign w:val="center"/>
          </w:tcPr>
          <w:p w14:paraId="0A56706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物联管控系统</w:t>
            </w:r>
          </w:p>
        </w:tc>
        <w:tc>
          <w:tcPr>
            <w:tcW w:w="720" w:type="dxa"/>
            <w:noWrap w:val="0"/>
            <w:vAlign w:val="center"/>
          </w:tcPr>
          <w:p w14:paraId="2122C39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8B125C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29D2118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（1）智能控制：客户可根据实时参数监测情况，选取适当的控制模式（包含单点控制、时间控制、条件控制、模型控制等多种控制模式）进行设备的运行控制；</w:t>
            </w:r>
          </w:p>
          <w:p w14:paraId="1ADE64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（2）预警提醒：系统可以根据设置采集数据的阈值，当监测数据超过阈值上下限，平台自动向用户发送预警提。</w:t>
            </w:r>
          </w:p>
        </w:tc>
      </w:tr>
      <w:tr w14:paraId="2A5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81" w:type="dxa"/>
            <w:noWrap w:val="0"/>
            <w:vAlign w:val="center"/>
          </w:tcPr>
          <w:p w14:paraId="3EA7B38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w:t>
            </w:r>
          </w:p>
        </w:tc>
        <w:tc>
          <w:tcPr>
            <w:tcW w:w="1679" w:type="dxa"/>
            <w:noWrap w:val="0"/>
            <w:vAlign w:val="center"/>
          </w:tcPr>
          <w:p w14:paraId="3DB5935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系统集成及调试</w:t>
            </w:r>
          </w:p>
        </w:tc>
        <w:tc>
          <w:tcPr>
            <w:tcW w:w="720" w:type="dxa"/>
            <w:noWrap w:val="0"/>
            <w:vAlign w:val="center"/>
          </w:tcPr>
          <w:p w14:paraId="528E2B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26742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7BBB930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针对智能管控系统种植基地一张图、物联管控系统、种植生产管理系统之间调试、兼容性问题检测、以及耦合测试等。</w:t>
            </w:r>
          </w:p>
        </w:tc>
      </w:tr>
      <w:tr w14:paraId="0F3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81" w:type="dxa"/>
            <w:noWrap w:val="0"/>
            <w:vAlign w:val="center"/>
          </w:tcPr>
          <w:p w14:paraId="305BCA8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1679" w:type="dxa"/>
            <w:noWrap w:val="0"/>
            <w:vAlign w:val="center"/>
          </w:tcPr>
          <w:p w14:paraId="18C66BC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网络通信服务</w:t>
            </w:r>
          </w:p>
        </w:tc>
        <w:tc>
          <w:tcPr>
            <w:tcW w:w="720" w:type="dxa"/>
            <w:noWrap w:val="0"/>
            <w:vAlign w:val="center"/>
          </w:tcPr>
          <w:p w14:paraId="51DF152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52E08A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72BFD14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500M</w:t>
            </w:r>
            <w:r>
              <w:rPr>
                <w:rFonts w:hint="eastAsia" w:ascii="宋体" w:hAnsi="宋体" w:cs="宋体"/>
                <w:color w:val="auto"/>
                <w:kern w:val="0"/>
                <w:sz w:val="20"/>
                <w:szCs w:val="20"/>
                <w:highlight w:val="none"/>
                <w:lang w:bidi="ar"/>
              </w:rPr>
              <w:t>互联网专线，3年服务。</w:t>
            </w:r>
          </w:p>
        </w:tc>
      </w:tr>
    </w:tbl>
    <w:p w14:paraId="09B0B0D8">
      <w:pPr>
        <w:pStyle w:val="12"/>
        <w:shd w:val="clear" w:color="auto" w:fill="FFFFFF"/>
        <w:snapToGrid w:val="0"/>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lang w:bidi="ar"/>
        </w:rPr>
        <w:br w:type="page"/>
      </w:r>
      <w:r>
        <w:rPr>
          <w:rFonts w:hint="eastAsia" w:ascii="宋体" w:hAnsi="宋体" w:cs="宋体"/>
          <w:b/>
          <w:bCs/>
          <w:color w:val="auto"/>
          <w:kern w:val="0"/>
          <w:sz w:val="20"/>
          <w:szCs w:val="20"/>
          <w:highlight w:val="none"/>
          <w:lang w:bidi="ar"/>
        </w:rPr>
        <w:t>附件3：</w:t>
      </w:r>
    </w:p>
    <w:p w14:paraId="7DF1D42E">
      <w:pPr>
        <w:shd w:val="clear" w:color="auto" w:fill="FFFFFF"/>
        <w:snapToGrid w:val="0"/>
        <w:spacing w:before="7"/>
        <w:rPr>
          <w:rFonts w:hint="eastAsia" w:ascii="Arial Unicode MS" w:hAnsi="Arial Unicode MS" w:eastAsia="Arial Unicode MS" w:cs="Arial Unicode MS"/>
          <w:color w:val="auto"/>
          <w:sz w:val="17"/>
          <w:szCs w:val="17"/>
          <w:highlight w:val="none"/>
        </w:rPr>
      </w:pPr>
    </w:p>
    <w:p w14:paraId="0D9FF490">
      <w:pPr>
        <w:shd w:val="clear" w:color="auto" w:fill="FFFFFF"/>
        <w:snapToGrid w:val="0"/>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lang w:bidi="ar"/>
        </w:rPr>
        <w:t>节能产品政府采购品目清单</w:t>
      </w:r>
    </w:p>
    <w:tbl>
      <w:tblPr>
        <w:tblStyle w:val="13"/>
        <w:tblW w:w="0" w:type="auto"/>
        <w:tblInd w:w="93" w:type="dxa"/>
        <w:tblLayout w:type="fixed"/>
        <w:tblCellMar>
          <w:top w:w="0" w:type="dxa"/>
          <w:left w:w="108" w:type="dxa"/>
          <w:bottom w:w="0" w:type="dxa"/>
          <w:right w:w="108" w:type="dxa"/>
        </w:tblCellMar>
      </w:tblPr>
      <w:tblGrid>
        <w:gridCol w:w="660"/>
        <w:gridCol w:w="1080"/>
        <w:gridCol w:w="1536"/>
        <w:gridCol w:w="1701"/>
        <w:gridCol w:w="4595"/>
      </w:tblGrid>
      <w:tr w14:paraId="2065A73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2DF4258">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品目序号</w:t>
            </w:r>
          </w:p>
        </w:tc>
        <w:tc>
          <w:tcPr>
            <w:tcW w:w="4317" w:type="dxa"/>
            <w:gridSpan w:val="3"/>
            <w:tcBorders>
              <w:top w:val="single" w:color="000000" w:sz="8" w:space="0"/>
              <w:left w:val="nil"/>
              <w:bottom w:val="single" w:color="000000" w:sz="8" w:space="0"/>
              <w:right w:val="single" w:color="000000" w:sz="8" w:space="0"/>
            </w:tcBorders>
            <w:noWrap w:val="0"/>
            <w:vAlign w:val="center"/>
          </w:tcPr>
          <w:p w14:paraId="34FFE926">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名称</w:t>
            </w:r>
          </w:p>
        </w:tc>
        <w:tc>
          <w:tcPr>
            <w:tcW w:w="4595" w:type="dxa"/>
            <w:tcBorders>
              <w:top w:val="single" w:color="000000" w:sz="8" w:space="0"/>
              <w:left w:val="nil"/>
              <w:bottom w:val="single" w:color="000000" w:sz="8" w:space="0"/>
              <w:right w:val="single" w:color="000000" w:sz="8" w:space="0"/>
            </w:tcBorders>
            <w:noWrap w:val="0"/>
            <w:vAlign w:val="center"/>
          </w:tcPr>
          <w:p w14:paraId="19BB2AEC">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依据的标准</w:t>
            </w:r>
          </w:p>
        </w:tc>
      </w:tr>
      <w:tr w14:paraId="6E066C8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7A44D4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48DC7B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A020101计算机设备</w:t>
            </w:r>
          </w:p>
        </w:tc>
        <w:tc>
          <w:tcPr>
            <w:tcW w:w="1536" w:type="dxa"/>
            <w:tcBorders>
              <w:top w:val="nil"/>
              <w:left w:val="nil"/>
              <w:bottom w:val="single" w:color="000000" w:sz="8" w:space="0"/>
              <w:right w:val="single" w:color="000000" w:sz="8" w:space="0"/>
            </w:tcBorders>
            <w:noWrap w:val="0"/>
            <w:vAlign w:val="center"/>
          </w:tcPr>
          <w:p w14:paraId="641D9B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★A02010104台式计算机</w:t>
            </w:r>
          </w:p>
        </w:tc>
        <w:tc>
          <w:tcPr>
            <w:tcW w:w="1701" w:type="dxa"/>
            <w:tcBorders>
              <w:top w:val="nil"/>
              <w:left w:val="nil"/>
              <w:bottom w:val="single" w:color="000000" w:sz="8" w:space="0"/>
              <w:right w:val="single" w:color="000000" w:sz="8" w:space="0"/>
            </w:tcBorders>
            <w:noWrap w:val="0"/>
            <w:vAlign w:val="center"/>
          </w:tcPr>
          <w:p w14:paraId="73CC52B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2BA62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183133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4D9B37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C954469">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EA126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★A02010105便携式计算机</w:t>
            </w:r>
          </w:p>
        </w:tc>
        <w:tc>
          <w:tcPr>
            <w:tcW w:w="1701" w:type="dxa"/>
            <w:tcBorders>
              <w:top w:val="nil"/>
              <w:left w:val="nil"/>
              <w:bottom w:val="single" w:color="000000" w:sz="8" w:space="0"/>
              <w:right w:val="single" w:color="000000" w:sz="8" w:space="0"/>
            </w:tcBorders>
            <w:noWrap w:val="0"/>
            <w:vAlign w:val="center"/>
          </w:tcPr>
          <w:p w14:paraId="2CC0473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65E7DFA">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27BE8A7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776C79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59BBA2C">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1810A9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★A02010107平板式微型计算机</w:t>
            </w:r>
          </w:p>
        </w:tc>
        <w:tc>
          <w:tcPr>
            <w:tcW w:w="1701" w:type="dxa"/>
            <w:tcBorders>
              <w:top w:val="nil"/>
              <w:left w:val="nil"/>
              <w:bottom w:val="single" w:color="000000" w:sz="8" w:space="0"/>
              <w:right w:val="single" w:color="000000" w:sz="8" w:space="0"/>
            </w:tcBorders>
            <w:noWrap w:val="0"/>
            <w:vAlign w:val="center"/>
          </w:tcPr>
          <w:p w14:paraId="2F80F55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0FBB75F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175D0F9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20CA47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58867D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A020106输入输出设备</w:t>
            </w:r>
          </w:p>
        </w:tc>
        <w:tc>
          <w:tcPr>
            <w:tcW w:w="1536" w:type="dxa"/>
            <w:vMerge w:val="restart"/>
            <w:tcBorders>
              <w:top w:val="nil"/>
              <w:left w:val="single" w:color="000000" w:sz="8" w:space="0"/>
              <w:bottom w:val="single" w:color="000000" w:sz="8" w:space="0"/>
              <w:right w:val="single" w:color="000000" w:sz="8" w:space="0"/>
            </w:tcBorders>
            <w:noWrap w:val="0"/>
            <w:vAlign w:val="center"/>
          </w:tcPr>
          <w:p w14:paraId="09172E9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A02010601打印设备</w:t>
            </w:r>
          </w:p>
        </w:tc>
        <w:tc>
          <w:tcPr>
            <w:tcW w:w="1701" w:type="dxa"/>
            <w:tcBorders>
              <w:top w:val="nil"/>
              <w:left w:val="nil"/>
              <w:bottom w:val="single" w:color="000000" w:sz="8" w:space="0"/>
              <w:right w:val="single" w:color="000000" w:sz="8" w:space="0"/>
            </w:tcBorders>
            <w:noWrap w:val="0"/>
            <w:vAlign w:val="center"/>
          </w:tcPr>
          <w:p w14:paraId="6E992E8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A0201060101喷墨打印机</w:t>
            </w:r>
          </w:p>
        </w:tc>
        <w:tc>
          <w:tcPr>
            <w:tcW w:w="4595" w:type="dxa"/>
            <w:tcBorders>
              <w:top w:val="nil"/>
              <w:left w:val="nil"/>
              <w:bottom w:val="single" w:color="000000" w:sz="8" w:space="0"/>
              <w:right w:val="single" w:color="000000" w:sz="8" w:space="0"/>
            </w:tcBorders>
            <w:noWrap w:val="0"/>
            <w:vAlign w:val="center"/>
          </w:tcPr>
          <w:p w14:paraId="4CF5B8E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5A6784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0541CB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DDECE04">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1F9F1B80">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4CB0C20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★A0201060102激光打印机</w:t>
            </w:r>
          </w:p>
        </w:tc>
        <w:tc>
          <w:tcPr>
            <w:tcW w:w="4595" w:type="dxa"/>
            <w:tcBorders>
              <w:top w:val="nil"/>
              <w:left w:val="nil"/>
              <w:bottom w:val="single" w:color="000000" w:sz="8" w:space="0"/>
              <w:right w:val="single" w:color="000000" w:sz="8" w:space="0"/>
            </w:tcBorders>
            <w:noWrap w:val="0"/>
            <w:vAlign w:val="center"/>
          </w:tcPr>
          <w:p w14:paraId="5BF5E4B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CF5F71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A12216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C4464E8">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F215F3A">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752A564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★A0201060104针式打印机</w:t>
            </w:r>
          </w:p>
        </w:tc>
        <w:tc>
          <w:tcPr>
            <w:tcW w:w="4595" w:type="dxa"/>
            <w:tcBorders>
              <w:top w:val="nil"/>
              <w:left w:val="nil"/>
              <w:bottom w:val="single" w:color="000000" w:sz="8" w:space="0"/>
              <w:right w:val="single" w:color="000000" w:sz="8" w:space="0"/>
            </w:tcBorders>
            <w:noWrap w:val="0"/>
            <w:vAlign w:val="center"/>
          </w:tcPr>
          <w:p w14:paraId="46C4CD2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6A40D54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7C6C636">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A10FCAF">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1610D18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A02010604显示设备</w:t>
            </w:r>
          </w:p>
        </w:tc>
        <w:tc>
          <w:tcPr>
            <w:tcW w:w="1701" w:type="dxa"/>
            <w:tcBorders>
              <w:top w:val="nil"/>
              <w:left w:val="nil"/>
              <w:bottom w:val="single" w:color="000000" w:sz="8" w:space="0"/>
              <w:right w:val="single" w:color="000000" w:sz="8" w:space="0"/>
            </w:tcBorders>
            <w:noWrap w:val="0"/>
            <w:vAlign w:val="center"/>
          </w:tcPr>
          <w:p w14:paraId="2DFCE10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★A0201060401液晶显示器</w:t>
            </w:r>
          </w:p>
        </w:tc>
        <w:tc>
          <w:tcPr>
            <w:tcW w:w="4595" w:type="dxa"/>
            <w:tcBorders>
              <w:top w:val="nil"/>
              <w:left w:val="nil"/>
              <w:bottom w:val="single" w:color="000000" w:sz="8" w:space="0"/>
              <w:right w:val="single" w:color="000000" w:sz="8" w:space="0"/>
            </w:tcBorders>
            <w:noWrap w:val="0"/>
            <w:vAlign w:val="center"/>
          </w:tcPr>
          <w:p w14:paraId="6DD36633">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《计算机显示器能效限定值及能效等级》（GB21520）</w:t>
            </w:r>
          </w:p>
        </w:tc>
      </w:tr>
      <w:tr w14:paraId="429F31AC">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AAF148">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DD5BE86">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68867E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A02010609图形图像输入设备</w:t>
            </w:r>
          </w:p>
        </w:tc>
        <w:tc>
          <w:tcPr>
            <w:tcW w:w="1701" w:type="dxa"/>
            <w:tcBorders>
              <w:top w:val="nil"/>
              <w:left w:val="nil"/>
              <w:bottom w:val="single" w:color="000000" w:sz="8" w:space="0"/>
              <w:right w:val="single" w:color="000000" w:sz="8" w:space="0"/>
            </w:tcBorders>
            <w:noWrap w:val="0"/>
            <w:vAlign w:val="center"/>
          </w:tcPr>
          <w:p w14:paraId="2F9F4CD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A0201060901扫描仪</w:t>
            </w:r>
          </w:p>
        </w:tc>
        <w:tc>
          <w:tcPr>
            <w:tcW w:w="4595" w:type="dxa"/>
            <w:tcBorders>
              <w:top w:val="nil"/>
              <w:left w:val="nil"/>
              <w:bottom w:val="single" w:color="000000" w:sz="8" w:space="0"/>
              <w:right w:val="single" w:color="000000" w:sz="8" w:space="0"/>
            </w:tcBorders>
            <w:noWrap w:val="0"/>
            <w:vAlign w:val="center"/>
          </w:tcPr>
          <w:p w14:paraId="4255464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参照《复印机、打印机和传真机能效限定值及能效等级》（GB21521中打印速度为15页/分的针式打印机相关要求中打印速度为15页/分的针式打印机相关要求</w:t>
            </w:r>
          </w:p>
        </w:tc>
      </w:tr>
      <w:tr w14:paraId="0715DED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738A12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3</w:t>
            </w:r>
          </w:p>
        </w:tc>
        <w:tc>
          <w:tcPr>
            <w:tcW w:w="1080" w:type="dxa"/>
            <w:tcBorders>
              <w:top w:val="nil"/>
              <w:left w:val="nil"/>
              <w:bottom w:val="single" w:color="000000" w:sz="8" w:space="0"/>
              <w:right w:val="single" w:color="000000" w:sz="8" w:space="0"/>
            </w:tcBorders>
            <w:noWrap w:val="0"/>
            <w:vAlign w:val="center"/>
          </w:tcPr>
          <w:p w14:paraId="570980A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A020202投影仪</w:t>
            </w:r>
          </w:p>
        </w:tc>
        <w:tc>
          <w:tcPr>
            <w:tcW w:w="1536" w:type="dxa"/>
            <w:tcBorders>
              <w:top w:val="nil"/>
              <w:left w:val="nil"/>
              <w:bottom w:val="single" w:color="000000" w:sz="8" w:space="0"/>
              <w:right w:val="single" w:color="000000" w:sz="8" w:space="0"/>
            </w:tcBorders>
            <w:noWrap w:val="0"/>
            <w:vAlign w:val="center"/>
          </w:tcPr>
          <w:p w14:paraId="47218EE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2A2D890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74074C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《投影机能效限定值及能效等级》（GB32028）</w:t>
            </w:r>
          </w:p>
        </w:tc>
      </w:tr>
      <w:tr w14:paraId="2541F3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CB732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4</w:t>
            </w:r>
          </w:p>
        </w:tc>
        <w:tc>
          <w:tcPr>
            <w:tcW w:w="1080" w:type="dxa"/>
            <w:tcBorders>
              <w:top w:val="nil"/>
              <w:left w:val="nil"/>
              <w:bottom w:val="single" w:color="000000" w:sz="8" w:space="0"/>
              <w:right w:val="single" w:color="000000" w:sz="8" w:space="0"/>
            </w:tcBorders>
            <w:noWrap w:val="0"/>
            <w:vAlign w:val="center"/>
          </w:tcPr>
          <w:p w14:paraId="1A5E8AE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A020204多功能一体机</w:t>
            </w:r>
          </w:p>
        </w:tc>
        <w:tc>
          <w:tcPr>
            <w:tcW w:w="1536" w:type="dxa"/>
            <w:tcBorders>
              <w:top w:val="nil"/>
              <w:left w:val="nil"/>
              <w:bottom w:val="single" w:color="000000" w:sz="8" w:space="0"/>
              <w:right w:val="single" w:color="000000" w:sz="8" w:space="0"/>
            </w:tcBorders>
            <w:noWrap w:val="0"/>
            <w:vAlign w:val="center"/>
          </w:tcPr>
          <w:p w14:paraId="1D7BD66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788A71D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11774F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6857D15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01D0CA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5</w:t>
            </w:r>
          </w:p>
        </w:tc>
        <w:tc>
          <w:tcPr>
            <w:tcW w:w="1080" w:type="dxa"/>
            <w:tcBorders>
              <w:top w:val="nil"/>
              <w:left w:val="nil"/>
              <w:bottom w:val="single" w:color="000000" w:sz="8" w:space="0"/>
              <w:right w:val="single" w:color="000000" w:sz="8" w:space="0"/>
            </w:tcBorders>
            <w:noWrap w:val="0"/>
            <w:vAlign w:val="center"/>
          </w:tcPr>
          <w:p w14:paraId="03FDC4F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A020519泵</w:t>
            </w:r>
          </w:p>
        </w:tc>
        <w:tc>
          <w:tcPr>
            <w:tcW w:w="1536" w:type="dxa"/>
            <w:tcBorders>
              <w:top w:val="nil"/>
              <w:left w:val="nil"/>
              <w:bottom w:val="single" w:color="000000" w:sz="8" w:space="0"/>
              <w:right w:val="single" w:color="000000" w:sz="8" w:space="0"/>
            </w:tcBorders>
            <w:noWrap w:val="0"/>
            <w:vAlign w:val="center"/>
          </w:tcPr>
          <w:p w14:paraId="06D3D0B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A02051901离心泵</w:t>
            </w:r>
          </w:p>
        </w:tc>
        <w:tc>
          <w:tcPr>
            <w:tcW w:w="1701" w:type="dxa"/>
            <w:tcBorders>
              <w:top w:val="nil"/>
              <w:left w:val="nil"/>
              <w:bottom w:val="single" w:color="000000" w:sz="8" w:space="0"/>
              <w:right w:val="single" w:color="000000" w:sz="8" w:space="0"/>
            </w:tcBorders>
            <w:noWrap w:val="0"/>
            <w:vAlign w:val="center"/>
          </w:tcPr>
          <w:p w14:paraId="24C2D0A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675FDA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《清水离心泵能效限定值及节能评价值》（GB19762）</w:t>
            </w:r>
          </w:p>
        </w:tc>
      </w:tr>
      <w:tr w14:paraId="66FE6FF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2ADF9F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444ED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A020523制冷空调设备</w:t>
            </w:r>
          </w:p>
        </w:tc>
        <w:tc>
          <w:tcPr>
            <w:tcW w:w="1536" w:type="dxa"/>
            <w:vMerge w:val="restart"/>
            <w:tcBorders>
              <w:top w:val="nil"/>
              <w:left w:val="single" w:color="000000" w:sz="8" w:space="0"/>
              <w:bottom w:val="single" w:color="000000" w:sz="8" w:space="0"/>
              <w:right w:val="single" w:color="000000" w:sz="8" w:space="0"/>
            </w:tcBorders>
            <w:noWrap w:val="0"/>
            <w:vAlign w:val="center"/>
          </w:tcPr>
          <w:p w14:paraId="03B9D65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★A02052301制冷压缩机</w:t>
            </w:r>
          </w:p>
        </w:tc>
        <w:tc>
          <w:tcPr>
            <w:tcW w:w="1701" w:type="dxa"/>
            <w:tcBorders>
              <w:top w:val="nil"/>
              <w:left w:val="nil"/>
              <w:bottom w:val="single" w:color="000000" w:sz="8" w:space="0"/>
              <w:right w:val="single" w:color="000000" w:sz="8" w:space="0"/>
            </w:tcBorders>
            <w:noWrap w:val="0"/>
            <w:vAlign w:val="center"/>
          </w:tcPr>
          <w:p w14:paraId="3615B1B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w:t>
            </w:r>
          </w:p>
        </w:tc>
        <w:tc>
          <w:tcPr>
            <w:tcW w:w="4595" w:type="dxa"/>
            <w:tcBorders>
              <w:top w:val="nil"/>
              <w:left w:val="nil"/>
              <w:bottom w:val="single" w:color="000000" w:sz="8" w:space="0"/>
              <w:right w:val="single" w:color="000000" w:sz="8" w:space="0"/>
            </w:tcBorders>
            <w:noWrap w:val="0"/>
            <w:vAlign w:val="center"/>
          </w:tcPr>
          <w:p w14:paraId="190AB64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《冷水机组能效限定值及能效等级》（GB19577），《低环境温度空气源热泵（冷水）机组能效限定值及能效等级》（GB37480）</w:t>
            </w:r>
          </w:p>
        </w:tc>
      </w:tr>
      <w:tr w14:paraId="40E8577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C0C638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62BC8FD">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75DBBA68">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16C1E3A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水源热泵机组</w:t>
            </w:r>
          </w:p>
        </w:tc>
        <w:tc>
          <w:tcPr>
            <w:tcW w:w="4595" w:type="dxa"/>
            <w:tcBorders>
              <w:top w:val="nil"/>
              <w:left w:val="nil"/>
              <w:bottom w:val="single" w:color="000000" w:sz="8" w:space="0"/>
              <w:right w:val="single" w:color="000000" w:sz="8" w:space="0"/>
            </w:tcBorders>
            <w:noWrap w:val="0"/>
            <w:vAlign w:val="center"/>
          </w:tcPr>
          <w:p w14:paraId="1C1E8F0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《水（地）源热泵机组能效限定值及能效等级》（GB30721）</w:t>
            </w:r>
          </w:p>
        </w:tc>
      </w:tr>
      <w:tr w14:paraId="68E98D0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96FBFF3">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11EAFD9">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9BDF977">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E64C53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w:t>
            </w:r>
          </w:p>
        </w:tc>
        <w:tc>
          <w:tcPr>
            <w:tcW w:w="4595" w:type="dxa"/>
            <w:tcBorders>
              <w:top w:val="nil"/>
              <w:left w:val="nil"/>
              <w:bottom w:val="single" w:color="000000" w:sz="8" w:space="0"/>
              <w:right w:val="single" w:color="000000" w:sz="8" w:space="0"/>
            </w:tcBorders>
            <w:noWrap w:val="0"/>
            <w:vAlign w:val="center"/>
          </w:tcPr>
          <w:p w14:paraId="7B83FD8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《溴化锂吸收式冷水机组能效限定值及能效等级》（GB29540）</w:t>
            </w:r>
          </w:p>
        </w:tc>
      </w:tr>
      <w:tr w14:paraId="5DCB043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D3EB1C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60337B">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0C2777F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★A02052305空调机组</w:t>
            </w:r>
          </w:p>
        </w:tc>
        <w:tc>
          <w:tcPr>
            <w:tcW w:w="1701" w:type="dxa"/>
            <w:tcBorders>
              <w:top w:val="nil"/>
              <w:left w:val="nil"/>
              <w:bottom w:val="single" w:color="000000" w:sz="8" w:space="0"/>
              <w:right w:val="single" w:color="000000" w:sz="8" w:space="0"/>
            </w:tcBorders>
            <w:noWrap w:val="0"/>
            <w:vAlign w:val="center"/>
          </w:tcPr>
          <w:p w14:paraId="02E1B38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多联式空调（热泵）机组(制冷量&gt;14000W)</w:t>
            </w:r>
          </w:p>
        </w:tc>
        <w:tc>
          <w:tcPr>
            <w:tcW w:w="4595" w:type="dxa"/>
            <w:tcBorders>
              <w:top w:val="nil"/>
              <w:left w:val="nil"/>
              <w:bottom w:val="single" w:color="000000" w:sz="8" w:space="0"/>
              <w:right w:val="single" w:color="000000" w:sz="8" w:space="0"/>
            </w:tcBorders>
            <w:noWrap w:val="0"/>
            <w:vAlign w:val="center"/>
          </w:tcPr>
          <w:p w14:paraId="51516D4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0B192AB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3A6285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3AB9F10">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779FC825">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4705A6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单元式空气调节机(制冷量&gt;14000W</w:t>
            </w:r>
          </w:p>
        </w:tc>
        <w:tc>
          <w:tcPr>
            <w:tcW w:w="4595" w:type="dxa"/>
            <w:tcBorders>
              <w:top w:val="nil"/>
              <w:left w:val="nil"/>
              <w:bottom w:val="single" w:color="000000" w:sz="8" w:space="0"/>
              <w:right w:val="single" w:color="000000" w:sz="8" w:space="0"/>
            </w:tcBorders>
            <w:noWrap w:val="0"/>
            <w:vAlign w:val="center"/>
          </w:tcPr>
          <w:p w14:paraId="48FAC593">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《单元式空气调节机能效限定值及能效等级》（GB19576）《风管送风式空调机组能效限定值及能效等级》（GB37479）</w:t>
            </w:r>
          </w:p>
        </w:tc>
      </w:tr>
      <w:tr w14:paraId="529607D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719F90C">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4D346D">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3197688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★A02052309专用制冷、空调设备</w:t>
            </w:r>
          </w:p>
        </w:tc>
        <w:tc>
          <w:tcPr>
            <w:tcW w:w="1701" w:type="dxa"/>
            <w:tcBorders>
              <w:top w:val="nil"/>
              <w:left w:val="nil"/>
              <w:bottom w:val="single" w:color="000000" w:sz="8" w:space="0"/>
              <w:right w:val="single" w:color="000000" w:sz="8" w:space="0"/>
            </w:tcBorders>
            <w:noWrap w:val="0"/>
            <w:vAlign w:val="center"/>
          </w:tcPr>
          <w:p w14:paraId="64DD9E4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机房空调</w:t>
            </w:r>
          </w:p>
        </w:tc>
        <w:tc>
          <w:tcPr>
            <w:tcW w:w="4595" w:type="dxa"/>
            <w:tcBorders>
              <w:top w:val="nil"/>
              <w:left w:val="nil"/>
              <w:bottom w:val="single" w:color="000000" w:sz="8" w:space="0"/>
              <w:right w:val="single" w:color="000000" w:sz="8" w:space="0"/>
            </w:tcBorders>
            <w:noWrap w:val="0"/>
            <w:vAlign w:val="center"/>
          </w:tcPr>
          <w:p w14:paraId="5BC7A80C">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w:t>
            </w:r>
          </w:p>
        </w:tc>
      </w:tr>
      <w:tr w14:paraId="4716C59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FB173B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D3A1AEF">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B7D839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A02052399其他制冷空调设备</w:t>
            </w:r>
          </w:p>
        </w:tc>
        <w:tc>
          <w:tcPr>
            <w:tcW w:w="1701" w:type="dxa"/>
            <w:tcBorders>
              <w:top w:val="nil"/>
              <w:left w:val="nil"/>
              <w:bottom w:val="single" w:color="000000" w:sz="8" w:space="0"/>
              <w:right w:val="single" w:color="000000" w:sz="8" w:space="0"/>
            </w:tcBorders>
            <w:noWrap w:val="0"/>
            <w:vAlign w:val="center"/>
          </w:tcPr>
          <w:p w14:paraId="273237B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冷却塔</w:t>
            </w:r>
          </w:p>
        </w:tc>
        <w:tc>
          <w:tcPr>
            <w:tcW w:w="4595" w:type="dxa"/>
            <w:tcBorders>
              <w:top w:val="nil"/>
              <w:left w:val="nil"/>
              <w:bottom w:val="single" w:color="000000" w:sz="8" w:space="0"/>
              <w:right w:val="single" w:color="000000" w:sz="8" w:space="0"/>
            </w:tcBorders>
            <w:noWrap w:val="0"/>
            <w:vAlign w:val="center"/>
          </w:tcPr>
          <w:p w14:paraId="2651FA3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《机械通风冷却塔第1部分：中小型开式冷却塔》（GB/T7190.1）；《机械通风冷却塔第2部分：大型开式冷却塔》（GB/T7190.2）</w:t>
            </w:r>
          </w:p>
        </w:tc>
      </w:tr>
      <w:tr w14:paraId="6D694C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FC9E98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7</w:t>
            </w:r>
          </w:p>
        </w:tc>
        <w:tc>
          <w:tcPr>
            <w:tcW w:w="1080" w:type="dxa"/>
            <w:tcBorders>
              <w:top w:val="nil"/>
              <w:left w:val="nil"/>
              <w:bottom w:val="single" w:color="000000" w:sz="8" w:space="0"/>
              <w:right w:val="single" w:color="000000" w:sz="8" w:space="0"/>
            </w:tcBorders>
            <w:noWrap w:val="0"/>
            <w:vAlign w:val="center"/>
          </w:tcPr>
          <w:p w14:paraId="0296D45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A020601电机</w:t>
            </w:r>
          </w:p>
        </w:tc>
        <w:tc>
          <w:tcPr>
            <w:tcW w:w="1536" w:type="dxa"/>
            <w:tcBorders>
              <w:top w:val="nil"/>
              <w:left w:val="nil"/>
              <w:bottom w:val="single" w:color="000000" w:sz="8" w:space="0"/>
              <w:right w:val="single" w:color="000000" w:sz="8" w:space="0"/>
            </w:tcBorders>
            <w:noWrap w:val="0"/>
            <w:vAlign w:val="center"/>
          </w:tcPr>
          <w:p w14:paraId="1B4249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110CBEE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3EF5512C">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《中小型三相异步电动机能效限定值及能效等级》（GB18613）</w:t>
            </w:r>
          </w:p>
        </w:tc>
      </w:tr>
      <w:tr w14:paraId="5F57E26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8232A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8</w:t>
            </w:r>
          </w:p>
        </w:tc>
        <w:tc>
          <w:tcPr>
            <w:tcW w:w="1080" w:type="dxa"/>
            <w:tcBorders>
              <w:top w:val="nil"/>
              <w:left w:val="nil"/>
              <w:bottom w:val="single" w:color="000000" w:sz="8" w:space="0"/>
              <w:right w:val="single" w:color="000000" w:sz="8" w:space="0"/>
            </w:tcBorders>
            <w:noWrap w:val="0"/>
            <w:vAlign w:val="center"/>
          </w:tcPr>
          <w:p w14:paraId="1213239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A020602变压器</w:t>
            </w:r>
          </w:p>
        </w:tc>
        <w:tc>
          <w:tcPr>
            <w:tcW w:w="1536" w:type="dxa"/>
            <w:tcBorders>
              <w:top w:val="nil"/>
              <w:left w:val="nil"/>
              <w:bottom w:val="single" w:color="000000" w:sz="8" w:space="0"/>
              <w:right w:val="single" w:color="000000" w:sz="8" w:space="0"/>
            </w:tcBorders>
            <w:noWrap w:val="0"/>
            <w:vAlign w:val="center"/>
          </w:tcPr>
          <w:p w14:paraId="6074AF9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配电变压器</w:t>
            </w:r>
          </w:p>
        </w:tc>
        <w:tc>
          <w:tcPr>
            <w:tcW w:w="1701" w:type="dxa"/>
            <w:tcBorders>
              <w:top w:val="nil"/>
              <w:left w:val="nil"/>
              <w:bottom w:val="single" w:color="000000" w:sz="8" w:space="0"/>
              <w:right w:val="single" w:color="000000" w:sz="8" w:space="0"/>
            </w:tcBorders>
            <w:noWrap w:val="0"/>
            <w:vAlign w:val="center"/>
          </w:tcPr>
          <w:p w14:paraId="0ABBB9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7AF1C74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《三相配电变压器能效限定值及能效等级》（GB20052）</w:t>
            </w:r>
          </w:p>
        </w:tc>
      </w:tr>
      <w:tr w14:paraId="21AAD90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8BCBB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9</w:t>
            </w:r>
          </w:p>
        </w:tc>
        <w:tc>
          <w:tcPr>
            <w:tcW w:w="1080" w:type="dxa"/>
            <w:tcBorders>
              <w:top w:val="nil"/>
              <w:left w:val="nil"/>
              <w:bottom w:val="single" w:color="000000" w:sz="8" w:space="0"/>
              <w:right w:val="single" w:color="000000" w:sz="8" w:space="0"/>
            </w:tcBorders>
            <w:noWrap w:val="0"/>
            <w:vAlign w:val="center"/>
          </w:tcPr>
          <w:p w14:paraId="00897F8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★A020609镇流器</w:t>
            </w:r>
          </w:p>
        </w:tc>
        <w:tc>
          <w:tcPr>
            <w:tcW w:w="1536" w:type="dxa"/>
            <w:tcBorders>
              <w:top w:val="nil"/>
              <w:left w:val="nil"/>
              <w:bottom w:val="single" w:color="000000" w:sz="8" w:space="0"/>
              <w:right w:val="single" w:color="000000" w:sz="8" w:space="0"/>
            </w:tcBorders>
            <w:noWrap w:val="0"/>
            <w:vAlign w:val="center"/>
          </w:tcPr>
          <w:p w14:paraId="70CDC4A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管型荧光灯镇流器</w:t>
            </w:r>
          </w:p>
        </w:tc>
        <w:tc>
          <w:tcPr>
            <w:tcW w:w="1701" w:type="dxa"/>
            <w:tcBorders>
              <w:top w:val="nil"/>
              <w:left w:val="nil"/>
              <w:bottom w:val="single" w:color="000000" w:sz="8" w:space="0"/>
              <w:right w:val="single" w:color="000000" w:sz="8" w:space="0"/>
            </w:tcBorders>
            <w:noWrap w:val="0"/>
            <w:vAlign w:val="center"/>
          </w:tcPr>
          <w:p w14:paraId="31DB8D6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CA5A96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《管形荧光灯镇流器能效限定值及能效等级》（GB17896）</w:t>
            </w:r>
          </w:p>
        </w:tc>
      </w:tr>
      <w:tr w14:paraId="4C414F1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3AF342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1ACDC0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A020618生活用电器</w:t>
            </w:r>
          </w:p>
        </w:tc>
        <w:tc>
          <w:tcPr>
            <w:tcW w:w="1536" w:type="dxa"/>
            <w:tcBorders>
              <w:top w:val="nil"/>
              <w:left w:val="nil"/>
              <w:bottom w:val="single" w:color="000000" w:sz="8" w:space="0"/>
              <w:right w:val="single" w:color="000000" w:sz="8" w:space="0"/>
            </w:tcBorders>
            <w:noWrap w:val="0"/>
            <w:vAlign w:val="center"/>
          </w:tcPr>
          <w:p w14:paraId="69E5EF0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A0206180101电冰箱</w:t>
            </w:r>
          </w:p>
        </w:tc>
        <w:tc>
          <w:tcPr>
            <w:tcW w:w="1701" w:type="dxa"/>
            <w:tcBorders>
              <w:top w:val="nil"/>
              <w:left w:val="nil"/>
              <w:bottom w:val="single" w:color="000000" w:sz="8" w:space="0"/>
              <w:right w:val="single" w:color="000000" w:sz="8" w:space="0"/>
            </w:tcBorders>
            <w:noWrap w:val="0"/>
            <w:vAlign w:val="center"/>
          </w:tcPr>
          <w:p w14:paraId="6072327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C31FF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《家用电冰箱耗电量限定值及能效等级》（GB 12021.2）</w:t>
            </w:r>
          </w:p>
        </w:tc>
      </w:tr>
      <w:tr w14:paraId="7609F1E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77215B5">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CB2CE1">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73ED08B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★A0206180203空调机</w:t>
            </w:r>
          </w:p>
        </w:tc>
        <w:tc>
          <w:tcPr>
            <w:tcW w:w="1701" w:type="dxa"/>
            <w:tcBorders>
              <w:top w:val="nil"/>
              <w:left w:val="nil"/>
              <w:bottom w:val="single" w:color="000000" w:sz="8" w:space="0"/>
              <w:right w:val="single" w:color="000000" w:sz="8" w:space="0"/>
            </w:tcBorders>
            <w:noWrap w:val="0"/>
            <w:vAlign w:val="center"/>
          </w:tcPr>
          <w:p w14:paraId="63D7F15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房间空气调节器</w:t>
            </w:r>
          </w:p>
        </w:tc>
        <w:tc>
          <w:tcPr>
            <w:tcW w:w="4595" w:type="dxa"/>
            <w:tcBorders>
              <w:top w:val="nil"/>
              <w:left w:val="nil"/>
              <w:bottom w:val="single" w:color="000000" w:sz="8" w:space="0"/>
              <w:right w:val="single" w:color="000000" w:sz="8" w:space="0"/>
            </w:tcBorders>
            <w:noWrap w:val="0"/>
            <w:vAlign w:val="center"/>
          </w:tcPr>
          <w:p w14:paraId="088EE799">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《转速可控型房间空气调节器能效限定值及能效等级》（GB21455-2013），待2019年修订发布后，按《房间空气调节器能效限定值及能效等级》（GB21455-2019实施。</w:t>
            </w:r>
          </w:p>
        </w:tc>
      </w:tr>
      <w:tr w14:paraId="323A95F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52CF4C">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0EB9C8C">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39E482D1">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0AF23EE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 14000W）</w:t>
            </w:r>
          </w:p>
        </w:tc>
        <w:tc>
          <w:tcPr>
            <w:tcW w:w="4595" w:type="dxa"/>
            <w:tcBorders>
              <w:top w:val="nil"/>
              <w:left w:val="nil"/>
              <w:bottom w:val="single" w:color="000000" w:sz="8" w:space="0"/>
              <w:right w:val="single" w:color="000000" w:sz="8" w:space="0"/>
            </w:tcBorders>
            <w:noWrap w:val="0"/>
            <w:vAlign w:val="center"/>
          </w:tcPr>
          <w:p w14:paraId="27A051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19AC15E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9D21B09">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0924A17">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532B5F56">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741A01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单元式空气调节机(制冷量≤14000W)</w:t>
            </w:r>
          </w:p>
        </w:tc>
        <w:tc>
          <w:tcPr>
            <w:tcW w:w="4595" w:type="dxa"/>
            <w:tcBorders>
              <w:top w:val="nil"/>
              <w:left w:val="nil"/>
              <w:bottom w:val="single" w:color="000000" w:sz="8" w:space="0"/>
              <w:right w:val="single" w:color="000000" w:sz="8" w:space="0"/>
            </w:tcBorders>
            <w:noWrap w:val="0"/>
            <w:vAlign w:val="center"/>
          </w:tcPr>
          <w:p w14:paraId="337403F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《单元式空气调节机能效限定值及能源效率等级》（GB19576）《风管送风式空调机组能效限定值及能效等级》（GB37479）</w:t>
            </w:r>
          </w:p>
        </w:tc>
      </w:tr>
      <w:tr w14:paraId="292572E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4197C25">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4D63086">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572E2D4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A0206180301洗衣机</w:t>
            </w:r>
          </w:p>
        </w:tc>
        <w:tc>
          <w:tcPr>
            <w:tcW w:w="1701" w:type="dxa"/>
            <w:tcBorders>
              <w:top w:val="nil"/>
              <w:left w:val="nil"/>
              <w:bottom w:val="single" w:color="000000" w:sz="8" w:space="0"/>
              <w:right w:val="single" w:color="000000" w:sz="8" w:space="0"/>
            </w:tcBorders>
            <w:noWrap w:val="0"/>
            <w:vAlign w:val="center"/>
          </w:tcPr>
          <w:p w14:paraId="1383183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3AB4CEA">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《电动洗衣机能效水效限定值及等级》（GB12021.4）</w:t>
            </w:r>
          </w:p>
        </w:tc>
      </w:tr>
      <w:tr w14:paraId="0DA420F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F6122A3">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6B1DCB2">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0317AF7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A02061808热水器</w:t>
            </w:r>
          </w:p>
        </w:tc>
        <w:tc>
          <w:tcPr>
            <w:tcW w:w="1701" w:type="dxa"/>
            <w:tcBorders>
              <w:top w:val="nil"/>
              <w:left w:val="nil"/>
              <w:bottom w:val="single" w:color="000000" w:sz="8" w:space="0"/>
              <w:right w:val="single" w:color="000000" w:sz="8" w:space="0"/>
            </w:tcBorders>
            <w:noWrap w:val="0"/>
            <w:vAlign w:val="center"/>
          </w:tcPr>
          <w:p w14:paraId="41C56AB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★电热水器</w:t>
            </w:r>
          </w:p>
        </w:tc>
        <w:tc>
          <w:tcPr>
            <w:tcW w:w="4595" w:type="dxa"/>
            <w:tcBorders>
              <w:top w:val="nil"/>
              <w:left w:val="nil"/>
              <w:bottom w:val="single" w:color="000000" w:sz="8" w:space="0"/>
              <w:right w:val="single" w:color="000000" w:sz="8" w:space="0"/>
            </w:tcBorders>
            <w:noWrap w:val="0"/>
            <w:vAlign w:val="center"/>
          </w:tcPr>
          <w:p w14:paraId="33B72F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《储水式电热水器能效限定值及能效等级》（GB21519）</w:t>
            </w:r>
          </w:p>
        </w:tc>
      </w:tr>
      <w:tr w14:paraId="7AF961B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3080AB1">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B59632">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0B24E425">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5BB1E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燃气热水器</w:t>
            </w:r>
          </w:p>
        </w:tc>
        <w:tc>
          <w:tcPr>
            <w:tcW w:w="4595" w:type="dxa"/>
            <w:tcBorders>
              <w:top w:val="nil"/>
              <w:left w:val="nil"/>
              <w:bottom w:val="single" w:color="000000" w:sz="8" w:space="0"/>
              <w:right w:val="single" w:color="000000" w:sz="8" w:space="0"/>
            </w:tcBorders>
            <w:noWrap w:val="0"/>
            <w:vAlign w:val="center"/>
          </w:tcPr>
          <w:p w14:paraId="289072D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《家用燃气快速热水器和燃气采暖热水炉能效限定值及能效等级》（GB20665）</w:t>
            </w:r>
          </w:p>
        </w:tc>
      </w:tr>
      <w:tr w14:paraId="4877010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A70D89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7EC6822">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407D707D">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54F0388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热泵热水器</w:t>
            </w:r>
          </w:p>
        </w:tc>
        <w:tc>
          <w:tcPr>
            <w:tcW w:w="4595" w:type="dxa"/>
            <w:tcBorders>
              <w:top w:val="nil"/>
              <w:left w:val="nil"/>
              <w:bottom w:val="single" w:color="000000" w:sz="8" w:space="0"/>
              <w:right w:val="single" w:color="000000" w:sz="8" w:space="0"/>
            </w:tcBorders>
            <w:noWrap w:val="0"/>
            <w:vAlign w:val="center"/>
          </w:tcPr>
          <w:p w14:paraId="0EA13FC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《热泵热水机（器）能效限定值及能效等级》（GB29541）</w:t>
            </w:r>
          </w:p>
        </w:tc>
      </w:tr>
      <w:tr w14:paraId="030560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FE8FA3D">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6830D45">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E9D1850">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1F6B618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太阳能热水系统</w:t>
            </w:r>
          </w:p>
        </w:tc>
        <w:tc>
          <w:tcPr>
            <w:tcW w:w="4595" w:type="dxa"/>
            <w:tcBorders>
              <w:top w:val="nil"/>
              <w:left w:val="nil"/>
              <w:bottom w:val="single" w:color="000000" w:sz="8" w:space="0"/>
              <w:right w:val="single" w:color="000000" w:sz="8" w:space="0"/>
            </w:tcBorders>
            <w:noWrap w:val="0"/>
            <w:vAlign w:val="center"/>
          </w:tcPr>
          <w:p w14:paraId="2E35003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《家用太阳能热水系统能效限定值及能效等级》（GB26969）</w:t>
            </w:r>
          </w:p>
        </w:tc>
      </w:tr>
      <w:tr w14:paraId="166930F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CCCD53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0367E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A020619照明设备</w:t>
            </w:r>
          </w:p>
        </w:tc>
        <w:tc>
          <w:tcPr>
            <w:tcW w:w="1536" w:type="dxa"/>
            <w:tcBorders>
              <w:top w:val="nil"/>
              <w:left w:val="nil"/>
              <w:bottom w:val="single" w:color="000000" w:sz="8" w:space="0"/>
              <w:right w:val="single" w:color="000000" w:sz="8" w:space="0"/>
            </w:tcBorders>
            <w:noWrap w:val="0"/>
            <w:vAlign w:val="center"/>
          </w:tcPr>
          <w:p w14:paraId="184AC01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w:t>
            </w:r>
          </w:p>
        </w:tc>
        <w:tc>
          <w:tcPr>
            <w:tcW w:w="1701" w:type="dxa"/>
            <w:tcBorders>
              <w:top w:val="nil"/>
              <w:left w:val="nil"/>
              <w:bottom w:val="single" w:color="000000" w:sz="8" w:space="0"/>
              <w:right w:val="single" w:color="000000" w:sz="8" w:space="0"/>
            </w:tcBorders>
            <w:noWrap w:val="0"/>
            <w:vAlign w:val="center"/>
          </w:tcPr>
          <w:p w14:paraId="31FFCFE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DF94B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《普通照明用双端荧光灯能效限定值及能效等级》（GB19043）</w:t>
            </w:r>
          </w:p>
        </w:tc>
      </w:tr>
      <w:tr w14:paraId="36BBE09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DCFE9D6">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76F1123">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5560DF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LED道路/隧道照明产品</w:t>
            </w:r>
          </w:p>
        </w:tc>
        <w:tc>
          <w:tcPr>
            <w:tcW w:w="1701" w:type="dxa"/>
            <w:tcBorders>
              <w:top w:val="nil"/>
              <w:left w:val="nil"/>
              <w:bottom w:val="single" w:color="000000" w:sz="8" w:space="0"/>
              <w:right w:val="single" w:color="000000" w:sz="8" w:space="0"/>
            </w:tcBorders>
            <w:noWrap w:val="0"/>
            <w:vAlign w:val="center"/>
          </w:tcPr>
          <w:p w14:paraId="4F8DAE3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C194BC0">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《道路和隧道照明用LED灯具能效限定值及能效等级》（GB37478）</w:t>
            </w:r>
          </w:p>
        </w:tc>
      </w:tr>
      <w:tr w14:paraId="69E8E58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4C8652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DA3F108">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649E304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LED筒灯</w:t>
            </w:r>
          </w:p>
        </w:tc>
        <w:tc>
          <w:tcPr>
            <w:tcW w:w="1701" w:type="dxa"/>
            <w:tcBorders>
              <w:top w:val="nil"/>
              <w:left w:val="nil"/>
              <w:bottom w:val="single" w:color="000000" w:sz="8" w:space="0"/>
              <w:right w:val="single" w:color="000000" w:sz="8" w:space="0"/>
            </w:tcBorders>
            <w:noWrap w:val="0"/>
            <w:vAlign w:val="center"/>
          </w:tcPr>
          <w:p w14:paraId="282A7D0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19C99729">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079958E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62F53A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D13254">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6417FB8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普通照明用非定向自镇流LED灯</w:t>
            </w:r>
          </w:p>
        </w:tc>
        <w:tc>
          <w:tcPr>
            <w:tcW w:w="1701" w:type="dxa"/>
            <w:tcBorders>
              <w:top w:val="nil"/>
              <w:left w:val="nil"/>
              <w:bottom w:val="single" w:color="000000" w:sz="8" w:space="0"/>
              <w:right w:val="single" w:color="000000" w:sz="8" w:space="0"/>
            </w:tcBorders>
            <w:noWrap w:val="0"/>
            <w:vAlign w:val="center"/>
          </w:tcPr>
          <w:p w14:paraId="379D66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B73017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5693742F">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20099CB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12</w:t>
            </w:r>
          </w:p>
        </w:tc>
        <w:tc>
          <w:tcPr>
            <w:tcW w:w="1080" w:type="dxa"/>
            <w:tcBorders>
              <w:top w:val="nil"/>
              <w:left w:val="nil"/>
              <w:bottom w:val="single" w:color="000000" w:sz="8" w:space="0"/>
              <w:right w:val="single" w:color="000000" w:sz="8" w:space="0"/>
            </w:tcBorders>
            <w:noWrap w:val="0"/>
            <w:vAlign w:val="center"/>
          </w:tcPr>
          <w:p w14:paraId="684587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★A020910电视设备</w:t>
            </w:r>
          </w:p>
        </w:tc>
        <w:tc>
          <w:tcPr>
            <w:tcW w:w="1536" w:type="dxa"/>
            <w:tcBorders>
              <w:top w:val="nil"/>
              <w:left w:val="nil"/>
              <w:bottom w:val="single" w:color="000000" w:sz="8" w:space="0"/>
              <w:right w:val="single" w:color="000000" w:sz="8" w:space="0"/>
            </w:tcBorders>
            <w:noWrap w:val="0"/>
            <w:vAlign w:val="center"/>
          </w:tcPr>
          <w:p w14:paraId="440ECF1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A02091001普通电视设备（电视机）</w:t>
            </w:r>
          </w:p>
        </w:tc>
        <w:tc>
          <w:tcPr>
            <w:tcW w:w="1701" w:type="dxa"/>
            <w:tcBorders>
              <w:top w:val="nil"/>
              <w:left w:val="nil"/>
              <w:bottom w:val="single" w:color="000000" w:sz="8" w:space="0"/>
              <w:right w:val="single" w:color="000000" w:sz="8" w:space="0"/>
            </w:tcBorders>
            <w:noWrap w:val="0"/>
            <w:vAlign w:val="center"/>
          </w:tcPr>
          <w:p w14:paraId="13ABEC5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7EF5217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《平板电视能效限定值及能效等级》（GB24850）</w:t>
            </w:r>
          </w:p>
        </w:tc>
      </w:tr>
      <w:tr w14:paraId="2E8B3D9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6D6AB9B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13</w:t>
            </w:r>
          </w:p>
        </w:tc>
        <w:tc>
          <w:tcPr>
            <w:tcW w:w="1080" w:type="dxa"/>
            <w:tcBorders>
              <w:top w:val="nil"/>
              <w:left w:val="nil"/>
              <w:bottom w:val="single" w:color="000000" w:sz="8" w:space="0"/>
              <w:right w:val="single" w:color="000000" w:sz="8" w:space="0"/>
            </w:tcBorders>
            <w:noWrap w:val="0"/>
            <w:vAlign w:val="center"/>
          </w:tcPr>
          <w:p w14:paraId="46C84CA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★A020911视频设备</w:t>
            </w:r>
          </w:p>
        </w:tc>
        <w:tc>
          <w:tcPr>
            <w:tcW w:w="1536" w:type="dxa"/>
            <w:tcBorders>
              <w:top w:val="nil"/>
              <w:left w:val="nil"/>
              <w:bottom w:val="single" w:color="000000" w:sz="8" w:space="0"/>
              <w:right w:val="single" w:color="000000" w:sz="8" w:space="0"/>
            </w:tcBorders>
            <w:noWrap w:val="0"/>
            <w:vAlign w:val="center"/>
          </w:tcPr>
          <w:p w14:paraId="205B36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A02091107视频监控设备</w:t>
            </w:r>
          </w:p>
        </w:tc>
        <w:tc>
          <w:tcPr>
            <w:tcW w:w="1701" w:type="dxa"/>
            <w:tcBorders>
              <w:top w:val="nil"/>
              <w:left w:val="nil"/>
              <w:bottom w:val="single" w:color="000000" w:sz="8" w:space="0"/>
              <w:right w:val="single" w:color="000000" w:sz="8" w:space="0"/>
            </w:tcBorders>
            <w:noWrap w:val="0"/>
            <w:vAlign w:val="center"/>
          </w:tcPr>
          <w:p w14:paraId="1849F60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监视器</w:t>
            </w:r>
          </w:p>
        </w:tc>
        <w:tc>
          <w:tcPr>
            <w:tcW w:w="4595" w:type="dxa"/>
            <w:tcBorders>
              <w:top w:val="nil"/>
              <w:left w:val="nil"/>
              <w:bottom w:val="single" w:color="000000" w:sz="8" w:space="0"/>
              <w:right w:val="single" w:color="000000" w:sz="8" w:space="0"/>
            </w:tcBorders>
            <w:noWrap w:val="0"/>
            <w:vAlign w:val="center"/>
          </w:tcPr>
          <w:p w14:paraId="7B9D4A3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以射频信号为主要信号输入的监视器应符合《平板电视能效限定值及能效等级》（GB24850），以数字信号为主要信号输入的监视器应符合《计算机显示器能效限定值及能效等级》（GB21520）</w:t>
            </w:r>
          </w:p>
        </w:tc>
      </w:tr>
      <w:tr w14:paraId="4C10E6F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47536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14</w:t>
            </w:r>
          </w:p>
        </w:tc>
        <w:tc>
          <w:tcPr>
            <w:tcW w:w="1080" w:type="dxa"/>
            <w:tcBorders>
              <w:top w:val="nil"/>
              <w:left w:val="nil"/>
              <w:bottom w:val="single" w:color="000000" w:sz="8" w:space="0"/>
              <w:right w:val="single" w:color="000000" w:sz="8" w:space="0"/>
            </w:tcBorders>
            <w:noWrap w:val="0"/>
            <w:vAlign w:val="center"/>
          </w:tcPr>
          <w:p w14:paraId="7EF006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A031210饮食炊事机械</w:t>
            </w:r>
          </w:p>
        </w:tc>
        <w:tc>
          <w:tcPr>
            <w:tcW w:w="1536" w:type="dxa"/>
            <w:tcBorders>
              <w:top w:val="nil"/>
              <w:left w:val="nil"/>
              <w:bottom w:val="single" w:color="000000" w:sz="8" w:space="0"/>
              <w:right w:val="single" w:color="000000" w:sz="8" w:space="0"/>
            </w:tcBorders>
            <w:noWrap w:val="0"/>
            <w:vAlign w:val="center"/>
          </w:tcPr>
          <w:p w14:paraId="7F92A1B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w:t>
            </w:r>
          </w:p>
        </w:tc>
        <w:tc>
          <w:tcPr>
            <w:tcW w:w="1701" w:type="dxa"/>
            <w:tcBorders>
              <w:top w:val="nil"/>
              <w:left w:val="nil"/>
              <w:bottom w:val="single" w:color="000000" w:sz="8" w:space="0"/>
              <w:right w:val="single" w:color="000000" w:sz="8" w:space="0"/>
            </w:tcBorders>
            <w:noWrap w:val="0"/>
            <w:vAlign w:val="center"/>
          </w:tcPr>
          <w:p w14:paraId="727F737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CC6F3A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《商用燃气灶具能效限定值及能效等级》（GB30531）</w:t>
            </w:r>
          </w:p>
        </w:tc>
      </w:tr>
      <w:tr w14:paraId="55586625">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8405F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7C3225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★A060805便器</w:t>
            </w:r>
          </w:p>
        </w:tc>
        <w:tc>
          <w:tcPr>
            <w:tcW w:w="1536" w:type="dxa"/>
            <w:tcBorders>
              <w:top w:val="nil"/>
              <w:left w:val="nil"/>
              <w:bottom w:val="single" w:color="000000" w:sz="8" w:space="0"/>
              <w:right w:val="single" w:color="000000" w:sz="8" w:space="0"/>
            </w:tcBorders>
            <w:noWrap w:val="0"/>
            <w:vAlign w:val="center"/>
          </w:tcPr>
          <w:p w14:paraId="624B4EB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w:t>
            </w:r>
          </w:p>
        </w:tc>
        <w:tc>
          <w:tcPr>
            <w:tcW w:w="1701" w:type="dxa"/>
            <w:tcBorders>
              <w:top w:val="nil"/>
              <w:left w:val="nil"/>
              <w:bottom w:val="single" w:color="000000" w:sz="8" w:space="0"/>
              <w:right w:val="single" w:color="000000" w:sz="8" w:space="0"/>
            </w:tcBorders>
            <w:noWrap w:val="0"/>
            <w:vAlign w:val="center"/>
          </w:tcPr>
          <w:p w14:paraId="1ED91AE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07F127B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《坐便器水效限定值及水效等级》（GB25502）</w:t>
            </w:r>
          </w:p>
        </w:tc>
      </w:tr>
      <w:tr w14:paraId="3C9EF49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3BD7A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E9E0334">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81B32EF">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w:t>
            </w:r>
          </w:p>
        </w:tc>
        <w:tc>
          <w:tcPr>
            <w:tcW w:w="1701" w:type="dxa"/>
            <w:tcBorders>
              <w:top w:val="nil"/>
              <w:left w:val="nil"/>
              <w:bottom w:val="single" w:color="000000" w:sz="8" w:space="0"/>
              <w:right w:val="single" w:color="000000" w:sz="8" w:space="0"/>
            </w:tcBorders>
            <w:noWrap w:val="0"/>
            <w:vAlign w:val="center"/>
          </w:tcPr>
          <w:p w14:paraId="66F0CA8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9EDAE0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《蹲便器用水效率限定值及用水效率等级》（GB30717）</w:t>
            </w:r>
          </w:p>
        </w:tc>
      </w:tr>
      <w:tr w14:paraId="288A2F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14C7D71">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0050A0C">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5363BB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w:t>
            </w:r>
          </w:p>
        </w:tc>
        <w:tc>
          <w:tcPr>
            <w:tcW w:w="1701" w:type="dxa"/>
            <w:tcBorders>
              <w:top w:val="nil"/>
              <w:left w:val="nil"/>
              <w:bottom w:val="single" w:color="000000" w:sz="8" w:space="0"/>
              <w:right w:val="single" w:color="000000" w:sz="8" w:space="0"/>
            </w:tcBorders>
            <w:noWrap w:val="0"/>
            <w:vAlign w:val="center"/>
          </w:tcPr>
          <w:p w14:paraId="7550454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3F49258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《小便器用水效率限定值及用水效率等级》（GB28377）</w:t>
            </w:r>
          </w:p>
        </w:tc>
      </w:tr>
      <w:tr w14:paraId="7DC21CD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CB9BD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16</w:t>
            </w:r>
          </w:p>
        </w:tc>
        <w:tc>
          <w:tcPr>
            <w:tcW w:w="1080" w:type="dxa"/>
            <w:tcBorders>
              <w:top w:val="nil"/>
              <w:left w:val="nil"/>
              <w:bottom w:val="single" w:color="000000" w:sz="8" w:space="0"/>
              <w:right w:val="single" w:color="000000" w:sz="8" w:space="0"/>
            </w:tcBorders>
            <w:noWrap w:val="0"/>
            <w:vAlign w:val="center"/>
          </w:tcPr>
          <w:p w14:paraId="1725B81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★A060806水嘴</w:t>
            </w:r>
          </w:p>
        </w:tc>
        <w:tc>
          <w:tcPr>
            <w:tcW w:w="1536" w:type="dxa"/>
            <w:tcBorders>
              <w:top w:val="nil"/>
              <w:left w:val="nil"/>
              <w:bottom w:val="single" w:color="000000" w:sz="8" w:space="0"/>
              <w:right w:val="single" w:color="000000" w:sz="8" w:space="0"/>
            </w:tcBorders>
            <w:noWrap w:val="0"/>
            <w:vAlign w:val="center"/>
          </w:tcPr>
          <w:p w14:paraId="444DEBD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2ECABAF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785410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《水嘴用水效率限定值及用水效率等级》（GB 25501）</w:t>
            </w:r>
          </w:p>
        </w:tc>
      </w:tr>
      <w:tr w14:paraId="4B7E87F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E1F29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17</w:t>
            </w:r>
          </w:p>
        </w:tc>
        <w:tc>
          <w:tcPr>
            <w:tcW w:w="1080" w:type="dxa"/>
            <w:tcBorders>
              <w:top w:val="nil"/>
              <w:left w:val="nil"/>
              <w:bottom w:val="single" w:color="000000" w:sz="8" w:space="0"/>
              <w:right w:val="single" w:color="000000" w:sz="8" w:space="0"/>
            </w:tcBorders>
            <w:noWrap w:val="0"/>
            <w:vAlign w:val="center"/>
          </w:tcPr>
          <w:p w14:paraId="04C5FF1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A060807便器冲洗阀</w:t>
            </w:r>
          </w:p>
        </w:tc>
        <w:tc>
          <w:tcPr>
            <w:tcW w:w="1536" w:type="dxa"/>
            <w:tcBorders>
              <w:top w:val="nil"/>
              <w:left w:val="nil"/>
              <w:bottom w:val="single" w:color="000000" w:sz="8" w:space="0"/>
              <w:right w:val="single" w:color="000000" w:sz="8" w:space="0"/>
            </w:tcBorders>
            <w:noWrap w:val="0"/>
            <w:vAlign w:val="center"/>
          </w:tcPr>
          <w:p w14:paraId="1CB789C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1289E08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D77565">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《便器冲洗阀用水效率限定值及用水效率等级》（GB28379）</w:t>
            </w:r>
          </w:p>
        </w:tc>
      </w:tr>
      <w:tr w14:paraId="0EFDC75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EF50BF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18</w:t>
            </w:r>
          </w:p>
        </w:tc>
        <w:tc>
          <w:tcPr>
            <w:tcW w:w="1080" w:type="dxa"/>
            <w:tcBorders>
              <w:top w:val="nil"/>
              <w:left w:val="nil"/>
              <w:bottom w:val="single" w:color="000000" w:sz="8" w:space="0"/>
              <w:right w:val="single" w:color="000000" w:sz="8" w:space="0"/>
            </w:tcBorders>
            <w:noWrap w:val="0"/>
            <w:vAlign w:val="center"/>
          </w:tcPr>
          <w:p w14:paraId="7EB0FD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A060810淋浴器</w:t>
            </w:r>
          </w:p>
        </w:tc>
        <w:tc>
          <w:tcPr>
            <w:tcW w:w="1536" w:type="dxa"/>
            <w:tcBorders>
              <w:top w:val="nil"/>
              <w:left w:val="nil"/>
              <w:bottom w:val="single" w:color="000000" w:sz="8" w:space="0"/>
              <w:right w:val="single" w:color="000000" w:sz="8" w:space="0"/>
            </w:tcBorders>
            <w:noWrap w:val="0"/>
            <w:vAlign w:val="center"/>
          </w:tcPr>
          <w:p w14:paraId="4C4E64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3AF4B56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D27817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《淋浴器用水效率限定值及用水效率等级》（GB28378）</w:t>
            </w:r>
          </w:p>
        </w:tc>
      </w:tr>
    </w:tbl>
    <w:p w14:paraId="6202D784">
      <w:pPr>
        <w:pStyle w:val="12"/>
        <w:shd w:val="clear" w:color="auto" w:fill="FFFFFF"/>
        <w:snapToGrid w:val="0"/>
        <w:spacing w:after="120" w:line="360" w:lineRule="auto"/>
        <w:rPr>
          <w:color w:val="auto"/>
          <w:spacing w:val="-3"/>
          <w:szCs w:val="21"/>
          <w:highlight w:val="none"/>
        </w:rPr>
      </w:pPr>
    </w:p>
    <w:p w14:paraId="75D6124B">
      <w:pPr>
        <w:pStyle w:val="12"/>
        <w:shd w:val="clear" w:color="auto" w:fill="FFFFFF"/>
        <w:snapToGrid w:val="0"/>
        <w:spacing w:after="120" w:line="360" w:lineRule="auto"/>
        <w:rPr>
          <w:rFonts w:hint="eastAsia" w:ascii="宋体" w:hAnsi="宋体" w:cs="宋体"/>
          <w:color w:val="auto"/>
          <w:szCs w:val="21"/>
          <w:highlight w:val="none"/>
        </w:rPr>
      </w:pPr>
      <w:r>
        <w:rPr>
          <w:rFonts w:hint="eastAsia" w:cs="宋体"/>
          <w:color w:val="auto"/>
          <w:spacing w:val="-3"/>
          <w:sz w:val="21"/>
          <w:szCs w:val="21"/>
          <w:highlight w:val="none"/>
          <w:lang w:bidi="ar"/>
        </w:rPr>
        <w:t>注：</w:t>
      </w:r>
      <w:r>
        <w:rPr>
          <w:rFonts w:cs="Calibri"/>
          <w:color w:val="auto"/>
          <w:spacing w:val="-3"/>
          <w:sz w:val="21"/>
          <w:szCs w:val="21"/>
          <w:highlight w:val="none"/>
          <w:lang w:bidi="ar"/>
        </w:rPr>
        <w:t>1.</w:t>
      </w:r>
      <w:r>
        <w:rPr>
          <w:rFonts w:hint="eastAsia" w:cs="宋体"/>
          <w:color w:val="auto"/>
          <w:spacing w:val="-3"/>
          <w:sz w:val="21"/>
          <w:szCs w:val="21"/>
          <w:highlight w:val="none"/>
          <w:lang w:bidi="ar"/>
        </w:rPr>
        <w:t>节能产品认证应依据相关国家标准的最新版本，依据国家标准中二级能效（水效）</w:t>
      </w:r>
      <w:r>
        <w:rPr>
          <w:rFonts w:hint="eastAsia" w:cs="宋体"/>
          <w:color w:val="auto"/>
          <w:sz w:val="21"/>
          <w:szCs w:val="21"/>
          <w:highlight w:val="none"/>
          <w:lang w:bidi="ar"/>
        </w:rPr>
        <w:t>指标。</w:t>
      </w:r>
    </w:p>
    <w:p w14:paraId="69A91D04">
      <w:pPr>
        <w:pStyle w:val="12"/>
        <w:shd w:val="clear" w:color="auto" w:fill="FFFFFF"/>
        <w:snapToGrid w:val="0"/>
        <w:spacing w:after="120" w:line="360" w:lineRule="auto"/>
        <w:rPr>
          <w:b/>
          <w:bCs/>
          <w:color w:val="auto"/>
          <w:szCs w:val="21"/>
          <w:highlight w:val="none"/>
        </w:rPr>
      </w:pPr>
      <w:r>
        <w:rPr>
          <w:rFonts w:hint="eastAsia" w:ascii="宋体" w:hAnsi="宋体" w:cs="宋体"/>
          <w:color w:val="auto"/>
          <w:sz w:val="21"/>
          <w:szCs w:val="21"/>
          <w:highlight w:val="none"/>
          <w:lang w:bidi="ar"/>
        </w:rPr>
        <w:t xml:space="preserve">    </w:t>
      </w:r>
      <w:r>
        <w:rPr>
          <w:rFonts w:cs="Calibri"/>
          <w:color w:val="auto"/>
          <w:sz w:val="21"/>
          <w:szCs w:val="21"/>
          <w:highlight w:val="none"/>
          <w:lang w:bidi="ar"/>
        </w:rPr>
        <w:t>2</w:t>
      </w:r>
      <w:r>
        <w:rPr>
          <w:rFonts w:cs="Calibri"/>
          <w:b/>
          <w:bCs/>
          <w:color w:val="auto"/>
          <w:sz w:val="21"/>
          <w:szCs w:val="21"/>
          <w:highlight w:val="none"/>
          <w:lang w:bidi="ar"/>
        </w:rPr>
        <w:t>.</w:t>
      </w:r>
      <w:r>
        <w:rPr>
          <w:rFonts w:hint="eastAsia" w:cs="宋体"/>
          <w:b/>
          <w:bCs/>
          <w:color w:val="auto"/>
          <w:sz w:val="21"/>
          <w:szCs w:val="21"/>
          <w:highlight w:val="none"/>
          <w:lang w:bidi="ar"/>
        </w:rPr>
        <w:t>以</w:t>
      </w:r>
      <w:r>
        <w:rPr>
          <w:rFonts w:cs="Calibri"/>
          <w:b/>
          <w:bCs/>
          <w:color w:val="auto"/>
          <w:sz w:val="21"/>
          <w:szCs w:val="21"/>
          <w:highlight w:val="none"/>
          <w:lang w:bidi="ar"/>
        </w:rPr>
        <w:t>“</w:t>
      </w:r>
      <w:r>
        <w:rPr>
          <w:rFonts w:hint="eastAsia" w:cs="宋体"/>
          <w:b/>
          <w:bCs/>
          <w:color w:val="auto"/>
          <w:sz w:val="21"/>
          <w:szCs w:val="21"/>
          <w:highlight w:val="none"/>
          <w:lang w:bidi="ar"/>
        </w:rPr>
        <w:t>★</w:t>
      </w:r>
      <w:r>
        <w:rPr>
          <w:rFonts w:cs="Calibri"/>
          <w:b/>
          <w:bCs/>
          <w:color w:val="auto"/>
          <w:sz w:val="21"/>
          <w:szCs w:val="21"/>
          <w:highlight w:val="none"/>
          <w:lang w:bidi="ar"/>
        </w:rPr>
        <w:t>”</w:t>
      </w:r>
      <w:r>
        <w:rPr>
          <w:rFonts w:hint="eastAsia" w:cs="宋体"/>
          <w:b/>
          <w:bCs/>
          <w:color w:val="auto"/>
          <w:sz w:val="21"/>
          <w:szCs w:val="21"/>
          <w:highlight w:val="none"/>
          <w:lang w:bidi="ar"/>
        </w:rPr>
        <w:t>标注的为政府强制采购产品。</w:t>
      </w:r>
    </w:p>
    <w:p w14:paraId="2CB35CCE">
      <w:pPr>
        <w:pStyle w:val="12"/>
        <w:shd w:val="clear" w:color="auto" w:fill="FFFFFF"/>
        <w:snapToGrid w:val="0"/>
        <w:jc w:val="left"/>
        <w:rPr>
          <w:rFonts w:hint="eastAsia" w:ascii="Arial Unicode MS" w:hAnsi="Arial Unicode MS" w:eastAsia="Arial Unicode MS" w:cs="Arial Unicode MS"/>
          <w:color w:val="auto"/>
          <w:sz w:val="32"/>
          <w:szCs w:val="32"/>
          <w:highlight w:val="none"/>
        </w:rPr>
      </w:pPr>
      <w:r>
        <w:rPr>
          <w:rFonts w:hint="eastAsia" w:ascii="宋体" w:hAnsi="宋体" w:cs="Calibri"/>
          <w:color w:val="auto"/>
          <w:sz w:val="21"/>
          <w:szCs w:val="20"/>
          <w:highlight w:val="none"/>
          <w:lang w:bidi="ar"/>
        </w:rPr>
        <w:br w:type="page"/>
      </w:r>
      <w:r>
        <w:rPr>
          <w:rFonts w:hint="eastAsia" w:ascii="宋体" w:hAnsi="宋体" w:cs="宋体"/>
          <w:b/>
          <w:bCs/>
          <w:color w:val="auto"/>
          <w:kern w:val="0"/>
          <w:sz w:val="20"/>
          <w:szCs w:val="20"/>
          <w:highlight w:val="none"/>
          <w:lang w:bidi="ar"/>
        </w:rPr>
        <w:t>附件4：</w:t>
      </w:r>
    </w:p>
    <w:p w14:paraId="44669FFF">
      <w:pPr>
        <w:shd w:val="clear" w:color="auto" w:fill="FFFFFF"/>
        <w:snapToGrid w:val="0"/>
        <w:spacing w:after="120" w:afterLines="50"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lang w:bidi="ar"/>
        </w:rPr>
        <w:t>中小微企业划型标准</w:t>
      </w:r>
    </w:p>
    <w:tbl>
      <w:tblPr>
        <w:tblStyle w:val="13"/>
        <w:tblW w:w="0" w:type="auto"/>
        <w:jc w:val="center"/>
        <w:tblLayout w:type="fixed"/>
        <w:tblCellMar>
          <w:top w:w="0" w:type="dxa"/>
          <w:left w:w="108" w:type="dxa"/>
          <w:bottom w:w="0" w:type="dxa"/>
          <w:right w:w="108" w:type="dxa"/>
        </w:tblCellMar>
      </w:tblPr>
      <w:tblGrid>
        <w:gridCol w:w="1701"/>
        <w:gridCol w:w="1383"/>
        <w:gridCol w:w="913"/>
        <w:gridCol w:w="1619"/>
        <w:gridCol w:w="1439"/>
        <w:gridCol w:w="925"/>
      </w:tblGrid>
      <w:tr w14:paraId="2A42F552">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8EE134A">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行业名称</w:t>
            </w:r>
          </w:p>
        </w:tc>
        <w:tc>
          <w:tcPr>
            <w:tcW w:w="1383" w:type="dxa"/>
            <w:tcBorders>
              <w:top w:val="single" w:color="auto" w:sz="4" w:space="0"/>
              <w:left w:val="nil"/>
              <w:bottom w:val="single" w:color="auto" w:sz="4" w:space="0"/>
              <w:right w:val="single" w:color="auto" w:sz="4" w:space="0"/>
            </w:tcBorders>
            <w:noWrap w:val="0"/>
            <w:vAlign w:val="center"/>
          </w:tcPr>
          <w:p w14:paraId="45928186">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指标名称</w:t>
            </w:r>
          </w:p>
        </w:tc>
        <w:tc>
          <w:tcPr>
            <w:tcW w:w="913" w:type="dxa"/>
            <w:tcBorders>
              <w:top w:val="single" w:color="auto" w:sz="4" w:space="0"/>
              <w:left w:val="nil"/>
              <w:bottom w:val="single" w:color="auto" w:sz="4" w:space="0"/>
              <w:right w:val="single" w:color="auto" w:sz="4" w:space="0"/>
            </w:tcBorders>
            <w:noWrap w:val="0"/>
            <w:vAlign w:val="center"/>
          </w:tcPr>
          <w:p w14:paraId="22D0F51E">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计量单位</w:t>
            </w:r>
          </w:p>
        </w:tc>
        <w:tc>
          <w:tcPr>
            <w:tcW w:w="1619" w:type="dxa"/>
            <w:tcBorders>
              <w:top w:val="single" w:color="auto" w:sz="4" w:space="0"/>
              <w:left w:val="nil"/>
              <w:bottom w:val="single" w:color="auto" w:sz="4" w:space="0"/>
              <w:right w:val="single" w:color="auto" w:sz="4" w:space="0"/>
            </w:tcBorders>
            <w:noWrap w:val="0"/>
            <w:vAlign w:val="center"/>
          </w:tcPr>
          <w:p w14:paraId="4FDED1DD">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中型</w:t>
            </w:r>
          </w:p>
        </w:tc>
        <w:tc>
          <w:tcPr>
            <w:tcW w:w="1439" w:type="dxa"/>
            <w:tcBorders>
              <w:top w:val="single" w:color="auto" w:sz="4" w:space="0"/>
              <w:left w:val="nil"/>
              <w:bottom w:val="single" w:color="auto" w:sz="4" w:space="0"/>
              <w:right w:val="single" w:color="auto" w:sz="4" w:space="0"/>
            </w:tcBorders>
            <w:noWrap w:val="0"/>
            <w:vAlign w:val="center"/>
          </w:tcPr>
          <w:p w14:paraId="2A942F24">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小型</w:t>
            </w:r>
          </w:p>
        </w:tc>
        <w:tc>
          <w:tcPr>
            <w:tcW w:w="925" w:type="dxa"/>
            <w:tcBorders>
              <w:top w:val="single" w:color="auto" w:sz="4" w:space="0"/>
              <w:left w:val="nil"/>
              <w:bottom w:val="single" w:color="auto" w:sz="4" w:space="0"/>
              <w:right w:val="single" w:color="auto" w:sz="4" w:space="0"/>
            </w:tcBorders>
            <w:noWrap w:val="0"/>
            <w:vAlign w:val="center"/>
          </w:tcPr>
          <w:p w14:paraId="02914C8E">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微型</w:t>
            </w:r>
          </w:p>
        </w:tc>
      </w:tr>
      <w:tr w14:paraId="2AA7102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03DC9B1F">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农、林、牧、渔</w:t>
            </w:r>
          </w:p>
        </w:tc>
        <w:tc>
          <w:tcPr>
            <w:tcW w:w="1383" w:type="dxa"/>
            <w:tcBorders>
              <w:top w:val="nil"/>
              <w:left w:val="nil"/>
              <w:bottom w:val="single" w:color="auto" w:sz="4" w:space="0"/>
              <w:right w:val="single" w:color="auto" w:sz="4" w:space="0"/>
            </w:tcBorders>
            <w:noWrap w:val="0"/>
            <w:vAlign w:val="center"/>
          </w:tcPr>
          <w:p w14:paraId="2E285A6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282F904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7A7192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439" w:type="dxa"/>
            <w:tcBorders>
              <w:top w:val="nil"/>
              <w:left w:val="nil"/>
              <w:bottom w:val="single" w:color="auto" w:sz="4" w:space="0"/>
              <w:right w:val="single" w:color="auto" w:sz="4" w:space="0"/>
            </w:tcBorders>
            <w:noWrap w:val="0"/>
            <w:vAlign w:val="center"/>
          </w:tcPr>
          <w:p w14:paraId="557BB5D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50≤Y＜500</w:t>
            </w:r>
          </w:p>
        </w:tc>
        <w:tc>
          <w:tcPr>
            <w:tcW w:w="925" w:type="dxa"/>
            <w:tcBorders>
              <w:top w:val="nil"/>
              <w:left w:val="nil"/>
              <w:bottom w:val="single" w:color="auto" w:sz="4" w:space="0"/>
              <w:right w:val="single" w:color="auto" w:sz="4" w:space="0"/>
            </w:tcBorders>
            <w:noWrap w:val="0"/>
            <w:vAlign w:val="center"/>
          </w:tcPr>
          <w:p w14:paraId="1488E32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0F2824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47EFA4">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工业</w:t>
            </w:r>
          </w:p>
        </w:tc>
        <w:tc>
          <w:tcPr>
            <w:tcW w:w="1383" w:type="dxa"/>
            <w:tcBorders>
              <w:top w:val="nil"/>
              <w:left w:val="nil"/>
              <w:bottom w:val="single" w:color="auto" w:sz="4" w:space="0"/>
              <w:right w:val="single" w:color="auto" w:sz="4" w:space="0"/>
            </w:tcBorders>
            <w:noWrap w:val="0"/>
            <w:vAlign w:val="center"/>
          </w:tcPr>
          <w:p w14:paraId="5331208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52603F4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4C9DD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65AC86D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3B5677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4FC288D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62998D6B">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6D916F6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BE67A9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3005764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2000≤Y＜40000</w:t>
            </w:r>
          </w:p>
        </w:tc>
        <w:tc>
          <w:tcPr>
            <w:tcW w:w="1439" w:type="dxa"/>
            <w:tcBorders>
              <w:top w:val="nil"/>
              <w:left w:val="nil"/>
              <w:bottom w:val="single" w:color="auto" w:sz="4" w:space="0"/>
              <w:right w:val="single" w:color="auto" w:sz="4" w:space="0"/>
            </w:tcBorders>
            <w:noWrap w:val="0"/>
            <w:vAlign w:val="center"/>
          </w:tcPr>
          <w:p w14:paraId="64601E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300≤Y＜2000</w:t>
            </w:r>
          </w:p>
        </w:tc>
        <w:tc>
          <w:tcPr>
            <w:tcW w:w="925" w:type="dxa"/>
            <w:tcBorders>
              <w:top w:val="nil"/>
              <w:left w:val="nil"/>
              <w:bottom w:val="single" w:color="auto" w:sz="4" w:space="0"/>
              <w:right w:val="single" w:color="auto" w:sz="4" w:space="0"/>
            </w:tcBorders>
            <w:noWrap w:val="0"/>
            <w:vAlign w:val="center"/>
          </w:tcPr>
          <w:p w14:paraId="44F2798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08C0F60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FAF76CE">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建筑业</w:t>
            </w:r>
          </w:p>
        </w:tc>
        <w:tc>
          <w:tcPr>
            <w:tcW w:w="1383" w:type="dxa"/>
            <w:tcBorders>
              <w:top w:val="nil"/>
              <w:left w:val="nil"/>
              <w:bottom w:val="single" w:color="auto" w:sz="4" w:space="0"/>
              <w:right w:val="single" w:color="auto" w:sz="4" w:space="0"/>
            </w:tcBorders>
            <w:noWrap w:val="0"/>
            <w:vAlign w:val="center"/>
          </w:tcPr>
          <w:p w14:paraId="7788BE1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D2AAD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C474D7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6000≤Y＜80000</w:t>
            </w:r>
          </w:p>
        </w:tc>
        <w:tc>
          <w:tcPr>
            <w:tcW w:w="1439" w:type="dxa"/>
            <w:tcBorders>
              <w:top w:val="nil"/>
              <w:left w:val="nil"/>
              <w:bottom w:val="single" w:color="auto" w:sz="4" w:space="0"/>
              <w:right w:val="single" w:color="auto" w:sz="4" w:space="0"/>
            </w:tcBorders>
            <w:noWrap w:val="0"/>
            <w:vAlign w:val="center"/>
          </w:tcPr>
          <w:p w14:paraId="3B81787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300≤Y＜6000</w:t>
            </w:r>
          </w:p>
        </w:tc>
        <w:tc>
          <w:tcPr>
            <w:tcW w:w="925" w:type="dxa"/>
            <w:tcBorders>
              <w:top w:val="nil"/>
              <w:left w:val="nil"/>
              <w:bottom w:val="single" w:color="auto" w:sz="4" w:space="0"/>
              <w:right w:val="single" w:color="auto" w:sz="4" w:space="0"/>
            </w:tcBorders>
            <w:noWrap w:val="0"/>
            <w:vAlign w:val="center"/>
          </w:tcPr>
          <w:p w14:paraId="688A00B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7F74D45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ADDC60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5B4B1B1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5FEFF9F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28A88C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5000≤Z＜80000</w:t>
            </w:r>
          </w:p>
        </w:tc>
        <w:tc>
          <w:tcPr>
            <w:tcW w:w="1439" w:type="dxa"/>
            <w:tcBorders>
              <w:top w:val="nil"/>
              <w:left w:val="nil"/>
              <w:bottom w:val="single" w:color="auto" w:sz="4" w:space="0"/>
              <w:right w:val="single" w:color="auto" w:sz="4" w:space="0"/>
            </w:tcBorders>
            <w:noWrap w:val="0"/>
            <w:vAlign w:val="center"/>
          </w:tcPr>
          <w:p w14:paraId="7AB79A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300≤Z＜5000</w:t>
            </w:r>
          </w:p>
        </w:tc>
        <w:tc>
          <w:tcPr>
            <w:tcW w:w="925" w:type="dxa"/>
            <w:tcBorders>
              <w:top w:val="nil"/>
              <w:left w:val="nil"/>
              <w:bottom w:val="single" w:color="auto" w:sz="4" w:space="0"/>
              <w:right w:val="single" w:color="auto" w:sz="4" w:space="0"/>
            </w:tcBorders>
            <w:noWrap w:val="0"/>
            <w:vAlign w:val="center"/>
          </w:tcPr>
          <w:p w14:paraId="7241451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Z＜300</w:t>
            </w:r>
          </w:p>
        </w:tc>
      </w:tr>
      <w:tr w14:paraId="4A3F63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865B1E9">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批发业</w:t>
            </w:r>
          </w:p>
        </w:tc>
        <w:tc>
          <w:tcPr>
            <w:tcW w:w="1383" w:type="dxa"/>
            <w:tcBorders>
              <w:top w:val="nil"/>
              <w:left w:val="nil"/>
              <w:bottom w:val="single" w:color="auto" w:sz="4" w:space="0"/>
              <w:right w:val="single" w:color="auto" w:sz="4" w:space="0"/>
            </w:tcBorders>
            <w:noWrap w:val="0"/>
            <w:vAlign w:val="center"/>
          </w:tcPr>
          <w:p w14:paraId="6D7458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46D5A20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17B42C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20≤X＜200</w:t>
            </w:r>
          </w:p>
        </w:tc>
        <w:tc>
          <w:tcPr>
            <w:tcW w:w="1439" w:type="dxa"/>
            <w:tcBorders>
              <w:top w:val="nil"/>
              <w:left w:val="nil"/>
              <w:bottom w:val="single" w:color="auto" w:sz="4" w:space="0"/>
              <w:right w:val="single" w:color="auto" w:sz="4" w:space="0"/>
            </w:tcBorders>
            <w:noWrap w:val="0"/>
            <w:vAlign w:val="center"/>
          </w:tcPr>
          <w:p w14:paraId="1D24A7B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5≤X＜20</w:t>
            </w:r>
          </w:p>
        </w:tc>
        <w:tc>
          <w:tcPr>
            <w:tcW w:w="925" w:type="dxa"/>
            <w:tcBorders>
              <w:top w:val="nil"/>
              <w:left w:val="nil"/>
              <w:bottom w:val="single" w:color="auto" w:sz="4" w:space="0"/>
              <w:right w:val="single" w:color="auto" w:sz="4" w:space="0"/>
            </w:tcBorders>
            <w:noWrap w:val="0"/>
            <w:vAlign w:val="center"/>
          </w:tcPr>
          <w:p w14:paraId="6BDA45E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A236E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57D046B9">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F5C54E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C50D1A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4F099A8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5000≤Y＜40000</w:t>
            </w:r>
          </w:p>
        </w:tc>
        <w:tc>
          <w:tcPr>
            <w:tcW w:w="1439" w:type="dxa"/>
            <w:tcBorders>
              <w:top w:val="nil"/>
              <w:left w:val="nil"/>
              <w:bottom w:val="single" w:color="auto" w:sz="4" w:space="0"/>
              <w:right w:val="single" w:color="auto" w:sz="4" w:space="0"/>
            </w:tcBorders>
            <w:noWrap w:val="0"/>
            <w:vAlign w:val="center"/>
          </w:tcPr>
          <w:p w14:paraId="6824DA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925" w:type="dxa"/>
            <w:tcBorders>
              <w:top w:val="nil"/>
              <w:left w:val="nil"/>
              <w:bottom w:val="single" w:color="auto" w:sz="4" w:space="0"/>
              <w:right w:val="single" w:color="auto" w:sz="4" w:space="0"/>
            </w:tcBorders>
            <w:noWrap w:val="0"/>
            <w:vAlign w:val="center"/>
          </w:tcPr>
          <w:p w14:paraId="2D08A59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Y＜1000</w:t>
            </w:r>
          </w:p>
        </w:tc>
      </w:tr>
      <w:tr w14:paraId="15EF08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99E2DD5">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零售业</w:t>
            </w:r>
          </w:p>
        </w:tc>
        <w:tc>
          <w:tcPr>
            <w:tcW w:w="1383" w:type="dxa"/>
            <w:tcBorders>
              <w:top w:val="nil"/>
              <w:left w:val="nil"/>
              <w:bottom w:val="single" w:color="auto" w:sz="4" w:space="0"/>
              <w:right w:val="single" w:color="auto" w:sz="4" w:space="0"/>
            </w:tcBorders>
            <w:noWrap w:val="0"/>
            <w:vAlign w:val="center"/>
          </w:tcPr>
          <w:p w14:paraId="132D5E1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28D5FCB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B922BC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50≤X＜300</w:t>
            </w:r>
          </w:p>
        </w:tc>
        <w:tc>
          <w:tcPr>
            <w:tcW w:w="1439" w:type="dxa"/>
            <w:tcBorders>
              <w:top w:val="nil"/>
              <w:left w:val="nil"/>
              <w:bottom w:val="single" w:color="auto" w:sz="4" w:space="0"/>
              <w:right w:val="single" w:color="auto" w:sz="4" w:space="0"/>
            </w:tcBorders>
            <w:noWrap w:val="0"/>
            <w:vAlign w:val="center"/>
          </w:tcPr>
          <w:p w14:paraId="46FFAE8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10≤X＜50</w:t>
            </w:r>
          </w:p>
        </w:tc>
        <w:tc>
          <w:tcPr>
            <w:tcW w:w="925" w:type="dxa"/>
            <w:tcBorders>
              <w:top w:val="nil"/>
              <w:left w:val="nil"/>
              <w:bottom w:val="single" w:color="auto" w:sz="4" w:space="0"/>
              <w:right w:val="single" w:color="auto" w:sz="4" w:space="0"/>
            </w:tcBorders>
            <w:noWrap w:val="0"/>
            <w:vAlign w:val="center"/>
          </w:tcPr>
          <w:p w14:paraId="40D0023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20B376A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B66D0DD">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1B62827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61ACDAA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4E5FA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439" w:type="dxa"/>
            <w:tcBorders>
              <w:top w:val="nil"/>
              <w:left w:val="nil"/>
              <w:bottom w:val="single" w:color="auto" w:sz="4" w:space="0"/>
              <w:right w:val="single" w:color="auto" w:sz="4" w:space="0"/>
            </w:tcBorders>
            <w:noWrap w:val="0"/>
            <w:vAlign w:val="center"/>
          </w:tcPr>
          <w:p w14:paraId="4718065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100≤Y＜500</w:t>
            </w:r>
          </w:p>
        </w:tc>
        <w:tc>
          <w:tcPr>
            <w:tcW w:w="925" w:type="dxa"/>
            <w:tcBorders>
              <w:top w:val="nil"/>
              <w:left w:val="nil"/>
              <w:bottom w:val="single" w:color="auto" w:sz="4" w:space="0"/>
              <w:right w:val="single" w:color="auto" w:sz="4" w:space="0"/>
            </w:tcBorders>
            <w:noWrap w:val="0"/>
            <w:vAlign w:val="center"/>
          </w:tcPr>
          <w:p w14:paraId="123876F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140F547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31E7777">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交通运输业</w:t>
            </w:r>
          </w:p>
        </w:tc>
        <w:tc>
          <w:tcPr>
            <w:tcW w:w="1383" w:type="dxa"/>
            <w:tcBorders>
              <w:top w:val="nil"/>
              <w:left w:val="nil"/>
              <w:bottom w:val="single" w:color="auto" w:sz="4" w:space="0"/>
              <w:right w:val="single" w:color="auto" w:sz="4" w:space="0"/>
            </w:tcBorders>
            <w:noWrap w:val="0"/>
            <w:vAlign w:val="center"/>
          </w:tcPr>
          <w:p w14:paraId="5954E8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99E0D7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24FA4C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7A8DDC2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649C65D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687B859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939A81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29AC42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D845F8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C8DD6A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3000≤Y＜30000</w:t>
            </w:r>
          </w:p>
        </w:tc>
        <w:tc>
          <w:tcPr>
            <w:tcW w:w="1439" w:type="dxa"/>
            <w:tcBorders>
              <w:top w:val="nil"/>
              <w:left w:val="nil"/>
              <w:bottom w:val="single" w:color="auto" w:sz="4" w:space="0"/>
              <w:right w:val="single" w:color="auto" w:sz="4" w:space="0"/>
            </w:tcBorders>
            <w:noWrap w:val="0"/>
            <w:vAlign w:val="center"/>
          </w:tcPr>
          <w:p w14:paraId="6AD4D54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200≤Y＜3000</w:t>
            </w:r>
          </w:p>
        </w:tc>
        <w:tc>
          <w:tcPr>
            <w:tcW w:w="925" w:type="dxa"/>
            <w:tcBorders>
              <w:top w:val="nil"/>
              <w:left w:val="nil"/>
              <w:bottom w:val="single" w:color="auto" w:sz="4" w:space="0"/>
              <w:right w:val="single" w:color="auto" w:sz="4" w:space="0"/>
            </w:tcBorders>
            <w:noWrap w:val="0"/>
            <w:vAlign w:val="center"/>
          </w:tcPr>
          <w:p w14:paraId="43A3F3B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w:t>
            </w:r>
          </w:p>
        </w:tc>
      </w:tr>
      <w:tr w14:paraId="10F98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E2C6D68">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仓储业</w:t>
            </w:r>
          </w:p>
        </w:tc>
        <w:tc>
          <w:tcPr>
            <w:tcW w:w="1383" w:type="dxa"/>
            <w:tcBorders>
              <w:top w:val="nil"/>
              <w:left w:val="nil"/>
              <w:bottom w:val="single" w:color="auto" w:sz="4" w:space="0"/>
              <w:right w:val="single" w:color="auto" w:sz="4" w:space="0"/>
            </w:tcBorders>
            <w:noWrap w:val="0"/>
            <w:vAlign w:val="center"/>
          </w:tcPr>
          <w:p w14:paraId="22318C3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D72B8F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9A8867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w:t>
            </w:r>
          </w:p>
        </w:tc>
        <w:tc>
          <w:tcPr>
            <w:tcW w:w="1439" w:type="dxa"/>
            <w:tcBorders>
              <w:top w:val="nil"/>
              <w:left w:val="nil"/>
              <w:bottom w:val="single" w:color="auto" w:sz="4" w:space="0"/>
              <w:right w:val="single" w:color="auto" w:sz="4" w:space="0"/>
            </w:tcBorders>
            <w:noWrap w:val="0"/>
            <w:vAlign w:val="center"/>
          </w:tcPr>
          <w:p w14:paraId="032D84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20≤X＜100</w:t>
            </w:r>
          </w:p>
        </w:tc>
        <w:tc>
          <w:tcPr>
            <w:tcW w:w="925" w:type="dxa"/>
            <w:tcBorders>
              <w:top w:val="nil"/>
              <w:left w:val="nil"/>
              <w:bottom w:val="single" w:color="auto" w:sz="4" w:space="0"/>
              <w:right w:val="single" w:color="auto" w:sz="4" w:space="0"/>
            </w:tcBorders>
            <w:noWrap w:val="0"/>
            <w:vAlign w:val="center"/>
          </w:tcPr>
          <w:p w14:paraId="2C17449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32B5B5E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2AD43B07">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117E138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3DE0A10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77E82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1000≤Y＜30000</w:t>
            </w:r>
          </w:p>
        </w:tc>
        <w:tc>
          <w:tcPr>
            <w:tcW w:w="1439" w:type="dxa"/>
            <w:tcBorders>
              <w:top w:val="nil"/>
              <w:left w:val="nil"/>
              <w:bottom w:val="single" w:color="auto" w:sz="4" w:space="0"/>
              <w:right w:val="single" w:color="auto" w:sz="4" w:space="0"/>
            </w:tcBorders>
            <w:noWrap w:val="0"/>
            <w:vAlign w:val="center"/>
          </w:tcPr>
          <w:p w14:paraId="2EB595C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noWrap w:val="0"/>
            <w:vAlign w:val="center"/>
          </w:tcPr>
          <w:p w14:paraId="5F1023D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7475B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F1AC608">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邮政业</w:t>
            </w:r>
          </w:p>
        </w:tc>
        <w:tc>
          <w:tcPr>
            <w:tcW w:w="1383" w:type="dxa"/>
            <w:tcBorders>
              <w:top w:val="nil"/>
              <w:left w:val="nil"/>
              <w:bottom w:val="single" w:color="auto" w:sz="4" w:space="0"/>
              <w:right w:val="single" w:color="auto" w:sz="4" w:space="0"/>
            </w:tcBorders>
            <w:noWrap w:val="0"/>
            <w:vAlign w:val="center"/>
          </w:tcPr>
          <w:p w14:paraId="222151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0F93DF8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592499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795D65E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30F186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77B97C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5110EF0C">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47E185A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7586E56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65F2B04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2000≤Y＜30000</w:t>
            </w:r>
          </w:p>
        </w:tc>
        <w:tc>
          <w:tcPr>
            <w:tcW w:w="1439" w:type="dxa"/>
            <w:tcBorders>
              <w:top w:val="nil"/>
              <w:left w:val="nil"/>
              <w:bottom w:val="single" w:color="auto" w:sz="4" w:space="0"/>
              <w:right w:val="single" w:color="auto" w:sz="4" w:space="0"/>
            </w:tcBorders>
            <w:noWrap w:val="0"/>
            <w:vAlign w:val="center"/>
          </w:tcPr>
          <w:p w14:paraId="5C2EF23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6852823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03AEA86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E70249C">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住宿业</w:t>
            </w:r>
          </w:p>
        </w:tc>
        <w:tc>
          <w:tcPr>
            <w:tcW w:w="1383" w:type="dxa"/>
            <w:tcBorders>
              <w:top w:val="nil"/>
              <w:left w:val="nil"/>
              <w:bottom w:val="single" w:color="auto" w:sz="4" w:space="0"/>
              <w:right w:val="single" w:color="auto" w:sz="4" w:space="0"/>
            </w:tcBorders>
            <w:noWrap w:val="0"/>
            <w:vAlign w:val="center"/>
          </w:tcPr>
          <w:p w14:paraId="724850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A97455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DE1CE0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8F310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27A4417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15BAD2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15317A4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68BA07D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425E91E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28F9C50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439" w:type="dxa"/>
            <w:tcBorders>
              <w:top w:val="nil"/>
              <w:left w:val="nil"/>
              <w:bottom w:val="single" w:color="auto" w:sz="4" w:space="0"/>
              <w:right w:val="single" w:color="auto" w:sz="4" w:space="0"/>
            </w:tcBorders>
            <w:noWrap w:val="0"/>
            <w:vAlign w:val="center"/>
          </w:tcPr>
          <w:p w14:paraId="7551BB2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188FDCD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6A04A5D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8E93BD6">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餐饮业</w:t>
            </w:r>
          </w:p>
        </w:tc>
        <w:tc>
          <w:tcPr>
            <w:tcW w:w="1383" w:type="dxa"/>
            <w:tcBorders>
              <w:top w:val="nil"/>
              <w:left w:val="nil"/>
              <w:bottom w:val="single" w:color="auto" w:sz="4" w:space="0"/>
              <w:right w:val="single" w:color="auto" w:sz="4" w:space="0"/>
            </w:tcBorders>
            <w:noWrap w:val="0"/>
            <w:vAlign w:val="center"/>
          </w:tcPr>
          <w:p w14:paraId="1F8C387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1E52356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1B7DCF7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2FE2FD2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BDA0C3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6BAB65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853FF4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872F3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36FA40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13CCEA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439" w:type="dxa"/>
            <w:tcBorders>
              <w:top w:val="nil"/>
              <w:left w:val="nil"/>
              <w:bottom w:val="single" w:color="auto" w:sz="4" w:space="0"/>
              <w:right w:val="single" w:color="auto" w:sz="4" w:space="0"/>
            </w:tcBorders>
            <w:noWrap w:val="0"/>
            <w:vAlign w:val="center"/>
          </w:tcPr>
          <w:p w14:paraId="3E0BE8F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27A8193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137361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710BDF7">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信息传输业</w:t>
            </w:r>
          </w:p>
        </w:tc>
        <w:tc>
          <w:tcPr>
            <w:tcW w:w="1383" w:type="dxa"/>
            <w:tcBorders>
              <w:top w:val="nil"/>
              <w:left w:val="nil"/>
              <w:bottom w:val="single" w:color="auto" w:sz="4" w:space="0"/>
              <w:right w:val="single" w:color="auto" w:sz="4" w:space="0"/>
            </w:tcBorders>
            <w:noWrap w:val="0"/>
            <w:vAlign w:val="center"/>
          </w:tcPr>
          <w:p w14:paraId="334AFAC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1764205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313638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100≤X＜2000</w:t>
            </w:r>
          </w:p>
        </w:tc>
        <w:tc>
          <w:tcPr>
            <w:tcW w:w="1439" w:type="dxa"/>
            <w:tcBorders>
              <w:top w:val="nil"/>
              <w:left w:val="nil"/>
              <w:bottom w:val="single" w:color="auto" w:sz="4" w:space="0"/>
              <w:right w:val="single" w:color="auto" w:sz="4" w:space="0"/>
            </w:tcBorders>
            <w:noWrap w:val="0"/>
            <w:vAlign w:val="center"/>
          </w:tcPr>
          <w:p w14:paraId="3C288FC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AD3BB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7BBDFE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518D167">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58FDC08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540C21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4995EDA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1000≤Y＜100000</w:t>
            </w:r>
          </w:p>
        </w:tc>
        <w:tc>
          <w:tcPr>
            <w:tcW w:w="1439" w:type="dxa"/>
            <w:tcBorders>
              <w:top w:val="nil"/>
              <w:left w:val="nil"/>
              <w:bottom w:val="single" w:color="auto" w:sz="4" w:space="0"/>
              <w:right w:val="single" w:color="auto" w:sz="4" w:space="0"/>
            </w:tcBorders>
            <w:noWrap w:val="0"/>
            <w:vAlign w:val="center"/>
          </w:tcPr>
          <w:p w14:paraId="21F59D9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noWrap w:val="0"/>
            <w:vAlign w:val="center"/>
          </w:tcPr>
          <w:p w14:paraId="2F647C8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994F7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03D5E0">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软件和信息技术服务业</w:t>
            </w:r>
          </w:p>
        </w:tc>
        <w:tc>
          <w:tcPr>
            <w:tcW w:w="1383" w:type="dxa"/>
            <w:tcBorders>
              <w:top w:val="nil"/>
              <w:left w:val="nil"/>
              <w:bottom w:val="single" w:color="auto" w:sz="4" w:space="0"/>
              <w:right w:val="single" w:color="auto" w:sz="4" w:space="0"/>
            </w:tcBorders>
            <w:noWrap w:val="0"/>
            <w:vAlign w:val="center"/>
          </w:tcPr>
          <w:p w14:paraId="3C112D1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5BBE27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D4FE3E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6A16B79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E0F520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6C9F423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6B0F8DC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E4072D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A2F380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707713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w:t>
            </w:r>
          </w:p>
        </w:tc>
        <w:tc>
          <w:tcPr>
            <w:tcW w:w="1439" w:type="dxa"/>
            <w:tcBorders>
              <w:top w:val="nil"/>
              <w:left w:val="nil"/>
              <w:bottom w:val="single" w:color="auto" w:sz="4" w:space="0"/>
              <w:right w:val="single" w:color="auto" w:sz="4" w:space="0"/>
            </w:tcBorders>
            <w:noWrap w:val="0"/>
            <w:vAlign w:val="center"/>
          </w:tcPr>
          <w:p w14:paraId="65FFB98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50≤Y＜1000</w:t>
            </w:r>
          </w:p>
        </w:tc>
        <w:tc>
          <w:tcPr>
            <w:tcW w:w="925" w:type="dxa"/>
            <w:tcBorders>
              <w:top w:val="nil"/>
              <w:left w:val="nil"/>
              <w:bottom w:val="single" w:color="auto" w:sz="4" w:space="0"/>
              <w:right w:val="single" w:color="auto" w:sz="4" w:space="0"/>
            </w:tcBorders>
            <w:noWrap w:val="0"/>
            <w:vAlign w:val="center"/>
          </w:tcPr>
          <w:p w14:paraId="119F9C1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37DC549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C1FF45F">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房地产开发经营</w:t>
            </w:r>
          </w:p>
        </w:tc>
        <w:tc>
          <w:tcPr>
            <w:tcW w:w="1383" w:type="dxa"/>
            <w:tcBorders>
              <w:top w:val="nil"/>
              <w:left w:val="nil"/>
              <w:bottom w:val="single" w:color="auto" w:sz="4" w:space="0"/>
              <w:right w:val="single" w:color="auto" w:sz="4" w:space="0"/>
            </w:tcBorders>
            <w:noWrap w:val="0"/>
            <w:vAlign w:val="center"/>
          </w:tcPr>
          <w:p w14:paraId="4B0108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75F626F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2BEDAEA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1000≤Y＜200000</w:t>
            </w:r>
          </w:p>
        </w:tc>
        <w:tc>
          <w:tcPr>
            <w:tcW w:w="1439" w:type="dxa"/>
            <w:tcBorders>
              <w:top w:val="nil"/>
              <w:left w:val="nil"/>
              <w:bottom w:val="single" w:color="auto" w:sz="4" w:space="0"/>
              <w:right w:val="single" w:color="auto" w:sz="4" w:space="0"/>
            </w:tcBorders>
            <w:noWrap w:val="0"/>
            <w:vAlign w:val="center"/>
          </w:tcPr>
          <w:p w14:paraId="5C81A5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100≤X＜1000</w:t>
            </w:r>
          </w:p>
        </w:tc>
        <w:tc>
          <w:tcPr>
            <w:tcW w:w="925" w:type="dxa"/>
            <w:tcBorders>
              <w:top w:val="nil"/>
              <w:left w:val="nil"/>
              <w:bottom w:val="single" w:color="auto" w:sz="4" w:space="0"/>
              <w:right w:val="single" w:color="auto" w:sz="4" w:space="0"/>
            </w:tcBorders>
            <w:noWrap w:val="0"/>
            <w:vAlign w:val="center"/>
          </w:tcPr>
          <w:p w14:paraId="6E4865E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61F4D58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1604C03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CF4426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07E72C2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568793E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5000≤Z＜10000</w:t>
            </w:r>
          </w:p>
        </w:tc>
        <w:tc>
          <w:tcPr>
            <w:tcW w:w="1439" w:type="dxa"/>
            <w:tcBorders>
              <w:top w:val="nil"/>
              <w:left w:val="nil"/>
              <w:bottom w:val="single" w:color="auto" w:sz="4" w:space="0"/>
              <w:right w:val="single" w:color="auto" w:sz="4" w:space="0"/>
            </w:tcBorders>
            <w:noWrap w:val="0"/>
            <w:vAlign w:val="center"/>
          </w:tcPr>
          <w:p w14:paraId="38B0B39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2000≤Y＜5000</w:t>
            </w:r>
          </w:p>
        </w:tc>
        <w:tc>
          <w:tcPr>
            <w:tcW w:w="925" w:type="dxa"/>
            <w:tcBorders>
              <w:top w:val="nil"/>
              <w:left w:val="nil"/>
              <w:bottom w:val="single" w:color="auto" w:sz="4" w:space="0"/>
              <w:right w:val="single" w:color="auto" w:sz="4" w:space="0"/>
            </w:tcBorders>
            <w:noWrap w:val="0"/>
            <w:vAlign w:val="center"/>
          </w:tcPr>
          <w:p w14:paraId="1514932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Y＜2000</w:t>
            </w:r>
          </w:p>
        </w:tc>
      </w:tr>
      <w:tr w14:paraId="490A70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36E4FD">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物业管理</w:t>
            </w:r>
          </w:p>
        </w:tc>
        <w:tc>
          <w:tcPr>
            <w:tcW w:w="1383" w:type="dxa"/>
            <w:tcBorders>
              <w:top w:val="nil"/>
              <w:left w:val="nil"/>
              <w:bottom w:val="single" w:color="auto" w:sz="4" w:space="0"/>
              <w:right w:val="single" w:color="auto" w:sz="4" w:space="0"/>
            </w:tcBorders>
            <w:noWrap w:val="0"/>
            <w:vAlign w:val="center"/>
          </w:tcPr>
          <w:p w14:paraId="4D323E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317A7C7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1491EF6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08B6095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925" w:type="dxa"/>
            <w:tcBorders>
              <w:top w:val="nil"/>
              <w:left w:val="nil"/>
              <w:bottom w:val="single" w:color="auto" w:sz="4" w:space="0"/>
              <w:right w:val="single" w:color="auto" w:sz="4" w:space="0"/>
            </w:tcBorders>
            <w:noWrap w:val="0"/>
            <w:vAlign w:val="center"/>
          </w:tcPr>
          <w:p w14:paraId="3C9BBB5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3C5AA8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F38B65A">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048B30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5072F16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3769DA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1439" w:type="dxa"/>
            <w:tcBorders>
              <w:top w:val="nil"/>
              <w:left w:val="nil"/>
              <w:bottom w:val="single" w:color="auto" w:sz="4" w:space="0"/>
              <w:right w:val="single" w:color="auto" w:sz="4" w:space="0"/>
            </w:tcBorders>
            <w:noWrap w:val="0"/>
            <w:vAlign w:val="center"/>
          </w:tcPr>
          <w:p w14:paraId="3B6756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500≤Y＜1000</w:t>
            </w:r>
          </w:p>
        </w:tc>
        <w:tc>
          <w:tcPr>
            <w:tcW w:w="925" w:type="dxa"/>
            <w:tcBorders>
              <w:top w:val="nil"/>
              <w:left w:val="nil"/>
              <w:bottom w:val="single" w:color="auto" w:sz="4" w:space="0"/>
              <w:right w:val="single" w:color="auto" w:sz="4" w:space="0"/>
            </w:tcBorders>
            <w:noWrap w:val="0"/>
            <w:vAlign w:val="center"/>
          </w:tcPr>
          <w:p w14:paraId="41BF576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Y＜500</w:t>
            </w:r>
          </w:p>
        </w:tc>
      </w:tr>
      <w:tr w14:paraId="63F2DE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75B9305">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租赁和商务服务业</w:t>
            </w:r>
          </w:p>
        </w:tc>
        <w:tc>
          <w:tcPr>
            <w:tcW w:w="1383" w:type="dxa"/>
            <w:tcBorders>
              <w:top w:val="nil"/>
              <w:left w:val="nil"/>
              <w:bottom w:val="single" w:color="auto" w:sz="4" w:space="0"/>
              <w:right w:val="single" w:color="auto" w:sz="4" w:space="0"/>
            </w:tcBorders>
            <w:noWrap w:val="0"/>
            <w:vAlign w:val="center"/>
          </w:tcPr>
          <w:p w14:paraId="38D13D4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0D5EB00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791343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B4CEC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1231ABA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5978BA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8C1592B">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793FDA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06C2FA1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2F0F89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8000≤Z＜120000</w:t>
            </w:r>
          </w:p>
        </w:tc>
        <w:tc>
          <w:tcPr>
            <w:tcW w:w="1439" w:type="dxa"/>
            <w:tcBorders>
              <w:top w:val="nil"/>
              <w:left w:val="nil"/>
              <w:bottom w:val="single" w:color="auto" w:sz="4" w:space="0"/>
              <w:right w:val="single" w:color="auto" w:sz="4" w:space="0"/>
            </w:tcBorders>
            <w:noWrap w:val="0"/>
            <w:vAlign w:val="center"/>
          </w:tcPr>
          <w:p w14:paraId="40094EC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100≤Z＜8000</w:t>
            </w:r>
          </w:p>
        </w:tc>
        <w:tc>
          <w:tcPr>
            <w:tcW w:w="925" w:type="dxa"/>
            <w:tcBorders>
              <w:top w:val="nil"/>
              <w:left w:val="nil"/>
              <w:bottom w:val="single" w:color="auto" w:sz="4" w:space="0"/>
              <w:right w:val="single" w:color="auto" w:sz="4" w:space="0"/>
            </w:tcBorders>
            <w:noWrap w:val="0"/>
            <w:vAlign w:val="center"/>
          </w:tcPr>
          <w:p w14:paraId="01AE35C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65CD845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378ABD5D">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其他未列明行业</w:t>
            </w:r>
          </w:p>
        </w:tc>
        <w:tc>
          <w:tcPr>
            <w:tcW w:w="1383" w:type="dxa"/>
            <w:tcBorders>
              <w:top w:val="nil"/>
              <w:left w:val="nil"/>
              <w:bottom w:val="single" w:color="auto" w:sz="4" w:space="0"/>
              <w:right w:val="single" w:color="auto" w:sz="4" w:space="0"/>
            </w:tcBorders>
            <w:noWrap w:val="0"/>
            <w:vAlign w:val="center"/>
          </w:tcPr>
          <w:p w14:paraId="1BFBD80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38315D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3A933C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E4DA97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657F3C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bl>
    <w:p w14:paraId="1816459C">
      <w:pPr>
        <w:shd w:val="clear" w:color="auto" w:fill="FFFFFF"/>
        <w:snapToGrid w:val="0"/>
        <w:spacing w:line="360" w:lineRule="auto"/>
        <w:ind w:firstLine="525" w:firstLineChars="250"/>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1780BD3E">
      <w:pPr>
        <w:shd w:val="clear" w:color="auto" w:fill="FFFFFF"/>
        <w:snapToGrid w:val="0"/>
        <w:spacing w:line="360" w:lineRule="auto"/>
        <w:rPr>
          <w:color w:val="auto"/>
          <w:highlight w:val="none"/>
        </w:rPr>
      </w:pPr>
    </w:p>
    <w:p w14:paraId="04D62E4E">
      <w:pPr>
        <w:shd w:val="clear" w:color="auto" w:fill="FFFFFF"/>
        <w:snapToGrid w:val="0"/>
        <w:spacing w:line="360" w:lineRule="auto"/>
        <w:ind w:firstLine="525" w:firstLineChars="250"/>
        <w:rPr>
          <w:rFonts w:hint="eastAsia" w:ascii="仿宋_GB2312" w:hAnsi="仿宋" w:eastAsia="仿宋_GB2312" w:cs="仿宋_GB2312"/>
          <w:color w:val="auto"/>
          <w:szCs w:val="21"/>
          <w:highlight w:val="none"/>
        </w:rPr>
      </w:pPr>
    </w:p>
    <w:p w14:paraId="44944AA6">
      <w:pPr>
        <w:jc w:val="center"/>
        <w:outlineLvl w:val="0"/>
        <w:rPr>
          <w:rFonts w:hint="eastAsia" w:ascii="宋体" w:hAnsi="宋体"/>
          <w:b/>
          <w:color w:val="auto"/>
          <w:sz w:val="36"/>
          <w:szCs w:val="36"/>
          <w:highlight w:val="none"/>
        </w:rPr>
      </w:pPr>
      <w:r>
        <w:rPr>
          <w:rFonts w:ascii="仿宋_GB2312" w:hAnsi="仿宋" w:eastAsia="仿宋_GB2312"/>
          <w:color w:val="auto"/>
          <w:szCs w:val="21"/>
          <w:highlight w:val="none"/>
        </w:rPr>
        <w:br w:type="page"/>
      </w:r>
      <w:bookmarkEnd w:id="0"/>
      <w:bookmarkEnd w:id="3"/>
      <w:bookmarkStart w:id="4" w:name="_Toc27946"/>
      <w:bookmarkStart w:id="5" w:name="_Toc532545044"/>
      <w:r>
        <w:rPr>
          <w:rFonts w:hint="eastAsia"/>
          <w:b/>
          <w:color w:val="auto"/>
          <w:sz w:val="36"/>
          <w:szCs w:val="20"/>
          <w:highlight w:val="none"/>
        </w:rPr>
        <w:t>第三章  投标人须知</w:t>
      </w:r>
      <w:bookmarkEnd w:id="4"/>
      <w:bookmarkEnd w:id="5"/>
    </w:p>
    <w:p w14:paraId="0DCC9793">
      <w:pPr>
        <w:spacing w:line="360" w:lineRule="auto"/>
        <w:jc w:val="center"/>
        <w:outlineLvl w:val="1"/>
        <w:rPr>
          <w:rFonts w:hint="eastAsia"/>
          <w:b/>
          <w:color w:val="auto"/>
          <w:sz w:val="30"/>
          <w:szCs w:val="30"/>
          <w:highlight w:val="none"/>
        </w:rPr>
      </w:pPr>
      <w:bookmarkStart w:id="6" w:name="_Toc2600"/>
      <w:r>
        <w:rPr>
          <w:rFonts w:hint="eastAsia"/>
          <w:b/>
          <w:color w:val="auto"/>
          <w:sz w:val="30"/>
          <w:szCs w:val="30"/>
          <w:highlight w:val="none"/>
        </w:rPr>
        <w:t>第一节 投标人须知前附表</w:t>
      </w:r>
      <w:bookmarkEnd w:id="6"/>
    </w:p>
    <w:tbl>
      <w:tblPr>
        <w:tblStyle w:val="13"/>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7C7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D0A2C22">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3690D5">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884B3E">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2C46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4BBFC18">
            <w:pPr>
              <w:spacing w:line="400" w:lineRule="exact"/>
              <w:rPr>
                <w:rFonts w:hint="eastAsia" w:ascii="宋体" w:hAnsi="宋体" w:cs="宋体"/>
                <w:color w:val="auto"/>
                <w:szCs w:val="21"/>
                <w:highlight w:val="none"/>
              </w:rPr>
            </w:pPr>
            <w:r>
              <w:rPr>
                <w:rFonts w:ascii="宋体" w:hAnsi="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10ACF8">
            <w:pPr>
              <w:spacing w:line="400" w:lineRule="exact"/>
              <w:rPr>
                <w:rFonts w:hint="eastAsia" w:ascii="宋体" w:hAnsi="宋体" w:cs="宋体"/>
                <w:color w:val="auto"/>
                <w:szCs w:val="21"/>
                <w:highlight w:val="none"/>
              </w:rPr>
            </w:pPr>
            <w:r>
              <w:rPr>
                <w:rFonts w:ascii="宋体" w:hAnsi="宋体"/>
                <w:color w:val="auto"/>
                <w:szCs w:val="21"/>
                <w:highlight w:val="none"/>
              </w:rPr>
              <w:t>投标人资格要求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032287">
            <w:pPr>
              <w:spacing w:line="400" w:lineRule="exact"/>
              <w:jc w:val="left"/>
              <w:rPr>
                <w:rFonts w:hint="eastAsia" w:ascii="宋体" w:hAnsi="宋体" w:cs="宋体"/>
                <w:color w:val="auto"/>
                <w:szCs w:val="21"/>
                <w:highlight w:val="none"/>
              </w:rPr>
            </w:pPr>
            <w:r>
              <w:rPr>
                <w:rFonts w:ascii="宋体" w:hAnsi="宋体"/>
                <w:color w:val="auto"/>
                <w:szCs w:val="21"/>
                <w:highlight w:val="none"/>
              </w:rPr>
              <w:t>详见招标公告</w:t>
            </w:r>
          </w:p>
        </w:tc>
      </w:tr>
      <w:tr w14:paraId="122EF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A47988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EAF313">
            <w:pPr>
              <w:spacing w:line="400" w:lineRule="exact"/>
              <w:rPr>
                <w:rFonts w:hint="eastAsia" w:ascii="宋体" w:hAnsi="宋体" w:cs="宋体"/>
                <w:color w:val="auto"/>
                <w:szCs w:val="21"/>
                <w:highlight w:val="none"/>
              </w:rPr>
            </w:pPr>
            <w:bookmarkStart w:id="7" w:name="_9.2"/>
            <w:bookmarkEnd w:id="7"/>
            <w:bookmarkStart w:id="8" w:name="_5"/>
            <w:bookmarkEnd w:id="8"/>
            <w:bookmarkStart w:id="9" w:name="_8.1"/>
            <w:bookmarkEnd w:id="9"/>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708EA19">
            <w:pPr>
              <w:spacing w:line="400" w:lineRule="exact"/>
              <w:jc w:val="left"/>
              <w:rPr>
                <w:rFonts w:hint="eastAsia" w:ascii="宋体" w:hAnsi="宋体" w:cs="宋体"/>
                <w:color w:val="auto"/>
                <w:szCs w:val="21"/>
                <w:highlight w:val="none"/>
              </w:rPr>
            </w:pPr>
            <w:r>
              <w:rPr>
                <w:rFonts w:ascii="宋体" w:hAnsi="宋体"/>
                <w:color w:val="auto"/>
                <w:szCs w:val="21"/>
                <w:highlight w:val="none"/>
              </w:rPr>
              <w:t>详见招标公告</w:t>
            </w:r>
          </w:p>
        </w:tc>
      </w:tr>
      <w:tr w14:paraId="50A7A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601D8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A3D2A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14266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1.两个以上投标人可以组成一个投标联合体，以一个投标人的身份共同参加投标。联合体投标的，须提供《联合体投标协议书》（格式后附）及《中小企业声明函》。</w:t>
            </w:r>
          </w:p>
          <w:p w14:paraId="38D5C16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8ED265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43A8BB1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428F434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F580B9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6.联合体投标业绩、履约能力联合体任意一方提供均认可，评分标准另有规定的，按评分标准要求执行。</w:t>
            </w:r>
          </w:p>
          <w:p w14:paraId="0C3D883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F841EC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0BA3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94A6B6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890F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51064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不允许转包/分包</w:t>
            </w:r>
          </w:p>
        </w:tc>
      </w:tr>
      <w:tr w14:paraId="0A6C1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FC728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0693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7E7D6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545AA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7F31D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2E22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6022D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不组织召开开标前答疑会</w:t>
            </w:r>
          </w:p>
        </w:tc>
      </w:tr>
      <w:tr w14:paraId="55387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0"/>
            <w:vAlign w:val="center"/>
          </w:tcPr>
          <w:p w14:paraId="5E53C2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70D548">
            <w:pPr>
              <w:snapToGrid w:val="0"/>
              <w:spacing w:line="400" w:lineRule="exact"/>
              <w:jc w:val="left"/>
              <w:rPr>
                <w:rFonts w:hint="eastAsia" w:ascii="宋体" w:hAnsi="宋体" w:cs="宋体"/>
                <w:color w:val="auto"/>
                <w:szCs w:val="21"/>
                <w:highlight w:val="none"/>
              </w:rPr>
            </w:pPr>
            <w:bookmarkStart w:id="10" w:name="_13.2"/>
            <w:bookmarkEnd w:id="10"/>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9F161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投标人为法人或者其他组织的，提供营业执照等证明文件（如营业执照或者事业单位法人证书或者</w:t>
            </w:r>
            <w:r>
              <w:rPr>
                <w:rFonts w:hint="eastAsia" w:ascii="宋体" w:hAnsi="宋体" w:cs="宋体"/>
                <w:color w:val="auto"/>
                <w:szCs w:val="21"/>
                <w:highlight w:val="none"/>
                <w:lang w:val="zh-CN" w:bidi="zh-CN"/>
              </w:rPr>
              <w:t>执业许可证</w:t>
            </w:r>
            <w:r>
              <w:rPr>
                <w:rFonts w:hint="eastAsia" w:ascii="宋体" w:hAnsi="宋体" w:cs="宋体"/>
                <w:color w:val="auto"/>
                <w:szCs w:val="21"/>
                <w:highlight w:val="none"/>
              </w:rPr>
              <w:t>等），投标人为自然人的，提供身份证复印件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C3709D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供应商依法缴纳税收的相关材料[</w:t>
            </w:r>
            <w:r>
              <w:rPr>
                <w:rFonts w:hint="eastAsia" w:ascii="宋体" w:hAnsi="宋体" w:cs="宋体"/>
                <w:color w:val="auto"/>
                <w:kern w:val="0"/>
                <w:szCs w:val="21"/>
                <w:highlight w:val="none"/>
              </w:rPr>
              <w:t>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w:t>
            </w:r>
            <w:r>
              <w:rPr>
                <w:rFonts w:hint="eastAsia" w:ascii="宋体" w:hAnsi="宋体" w:cs="宋体"/>
                <w:color w:val="auto"/>
                <w:szCs w:val="21"/>
                <w:highlight w:val="none"/>
              </w:rPr>
              <w:t>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636D4B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投标人依法缴纳社会保障资金的相关材料[</w:t>
            </w:r>
            <w:r>
              <w:rPr>
                <w:rFonts w:hint="eastAsia" w:ascii="宋体" w:hAnsi="宋体" w:cs="宋体"/>
                <w:color w:val="auto"/>
                <w:kern w:val="0"/>
                <w:szCs w:val="21"/>
                <w:highlight w:val="none"/>
              </w:rPr>
              <w:t>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w:t>
            </w:r>
            <w:r>
              <w:rPr>
                <w:rFonts w:hint="eastAsia" w:ascii="宋体" w:hAnsi="宋体" w:cs="宋体"/>
                <w:color w:val="auto"/>
                <w:szCs w:val="21"/>
                <w:highlight w:val="none"/>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16FD36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投标人财务状况报告：[202</w:t>
            </w:r>
            <w:r>
              <w:rPr>
                <w:rFonts w:ascii="宋体" w:hAnsi="宋体" w:cs="宋体"/>
                <w:color w:val="auto"/>
                <w:szCs w:val="21"/>
                <w:highlight w:val="none"/>
              </w:rPr>
              <w:t>4</w:t>
            </w:r>
            <w:r>
              <w:rPr>
                <w:rFonts w:hint="eastAsia" w:ascii="宋体" w:hAnsi="宋体" w:cs="宋体"/>
                <w:color w:val="auto"/>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32B131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投标人直接控股股东信息表；（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11120FE">
            <w:pPr>
              <w:snapToGrid w:val="0"/>
              <w:spacing w:line="40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投标人直接管理关系信息表；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97529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FE802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val="en-US" w:eastAsia="zh-CN"/>
              </w:rPr>
              <w:t>.</w:t>
            </w:r>
            <w:r>
              <w:rPr>
                <w:rFonts w:hint="eastAsia" w:ascii="宋体" w:hAnsi="宋体"/>
                <w:color w:val="auto"/>
                <w:szCs w:val="21"/>
                <w:highlight w:val="none"/>
              </w:rPr>
              <w:t>中小企业声明函（投标人提供《残疾人福利性单位声明函》或提供由省级以上监狱管理局、戒毒管理局（含新疆生产建设兵团）出具的属于监狱企业证明文件的，视同为小型和微型企业）；</w:t>
            </w:r>
            <w:r>
              <w:rPr>
                <w:rFonts w:hint="eastAsia" w:ascii="宋体" w:hAnsi="宋体"/>
                <w:b/>
                <w:bCs/>
                <w:color w:val="auto"/>
                <w:szCs w:val="21"/>
                <w:highlight w:val="none"/>
              </w:rPr>
              <w:t>（必须提供，否则作无效投标处理）</w:t>
            </w:r>
          </w:p>
          <w:p w14:paraId="222F1B06">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w:t>
            </w:r>
            <w:r>
              <w:rPr>
                <w:rFonts w:hint="eastAsia" w:ascii="宋体" w:hAnsi="宋体"/>
                <w:color w:val="auto"/>
                <w:szCs w:val="21"/>
                <w:highlight w:val="none"/>
              </w:rPr>
              <w:t>联合体协议书</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联合体投标时必须提供，否则作无效投标处理</w:t>
            </w:r>
            <w:r>
              <w:rPr>
                <w:rFonts w:hint="eastAsia" w:ascii="宋体" w:hAnsi="宋体"/>
                <w:color w:val="auto"/>
                <w:szCs w:val="21"/>
                <w:highlight w:val="none"/>
              </w:rPr>
              <w:t>）</w:t>
            </w:r>
          </w:p>
          <w:p w14:paraId="408AF231">
            <w:pPr>
              <w:adjustRightInd w:val="0"/>
              <w:spacing w:line="420" w:lineRule="atLeast"/>
              <w:jc w:val="left"/>
              <w:textAlignment w:val="baseline"/>
              <w:rPr>
                <w:rFonts w:hint="eastAsia" w:ascii="宋体" w:hAnsi="宋体" w:cs="宋体"/>
                <w:b/>
                <w:bCs/>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投标人认为需要提供的其他证明材料。</w:t>
            </w:r>
          </w:p>
          <w:p w14:paraId="323D6AF2">
            <w:pPr>
              <w:snapToGrid w:val="0"/>
              <w:spacing w:line="380" w:lineRule="exact"/>
              <w:jc w:val="left"/>
              <w:rPr>
                <w:rFonts w:ascii="宋体" w:hAnsi="宋体" w:cs="Courier New"/>
                <w:b/>
                <w:color w:val="auto"/>
                <w:szCs w:val="21"/>
                <w:highlight w:val="none"/>
              </w:rPr>
            </w:pPr>
            <w:r>
              <w:rPr>
                <w:rFonts w:hint="eastAsia" w:ascii="宋体" w:hAnsi="宋体" w:cs="宋体"/>
                <w:b/>
                <w:bCs/>
                <w:color w:val="auto"/>
                <w:szCs w:val="21"/>
                <w:highlight w:val="none"/>
              </w:rPr>
              <w:t>注：</w:t>
            </w:r>
            <w:r>
              <w:rPr>
                <w:rFonts w:ascii="宋体" w:hAnsi="宋体" w:cs="Courier New"/>
                <w:b/>
                <w:color w:val="auto"/>
                <w:szCs w:val="21"/>
                <w:highlight w:val="none"/>
              </w:rPr>
              <w:t>1.</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ascii="宋体" w:hAnsi="宋体" w:cs="Courier New"/>
                <w:b/>
                <w:color w:val="auto"/>
                <w:szCs w:val="21"/>
                <w:highlight w:val="none"/>
              </w:rPr>
              <w:t>。</w:t>
            </w:r>
          </w:p>
          <w:p w14:paraId="4A720993">
            <w:pPr>
              <w:snapToGrid w:val="0"/>
              <w:spacing w:line="380" w:lineRule="exact"/>
              <w:ind w:firstLine="422"/>
              <w:jc w:val="left"/>
              <w:rPr>
                <w:rFonts w:hint="eastAsia" w:ascii="宋体" w:hAnsi="宋体" w:cs="宋体"/>
                <w:b/>
                <w:bCs/>
                <w:color w:val="auto"/>
                <w:szCs w:val="21"/>
                <w:highlight w:val="none"/>
              </w:rPr>
            </w:pPr>
            <w:r>
              <w:rPr>
                <w:rFonts w:ascii="宋体" w:hAnsi="宋体" w:cs="Courier New"/>
                <w:b/>
                <w:bCs w:val="0"/>
                <w:color w:val="auto"/>
                <w:szCs w:val="21"/>
                <w:highlight w:val="none"/>
                <w:u w:val="none"/>
              </w:rPr>
              <w:t>2.联合体投标时，第1-</w:t>
            </w:r>
            <w:r>
              <w:rPr>
                <w:rFonts w:hint="eastAsia" w:ascii="宋体" w:hAnsi="宋体" w:cs="Courier New"/>
                <w:b/>
                <w:bCs w:val="0"/>
                <w:color w:val="auto"/>
                <w:szCs w:val="21"/>
                <w:highlight w:val="none"/>
                <w:u w:val="none"/>
                <w:lang w:val="en-US" w:eastAsia="zh-CN"/>
              </w:rPr>
              <w:t>6</w:t>
            </w:r>
            <w:r>
              <w:rPr>
                <w:rFonts w:ascii="宋体" w:hAnsi="宋体" w:cs="Courier New"/>
                <w:b/>
                <w:bCs w:val="0"/>
                <w:color w:val="auto"/>
                <w:szCs w:val="21"/>
                <w:highlight w:val="none"/>
                <w:u w:val="none"/>
              </w:rPr>
              <w:t>项资格证明文件联合体各方均必须分别提供，</w:t>
            </w:r>
            <w:r>
              <w:rPr>
                <w:rFonts w:hint="eastAsia" w:ascii="宋体" w:hAnsi="宋体" w:cs="Courier New"/>
                <w:b/>
                <w:bCs w:val="0"/>
                <w:color w:val="auto"/>
                <w:szCs w:val="21"/>
                <w:highlight w:val="none"/>
                <w:u w:val="none"/>
              </w:rPr>
              <w:t>联合体各方</w:t>
            </w:r>
            <w:r>
              <w:rPr>
                <w:rFonts w:hint="eastAsia" w:ascii="宋体" w:hAnsi="宋体" w:cs="Courier New"/>
                <w:b/>
                <w:bCs w:val="0"/>
                <w:color w:val="auto"/>
                <w:szCs w:val="21"/>
                <w:highlight w:val="none"/>
                <w:u w:val="none"/>
                <w:lang w:val="en-US" w:eastAsia="zh-CN"/>
              </w:rPr>
              <w:t>分别盖章和签字，否则投标文件按无效响应处理</w:t>
            </w:r>
            <w:r>
              <w:rPr>
                <w:rFonts w:ascii="宋体" w:hAnsi="宋体" w:cs="Courier New"/>
                <w:b/>
                <w:bCs w:val="0"/>
                <w:color w:val="auto"/>
                <w:szCs w:val="21"/>
                <w:highlight w:val="none"/>
                <w:u w:val="none"/>
              </w:rPr>
              <w:t>。</w:t>
            </w:r>
          </w:p>
        </w:tc>
      </w:tr>
      <w:tr w14:paraId="66B7B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0"/>
            <w:vAlign w:val="center"/>
          </w:tcPr>
          <w:p w14:paraId="56D902A9">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998450">
            <w:pPr>
              <w:snapToGrid w:val="0"/>
              <w:spacing w:line="400" w:lineRule="exact"/>
              <w:jc w:val="left"/>
              <w:rPr>
                <w:rFonts w:hint="eastAsia" w:ascii="宋体" w:hAnsi="宋体" w:cs="宋体"/>
                <w:color w:val="auto"/>
                <w:szCs w:val="21"/>
                <w:highlight w:val="none"/>
              </w:rPr>
            </w:pPr>
            <w:bookmarkStart w:id="11" w:name="_13.3"/>
            <w:bookmarkEnd w:id="11"/>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3B98D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646C28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18A826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7122F053">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4EB7762">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投标人情况介绍；</w:t>
            </w:r>
          </w:p>
          <w:p w14:paraId="26D975D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除招标文件规定必须提供以外，投标人认为需要提供的其他证明材料。（投标人根据“第二章 采购需求”及“第四章 评标方法及评标标准”提供有关证明材料）。</w:t>
            </w:r>
          </w:p>
          <w:p w14:paraId="777488DF">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0E872E3A">
            <w:pPr>
              <w:snapToGrid w:val="0"/>
              <w:spacing w:line="400" w:lineRule="exact"/>
              <w:ind w:firstLine="632" w:firstLineChars="300"/>
              <w:jc w:val="left"/>
              <w:rPr>
                <w:rFonts w:hint="eastAsia"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275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noWrap w:val="0"/>
            <w:vAlign w:val="center"/>
          </w:tcPr>
          <w:p w14:paraId="14A0E96F">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E1F9D0">
            <w:pPr>
              <w:snapToGrid w:val="0"/>
              <w:spacing w:line="400" w:lineRule="exact"/>
              <w:jc w:val="left"/>
              <w:rPr>
                <w:rFonts w:hint="eastAsia" w:ascii="宋体" w:hAnsi="宋体" w:cs="宋体"/>
                <w:color w:val="auto"/>
                <w:szCs w:val="21"/>
                <w:highlight w:val="none"/>
              </w:rPr>
            </w:pPr>
            <w:bookmarkStart w:id="12" w:name="_13.4"/>
            <w:bookmarkEnd w:id="12"/>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8AC8AC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服务参数偏离表；（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C4A636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服务方案；</w:t>
            </w:r>
          </w:p>
          <w:p w14:paraId="45C443E8">
            <w:pPr>
              <w:snapToGrid w:val="0"/>
              <w:spacing w:line="400" w:lineRule="exact"/>
              <w:jc w:val="left"/>
              <w:rPr>
                <w:rFonts w:hint="eastAsia" w:ascii="宋体" w:hAnsi="宋体" w:cs="宋体"/>
                <w:bCs/>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szCs w:val="21"/>
                <w:highlight w:val="none"/>
              </w:rPr>
              <w:t>除招标文件规定必须提供以外，投标人需要说明的其他文件和说明。</w:t>
            </w:r>
          </w:p>
          <w:p w14:paraId="17B642F6">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CC19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2155314F">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00BB0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6392A3">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投标函；</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p>
          <w:p w14:paraId="244964C0">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开标一览表；（</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6AD7DF78">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分项报价明细表；（</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4E609521">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投标人认为需要提供的其他文件和说明。</w:t>
            </w:r>
          </w:p>
          <w:p w14:paraId="6F8FD858">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D3A7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3C86F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432870">
            <w:pPr>
              <w:spacing w:line="400" w:lineRule="exact"/>
              <w:rPr>
                <w:rFonts w:hint="eastAsia" w:ascii="宋体" w:hAnsi="宋体" w:cs="宋体"/>
                <w:color w:val="auto"/>
                <w:szCs w:val="21"/>
                <w:highlight w:val="none"/>
              </w:rPr>
            </w:pPr>
            <w:bookmarkStart w:id="13" w:name="_16.2"/>
            <w:bookmarkEnd w:id="13"/>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E9A919">
            <w:pPr>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如有）的价格；包含投标服务、伴随的货物和工程的成本、税费等所有费用。（采购需求另有约定的，从其约定）</w:t>
            </w:r>
          </w:p>
        </w:tc>
      </w:tr>
      <w:tr w14:paraId="7772C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FE806D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ED3812">
            <w:pPr>
              <w:spacing w:line="400" w:lineRule="exact"/>
              <w:rPr>
                <w:rFonts w:hint="eastAsia" w:ascii="宋体" w:hAnsi="宋体" w:cs="宋体"/>
                <w:color w:val="auto"/>
                <w:szCs w:val="21"/>
                <w:highlight w:val="none"/>
              </w:rPr>
            </w:pPr>
            <w:bookmarkStart w:id="14" w:name="_17.1"/>
            <w:bookmarkEnd w:id="14"/>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55FFE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w:t>
            </w:r>
          </w:p>
        </w:tc>
      </w:tr>
      <w:tr w14:paraId="4EFA4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9D377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8C33CA">
            <w:pPr>
              <w:spacing w:line="400" w:lineRule="exact"/>
              <w:rPr>
                <w:rFonts w:hint="eastAsia" w:ascii="宋体" w:hAnsi="宋体" w:cs="宋体"/>
                <w:color w:val="auto"/>
                <w:szCs w:val="21"/>
                <w:highlight w:val="none"/>
              </w:rPr>
            </w:pPr>
            <w:bookmarkStart w:id="15" w:name="_18"/>
            <w:bookmarkEnd w:id="15"/>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4399B4">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1D7B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0C063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5B9EC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046BC27">
            <w:pPr>
              <w:spacing w:line="400" w:lineRule="exact"/>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ascii="宋体" w:hAnsi="宋体"/>
                <w:bCs/>
                <w:color w:val="auto"/>
                <w:szCs w:val="21"/>
                <w:highlight w:val="none"/>
                <w:u w:val="single"/>
              </w:rPr>
              <w:t>（注：按照本招标文件“第六章 投标文件格式”编写，第六章未附格式的，由投标人自行拟定。）</w:t>
            </w:r>
          </w:p>
        </w:tc>
      </w:tr>
      <w:tr w14:paraId="5DF96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B1109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98E0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25C68F">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55A81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5F6ACB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FC3CE2">
            <w:pPr>
              <w:spacing w:line="400" w:lineRule="exact"/>
              <w:rPr>
                <w:rFonts w:hint="eastAsia" w:ascii="宋体" w:hAnsi="宋体" w:cs="宋体"/>
                <w:color w:val="auto"/>
                <w:szCs w:val="21"/>
                <w:highlight w:val="none"/>
              </w:rPr>
            </w:pPr>
            <w:bookmarkStart w:id="16" w:name="_21.1"/>
            <w:bookmarkEnd w:id="16"/>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CE01EE">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FD31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07A39901">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5C545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3F4B3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5FEC3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3C58011A">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1F317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AFAB5D">
            <w:pPr>
              <w:snapToGrid w:val="0"/>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无</w:t>
            </w:r>
          </w:p>
        </w:tc>
      </w:tr>
      <w:tr w14:paraId="149E2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1F516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54A60F">
            <w:pPr>
              <w:spacing w:line="400" w:lineRule="exact"/>
              <w:rPr>
                <w:rFonts w:hint="eastAsia" w:ascii="宋体" w:hAnsi="宋体" w:cs="宋体"/>
                <w:color w:val="auto"/>
                <w:szCs w:val="21"/>
                <w:highlight w:val="none"/>
              </w:rPr>
            </w:pPr>
            <w:bookmarkStart w:id="17" w:name="_23"/>
            <w:bookmarkEnd w:id="17"/>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AB9DE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1B643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7F06E9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25.3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13DE8A">
            <w:pPr>
              <w:spacing w:line="400" w:lineRule="exact"/>
              <w:rPr>
                <w:rFonts w:hint="eastAsia" w:ascii="宋体" w:hAnsi="宋体" w:cs="宋体"/>
                <w:color w:val="auto"/>
                <w:szCs w:val="21"/>
                <w:highlight w:val="none"/>
              </w:rPr>
            </w:pPr>
            <w:bookmarkStart w:id="18" w:name="_25.3"/>
            <w:bookmarkEnd w:id="18"/>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4033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9342A3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40D5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5F8D48CE">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CD1CD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548E0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3B949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6898E4C9">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C4FC9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8A186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在查询网站中直接查询记录，截图或打印作为附件保存。</w:t>
            </w:r>
          </w:p>
        </w:tc>
      </w:tr>
      <w:tr w14:paraId="0019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26F9996A">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93898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4CD6F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重大税收违法失信主体）、政府采购严重违法失信行为记录名单及其他不符合《中华人民共和国政府采购法》第二十二条规定条件的供应商，</w:t>
            </w:r>
            <w:r>
              <w:rPr>
                <w:rFonts w:hint="eastAsia" w:ascii="宋体" w:hAnsi="宋体" w:cs="宋体"/>
                <w:b/>
                <w:bCs/>
                <w:color w:val="auto"/>
                <w:szCs w:val="21"/>
                <w:highlight w:val="none"/>
              </w:rPr>
              <w:t>采购人或者采购代理机构应当拒绝其参与政府采购活动。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EBC8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83A81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FBC9B9B">
            <w:pPr>
              <w:spacing w:line="400" w:lineRule="exact"/>
              <w:rPr>
                <w:rFonts w:hint="eastAsia" w:ascii="宋体" w:hAnsi="宋体" w:cs="宋体"/>
                <w:color w:val="auto"/>
                <w:szCs w:val="21"/>
                <w:highlight w:val="none"/>
              </w:rPr>
            </w:pPr>
            <w:bookmarkStart w:id="19" w:name="_26"/>
            <w:bookmarkEnd w:id="19"/>
            <w:bookmarkStart w:id="20" w:name="_28.3"/>
            <w:bookmarkEnd w:id="20"/>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E57806">
            <w:pPr>
              <w:autoSpaceDE w:val="0"/>
              <w:autoSpaceDN w:val="0"/>
              <w:snapToGrid w:val="0"/>
              <w:spacing w:line="400" w:lineRule="exact"/>
              <w:rPr>
                <w:rFonts w:hint="eastAsia" w:ascii="宋体" w:hAnsi="宋体" w:cs="宋体"/>
                <w:color w:val="auto"/>
                <w:szCs w:val="21"/>
                <w:highlight w:val="none"/>
              </w:rPr>
            </w:pPr>
            <w:bookmarkStart w:id="21" w:name="PO_3000001867_PM051"/>
            <w:r>
              <w:rPr>
                <w:rFonts w:hint="eastAsia" w:ascii="宋体" w:hAnsi="宋体" w:cs="宋体"/>
                <w:color w:val="auto"/>
                <w:szCs w:val="21"/>
                <w:highlight w:val="none"/>
              </w:rPr>
              <w:t xml:space="preserve"> </w:t>
            </w:r>
            <w:bookmarkEnd w:id="21"/>
            <w:bookmarkStart w:id="22" w:name="PO_TDCUS_ITEM_SM_TABLE_4"/>
            <w:r>
              <w:rPr>
                <w:rFonts w:hint="eastAsia" w:ascii="宋体" w:hAnsi="宋体" w:cs="宋体"/>
                <w:color w:val="auto"/>
                <w:szCs w:val="21"/>
                <w:highlight w:val="none"/>
              </w:rPr>
              <w:t>综合评分法</w:t>
            </w:r>
            <w:bookmarkEnd w:id="22"/>
          </w:p>
        </w:tc>
      </w:tr>
      <w:tr w14:paraId="43F0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right w:val="single" w:color="auto" w:sz="4" w:space="0"/>
            </w:tcBorders>
            <w:noWrap w:val="0"/>
            <w:vAlign w:val="center"/>
          </w:tcPr>
          <w:p w14:paraId="401037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right w:val="single" w:color="auto" w:sz="4" w:space="0"/>
            </w:tcBorders>
            <w:noWrap w:val="0"/>
            <w:vAlign w:val="center"/>
          </w:tcPr>
          <w:p w14:paraId="0593FE88">
            <w:pPr>
              <w:spacing w:line="400" w:lineRule="exact"/>
              <w:rPr>
                <w:rFonts w:hint="eastAsia" w:ascii="宋体" w:hAnsi="宋体" w:cs="宋体"/>
                <w:b/>
                <w:bCs/>
                <w:color w:val="auto"/>
                <w:szCs w:val="21"/>
                <w:highlight w:val="none"/>
              </w:rPr>
            </w:pPr>
            <w:bookmarkStart w:id="23" w:name="_29.2.2（2）"/>
            <w:bookmarkEnd w:id="23"/>
            <w:r>
              <w:rPr>
                <w:rFonts w:hint="eastAsia" w:ascii="宋体" w:hAnsi="宋体" w:cs="宋体"/>
                <w:b/>
                <w:bCs/>
                <w:color w:val="auto"/>
                <w:szCs w:val="21"/>
                <w:highlight w:val="none"/>
              </w:rPr>
              <w:t>允许负偏离项</w:t>
            </w:r>
          </w:p>
        </w:tc>
        <w:tc>
          <w:tcPr>
            <w:tcW w:w="7297" w:type="dxa"/>
            <w:tcBorders>
              <w:top w:val="single" w:color="auto" w:sz="4" w:space="0"/>
              <w:left w:val="single" w:color="auto" w:sz="4" w:space="0"/>
              <w:right w:val="single" w:color="auto" w:sz="4" w:space="0"/>
            </w:tcBorders>
            <w:noWrap w:val="0"/>
            <w:vAlign w:val="center"/>
          </w:tcPr>
          <w:p w14:paraId="2FD9F0C6">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6AFDF8B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技术评审中允许负偏离的条款数为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tc>
      </w:tr>
      <w:tr w14:paraId="2408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1F33C8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DF9C3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0C88D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AB37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0B79A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AE5C54">
            <w:pPr>
              <w:spacing w:line="400" w:lineRule="exact"/>
              <w:rPr>
                <w:rFonts w:hint="eastAsia" w:ascii="宋体" w:hAnsi="宋体" w:cs="宋体"/>
                <w:color w:val="auto"/>
                <w:szCs w:val="21"/>
                <w:highlight w:val="none"/>
              </w:rPr>
            </w:pPr>
            <w:bookmarkStart w:id="24" w:name="_39.1"/>
            <w:bookmarkEnd w:id="24"/>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6DF8E7F0">
            <w:pPr>
              <w:autoSpaceDE w:val="0"/>
              <w:autoSpaceDN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4F8AE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D7E3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36FB43">
            <w:pPr>
              <w:spacing w:line="400" w:lineRule="exact"/>
              <w:rPr>
                <w:rFonts w:hint="eastAsia" w:ascii="宋体" w:hAnsi="宋体" w:cs="宋体"/>
                <w:color w:val="auto"/>
                <w:szCs w:val="21"/>
                <w:highlight w:val="none"/>
              </w:rPr>
            </w:pPr>
            <w:bookmarkStart w:id="25" w:name="_40.1"/>
            <w:bookmarkEnd w:id="25"/>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C0A77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w:t>
            </w:r>
          </w:p>
        </w:tc>
      </w:tr>
      <w:tr w14:paraId="0CDD4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5FF3BD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3CF5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31D1D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B0E2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0CBDAB88">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83C46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89D19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（1）天勤工程咨询有限公司</w:t>
            </w:r>
          </w:p>
          <w:p w14:paraId="37FFD90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联系电话：0771-5784126</w:t>
            </w:r>
          </w:p>
          <w:p w14:paraId="2E3800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通讯地址：南宁市民族大道157号财富国际广场3号楼2501</w:t>
            </w:r>
          </w:p>
          <w:p w14:paraId="5E626BE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（2）南宁市武鸣区农业农村局</w:t>
            </w:r>
          </w:p>
          <w:p w14:paraId="4DEA256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kern w:val="0"/>
                <w:szCs w:val="21"/>
                <w:highlight w:val="none"/>
              </w:rPr>
              <w:t>0771-6212463</w:t>
            </w:r>
          </w:p>
          <w:p w14:paraId="6E93348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武鸣区城厢镇灵源路112号</w:t>
            </w:r>
          </w:p>
        </w:tc>
      </w:tr>
      <w:tr w14:paraId="3C5E2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13C8F406">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4EEC1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506D0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22BD9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bottom w:val="single" w:color="auto" w:sz="4" w:space="0"/>
              <w:right w:val="single" w:color="auto" w:sz="4" w:space="0"/>
            </w:tcBorders>
            <w:noWrap w:val="0"/>
            <w:vAlign w:val="center"/>
          </w:tcPr>
          <w:p w14:paraId="0B05C6C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B1DD7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751EB4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B45EE2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2、通讯地址：</w:t>
            </w:r>
          </w:p>
          <w:p w14:paraId="6369D648">
            <w:pPr>
              <w:snapToGrid w:val="0"/>
              <w:spacing w:line="380" w:lineRule="exact"/>
              <w:rPr>
                <w:rFonts w:hint="eastAsia" w:ascii="宋体" w:hAnsi="宋体" w:cs="宋体"/>
                <w:color w:val="auto"/>
                <w:highlight w:val="none"/>
              </w:rPr>
            </w:pPr>
            <w:r>
              <w:rPr>
                <w:rFonts w:hint="eastAsia" w:ascii="宋体" w:hAnsi="宋体" w:cs="宋体"/>
                <w:color w:val="auto"/>
                <w:highlight w:val="none"/>
              </w:rPr>
              <w:t xml:space="preserve">名称：南宁市武鸣区财政局  </w:t>
            </w:r>
          </w:p>
          <w:p w14:paraId="74A7ADC6">
            <w:pPr>
              <w:snapToGrid w:val="0"/>
              <w:spacing w:line="380" w:lineRule="exact"/>
              <w:rPr>
                <w:rFonts w:hint="eastAsia" w:ascii="宋体" w:hAnsi="宋体" w:cs="宋体"/>
                <w:color w:val="auto"/>
                <w:highlight w:val="none"/>
              </w:rPr>
            </w:pPr>
            <w:r>
              <w:rPr>
                <w:rFonts w:hint="eastAsia" w:ascii="宋体" w:hAnsi="宋体" w:cs="宋体"/>
                <w:color w:val="auto"/>
                <w:highlight w:val="none"/>
              </w:rPr>
              <w:t xml:space="preserve">地址：南宁市武鸣区起凤路3号  </w:t>
            </w:r>
          </w:p>
          <w:p w14:paraId="35698D14">
            <w:pPr>
              <w:snapToGrid w:val="0"/>
              <w:spacing w:line="400" w:lineRule="exact"/>
              <w:rPr>
                <w:rFonts w:hint="eastAsia" w:ascii="宋体" w:hAnsi="宋体" w:cs="宋体"/>
                <w:color w:val="auto"/>
                <w:szCs w:val="21"/>
                <w:highlight w:val="none"/>
              </w:rPr>
            </w:pPr>
            <w:r>
              <w:rPr>
                <w:rFonts w:hint="eastAsia" w:ascii="宋体" w:hAnsi="宋体" w:cs="宋体"/>
                <w:color w:val="auto"/>
                <w:highlight w:val="none"/>
              </w:rPr>
              <w:t>联系电话：0771-6098853</w:t>
            </w:r>
          </w:p>
        </w:tc>
      </w:tr>
      <w:tr w14:paraId="4CCDB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35D5833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E2D3AC">
            <w:pPr>
              <w:spacing w:line="400" w:lineRule="exact"/>
              <w:rPr>
                <w:rFonts w:hint="eastAsia" w:ascii="宋体" w:hAnsi="宋体" w:cs="宋体"/>
                <w:color w:val="auto"/>
                <w:szCs w:val="21"/>
                <w:highlight w:val="none"/>
              </w:rPr>
            </w:pPr>
            <w:bookmarkStart w:id="26" w:name="_42"/>
            <w:bookmarkEnd w:id="26"/>
            <w:bookmarkStart w:id="27" w:name="_41"/>
            <w:bookmarkEnd w:id="27"/>
            <w:r>
              <w:rPr>
                <w:rFonts w:hint="eastAsia" w:ascii="宋体" w:hAnsi="宋体" w:cs="宋体"/>
                <w:color w:val="auto"/>
                <w:szCs w:val="21"/>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2821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本项目代理服务费由</w:t>
            </w:r>
            <w:r>
              <w:rPr>
                <w:rFonts w:hint="eastAsia" w:ascii="宋体" w:hAnsi="宋体" w:cs="宋体"/>
                <w:color w:val="auto"/>
                <w:szCs w:val="21"/>
                <w:highlight w:val="none"/>
                <w:u w:val="single"/>
              </w:rPr>
              <w:t>中标供应商</w:t>
            </w:r>
            <w:r>
              <w:rPr>
                <w:rFonts w:hint="eastAsia" w:ascii="宋体" w:hAnsi="宋体" w:cs="宋体"/>
                <w:color w:val="auto"/>
                <w:szCs w:val="21"/>
                <w:highlight w:val="none"/>
              </w:rPr>
              <w:t>在签订合同前，一次性向采购代理机构支付。</w:t>
            </w:r>
          </w:p>
          <w:p w14:paraId="3D43420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□采购人支付。</w:t>
            </w:r>
          </w:p>
          <w:p w14:paraId="5D9BC78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□本项目不收取代理服务费。</w:t>
            </w:r>
          </w:p>
        </w:tc>
      </w:tr>
      <w:tr w14:paraId="2131E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281F3328">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58F0C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387CA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□以分标（☑中标金额/□采购预算/□暂定中标金额/□其他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）为计费额，按</w:t>
            </w:r>
            <w:r>
              <w:rPr>
                <w:rFonts w:hint="eastAsia" w:ascii="宋体" w:hAnsi="宋体" w:cs="宋体"/>
                <w:color w:val="auto"/>
                <w:szCs w:val="21"/>
                <w:highlight w:val="none"/>
                <w:u w:val="single"/>
              </w:rPr>
              <w:t>货物/服务</w:t>
            </w:r>
            <w:r>
              <w:rPr>
                <w:rFonts w:hint="eastAsia" w:ascii="宋体" w:hAnsi="宋体" w:cs="宋体"/>
                <w:color w:val="auto"/>
                <w:szCs w:val="21"/>
                <w:highlight w:val="none"/>
              </w:rPr>
              <w:t>招标采用差额定率累进法计算出收费基准价格，采购代理收费以（□收费基准价格/☑收费基准价格下浮</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/□收费基准价格上浮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w:t>
            </w:r>
          </w:p>
          <w:p w14:paraId="3101945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固定采购代理收费：¥:    元</w:t>
            </w:r>
          </w:p>
        </w:tc>
      </w:tr>
      <w:tr w14:paraId="68114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63C57E1E">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2FF1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00635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开户名称：天勤工程咨询有限公司南宁分公司</w:t>
            </w:r>
          </w:p>
          <w:p w14:paraId="1A1A523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开户银行：中国建设银行股份有限公司南宁五象广场支行</w:t>
            </w:r>
          </w:p>
          <w:p w14:paraId="02AA416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账号：45050160466300000319</w:t>
            </w:r>
          </w:p>
        </w:tc>
      </w:tr>
      <w:tr w14:paraId="56092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42F16D">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06845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7F6434">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3FECEDE7">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2E2DA690">
            <w:pPr>
              <w:numPr>
                <w:ilvl w:val="0"/>
                <w:numId w:val="1"/>
              </w:num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EDE30D1">
            <w:pPr>
              <w:numPr>
                <w:ilvl w:val="0"/>
                <w:numId w:val="1"/>
              </w:numPr>
              <w:snapToGrid w:val="0"/>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2C89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97F2D8">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CE3A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9A770E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签章），除本招标文件有特殊规定外，投标人的财务章、部门章、分公司章、工会章、合同章、投标专用章、业务专用章及银行的转账章、现金收讫章、现金付讫章等其他形式印章均不能代替公章。实物印章与电子印章签章具有同等法律效力，不因其采用电子化表现形式而否定其法律效力。</w:t>
            </w:r>
          </w:p>
          <w:p w14:paraId="2C207430">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4103CE6">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签章或手写签字），私章、签字章、印鉴、影印等其他形式均不能代替亲笔签字。</w:t>
            </w:r>
          </w:p>
          <w:p w14:paraId="2E835ED9">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4.自然人投标的，招标文件规定盖电子签章处由自然人摁手指指印。</w:t>
            </w:r>
          </w:p>
          <w:p w14:paraId="01F66CB3">
            <w:pPr>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4A09C12D">
      <w:pPr>
        <w:rPr>
          <w:color w:val="auto"/>
          <w:highlight w:val="none"/>
        </w:rPr>
        <w:sectPr>
          <w:headerReference r:id="rId7" w:type="first"/>
          <w:footerReference r:id="rId9" w:type="first"/>
          <w:footerReference r:id="rId8" w:type="default"/>
          <w:pgSz w:w="11911" w:h="16838"/>
          <w:pgMar w:top="1134" w:right="1134" w:bottom="1134" w:left="1134" w:header="720" w:footer="720" w:gutter="0"/>
          <w:cols w:space="720" w:num="1"/>
          <w:titlePg/>
          <w:docGrid w:linePitch="331" w:charSpace="0"/>
        </w:sectPr>
      </w:pPr>
    </w:p>
    <w:p w14:paraId="4F5087FC">
      <w:pPr>
        <w:rPr>
          <w:rFonts w:hint="eastAsia"/>
          <w:color w:val="auto"/>
          <w:highlight w:val="none"/>
        </w:rPr>
      </w:pPr>
    </w:p>
    <w:p w14:paraId="75CB0AC4">
      <w:pPr>
        <w:keepNext/>
        <w:keepLines/>
        <w:spacing w:before="260" w:after="260" w:line="413" w:lineRule="auto"/>
        <w:jc w:val="center"/>
        <w:outlineLvl w:val="1"/>
        <w:rPr>
          <w:rFonts w:hint="eastAsia" w:ascii="Arial" w:hAnsi="Arial" w:eastAsia="黑体"/>
          <w:b/>
          <w:bCs/>
          <w:color w:val="auto"/>
          <w:sz w:val="32"/>
          <w:szCs w:val="32"/>
          <w:highlight w:val="none"/>
        </w:rPr>
      </w:pPr>
      <w:bookmarkStart w:id="28" w:name="_Toc8364"/>
      <w:r>
        <w:rPr>
          <w:rFonts w:hint="eastAsia" w:ascii="Arial" w:hAnsi="Arial" w:eastAsia="黑体"/>
          <w:b/>
          <w:bCs/>
          <w:color w:val="auto"/>
          <w:sz w:val="32"/>
          <w:szCs w:val="32"/>
          <w:highlight w:val="none"/>
        </w:rPr>
        <w:t>第二节 投标人须知正文</w:t>
      </w:r>
      <w:bookmarkEnd w:id="28"/>
    </w:p>
    <w:p w14:paraId="4D9B7BA6">
      <w:pPr>
        <w:spacing w:line="400" w:lineRule="exact"/>
        <w:ind w:firstLine="643" w:firstLineChars="200"/>
        <w:jc w:val="center"/>
        <w:outlineLvl w:val="2"/>
        <w:rPr>
          <w:rFonts w:hint="eastAsia"/>
          <w:b/>
          <w:bCs/>
          <w:color w:val="auto"/>
          <w:sz w:val="32"/>
          <w:szCs w:val="32"/>
          <w:highlight w:val="none"/>
        </w:rPr>
      </w:pPr>
      <w:bookmarkStart w:id="29" w:name="_Toc27288"/>
      <w:r>
        <w:rPr>
          <w:rFonts w:hint="eastAsia"/>
          <w:b/>
          <w:bCs/>
          <w:color w:val="auto"/>
          <w:sz w:val="32"/>
          <w:szCs w:val="32"/>
          <w:highlight w:val="none"/>
        </w:rPr>
        <w:t>一、总  则</w:t>
      </w:r>
      <w:bookmarkEnd w:id="29"/>
    </w:p>
    <w:p w14:paraId="6B29AC2D">
      <w:pPr>
        <w:spacing w:line="360" w:lineRule="auto"/>
        <w:ind w:firstLine="480" w:firstLineChars="200"/>
        <w:rPr>
          <w:rFonts w:hint="eastAsia" w:ascii="黑体" w:hAnsi="黑体" w:eastAsia="黑体"/>
          <w:color w:val="auto"/>
          <w:sz w:val="24"/>
          <w:highlight w:val="none"/>
        </w:rPr>
      </w:pPr>
      <w:bookmarkStart w:id="30" w:name="_Toc254970527"/>
      <w:bookmarkStart w:id="31" w:name="_Toc254970668"/>
      <w:r>
        <w:rPr>
          <w:rFonts w:hint="eastAsia" w:ascii="黑体" w:hAnsi="黑体" w:eastAsia="黑体"/>
          <w:color w:val="auto"/>
          <w:sz w:val="24"/>
          <w:highlight w:val="none"/>
        </w:rPr>
        <w:t>1.适用范围</w:t>
      </w:r>
      <w:bookmarkEnd w:id="30"/>
      <w:bookmarkEnd w:id="31"/>
    </w:p>
    <w:p w14:paraId="224DF5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24641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50C1855">
      <w:pPr>
        <w:spacing w:line="360" w:lineRule="auto"/>
        <w:ind w:firstLine="480" w:firstLineChars="200"/>
        <w:rPr>
          <w:rFonts w:hint="eastAsia" w:ascii="黑体" w:hAnsi="黑体" w:eastAsia="黑体"/>
          <w:color w:val="auto"/>
          <w:sz w:val="24"/>
          <w:highlight w:val="none"/>
        </w:rPr>
      </w:pPr>
      <w:bookmarkStart w:id="32" w:name="_Toc254970528"/>
      <w:bookmarkStart w:id="33" w:name="_Toc254970669"/>
      <w:r>
        <w:rPr>
          <w:rFonts w:hint="eastAsia" w:ascii="黑体" w:hAnsi="黑体" w:eastAsia="黑体"/>
          <w:color w:val="auto"/>
          <w:sz w:val="24"/>
          <w:highlight w:val="none"/>
        </w:rPr>
        <w:t>2.定义</w:t>
      </w:r>
      <w:bookmarkEnd w:id="32"/>
      <w:bookmarkEnd w:id="33"/>
    </w:p>
    <w:p w14:paraId="1FE5CF1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33CF086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74F044D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A6B3A7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2.4“投标人”是指响应招标、参加投标竞争的法人、非法人组织或者自然人。</w:t>
      </w:r>
    </w:p>
    <w:p w14:paraId="5D03CDC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7FB8342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2.6“售后服务” 是指采购的服务完成以后所提供的各种后续服务。</w:t>
      </w:r>
    </w:p>
    <w:p w14:paraId="3FF6BD2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2.7“书面形式”是指合同书、信件和数据电文（包括电报、电传、传真、电子数据交换和电子邮件）等可以有形地表现所载内容的形式。</w:t>
      </w:r>
    </w:p>
    <w:p w14:paraId="7B85345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2.8“实质性要求”是指招标文件中已经指明不满足则投标无效的条款，或者不能负偏离的条款，或者采购需求中带“▲”的条款，“实质性要求”有任何一条负偏离或不响应的，将导致无效投标。</w:t>
      </w:r>
    </w:p>
    <w:p w14:paraId="234EC1FD">
      <w:pPr>
        <w:snapToGrid w:val="0"/>
        <w:spacing w:line="360" w:lineRule="auto"/>
        <w:ind w:firstLine="422" w:firstLineChars="200"/>
        <w:jc w:val="left"/>
        <w:rPr>
          <w:rFonts w:ascii="宋体" w:hAnsi="宋体" w:cs="宋体"/>
          <w:b/>
          <w:color w:val="auto"/>
          <w:szCs w:val="21"/>
          <w:highlight w:val="none"/>
        </w:rPr>
      </w:pPr>
      <w:r>
        <w:rPr>
          <w:rFonts w:hint="eastAsia" w:ascii="宋体" w:hAnsi="宋体"/>
          <w:b/>
          <w:color w:val="auto"/>
          <w:szCs w:val="21"/>
          <w:highlight w:val="none"/>
        </w:rPr>
        <w:t xml:space="preserve">2.9 </w:t>
      </w:r>
      <w:r>
        <w:rPr>
          <w:rFonts w:hint="eastAsia" w:ascii="宋体" w:hAnsi="宋体" w:cs="宋体"/>
          <w:b/>
          <w:color w:val="auto"/>
          <w:szCs w:val="21"/>
          <w:highlight w:val="none"/>
        </w:rPr>
        <w:t>“正偏离”，是指投标文件对招标文件“采购需求”中有关条款作出的响应优于条款要求并有利于采购人的情形。</w:t>
      </w:r>
    </w:p>
    <w:p w14:paraId="279A10CA">
      <w:pPr>
        <w:snapToGrid w:val="0"/>
        <w:spacing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2.10</w:t>
      </w:r>
      <w:r>
        <w:rPr>
          <w:rFonts w:hint="eastAsia" w:ascii="宋体" w:hAnsi="宋体" w:cs="宋体"/>
          <w:b/>
          <w:color w:val="auto"/>
          <w:szCs w:val="21"/>
          <w:highlight w:val="none"/>
        </w:rPr>
        <w:t>“负偏离”，是指投标文件对招标文件“采购需求”中有关条款作出的响应不满足条款要求，导致采购人要求不能得到满足的情形。</w:t>
      </w:r>
    </w:p>
    <w:p w14:paraId="1F504D41">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b/>
          <w:color w:val="auto"/>
          <w:szCs w:val="21"/>
          <w:highlight w:val="none"/>
        </w:rPr>
        <w:t>2.1</w:t>
      </w:r>
      <w:r>
        <w:rPr>
          <w:rFonts w:ascii="宋体" w:hAnsi="宋体"/>
          <w:b/>
          <w:color w:val="auto"/>
          <w:szCs w:val="21"/>
          <w:highlight w:val="none"/>
        </w:rPr>
        <w:t>1</w:t>
      </w:r>
      <w:r>
        <w:rPr>
          <w:rFonts w:hint="eastAsia" w:ascii="宋体" w:hAnsi="宋体" w:cs="宋体"/>
          <w:b/>
          <w:color w:val="auto"/>
          <w:szCs w:val="21"/>
          <w:highlight w:val="none"/>
        </w:rPr>
        <w:t>“允许负偏离的条款”是指采购需求中的不属于“实质性要求”的条款。</w:t>
      </w:r>
    </w:p>
    <w:p w14:paraId="59DB0B1E">
      <w:pPr>
        <w:spacing w:line="360" w:lineRule="auto"/>
        <w:ind w:firstLine="480" w:firstLineChars="200"/>
        <w:rPr>
          <w:rFonts w:hint="eastAsia" w:ascii="黑体" w:hAnsi="黑体" w:eastAsia="黑体"/>
          <w:color w:val="auto"/>
          <w:sz w:val="24"/>
          <w:highlight w:val="none"/>
        </w:rPr>
      </w:pPr>
      <w:bookmarkStart w:id="34" w:name="_Toc254970529"/>
      <w:bookmarkStart w:id="35" w:name="_Toc254970670"/>
      <w:r>
        <w:rPr>
          <w:rFonts w:hint="eastAsia" w:ascii="黑体" w:hAnsi="黑体" w:eastAsia="黑体"/>
          <w:color w:val="auto"/>
          <w:sz w:val="24"/>
          <w:highlight w:val="none"/>
        </w:rPr>
        <w:t>3.</w:t>
      </w:r>
      <w:bookmarkEnd w:id="34"/>
      <w:bookmarkEnd w:id="35"/>
      <w:r>
        <w:rPr>
          <w:rFonts w:hint="eastAsia" w:ascii="黑体" w:hAnsi="黑体" w:eastAsia="黑体"/>
          <w:color w:val="auto"/>
          <w:sz w:val="24"/>
          <w:highlight w:val="none"/>
        </w:rPr>
        <w:t>投标人的资格要求</w:t>
      </w:r>
    </w:p>
    <w:p w14:paraId="42297C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0B44A659">
      <w:pPr>
        <w:spacing w:line="360" w:lineRule="auto"/>
        <w:ind w:firstLine="480" w:firstLineChars="200"/>
        <w:rPr>
          <w:rFonts w:hint="eastAsia" w:ascii="黑体" w:hAnsi="黑体" w:eastAsia="黑体"/>
          <w:color w:val="auto"/>
          <w:sz w:val="24"/>
          <w:highlight w:val="none"/>
        </w:rPr>
      </w:pPr>
      <w:bookmarkStart w:id="36" w:name="_Toc254970671"/>
      <w:bookmarkStart w:id="37" w:name="_Toc254970530"/>
      <w:r>
        <w:rPr>
          <w:rFonts w:hint="eastAsia" w:ascii="黑体" w:hAnsi="黑体" w:eastAsia="黑体"/>
          <w:color w:val="auto"/>
          <w:sz w:val="24"/>
          <w:highlight w:val="none"/>
        </w:rPr>
        <w:t>4.投标委托</w:t>
      </w:r>
      <w:bookmarkEnd w:id="36"/>
      <w:bookmarkEnd w:id="37"/>
    </w:p>
    <w:p w14:paraId="30535E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0443260E">
      <w:pPr>
        <w:spacing w:line="360" w:lineRule="auto"/>
        <w:ind w:firstLine="480" w:firstLineChars="200"/>
        <w:rPr>
          <w:rFonts w:hint="eastAsia" w:ascii="黑体" w:hAnsi="黑体" w:eastAsia="黑体"/>
          <w:color w:val="auto"/>
          <w:sz w:val="24"/>
          <w:highlight w:val="none"/>
        </w:rPr>
      </w:pPr>
      <w:bookmarkStart w:id="38" w:name="_5.投标费用"/>
      <w:bookmarkEnd w:id="38"/>
      <w:bookmarkStart w:id="39" w:name="_Toc254970672"/>
      <w:bookmarkStart w:id="40" w:name="_Toc254970531"/>
      <w:r>
        <w:rPr>
          <w:rFonts w:hint="eastAsia" w:ascii="黑体" w:hAnsi="黑体" w:eastAsia="黑体"/>
          <w:color w:val="auto"/>
          <w:sz w:val="24"/>
          <w:highlight w:val="none"/>
        </w:rPr>
        <w:t>5.投标费用</w:t>
      </w:r>
      <w:bookmarkEnd w:id="39"/>
      <w:bookmarkEnd w:id="40"/>
    </w:p>
    <w:p w14:paraId="79F8666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D2A3A7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2B2B35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BB75D3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4E642A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非专门面向中小微企业采购的项目：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专门面向中小微企业采购的项目:按照《政府采购促进中小企业发展管理办法》（财库〔2020〕46号）的规定，对投标人的投标报价不再执行价格评审优惠的扶持政策。</w:t>
      </w:r>
    </w:p>
    <w:p w14:paraId="458A006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1875910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801088">
      <w:pPr>
        <w:spacing w:line="360" w:lineRule="auto"/>
        <w:ind w:firstLine="420" w:firstLineChars="200"/>
        <w:rPr>
          <w:rFonts w:hint="eastAsia" w:ascii="宋体" w:hAnsi="宋体" w:cs="宋体"/>
          <w:color w:val="auto"/>
          <w:szCs w:val="21"/>
          <w:highlight w:val="none"/>
        </w:rPr>
      </w:pPr>
      <w:bookmarkStart w:id="41" w:name="_Toc254970532"/>
      <w:bookmarkStart w:id="42" w:name="_Toc254970673"/>
      <w:r>
        <w:rPr>
          <w:rFonts w:hint="eastAsia" w:ascii="宋体" w:hAnsi="宋体" w:cs="宋体"/>
          <w:bCs/>
          <w:color w:val="auto"/>
          <w:szCs w:val="21"/>
          <w:highlight w:val="none"/>
        </w:rPr>
        <w:t>7.2非专门面向中小微企业采购的项目：根据《政府采购促进中小企业发展管理办法》（财库[2020]46号）第九条、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color w:val="auto"/>
          <w:szCs w:val="21"/>
          <w:highlight w:val="none"/>
        </w:rPr>
        <w:t>专门面向中小微企业采购的项目：按照《政府采购促进中小企业发展管理办法》（财库〔2020〕46号）的规定，对投标人的投标报价不再执行价格评审优惠的扶持政策。</w:t>
      </w:r>
    </w:p>
    <w:p w14:paraId="3A36EED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41"/>
      <w:bookmarkEnd w:id="42"/>
      <w:bookmarkStart w:id="43" w:name="_8.1提供相同品牌产品且通过资格审查、符合性审查的不同投标人参加同一合"/>
      <w:bookmarkEnd w:id="43"/>
    </w:p>
    <w:p w14:paraId="0FEC4D0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如果本招标文件要求投标人提供资格、信誉、荣誉、业绩与企业认证等材料的，则投标人所提供的以上材料必须为该投标人所拥有。</w:t>
      </w:r>
    </w:p>
    <w:p w14:paraId="2F69ED2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0E90FE6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投标人在投标活动中提供任何虚假材料，将报监管部门查处；中标后发现的，中标供应商须依照《中华人民共和国消费者权益保护法》规定赔偿采购人，且民事赔偿并不免除违法投标人的行政与刑事责任。</w:t>
      </w:r>
    </w:p>
    <w:p w14:paraId="25B2C2C7">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8588DA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78AA6353">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5BDDC916">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1DFA9F6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62087818">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11ABE31B">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088E8A49">
      <w:pPr>
        <w:spacing w:line="360" w:lineRule="auto"/>
        <w:ind w:firstLine="420" w:firstLineChars="200"/>
        <w:rPr>
          <w:rFonts w:hint="eastAsia"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3C6D1B5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053558BB">
      <w:pPr>
        <w:spacing w:line="360" w:lineRule="auto"/>
        <w:ind w:firstLine="422" w:firstLineChars="200"/>
        <w:rPr>
          <w:rFonts w:hint="eastAsia" w:hAnsi="宋体"/>
          <w:b/>
          <w:color w:val="auto"/>
          <w:highlight w:val="none"/>
        </w:rPr>
      </w:pPr>
      <w:r>
        <w:rPr>
          <w:rFonts w:hint="eastAsia" w:hAnsi="宋体"/>
          <w:b/>
          <w:color w:val="auto"/>
          <w:highlight w:val="none"/>
        </w:rPr>
        <w:t>（1）不同投标人的投标文件由同一单位或者个人编制；或者不同投标人报名的IP地址一致的；或者编制标书硬件设备CPU编号、硬盘编号、网卡地址一致的情况；</w:t>
      </w:r>
    </w:p>
    <w:p w14:paraId="00F59556">
      <w:pPr>
        <w:spacing w:line="360" w:lineRule="auto"/>
        <w:ind w:firstLine="422" w:firstLineChars="200"/>
        <w:rPr>
          <w:rFonts w:hint="eastAsia" w:hAnsi="宋体"/>
          <w:b/>
          <w:color w:val="auto"/>
          <w:highlight w:val="none"/>
        </w:rPr>
      </w:pPr>
      <w:r>
        <w:rPr>
          <w:rFonts w:hint="eastAsia" w:hAnsi="宋体"/>
          <w:b/>
          <w:color w:val="auto"/>
          <w:highlight w:val="none"/>
        </w:rPr>
        <w:t>（2）不同投标人委托同一单位或者个人办理投标事宜；</w:t>
      </w:r>
    </w:p>
    <w:p w14:paraId="54C4587B">
      <w:pPr>
        <w:spacing w:line="360" w:lineRule="auto"/>
        <w:ind w:firstLine="422" w:firstLineChars="200"/>
        <w:rPr>
          <w:rFonts w:hint="eastAsia" w:hAnsi="宋体"/>
          <w:b/>
          <w:color w:val="auto"/>
          <w:highlight w:val="none"/>
        </w:rPr>
      </w:pPr>
      <w:r>
        <w:rPr>
          <w:rFonts w:hint="eastAsia" w:hAnsi="宋体"/>
          <w:b/>
          <w:color w:val="auto"/>
          <w:highlight w:val="none"/>
        </w:rPr>
        <w:t>（3）不同的投标人的投标文件载明的项目管理员为同一个人；</w:t>
      </w:r>
    </w:p>
    <w:p w14:paraId="25450601">
      <w:pPr>
        <w:spacing w:line="360" w:lineRule="auto"/>
        <w:ind w:firstLine="422" w:firstLineChars="200"/>
        <w:rPr>
          <w:rFonts w:hint="eastAsia" w:hAnsi="宋体"/>
          <w:b/>
          <w:color w:val="auto"/>
          <w:highlight w:val="none"/>
        </w:rPr>
      </w:pPr>
      <w:r>
        <w:rPr>
          <w:rFonts w:hint="eastAsia" w:hAnsi="宋体"/>
          <w:b/>
          <w:color w:val="auto"/>
          <w:highlight w:val="none"/>
        </w:rPr>
        <w:t>（4）不同投标人的投标文件异常一致或者投标报价呈规律性差异；</w:t>
      </w:r>
    </w:p>
    <w:p w14:paraId="2F6FD8A7">
      <w:pPr>
        <w:spacing w:line="360" w:lineRule="auto"/>
        <w:ind w:firstLine="422" w:firstLineChars="200"/>
        <w:rPr>
          <w:rFonts w:hint="eastAsia" w:hAnsi="宋体"/>
          <w:b/>
          <w:color w:val="auto"/>
          <w:highlight w:val="none"/>
        </w:rPr>
      </w:pPr>
      <w:r>
        <w:rPr>
          <w:rFonts w:hint="eastAsia" w:hAnsi="宋体"/>
          <w:b/>
          <w:color w:val="auto"/>
          <w:highlight w:val="none"/>
        </w:rPr>
        <w:t>（5）不同投标人的投标文件相互混装；</w:t>
      </w:r>
    </w:p>
    <w:p w14:paraId="3834E62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5A8B38E8">
      <w:pPr>
        <w:spacing w:line="360" w:lineRule="auto"/>
        <w:ind w:firstLine="420" w:firstLineChars="200"/>
        <w:rPr>
          <w:rFonts w:hint="eastAsia" w:hAnsi="宋体"/>
          <w:color w:val="auto"/>
          <w:highlight w:val="none"/>
        </w:rPr>
      </w:pPr>
      <w:r>
        <w:rPr>
          <w:rFonts w:hint="eastAsia" w:hAnsi="宋体"/>
          <w:color w:val="auto"/>
          <w:highlight w:val="none"/>
        </w:rPr>
        <w:t>（1）供应商直接或者间接从采购人或者采购代理机构处获得其他供应商的相关信息并修改其投标文件或者响应文件；</w:t>
      </w:r>
    </w:p>
    <w:p w14:paraId="2450ABAB">
      <w:pPr>
        <w:spacing w:line="360" w:lineRule="auto"/>
        <w:ind w:firstLine="420" w:firstLineChars="200"/>
        <w:rPr>
          <w:rFonts w:hint="eastAsia" w:hAnsi="宋体"/>
          <w:color w:val="auto"/>
          <w:highlight w:val="none"/>
        </w:rPr>
      </w:pPr>
      <w:r>
        <w:rPr>
          <w:rFonts w:hint="eastAsia" w:hAnsi="宋体"/>
          <w:color w:val="auto"/>
          <w:highlight w:val="none"/>
        </w:rPr>
        <w:t>（2）供应商按照采购人或者采购代理机构的授意撤换、修改投标文件或者响应文件；</w:t>
      </w:r>
    </w:p>
    <w:p w14:paraId="4B55A02F">
      <w:pPr>
        <w:spacing w:line="360" w:lineRule="auto"/>
        <w:ind w:firstLine="420" w:firstLineChars="200"/>
        <w:rPr>
          <w:rFonts w:hint="eastAsia" w:hAnsi="宋体"/>
          <w:color w:val="auto"/>
          <w:highlight w:val="none"/>
        </w:rPr>
      </w:pPr>
      <w:r>
        <w:rPr>
          <w:rFonts w:hint="eastAsia" w:hAnsi="宋体"/>
          <w:color w:val="auto"/>
          <w:highlight w:val="none"/>
        </w:rPr>
        <w:t>（3）供应商之间协商报价、技术方案等投标文件或者响应文件的实质性内容；</w:t>
      </w:r>
    </w:p>
    <w:p w14:paraId="6C461940">
      <w:pPr>
        <w:spacing w:line="360" w:lineRule="auto"/>
        <w:ind w:firstLine="420" w:firstLineChars="200"/>
        <w:rPr>
          <w:rFonts w:hint="eastAsia" w:hAnsi="宋体"/>
          <w:color w:val="auto"/>
          <w:highlight w:val="none"/>
        </w:rPr>
      </w:pPr>
      <w:r>
        <w:rPr>
          <w:rFonts w:hint="eastAsia" w:hAnsi="宋体"/>
          <w:color w:val="auto"/>
          <w:highlight w:val="none"/>
        </w:rPr>
        <w:t>（4）属于同一集团、协会、商会等组织成员的供应商按照该组织要求协同参加政府采购活动；</w:t>
      </w:r>
    </w:p>
    <w:p w14:paraId="1BA8B416">
      <w:pPr>
        <w:spacing w:line="360" w:lineRule="auto"/>
        <w:ind w:firstLine="420" w:firstLineChars="200"/>
        <w:rPr>
          <w:rFonts w:hint="eastAsia"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3935B16">
      <w:pPr>
        <w:spacing w:line="360" w:lineRule="auto"/>
        <w:ind w:firstLine="420" w:firstLineChars="200"/>
        <w:rPr>
          <w:rFonts w:hint="eastAsia" w:hAnsi="宋体"/>
          <w:color w:val="auto"/>
          <w:highlight w:val="none"/>
        </w:rPr>
      </w:pPr>
      <w:r>
        <w:rPr>
          <w:rFonts w:hint="eastAsia" w:hAnsi="宋体"/>
          <w:color w:val="auto"/>
          <w:highlight w:val="none"/>
        </w:rPr>
        <w:t>（6）供应商之间商定部分供应商放弃参加政府采购活动或者放弃中标；</w:t>
      </w:r>
    </w:p>
    <w:p w14:paraId="4359E339">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743B47AB">
      <w:pPr>
        <w:snapToGrid w:val="0"/>
        <w:spacing w:line="360" w:lineRule="auto"/>
        <w:ind w:left="2" w:leftChars="1" w:firstLine="422" w:firstLineChars="200"/>
        <w:rPr>
          <w:rFonts w:hint="eastAsia" w:ascii="宋体" w:hAnsi="宋体"/>
          <w:b/>
          <w:color w:val="auto"/>
          <w:szCs w:val="20"/>
          <w:highlight w:val="none"/>
        </w:rPr>
      </w:pPr>
    </w:p>
    <w:p w14:paraId="54DBF58C">
      <w:pPr>
        <w:spacing w:line="400" w:lineRule="exact"/>
        <w:ind w:firstLine="643" w:firstLineChars="200"/>
        <w:jc w:val="center"/>
        <w:outlineLvl w:val="2"/>
        <w:rPr>
          <w:rFonts w:hint="eastAsia"/>
          <w:b/>
          <w:bCs/>
          <w:color w:val="auto"/>
          <w:sz w:val="32"/>
          <w:szCs w:val="32"/>
          <w:highlight w:val="none"/>
        </w:rPr>
      </w:pPr>
      <w:bookmarkStart w:id="44" w:name="_Toc254970675"/>
      <w:bookmarkStart w:id="45" w:name="_Toc8855"/>
      <w:bookmarkStart w:id="46" w:name="_Toc254970534"/>
      <w:r>
        <w:rPr>
          <w:rFonts w:hint="eastAsia"/>
          <w:b/>
          <w:bCs/>
          <w:color w:val="auto"/>
          <w:sz w:val="32"/>
          <w:szCs w:val="32"/>
          <w:highlight w:val="none"/>
        </w:rPr>
        <w:t>二、招标文件</w:t>
      </w:r>
      <w:bookmarkEnd w:id="44"/>
      <w:bookmarkEnd w:id="45"/>
      <w:bookmarkEnd w:id="46"/>
    </w:p>
    <w:p w14:paraId="2BDD8F7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BE02A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375FC8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411666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0D761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2230E0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1B8B76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357A6E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3135191D">
      <w:pPr>
        <w:spacing w:line="360" w:lineRule="auto"/>
        <w:ind w:firstLine="420" w:firstLineChars="200"/>
        <w:rPr>
          <w:rFonts w:hint="eastAsia"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6CF243E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EDAADF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1C086B7B">
      <w:pPr>
        <w:spacing w:line="360" w:lineRule="auto"/>
        <w:ind w:firstLine="420" w:firstLineChars="200"/>
        <w:rPr>
          <w:rFonts w:hint="eastAsia"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28390593">
      <w:pPr>
        <w:spacing w:line="360" w:lineRule="auto"/>
        <w:ind w:firstLine="420" w:firstLineChars="200"/>
        <w:rPr>
          <w:rFonts w:hint="eastAsia"/>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6B6F3E0">
      <w:pPr>
        <w:spacing w:line="360" w:lineRule="auto"/>
        <w:ind w:firstLine="420" w:firstLineChars="200"/>
        <w:rPr>
          <w:rFonts w:hint="eastAsia"/>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719BBEED">
      <w:pPr>
        <w:spacing w:line="360" w:lineRule="auto"/>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1.</w:t>
      </w:r>
      <w:bookmarkStart w:id="47"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p w14:paraId="2A0D3B05">
      <w:pPr>
        <w:spacing w:line="360" w:lineRule="auto"/>
        <w:ind w:firstLine="420" w:firstLineChars="200"/>
        <w:rPr>
          <w:rFonts w:hint="eastAsia" w:hAnsi="宋体"/>
          <w:color w:val="auto"/>
          <w:highlight w:val="none"/>
        </w:rPr>
      </w:pPr>
    </w:p>
    <w:bookmarkEnd w:id="47"/>
    <w:p w14:paraId="61B1BCCA">
      <w:pPr>
        <w:spacing w:line="400" w:lineRule="exact"/>
        <w:ind w:firstLine="643" w:firstLineChars="200"/>
        <w:jc w:val="center"/>
        <w:outlineLvl w:val="2"/>
        <w:rPr>
          <w:rFonts w:hint="eastAsia"/>
          <w:b/>
          <w:bCs/>
          <w:color w:val="auto"/>
          <w:sz w:val="32"/>
          <w:szCs w:val="32"/>
          <w:highlight w:val="none"/>
        </w:rPr>
      </w:pPr>
      <w:bookmarkStart w:id="48" w:name="_Toc254970535"/>
      <w:bookmarkStart w:id="49" w:name="_Toc254970676"/>
      <w:bookmarkStart w:id="50" w:name="_Toc16067"/>
      <w:r>
        <w:rPr>
          <w:rFonts w:hint="eastAsia"/>
          <w:b/>
          <w:bCs/>
          <w:color w:val="auto"/>
          <w:sz w:val="32"/>
          <w:szCs w:val="32"/>
          <w:highlight w:val="none"/>
        </w:rPr>
        <w:t>三、投标文件的编制</w:t>
      </w:r>
      <w:bookmarkEnd w:id="48"/>
      <w:bookmarkEnd w:id="49"/>
      <w:bookmarkEnd w:id="50"/>
    </w:p>
    <w:p w14:paraId="35283992">
      <w:pPr>
        <w:spacing w:line="360" w:lineRule="auto"/>
        <w:ind w:firstLine="480" w:firstLineChars="200"/>
        <w:rPr>
          <w:rFonts w:hint="eastAsia" w:ascii="黑体" w:hAnsi="黑体" w:eastAsia="黑体"/>
          <w:color w:val="auto"/>
          <w:sz w:val="24"/>
          <w:highlight w:val="none"/>
        </w:rPr>
      </w:pPr>
      <w:bookmarkStart w:id="51" w:name="_Toc254970536"/>
      <w:bookmarkStart w:id="52" w:name="_Toc254970677"/>
      <w:r>
        <w:rPr>
          <w:rFonts w:hint="eastAsia" w:ascii="黑体" w:hAnsi="黑体" w:eastAsia="黑体"/>
          <w:color w:val="auto"/>
          <w:sz w:val="24"/>
          <w:highlight w:val="none"/>
        </w:rPr>
        <w:t>12.投标文件的编制原则</w:t>
      </w:r>
    </w:p>
    <w:p w14:paraId="6675D9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426966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12.2投标人应根据自身实际情况如实响应招标文件，对于重要技术条款或技术参数在投标文件中要求提供技术支持资料的，技术支持资料以招标文件中规定的形式为准，否则将视为无效技术支持资料。</w:t>
      </w:r>
    </w:p>
    <w:p w14:paraId="145A15F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51"/>
      <w:bookmarkEnd w:id="52"/>
    </w:p>
    <w:p w14:paraId="54228B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68A2DA86">
      <w:pPr>
        <w:spacing w:line="360" w:lineRule="auto"/>
        <w:ind w:firstLine="420" w:firstLineChars="200"/>
        <w:rPr>
          <w:rFonts w:hint="eastAsia" w:ascii="宋体" w:hAnsi="宋体"/>
          <w:bCs/>
          <w:color w:val="auto"/>
          <w:szCs w:val="21"/>
          <w:highlight w:val="none"/>
        </w:rPr>
      </w:pPr>
      <w:bookmarkStart w:id="53" w:name="_13.2资格证明文件：具体材料见“投标人须知前附表”。"/>
      <w:bookmarkEnd w:id="53"/>
      <w:bookmarkStart w:id="54" w:name="_13.1报价文件:_具体材料见“投标人须知前附表”。"/>
      <w:bookmarkEnd w:id="54"/>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4DA8DD82">
      <w:pPr>
        <w:spacing w:line="360" w:lineRule="auto"/>
        <w:ind w:firstLine="420" w:firstLineChars="200"/>
        <w:rPr>
          <w:rFonts w:hint="eastAsia" w:ascii="宋体" w:hAnsi="宋体"/>
          <w:bCs/>
          <w:color w:val="auto"/>
          <w:szCs w:val="21"/>
          <w:highlight w:val="none"/>
        </w:rPr>
      </w:pPr>
      <w:bookmarkStart w:id="55" w:name="_13.3商务文件:_具体材料见“投标人须知前附表”。"/>
      <w:bookmarkEnd w:id="55"/>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7672DB73">
      <w:pPr>
        <w:spacing w:line="360" w:lineRule="auto"/>
        <w:ind w:firstLine="420" w:firstLineChars="200"/>
        <w:rPr>
          <w:rFonts w:hint="eastAsia" w:ascii="宋体" w:hAnsi="宋体"/>
          <w:bCs/>
          <w:color w:val="auto"/>
          <w:szCs w:val="21"/>
          <w:highlight w:val="none"/>
        </w:rPr>
      </w:pPr>
      <w:bookmarkStart w:id="56" w:name="_13.4技术文件：具体材料见“投标人须知前附表”。"/>
      <w:bookmarkEnd w:id="56"/>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1C99146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294DA263">
      <w:pPr>
        <w:spacing w:line="360" w:lineRule="auto"/>
        <w:ind w:firstLine="420" w:firstLineChars="200"/>
        <w:rPr>
          <w:rFonts w:hint="eastAsia" w:ascii="宋体" w:hAnsi="宋体"/>
          <w:bCs/>
          <w:color w:val="auto"/>
          <w:szCs w:val="21"/>
          <w:highlight w:val="none"/>
        </w:rPr>
      </w:pPr>
      <w:bookmarkStart w:id="57" w:name="_13.5投标文件电子版：具体材料见“投标人须知前附表”。"/>
      <w:bookmarkEnd w:id="57"/>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52EF9677">
      <w:pPr>
        <w:spacing w:line="360" w:lineRule="auto"/>
        <w:ind w:firstLine="480" w:firstLineChars="200"/>
        <w:rPr>
          <w:rFonts w:hint="eastAsia" w:ascii="黑体" w:hAnsi="黑体" w:eastAsia="黑体"/>
          <w:color w:val="auto"/>
          <w:sz w:val="24"/>
          <w:highlight w:val="none"/>
        </w:rPr>
      </w:pPr>
      <w:bookmarkStart w:id="58" w:name="_Toc254970678"/>
      <w:bookmarkStart w:id="59" w:name="_Toc254970537"/>
      <w:r>
        <w:rPr>
          <w:rFonts w:hint="eastAsia" w:ascii="黑体" w:hAnsi="黑体" w:eastAsia="黑体"/>
          <w:color w:val="auto"/>
          <w:sz w:val="24"/>
          <w:highlight w:val="none"/>
        </w:rPr>
        <w:t>14.投标文件的语言及计量</w:t>
      </w:r>
      <w:bookmarkEnd w:id="58"/>
      <w:bookmarkEnd w:id="59"/>
    </w:p>
    <w:p w14:paraId="1DEB40C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64956A5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9D3638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5367746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137CCD7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15.投标文件提交的风险</w:t>
      </w:r>
    </w:p>
    <w:p w14:paraId="1DFEF1EC">
      <w:pPr>
        <w:spacing w:line="360" w:lineRule="auto"/>
        <w:ind w:firstLine="420" w:firstLineChars="200"/>
        <w:rPr>
          <w:rFonts w:hint="eastAsia" w:hAnsi="宋体"/>
          <w:b/>
          <w:bCs/>
          <w:color w:val="auto"/>
          <w:highlight w:val="none"/>
        </w:rPr>
      </w:pPr>
      <w:r>
        <w:rPr>
          <w:rFonts w:ascii="Calibri" w:hAnsi="Calibri"/>
          <w:color w:val="auto"/>
          <w:highlight w:val="none"/>
        </w:rPr>
        <w:t>投标文</w:t>
      </w:r>
      <w:r>
        <w:rPr>
          <w:rFonts w:hint="eastAsia" w:ascii="宋体" w:hAnsi="宋体"/>
          <w:bCs/>
          <w:color w:val="auto"/>
          <w:szCs w:val="21"/>
          <w:highlight w:val="none"/>
        </w:rPr>
        <w:t>件分为资格文件、商务文件、技术文件、报价文件四部分（其中：商务文件与技术文件合并编辑成一个电子文档）。各投标人在编制投标文件时请按</w:t>
      </w:r>
      <w:r>
        <w:rPr>
          <w:rFonts w:ascii="Calibri" w:hAnsi="Calibri"/>
          <w:color w:val="auto"/>
          <w:highlight w:val="none"/>
        </w:rPr>
        <w:t>照招标文件规定</w:t>
      </w:r>
      <w:r>
        <w:rPr>
          <w:rFonts w:ascii="Calibri" w:hAnsi="Calibri"/>
          <w:color w:val="auto"/>
          <w:spacing w:val="-2"/>
          <w:highlight w:val="none"/>
        </w:rPr>
        <w:t>的</w:t>
      </w:r>
      <w:r>
        <w:rPr>
          <w:rFonts w:ascii="Calibri" w:hAnsi="Calibri"/>
          <w:color w:val="auto"/>
          <w:highlight w:val="none"/>
        </w:rPr>
        <w:t>编</w:t>
      </w:r>
      <w:r>
        <w:rPr>
          <w:rFonts w:ascii="宋体" w:hAnsi="宋体" w:cs="宋体"/>
          <w:color w:val="auto"/>
          <w:highlight w:val="none"/>
        </w:rPr>
        <w:t>排</w:t>
      </w:r>
      <w:r>
        <w:rPr>
          <w:rFonts w:ascii="Calibri" w:hAnsi="Calibri"/>
          <w:color w:val="auto"/>
          <w:highlight w:val="none"/>
        </w:rPr>
        <w:t>格式</w:t>
      </w:r>
      <w:r>
        <w:rPr>
          <w:rFonts w:ascii="宋体" w:hAnsi="宋体" w:cs="宋体"/>
          <w:color w:val="auto"/>
          <w:highlight w:val="none"/>
        </w:rPr>
        <w:t>进</w:t>
      </w:r>
      <w:r>
        <w:rPr>
          <w:rFonts w:ascii="Calibri" w:hAnsi="Calibri"/>
          <w:color w:val="auto"/>
          <w:highlight w:val="none"/>
        </w:rPr>
        <w:t>行，不按要求提交</w:t>
      </w:r>
      <w:r>
        <w:rPr>
          <w:rFonts w:ascii="宋体" w:hAnsi="宋体" w:cs="宋体"/>
          <w:color w:val="auto"/>
          <w:highlight w:val="none"/>
        </w:rPr>
        <w:t>齐全</w:t>
      </w:r>
      <w:r>
        <w:rPr>
          <w:rFonts w:ascii="Calibri" w:hAnsi="Calibri"/>
          <w:color w:val="auto"/>
          <w:highlight w:val="none"/>
        </w:rPr>
        <w:t>的文件</w:t>
      </w:r>
      <w:r>
        <w:rPr>
          <w:rFonts w:ascii="Calibri" w:hAnsi="Calibri"/>
          <w:color w:val="auto"/>
          <w:spacing w:val="-22"/>
          <w:highlight w:val="none"/>
        </w:rPr>
        <w:t>、</w:t>
      </w:r>
      <w:r>
        <w:rPr>
          <w:rFonts w:ascii="宋体" w:hAnsi="宋体" w:cs="宋体"/>
          <w:color w:val="auto"/>
          <w:highlight w:val="none"/>
        </w:rPr>
        <w:t>混乱</w:t>
      </w:r>
      <w:r>
        <w:rPr>
          <w:rFonts w:ascii="Calibri" w:hAnsi="Calibri"/>
          <w:color w:val="auto"/>
          <w:highlight w:val="none"/>
        </w:rPr>
        <w:t>的编</w:t>
      </w:r>
      <w:r>
        <w:rPr>
          <w:rFonts w:ascii="宋体" w:hAnsi="宋体" w:cs="宋体"/>
          <w:color w:val="auto"/>
          <w:highlight w:val="none"/>
        </w:rPr>
        <w:t>排导</w:t>
      </w:r>
      <w:r>
        <w:rPr>
          <w:rFonts w:ascii="Calibri" w:hAnsi="Calibri"/>
          <w:color w:val="auto"/>
          <w:highlight w:val="none"/>
        </w:rPr>
        <w:t>致投标文件</w:t>
      </w:r>
      <w:r>
        <w:rPr>
          <w:rFonts w:ascii="宋体" w:hAnsi="宋体" w:cs="宋体"/>
          <w:color w:val="auto"/>
          <w:highlight w:val="none"/>
        </w:rPr>
        <w:t>被误读</w:t>
      </w:r>
      <w:r>
        <w:rPr>
          <w:rFonts w:ascii="Calibri" w:hAnsi="Calibri"/>
          <w:color w:val="auto"/>
          <w:highlight w:val="none"/>
        </w:rPr>
        <w:t>或</w:t>
      </w:r>
      <w:r>
        <w:rPr>
          <w:rFonts w:ascii="宋体" w:hAnsi="宋体" w:cs="宋体"/>
          <w:color w:val="auto"/>
          <w:highlight w:val="none"/>
        </w:rPr>
        <w:t>评</w:t>
      </w:r>
      <w:r>
        <w:rPr>
          <w:rFonts w:ascii="Calibri" w:hAnsi="Calibri"/>
          <w:color w:val="auto"/>
          <w:highlight w:val="none"/>
        </w:rPr>
        <w:t>标</w:t>
      </w:r>
      <w:r>
        <w:rPr>
          <w:rFonts w:ascii="宋体" w:hAnsi="宋体" w:cs="宋体"/>
          <w:color w:val="auto"/>
          <w:highlight w:val="none"/>
        </w:rPr>
        <w:t>委</w:t>
      </w:r>
      <w:r>
        <w:rPr>
          <w:rFonts w:ascii="Calibri" w:hAnsi="Calibri"/>
          <w:color w:val="auto"/>
          <w:highlight w:val="none"/>
        </w:rPr>
        <w:t>员</w:t>
      </w:r>
      <w:r>
        <w:rPr>
          <w:rFonts w:ascii="宋体" w:hAnsi="宋体" w:cs="宋体"/>
          <w:color w:val="auto"/>
          <w:highlight w:val="none"/>
        </w:rPr>
        <w:t>会查找</w:t>
      </w:r>
      <w:r>
        <w:rPr>
          <w:rFonts w:ascii="Calibri" w:hAnsi="Calibri"/>
          <w:color w:val="auto"/>
          <w:highlight w:val="none"/>
        </w:rPr>
        <w:t>不</w:t>
      </w:r>
      <w:r>
        <w:rPr>
          <w:rFonts w:ascii="宋体" w:hAnsi="宋体" w:cs="宋体"/>
          <w:color w:val="auto"/>
          <w:highlight w:val="none"/>
        </w:rPr>
        <w:t>到</w:t>
      </w:r>
      <w:r>
        <w:rPr>
          <w:rFonts w:ascii="Calibri" w:hAnsi="Calibri"/>
          <w:color w:val="auto"/>
          <w:highlight w:val="none"/>
        </w:rPr>
        <w:t>有效文件是</w:t>
      </w:r>
      <w:r>
        <w:rPr>
          <w:rFonts w:ascii="宋体" w:hAnsi="宋体" w:cs="宋体"/>
          <w:color w:val="auto"/>
          <w:highlight w:val="none"/>
        </w:rPr>
        <w:t>造</w:t>
      </w:r>
      <w:r>
        <w:rPr>
          <w:rFonts w:ascii="Calibri" w:hAnsi="Calibri"/>
          <w:color w:val="auto"/>
          <w:highlight w:val="none"/>
        </w:rPr>
        <w:t>成投标人投标文件无效的</w:t>
      </w:r>
      <w:r>
        <w:rPr>
          <w:rFonts w:ascii="宋体" w:hAnsi="宋体" w:cs="宋体"/>
          <w:color w:val="auto"/>
          <w:highlight w:val="none"/>
        </w:rPr>
        <w:t>风险</w:t>
      </w:r>
      <w:r>
        <w:rPr>
          <w:rFonts w:ascii="Calibri" w:hAnsi="Calibri"/>
          <w:color w:val="auto"/>
          <w:spacing w:val="-6"/>
          <w:highlight w:val="none"/>
        </w:rPr>
        <w:t>。</w:t>
      </w:r>
      <w:r>
        <w:rPr>
          <w:rFonts w:ascii="Calibri" w:hAnsi="Calibri"/>
          <w:b/>
          <w:bCs/>
          <w:color w:val="auto"/>
          <w:highlight w:val="none"/>
        </w:rPr>
        <w:t>投标文件内容不</w:t>
      </w:r>
      <w:r>
        <w:rPr>
          <w:rFonts w:ascii="宋体" w:hAnsi="宋体" w:cs="宋体"/>
          <w:b/>
          <w:bCs/>
          <w:color w:val="auto"/>
          <w:highlight w:val="none"/>
        </w:rPr>
        <w:t>齐全</w:t>
      </w:r>
      <w:r>
        <w:rPr>
          <w:rFonts w:ascii="Calibri" w:hAnsi="Calibri"/>
          <w:b/>
          <w:bCs/>
          <w:color w:val="auto"/>
          <w:spacing w:val="-6"/>
          <w:highlight w:val="none"/>
        </w:rPr>
        <w:t>、</w:t>
      </w:r>
      <w:r>
        <w:rPr>
          <w:rFonts w:ascii="宋体" w:hAnsi="宋体" w:cs="宋体"/>
          <w:b/>
          <w:bCs/>
          <w:color w:val="auto"/>
          <w:highlight w:val="none"/>
        </w:rPr>
        <w:t>未</w:t>
      </w:r>
      <w:r>
        <w:rPr>
          <w:rFonts w:ascii="Calibri" w:hAnsi="Calibri"/>
          <w:b/>
          <w:bCs/>
          <w:color w:val="auto"/>
          <w:highlight w:val="none"/>
        </w:rPr>
        <w:t>按规定</w:t>
      </w:r>
      <w:r>
        <w:rPr>
          <w:rFonts w:ascii="Calibri" w:hAnsi="Calibri"/>
          <w:b/>
          <w:bCs/>
          <w:color w:val="auto"/>
          <w:spacing w:val="-2"/>
          <w:highlight w:val="none"/>
        </w:rPr>
        <w:t>的</w:t>
      </w:r>
      <w:r>
        <w:rPr>
          <w:rFonts w:ascii="Calibri" w:hAnsi="Calibri"/>
          <w:b/>
          <w:bCs/>
          <w:color w:val="auto"/>
          <w:highlight w:val="none"/>
        </w:rPr>
        <w:t>文件格式编制的</w:t>
      </w:r>
      <w:r>
        <w:rPr>
          <w:rFonts w:ascii="Calibri" w:hAnsi="Calibri"/>
          <w:b/>
          <w:bCs/>
          <w:color w:val="auto"/>
          <w:spacing w:val="-7"/>
          <w:highlight w:val="none"/>
        </w:rPr>
        <w:t>、</w:t>
      </w:r>
      <w:r>
        <w:rPr>
          <w:rFonts w:ascii="Calibri" w:hAnsi="Calibri"/>
          <w:b/>
          <w:bCs/>
          <w:color w:val="auto"/>
          <w:highlight w:val="none"/>
        </w:rPr>
        <w:t>没有对招标文件作出实质性</w:t>
      </w:r>
      <w:r>
        <w:rPr>
          <w:rFonts w:ascii="宋体" w:hAnsi="宋体" w:cs="宋体"/>
          <w:b/>
          <w:bCs/>
          <w:color w:val="auto"/>
          <w:highlight w:val="none"/>
        </w:rPr>
        <w:t>响</w:t>
      </w:r>
      <w:r>
        <w:rPr>
          <w:rFonts w:ascii="Calibri" w:hAnsi="Calibri"/>
          <w:b/>
          <w:bCs/>
          <w:color w:val="auto"/>
          <w:highlight w:val="none"/>
        </w:rPr>
        <w:t>应，投标无效</w:t>
      </w:r>
      <w:r>
        <w:rPr>
          <w:rFonts w:hint="eastAsia" w:hAnsi="宋体"/>
          <w:b/>
          <w:bCs/>
          <w:color w:val="auto"/>
          <w:highlight w:val="none"/>
        </w:rPr>
        <w:t>。</w:t>
      </w:r>
    </w:p>
    <w:p w14:paraId="6099B38A">
      <w:pPr>
        <w:spacing w:line="360" w:lineRule="auto"/>
        <w:ind w:firstLine="480" w:firstLineChars="200"/>
        <w:rPr>
          <w:rFonts w:hint="eastAsia" w:ascii="黑体" w:hAnsi="黑体" w:eastAsia="黑体"/>
          <w:color w:val="auto"/>
          <w:sz w:val="24"/>
          <w:highlight w:val="none"/>
        </w:rPr>
      </w:pPr>
      <w:bookmarkStart w:id="60" w:name="_Toc254970538"/>
      <w:bookmarkStart w:id="61" w:name="_Toc254970679"/>
      <w:r>
        <w:rPr>
          <w:rFonts w:hint="eastAsia" w:ascii="黑体" w:hAnsi="黑体" w:eastAsia="黑体"/>
          <w:color w:val="auto"/>
          <w:sz w:val="24"/>
          <w:highlight w:val="none"/>
        </w:rPr>
        <w:t>16.投标报价</w:t>
      </w:r>
      <w:bookmarkEnd w:id="60"/>
      <w:bookmarkEnd w:id="61"/>
    </w:p>
    <w:p w14:paraId="3C300C4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249AFB82">
      <w:pPr>
        <w:spacing w:line="360" w:lineRule="auto"/>
        <w:ind w:firstLine="420" w:firstLineChars="200"/>
        <w:rPr>
          <w:rFonts w:hint="eastAsia" w:ascii="宋体" w:hAnsi="宋体"/>
          <w:bCs/>
          <w:color w:val="auto"/>
          <w:szCs w:val="21"/>
          <w:highlight w:val="none"/>
        </w:rPr>
      </w:pPr>
      <w:bookmarkStart w:id="62" w:name="_16.2投标报价具体定义见投标人须知前附表。"/>
      <w:bookmarkEnd w:id="62"/>
      <w:r>
        <w:rPr>
          <w:rFonts w:hint="eastAsia" w:ascii="宋体" w:hAnsi="宋体"/>
          <w:bCs/>
          <w:color w:val="auto"/>
          <w:szCs w:val="21"/>
          <w:highlight w:val="none"/>
        </w:rPr>
        <w:t>16.2投标报价具体包括内容详见“投标人须知前附表”。</w:t>
      </w:r>
    </w:p>
    <w:p w14:paraId="4AAD1A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16.3投标人必须就所投项目/每个分标的全部内容分别作完整唯一总价报价，不得存在漏项报价；投标人必须就所投项目/每个分标的单项内容作唯一报价。</w:t>
      </w:r>
    </w:p>
    <w:p w14:paraId="0B97CF6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8D7CF51">
      <w:pPr>
        <w:spacing w:line="360" w:lineRule="auto"/>
        <w:ind w:firstLine="420" w:firstLineChars="200"/>
        <w:rPr>
          <w:rFonts w:hint="eastAsia" w:ascii="宋体" w:hAnsi="宋体"/>
          <w:bCs/>
          <w:color w:val="auto"/>
          <w:szCs w:val="21"/>
          <w:highlight w:val="none"/>
        </w:rPr>
      </w:pPr>
      <w:bookmarkStart w:id="63" w:name="_17.1投标有效期应按“投标人须知中的前附表”规定的期限。"/>
      <w:bookmarkEnd w:id="63"/>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6D952C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64" w:name="_Toc254970681"/>
      <w:bookmarkStart w:id="65" w:name="_Toc254970540"/>
      <w:r>
        <w:rPr>
          <w:rFonts w:hint="eastAsia" w:ascii="宋体" w:hAnsi="宋体"/>
          <w:bCs/>
          <w:color w:val="auto"/>
          <w:szCs w:val="21"/>
          <w:highlight w:val="none"/>
        </w:rPr>
        <w:t xml:space="preserve"> 投标有效期应按规定的期限作出承诺，具体详见“投标人须知前附表”。</w:t>
      </w:r>
    </w:p>
    <w:p w14:paraId="3B9A6C5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64"/>
      <w:bookmarkEnd w:id="65"/>
    </w:p>
    <w:p w14:paraId="21BEB927">
      <w:pPr>
        <w:spacing w:line="360" w:lineRule="auto"/>
        <w:ind w:firstLine="480" w:firstLineChars="200"/>
        <w:rPr>
          <w:rFonts w:hint="eastAsia" w:ascii="黑体" w:hAnsi="黑体" w:eastAsia="黑体"/>
          <w:color w:val="auto"/>
          <w:sz w:val="24"/>
          <w:highlight w:val="none"/>
        </w:rPr>
      </w:pPr>
      <w:bookmarkStart w:id="66" w:name="_18.投标保证金"/>
      <w:bookmarkEnd w:id="66"/>
      <w:bookmarkStart w:id="67" w:name="_Toc254970541"/>
      <w:bookmarkStart w:id="68" w:name="_Toc254970682"/>
      <w:r>
        <w:rPr>
          <w:rFonts w:hint="eastAsia" w:ascii="黑体" w:hAnsi="黑体" w:eastAsia="黑体"/>
          <w:color w:val="auto"/>
          <w:sz w:val="24"/>
          <w:highlight w:val="none"/>
        </w:rPr>
        <w:t>18.投标保证金</w:t>
      </w:r>
      <w:bookmarkEnd w:id="67"/>
      <w:bookmarkEnd w:id="68"/>
    </w:p>
    <w:p w14:paraId="33FAECD4">
      <w:pPr>
        <w:spacing w:line="360" w:lineRule="auto"/>
        <w:ind w:firstLine="420" w:firstLineChars="200"/>
        <w:rPr>
          <w:rFonts w:hint="eastAsia" w:ascii="宋体" w:hAnsi="宋体"/>
          <w:bCs/>
          <w:color w:val="auto"/>
          <w:szCs w:val="21"/>
          <w:highlight w:val="none"/>
        </w:rPr>
      </w:pPr>
      <w:bookmarkStart w:id="69" w:name="_Toc254970683"/>
      <w:bookmarkStart w:id="70" w:name="_Toc254970542"/>
      <w:r>
        <w:rPr>
          <w:rFonts w:hint="eastAsia" w:ascii="宋体" w:hAnsi="宋体"/>
          <w:bCs/>
          <w:color w:val="auto"/>
          <w:szCs w:val="21"/>
          <w:highlight w:val="none"/>
        </w:rPr>
        <w:t>见“投标人须知前附表”。</w:t>
      </w:r>
    </w:p>
    <w:p w14:paraId="6D8F1D0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69"/>
      <w:bookmarkEnd w:id="70"/>
      <w:r>
        <w:rPr>
          <w:rFonts w:hint="eastAsia" w:ascii="黑体" w:hAnsi="黑体" w:eastAsia="黑体"/>
          <w:color w:val="auto"/>
          <w:sz w:val="24"/>
          <w:highlight w:val="none"/>
        </w:rPr>
        <w:t>编制</w:t>
      </w:r>
    </w:p>
    <w:p w14:paraId="0A50C396">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71" w:name="_19.2投标文件应按报价文件、资格证明文件、商务文件、技术文件分别编制"/>
      <w:bookmarkEnd w:id="71"/>
      <w:r>
        <w:rPr>
          <w:rFonts w:hint="eastAsia" w:hAnsi="宋体"/>
          <w:color w:val="auto"/>
          <w:szCs w:val="21"/>
          <w:highlight w:val="none"/>
        </w:rPr>
        <w:t xml:space="preserve"> </w:t>
      </w:r>
    </w:p>
    <w:p w14:paraId="48C59BC5">
      <w:pPr>
        <w:adjustRightInd w:val="0"/>
        <w:snapToGrid w:val="0"/>
        <w:spacing w:line="360" w:lineRule="auto"/>
        <w:ind w:firstLine="420" w:firstLineChars="200"/>
        <w:rPr>
          <w:rFonts w:hint="eastAsia" w:hAnsi="宋体"/>
          <w:color w:val="auto"/>
          <w:szCs w:val="21"/>
          <w:highlight w:val="none"/>
        </w:rPr>
      </w:pPr>
      <w:r>
        <w:rPr>
          <w:rFonts w:hAnsi="宋体"/>
          <w:color w:val="auto"/>
          <w:szCs w:val="21"/>
          <w:highlight w:val="none"/>
        </w:rPr>
        <w:t>19</w:t>
      </w:r>
      <w:r>
        <w:rPr>
          <w:rFonts w:hint="eastAsia" w:hAnsi="宋体"/>
          <w:color w:val="auto"/>
          <w:szCs w:val="21"/>
          <w:highlight w:val="none"/>
        </w:rPr>
        <w:t>.2投标文件按照招标文件第六章格式要求进行签署、盖章。投标人的投标文件未按照招标文件要求签署、盖章的，</w:t>
      </w:r>
      <w:r>
        <w:rPr>
          <w:rFonts w:hint="eastAsia" w:hAnsi="宋体"/>
          <w:b/>
          <w:color w:val="auto"/>
          <w:szCs w:val="21"/>
          <w:highlight w:val="none"/>
        </w:rPr>
        <w:t>其投标无效。</w:t>
      </w:r>
      <w:r>
        <w:rPr>
          <w:rFonts w:hint="eastAsia" w:hAnsi="宋体"/>
          <w:color w:val="auto"/>
          <w:szCs w:val="21"/>
          <w:highlight w:val="none"/>
        </w:rPr>
        <w:t>骑缝盖公章不视为在规定位置盖章。</w:t>
      </w:r>
    </w:p>
    <w:p w14:paraId="5718486B">
      <w:pPr>
        <w:adjustRightInd w:val="0"/>
        <w:snapToGrid w:val="0"/>
        <w:spacing w:line="360" w:lineRule="auto"/>
        <w:ind w:firstLine="420" w:firstLineChars="200"/>
        <w:rPr>
          <w:rFonts w:hint="eastAsia" w:hAnsi="宋体"/>
          <w:color w:val="auto"/>
          <w:szCs w:val="21"/>
          <w:highlight w:val="none"/>
        </w:rPr>
      </w:pPr>
      <w:r>
        <w:rPr>
          <w:rFonts w:hAnsi="宋体"/>
          <w:color w:val="auto"/>
          <w:szCs w:val="21"/>
          <w:highlight w:val="none"/>
        </w:rPr>
        <w:t>19.</w:t>
      </w:r>
      <w:r>
        <w:rPr>
          <w:rFonts w:hint="eastAsia" w:hAnsi="宋体"/>
          <w:color w:val="auto"/>
          <w:szCs w:val="21"/>
          <w:highlight w:val="none"/>
        </w:rPr>
        <w:t>3为确保网上操作合法、有效和安全，投标人应当在投标截止时间前完成在广西政府采购云平台的身份认证，确保在电子投标过程中能够对相关数据电文进行加密和使用电子签名。</w:t>
      </w:r>
    </w:p>
    <w:p w14:paraId="4B15A8A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19.4投标文件中标注的投标人名称应与主体资格证明（如营业执照、事业单位法人证书、执业许可证、自然人身份证等）及公章(电子签章)一致，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6DCFF07D">
      <w:pPr>
        <w:spacing w:line="360" w:lineRule="auto"/>
        <w:ind w:firstLine="420" w:firstLineChars="200"/>
        <w:rPr>
          <w:rFonts w:hint="eastAsia" w:ascii="宋体" w:hAnsi="宋体" w:cs="宋体"/>
          <w:b/>
          <w:color w:val="auto"/>
          <w:szCs w:val="21"/>
          <w:highlight w:val="none"/>
        </w:rPr>
      </w:pPr>
      <w:r>
        <w:rPr>
          <w:rFonts w:hint="eastAsia" w:hAnsi="宋体"/>
          <w:color w:val="auto"/>
          <w:szCs w:val="21"/>
          <w:highlight w:val="none"/>
        </w:rPr>
        <w:t xml:space="preserve"> 19.5投标文件应避免涂改、行间插字或者删除</w:t>
      </w:r>
      <w:r>
        <w:rPr>
          <w:rFonts w:hint="eastAsia" w:ascii="宋体" w:hAnsi="宋体" w:cs="宋体"/>
          <w:color w:val="auto"/>
          <w:szCs w:val="21"/>
          <w:highlight w:val="none"/>
        </w:rPr>
        <w:t>。</w:t>
      </w:r>
    </w:p>
    <w:p w14:paraId="000562EC">
      <w:pPr>
        <w:spacing w:line="360" w:lineRule="auto"/>
        <w:ind w:firstLine="520" w:firstLineChars="248"/>
        <w:rPr>
          <w:rFonts w:hint="eastAsia" w:hAnsi="宋体"/>
          <w:color w:val="auto"/>
          <w:highlight w:val="none"/>
        </w:rPr>
      </w:pPr>
      <w:r>
        <w:rPr>
          <w:rFonts w:hint="eastAsia" w:hAnsi="宋体"/>
          <w:color w:val="auto"/>
          <w:highlight w:val="none"/>
        </w:rPr>
        <w:t>19.6 对招标文件的实质性要求和条件作出响应是指投标人必须对招标文件中标注为实质性要求和条件的服务参数、商务条款及其它内容</w:t>
      </w:r>
      <w:r>
        <w:rPr>
          <w:rFonts w:hint="eastAsia"/>
          <w:b/>
          <w:color w:val="auto"/>
          <w:highlight w:val="none"/>
        </w:rPr>
        <w:t>作出满足或者优于原要求和条件的承诺</w:t>
      </w:r>
      <w:r>
        <w:rPr>
          <w:rFonts w:hint="eastAsia"/>
          <w:color w:val="auto"/>
          <w:highlight w:val="none"/>
        </w:rPr>
        <w:t>。</w:t>
      </w:r>
    </w:p>
    <w:p w14:paraId="349A367D">
      <w:pPr>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642C160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97F0C98">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详见“投标人须知前附表”。</w:t>
      </w:r>
    </w:p>
    <w:p w14:paraId="60A8092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38D8AA6">
      <w:pPr>
        <w:spacing w:line="360" w:lineRule="auto"/>
        <w:ind w:firstLine="420" w:firstLineChars="200"/>
        <w:rPr>
          <w:rFonts w:hint="eastAsia" w:hAnsi="宋体"/>
          <w:b/>
          <w:color w:val="auto"/>
          <w:highlight w:val="none"/>
        </w:rPr>
      </w:pPr>
      <w:bookmarkStart w:id="72" w:name="_21.1投标人必须在“投标人须知中的前附表”规定的投标文件接收时间和投"/>
      <w:bookmarkEnd w:id="72"/>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 xml:space="preserve">通过有效数字证书（CA认证锁）进行电子签章、加密，然后通过网络将加密的电子投标文件递交至广西政府采购云平台。 </w:t>
      </w:r>
      <w:r>
        <w:rPr>
          <w:rFonts w:hint="eastAsia" w:hAnsi="宋体"/>
          <w:b/>
          <w:color w:val="auto"/>
          <w:highlight w:val="none"/>
        </w:rPr>
        <w:t xml:space="preserve"> </w:t>
      </w:r>
    </w:p>
    <w:p w14:paraId="62061B5C">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未在规定时间内提交或者未按照招标文件要求密封或者标记的电子投标文件，广西政府采购云平台将拒收。</w:t>
      </w:r>
    </w:p>
    <w:p w14:paraId="050E14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w:t>
      </w:r>
      <w:r>
        <w:rPr>
          <w:rFonts w:hint="eastAsia" w:ascii="宋体" w:hAnsi="宋体"/>
          <w:bCs/>
          <w:color w:val="auto"/>
          <w:szCs w:val="21"/>
          <w:highlight w:val="none"/>
        </w:rPr>
        <w:t>。</w:t>
      </w:r>
    </w:p>
    <w:p w14:paraId="24E53CB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73" w:name="_Toc254970684"/>
      <w:bookmarkStart w:id="74" w:name="_Toc254970543"/>
    </w:p>
    <w:p w14:paraId="4CF8E463">
      <w:pPr>
        <w:spacing w:line="360" w:lineRule="auto"/>
        <w:ind w:firstLine="420" w:firstLineChars="200"/>
        <w:rPr>
          <w:rFonts w:hint="eastAsia"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w:t>
      </w:r>
      <w:r>
        <w:rPr>
          <w:rFonts w:hint="eastAsia"/>
          <w:color w:val="auto"/>
          <w:highlight w:val="none"/>
        </w:rPr>
        <w:t>招标</w:t>
      </w:r>
      <w:r>
        <w:rPr>
          <w:rFonts w:hint="eastAsia" w:ascii="宋体" w:hAnsi="宋体" w:cs="宋体"/>
          <w:color w:val="auto"/>
          <w:szCs w:val="21"/>
          <w:highlight w:val="none"/>
        </w:rPr>
        <w:t>公告附件“电子投标文件制作与投送教程”）</w:t>
      </w:r>
    </w:p>
    <w:p w14:paraId="7DAC632E">
      <w:pPr>
        <w:adjustRightIn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2广西政府采购云平台收到投标文件，将妥善保存并即时向供应商发出确认回执通知。在投标截止时间前，除投标人补充、修改或者撤回投标文件外，任何单位和个人不得解密或提取投标文件。</w:t>
      </w:r>
    </w:p>
    <w:bookmarkEnd w:id="73"/>
    <w:bookmarkEnd w:id="74"/>
    <w:p w14:paraId="6A846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在投标截止时间止提交电子版投标文件的投标人不足3家时，电子版投标文件的退回由广西政府采购云平台自动操作。</w:t>
      </w:r>
    </w:p>
    <w:p w14:paraId="30F2C976">
      <w:pPr>
        <w:snapToGrid w:val="0"/>
        <w:spacing w:line="400" w:lineRule="exact"/>
        <w:ind w:firstLine="739"/>
        <w:rPr>
          <w:rFonts w:hint="eastAsia" w:ascii="宋体" w:hAnsi="宋体"/>
          <w:snapToGrid w:val="0"/>
          <w:color w:val="auto"/>
          <w:spacing w:val="-4"/>
          <w:szCs w:val="21"/>
          <w:highlight w:val="none"/>
        </w:rPr>
      </w:pPr>
    </w:p>
    <w:p w14:paraId="2C8EFA69">
      <w:pPr>
        <w:spacing w:line="400" w:lineRule="exact"/>
        <w:ind w:firstLine="643" w:firstLineChars="200"/>
        <w:jc w:val="center"/>
        <w:outlineLvl w:val="2"/>
        <w:rPr>
          <w:rFonts w:hint="eastAsia"/>
          <w:b/>
          <w:bCs/>
          <w:color w:val="auto"/>
          <w:sz w:val="32"/>
          <w:szCs w:val="32"/>
          <w:highlight w:val="none"/>
        </w:rPr>
      </w:pPr>
      <w:bookmarkStart w:id="75" w:name="_Toc254970685"/>
      <w:bookmarkStart w:id="76" w:name="_Toc254970544"/>
      <w:bookmarkStart w:id="77" w:name="_Toc19830"/>
      <w:r>
        <w:rPr>
          <w:rFonts w:hint="eastAsia"/>
          <w:b/>
          <w:bCs/>
          <w:color w:val="auto"/>
          <w:sz w:val="32"/>
          <w:szCs w:val="32"/>
          <w:highlight w:val="none"/>
        </w:rPr>
        <w:t>四、开    标</w:t>
      </w:r>
      <w:bookmarkEnd w:id="75"/>
      <w:bookmarkEnd w:id="76"/>
      <w:bookmarkEnd w:id="77"/>
    </w:p>
    <w:p w14:paraId="35E82EDA">
      <w:pPr>
        <w:spacing w:line="360" w:lineRule="auto"/>
        <w:ind w:firstLine="480" w:firstLineChars="200"/>
        <w:rPr>
          <w:rFonts w:hint="eastAsia" w:ascii="黑体" w:hAnsi="黑体" w:eastAsia="黑体"/>
          <w:color w:val="auto"/>
          <w:sz w:val="24"/>
          <w:highlight w:val="none"/>
        </w:rPr>
      </w:pPr>
      <w:bookmarkStart w:id="78" w:name="_23.开标时间和地点"/>
      <w:bookmarkEnd w:id="78"/>
      <w:r>
        <w:rPr>
          <w:rFonts w:hint="eastAsia" w:ascii="黑体" w:hAnsi="黑体" w:eastAsia="黑体"/>
          <w:color w:val="auto"/>
          <w:sz w:val="24"/>
          <w:highlight w:val="none"/>
        </w:rPr>
        <w:t>23.开标时间和地点</w:t>
      </w:r>
    </w:p>
    <w:p w14:paraId="194A329F">
      <w:pPr>
        <w:spacing w:line="360" w:lineRule="auto"/>
        <w:ind w:firstLine="420" w:firstLineChars="200"/>
        <w:rPr>
          <w:rFonts w:hint="eastAsia" w:hAnsi="宋体"/>
          <w:bCs/>
          <w:color w:val="auto"/>
          <w:highlight w:val="none"/>
        </w:rPr>
      </w:pPr>
      <w:r>
        <w:rPr>
          <w:rFonts w:hint="eastAsia" w:hAnsi="宋体"/>
          <w:bCs/>
          <w:color w:val="auto"/>
          <w:highlight w:val="none"/>
        </w:rPr>
        <w:t>23.1开标时间及地点详见“投标人须知前附表”</w:t>
      </w:r>
    </w:p>
    <w:p w14:paraId="5A00723E">
      <w:pPr>
        <w:spacing w:line="360" w:lineRule="auto"/>
        <w:ind w:firstLine="420" w:firstLineChars="200"/>
        <w:rPr>
          <w:rFonts w:hint="eastAsia"/>
          <w:color w:val="auto"/>
          <w:highlight w:val="none"/>
        </w:rPr>
      </w:pPr>
      <w:r>
        <w:rPr>
          <w:rFonts w:hint="eastAsia" w:hAnsi="宋体"/>
          <w:color w:val="auto"/>
          <w:highlight w:val="none"/>
        </w:rPr>
        <w:t>23.2如</w:t>
      </w:r>
      <w:r>
        <w:rPr>
          <w:rFonts w:hint="eastAsia" w:hAnsi="宋体"/>
          <w:bCs/>
          <w:color w:val="auto"/>
          <w:highlight w:val="none"/>
        </w:rPr>
        <w:t>投标人成功解密投标文件，但未在广西政府采购云平台电子开标大厅参加开标的，视同认可开标过程和结果，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21CFEC0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50A98D9B">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36B5F3B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开标的准备工作由采购代理机构负责落实，采购代理机构必须基于广西政府采购云平台依法抽取评审专家，如采购代理机构未按规定依法抽取专家的，视为本次开评标无效，应当重新采购；</w:t>
      </w:r>
    </w:p>
    <w:p w14:paraId="47FCF84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7BB0A07F">
      <w:pPr>
        <w:autoSpaceDE w:val="0"/>
        <w:autoSpaceDN w:val="0"/>
        <w:adjustRightIn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07677B27">
      <w:pPr>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cs="仿宋_GB2312"/>
          <w:bCs/>
          <w:color w:val="auto"/>
          <w:szCs w:val="21"/>
          <w:highlight w:val="none"/>
        </w:rPr>
        <w:t>广西政府采购云平台</w:t>
      </w:r>
      <w:r>
        <w:rPr>
          <w:rFonts w:hint="eastAsia" w:ascii="宋体" w:hAnsi="宋体" w:cs="仿宋_GB2312"/>
          <w:color w:val="auto"/>
          <w:szCs w:val="21"/>
          <w:highlight w:val="none"/>
        </w:rPr>
        <w:t>按开标时间自动提取所有投标文件。采购代理机构依托广西政府采购云平台</w:t>
      </w:r>
      <w:r>
        <w:rPr>
          <w:rFonts w:hint="eastAsia" w:ascii="宋体" w:hAnsi="宋体"/>
          <w:color w:val="auto"/>
          <w:szCs w:val="21"/>
          <w:highlight w:val="none"/>
        </w:rPr>
        <w:t>向各投标人发出电子加密投标文件【开始解密】通知，由投标人按广西政府采购云平台规定的时间（一般为30分钟，以系统为准）内自行进行投标文件解密。投标人的法定代表人或其委托代理人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须携带加密时所用的CA锁准时登录到广西政府采购云平台电子开标大厅签到并对电子投标文件解密</w:t>
      </w:r>
      <w:r>
        <w:rPr>
          <w:rFonts w:hint="eastAsia" w:ascii="宋体" w:hAnsi="宋体"/>
          <w:color w:val="auto"/>
          <w:szCs w:val="21"/>
          <w:highlight w:val="none"/>
        </w:rPr>
        <w:t>。</w:t>
      </w:r>
      <w:r>
        <w:rPr>
          <w:rFonts w:hint="eastAsia" w:ascii="Calibri" w:hAnsi="宋体"/>
          <w:color w:val="auto"/>
          <w:szCs w:val="21"/>
          <w:highlight w:val="none"/>
        </w:rPr>
        <w:t>开标后5分钟投标人还未进行解密的，</w:t>
      </w:r>
      <w:r>
        <w:rPr>
          <w:rFonts w:hint="eastAsia" w:ascii="宋体" w:hAnsi="宋体"/>
          <w:color w:val="auto"/>
          <w:szCs w:val="21"/>
          <w:highlight w:val="none"/>
        </w:rPr>
        <w:t>代理机构可通知投标人。</w:t>
      </w:r>
      <w:r>
        <w:rPr>
          <w:rFonts w:hint="eastAsia" w:ascii="宋体" w:hAnsi="宋体" w:cs="仿宋_GB2312"/>
          <w:color w:val="auto"/>
          <w:szCs w:val="21"/>
          <w:highlight w:val="none"/>
        </w:rPr>
        <w:t>投标文件未按时解密，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29E07CA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25E5DD5B">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（2）电子唱标。</w:t>
      </w:r>
      <w:r>
        <w:rPr>
          <w:rFonts w:hint="eastAsia" w:ascii="宋体" w:hAnsi="宋体"/>
          <w:color w:val="auto"/>
          <w:szCs w:val="21"/>
          <w:highlight w:val="none"/>
        </w:rPr>
        <w:t>投标文件解密结束，各投标供应商报价均在广西政府采购云平台远程不见面开标大厅展示；</w:t>
      </w:r>
    </w:p>
    <w:p w14:paraId="2AFB88AF">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665B23B2">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C646DFD">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（5）开标结束。</w:t>
      </w:r>
    </w:p>
    <w:p w14:paraId="242B8D9E">
      <w:pPr>
        <w:snapToGrid w:val="0"/>
        <w:spacing w:line="440" w:lineRule="exact"/>
        <w:ind w:firstLine="422" w:firstLineChars="200"/>
        <w:rPr>
          <w:rFonts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如遇广西政府采购云平台电子化开标或评审程序调整的，按调整后执行。</w:t>
      </w:r>
    </w:p>
    <w:p w14:paraId="240BBD2B">
      <w:pPr>
        <w:snapToGrid w:val="0"/>
        <w:spacing w:line="400" w:lineRule="exact"/>
        <w:ind w:left="689" w:leftChars="228" w:hanging="210" w:hangingChars="100"/>
        <w:rPr>
          <w:rFonts w:hint="eastAsia" w:ascii="宋体" w:hAnsi="宋体"/>
          <w:color w:val="auto"/>
          <w:szCs w:val="20"/>
          <w:highlight w:val="none"/>
        </w:rPr>
      </w:pPr>
    </w:p>
    <w:p w14:paraId="1340CBA2">
      <w:pPr>
        <w:spacing w:line="400" w:lineRule="exact"/>
        <w:ind w:firstLine="643" w:firstLineChars="200"/>
        <w:jc w:val="center"/>
        <w:outlineLvl w:val="2"/>
        <w:rPr>
          <w:rFonts w:hint="eastAsia"/>
          <w:b/>
          <w:bCs/>
          <w:color w:val="auto"/>
          <w:sz w:val="32"/>
          <w:szCs w:val="32"/>
          <w:highlight w:val="none"/>
        </w:rPr>
      </w:pPr>
      <w:bookmarkStart w:id="79" w:name="_Toc10406"/>
      <w:r>
        <w:rPr>
          <w:rFonts w:hint="eastAsia"/>
          <w:b/>
          <w:bCs/>
          <w:color w:val="auto"/>
          <w:sz w:val="32"/>
          <w:szCs w:val="32"/>
          <w:highlight w:val="none"/>
        </w:rPr>
        <w:t>五、资格审查</w:t>
      </w:r>
      <w:bookmarkEnd w:id="79"/>
    </w:p>
    <w:p w14:paraId="10AE292F">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25.资格审查</w:t>
      </w:r>
    </w:p>
    <w:p w14:paraId="0D0AF0A9">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采购人或采购代理机构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73724CAE">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25.2采购人或采购代理机构依据法律法规和招标文件的规定，对投标人的基本资格条件、特定资格条件进行审查。</w:t>
      </w:r>
    </w:p>
    <w:p w14:paraId="326B11D5">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216F663">
      <w:pPr>
        <w:spacing w:line="360" w:lineRule="auto"/>
        <w:ind w:firstLine="422" w:firstLineChars="200"/>
        <w:rPr>
          <w:rFonts w:hint="eastAsia" w:ascii="宋体" w:hAnsi="宋体"/>
          <w:b/>
          <w:bCs/>
          <w:color w:val="auto"/>
          <w:szCs w:val="20"/>
          <w:highlight w:val="none"/>
        </w:rPr>
      </w:pPr>
      <w:bookmarkStart w:id="80" w:name="_25.3_投标人有下列情形之一的，资格审查不通过而导致其投标无效："/>
      <w:bookmarkEnd w:id="80"/>
      <w:r>
        <w:rPr>
          <w:rFonts w:hint="eastAsia" w:ascii="宋体" w:hAnsi="宋体"/>
          <w:b/>
          <w:bCs/>
          <w:color w:val="auto"/>
          <w:szCs w:val="20"/>
          <w:highlight w:val="none"/>
        </w:rPr>
        <w:t>25.4投标人有下列情形之一的，资格审查不通过，作无效投标处理：</w:t>
      </w:r>
    </w:p>
    <w:p w14:paraId="33FCB42A">
      <w:pPr>
        <w:spacing w:line="360" w:lineRule="auto"/>
        <w:ind w:firstLine="420" w:firstLineChars="200"/>
        <w:rPr>
          <w:rFonts w:hint="eastAsia" w:hAnsi="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（1）不具备招标文件中规定的资格要求的；（注：其中信用查询规则见“投标人须知前附表”，广西政府采购云平台已与“信用中国”平台做接口，审查人员可直接在线查询）</w:t>
      </w:r>
    </w:p>
    <w:p w14:paraId="4D808A33">
      <w:pPr>
        <w:spacing w:line="360" w:lineRule="auto"/>
        <w:ind w:firstLine="420" w:firstLineChars="200"/>
        <w:rPr>
          <w:rFonts w:hint="eastAsia" w:hAnsi="宋体"/>
          <w:color w:val="auto"/>
          <w:highlight w:val="none"/>
        </w:rPr>
      </w:pPr>
      <w:r>
        <w:rPr>
          <w:rFonts w:hint="eastAsia" w:hAnsi="宋体"/>
          <w:color w:val="auto"/>
          <w:highlight w:val="none"/>
        </w:rPr>
        <w:t>（2）投标文件未提供任一项“投标人须知前附表”资格证明文件规定的“必须提供”的文件资料的；</w:t>
      </w:r>
    </w:p>
    <w:p w14:paraId="5FD803D6">
      <w:pPr>
        <w:spacing w:line="360" w:lineRule="auto"/>
        <w:ind w:firstLine="420" w:firstLineChars="200"/>
        <w:rPr>
          <w:rFonts w:hint="eastAsia"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45343894">
      <w:pPr>
        <w:spacing w:line="360" w:lineRule="auto"/>
        <w:ind w:firstLine="420" w:firstLineChars="200"/>
        <w:rPr>
          <w:rFonts w:hint="eastAsia" w:hAnsi="宋体"/>
          <w:color w:val="auto"/>
          <w:highlight w:val="none"/>
        </w:rPr>
      </w:pPr>
      <w:r>
        <w:rPr>
          <w:rFonts w:hint="eastAsia" w:hAnsi="宋体"/>
          <w:color w:val="auto"/>
          <w:highlight w:val="none"/>
        </w:rPr>
        <w:t>25.5资格审查的合格投标人不足3家的，不得评标。</w:t>
      </w:r>
    </w:p>
    <w:p w14:paraId="4E8C4487">
      <w:pPr>
        <w:spacing w:line="360" w:lineRule="auto"/>
        <w:ind w:firstLine="643" w:firstLineChars="200"/>
        <w:jc w:val="center"/>
        <w:outlineLvl w:val="2"/>
        <w:rPr>
          <w:rFonts w:hint="eastAsia"/>
          <w:b/>
          <w:bCs/>
          <w:color w:val="auto"/>
          <w:sz w:val="32"/>
          <w:szCs w:val="32"/>
          <w:highlight w:val="none"/>
        </w:rPr>
      </w:pPr>
      <w:bookmarkStart w:id="81" w:name="_Toc11882"/>
      <w:r>
        <w:rPr>
          <w:rFonts w:hint="eastAsia"/>
          <w:b/>
          <w:bCs/>
          <w:color w:val="auto"/>
          <w:sz w:val="32"/>
          <w:szCs w:val="32"/>
          <w:highlight w:val="none"/>
        </w:rPr>
        <w:t>六、评   标</w:t>
      </w:r>
      <w:bookmarkEnd w:id="81"/>
    </w:p>
    <w:p w14:paraId="53488490">
      <w:pPr>
        <w:spacing w:line="360" w:lineRule="auto"/>
        <w:ind w:firstLine="480" w:firstLineChars="200"/>
        <w:rPr>
          <w:rFonts w:hint="eastAsia" w:ascii="黑体" w:hAnsi="黑体" w:eastAsia="黑体"/>
          <w:color w:val="auto"/>
          <w:sz w:val="24"/>
          <w:highlight w:val="none"/>
        </w:rPr>
      </w:pPr>
      <w:bookmarkStart w:id="82" w:name="_26.组建评标委员会"/>
      <w:bookmarkEnd w:id="82"/>
      <w:r>
        <w:rPr>
          <w:rFonts w:hint="eastAsia" w:ascii="黑体" w:hAnsi="黑体" w:eastAsia="黑体"/>
          <w:color w:val="auto"/>
          <w:sz w:val="24"/>
          <w:highlight w:val="none"/>
        </w:rPr>
        <w:t>26.组建评标委员会</w:t>
      </w:r>
    </w:p>
    <w:p w14:paraId="57BC68EA">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评标委员会由采购人代表和评审专家组成，人数为5人以上单数，其中评审专家不得少于成员总数的三分之二。</w:t>
      </w:r>
    </w:p>
    <w:p w14:paraId="4B9180CD">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61C42C3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293C204">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评标方法及评分标准”</w:t>
      </w:r>
      <w:r>
        <w:rPr>
          <w:rFonts w:hAnsi="宋体"/>
          <w:color w:val="auto"/>
          <w:highlight w:val="none"/>
        </w:rPr>
        <w:t>没有规定的方法、评审因素和标准，不作为评标依据。</w:t>
      </w:r>
    </w:p>
    <w:p w14:paraId="60F064F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0A9D8A32">
      <w:pPr>
        <w:spacing w:line="360" w:lineRule="auto"/>
        <w:ind w:firstLine="420" w:firstLineChars="200"/>
        <w:rPr>
          <w:rFonts w:hint="eastAsia"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A4857">
      <w:pPr>
        <w:spacing w:line="360" w:lineRule="auto"/>
        <w:ind w:firstLine="420" w:firstLineChars="200"/>
        <w:rPr>
          <w:rFonts w:hint="eastAsia"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做记录。</w:t>
      </w:r>
      <w:bookmarkStart w:id="83" w:name="_28.3评标方法。本项目将按须知前附表规定的评标办法进行评标，具体评标"/>
      <w:bookmarkEnd w:id="83"/>
    </w:p>
    <w:p w14:paraId="25625F9F">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4C2C654">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54BA8C81">
      <w:pPr>
        <w:spacing w:line="360" w:lineRule="auto"/>
        <w:ind w:firstLine="420" w:firstLineChars="200"/>
        <w:rPr>
          <w:rFonts w:hint="eastAsia" w:hAnsi="宋体"/>
          <w:color w:val="auto"/>
          <w:highlight w:val="none"/>
        </w:rPr>
      </w:pPr>
      <w:r>
        <w:rPr>
          <w:rFonts w:hint="eastAsia" w:hAnsi="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A22FB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05E0C3C7">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0E0EA913">
      <w:pPr>
        <w:spacing w:line="360" w:lineRule="auto"/>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b/>
          <w:color w:val="auto"/>
          <w:highlight w:val="none"/>
        </w:rPr>
        <w:t>“第四章 评标方法及评分标准</w:t>
      </w:r>
      <w:r>
        <w:rPr>
          <w:rFonts w:hint="eastAsia" w:hAnsi="宋体" w:cs="宋体"/>
          <w:bCs/>
          <w:color w:val="auto"/>
          <w:highlight w:val="none"/>
        </w:rPr>
        <w:t>”</w:t>
      </w:r>
      <w:r>
        <w:rPr>
          <w:rFonts w:hAnsi="宋体"/>
          <w:bCs/>
          <w:color w:val="auto"/>
          <w:highlight w:val="none"/>
        </w:rPr>
        <w:t>规定的方法、评审因素、标准和程序对投标文件进行评审。</w:t>
      </w:r>
    </w:p>
    <w:p w14:paraId="286811A4">
      <w:pPr>
        <w:spacing w:line="360" w:lineRule="auto"/>
        <w:ind w:firstLine="420" w:firstLineChars="200"/>
        <w:rPr>
          <w:rFonts w:hint="eastAsia" w:hAnsi="宋体"/>
          <w:bCs/>
          <w:color w:val="auto"/>
          <w:highlight w:val="none"/>
        </w:rPr>
      </w:pPr>
      <w:r>
        <w:rPr>
          <w:rFonts w:hint="eastAsia" w:hAnsi="宋体"/>
          <w:bCs/>
          <w:color w:val="auto"/>
          <w:highlight w:val="none"/>
        </w:rPr>
        <w:t>29.3 电子交易活动的中止。采购过程中出现以下情形，导致电子交易平台无法正常运行，或者无法保证电子交易的公平、公正和安全时，采购代理机构可中止电子交易活动：</w:t>
      </w:r>
    </w:p>
    <w:p w14:paraId="55E0151E">
      <w:pPr>
        <w:spacing w:line="360" w:lineRule="auto"/>
        <w:ind w:firstLine="420" w:firstLineChars="200"/>
        <w:rPr>
          <w:rFonts w:hint="eastAsia" w:hAnsi="宋体"/>
          <w:bCs/>
          <w:color w:val="auto"/>
          <w:highlight w:val="none"/>
        </w:rPr>
      </w:pPr>
      <w:r>
        <w:rPr>
          <w:rFonts w:hint="eastAsia" w:hAnsi="宋体"/>
          <w:bCs/>
          <w:color w:val="auto"/>
          <w:highlight w:val="none"/>
        </w:rPr>
        <w:t xml:space="preserve">（1）电子交易平台发生故障而无法登录访问的； </w:t>
      </w:r>
    </w:p>
    <w:p w14:paraId="44BF073B">
      <w:pPr>
        <w:spacing w:line="360" w:lineRule="auto"/>
        <w:ind w:firstLine="420" w:firstLineChars="200"/>
        <w:rPr>
          <w:rFonts w:hint="eastAsia" w:hAnsi="宋体"/>
          <w:color w:val="auto"/>
          <w:highlight w:val="none"/>
        </w:rPr>
      </w:pPr>
      <w:r>
        <w:rPr>
          <w:rFonts w:hint="eastAsia" w:hAnsi="宋体"/>
          <w:bCs/>
          <w:color w:val="auto"/>
          <w:highlight w:val="none"/>
        </w:rPr>
        <w:t>（2）电子交易平台应用或数据库出</w:t>
      </w:r>
      <w:r>
        <w:rPr>
          <w:rFonts w:hint="eastAsia" w:hAnsi="宋体"/>
          <w:color w:val="auto"/>
          <w:highlight w:val="none"/>
        </w:rPr>
        <w:t>现错误，不能进行正常操作的；</w:t>
      </w:r>
    </w:p>
    <w:p w14:paraId="63272328">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6D4483FD">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1B594083">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2013E4A5">
      <w:pPr>
        <w:spacing w:line="360" w:lineRule="auto"/>
        <w:ind w:firstLine="420" w:firstLineChars="200"/>
        <w:rPr>
          <w:rFonts w:hint="eastAsia"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06CA404">
      <w:pPr>
        <w:snapToGrid w:val="0"/>
        <w:spacing w:line="400" w:lineRule="exact"/>
        <w:ind w:firstLine="420" w:firstLineChars="200"/>
        <w:rPr>
          <w:rFonts w:hint="eastAsia" w:ascii="宋体" w:hAnsi="宋体"/>
          <w:color w:val="auto"/>
          <w:szCs w:val="20"/>
          <w:highlight w:val="none"/>
        </w:rPr>
      </w:pPr>
    </w:p>
    <w:p w14:paraId="39C3FC7C">
      <w:pPr>
        <w:spacing w:line="400" w:lineRule="exact"/>
        <w:ind w:firstLine="643" w:firstLineChars="200"/>
        <w:jc w:val="center"/>
        <w:outlineLvl w:val="2"/>
        <w:rPr>
          <w:rFonts w:hint="eastAsia"/>
          <w:b/>
          <w:bCs/>
          <w:color w:val="auto"/>
          <w:sz w:val="32"/>
          <w:szCs w:val="32"/>
          <w:highlight w:val="none"/>
        </w:rPr>
      </w:pPr>
      <w:bookmarkStart w:id="84" w:name="_Toc254970687"/>
      <w:bookmarkStart w:id="85" w:name="_Toc254970546"/>
      <w:bookmarkStart w:id="86" w:name="_Toc3987"/>
      <w:r>
        <w:rPr>
          <w:rFonts w:hint="eastAsia"/>
          <w:b/>
          <w:bCs/>
          <w:color w:val="auto"/>
          <w:sz w:val="32"/>
          <w:szCs w:val="32"/>
          <w:highlight w:val="none"/>
        </w:rPr>
        <w:br w:type="page"/>
      </w:r>
      <w:r>
        <w:rPr>
          <w:rFonts w:hint="eastAsia"/>
          <w:b/>
          <w:bCs/>
          <w:color w:val="auto"/>
          <w:sz w:val="32"/>
          <w:szCs w:val="32"/>
          <w:highlight w:val="none"/>
        </w:rPr>
        <w:t>七、</w:t>
      </w:r>
      <w:bookmarkEnd w:id="84"/>
      <w:bookmarkEnd w:id="85"/>
      <w:r>
        <w:rPr>
          <w:rFonts w:hint="eastAsia"/>
          <w:b/>
          <w:bCs/>
          <w:color w:val="auto"/>
          <w:sz w:val="32"/>
          <w:szCs w:val="32"/>
          <w:highlight w:val="none"/>
        </w:rPr>
        <w:t>中标和合同</w:t>
      </w:r>
      <w:bookmarkEnd w:id="86"/>
    </w:p>
    <w:p w14:paraId="4F8C6FD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30.确定中标供应商</w:t>
      </w:r>
    </w:p>
    <w:p w14:paraId="04A3C999">
      <w:pPr>
        <w:spacing w:line="360" w:lineRule="auto"/>
        <w:ind w:firstLine="422" w:firstLineChars="200"/>
        <w:rPr>
          <w:rFonts w:hint="eastAsia"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本项目授权评标委员会直接按第四章“评标方法及标准”的规定排列中标候选人顺序，并依照次序确定中标供应商。</w:t>
      </w:r>
    </w:p>
    <w:p w14:paraId="4B3DEC1F">
      <w:pPr>
        <w:spacing w:line="360" w:lineRule="auto"/>
        <w:ind w:firstLine="422" w:firstLineChars="200"/>
        <w:rPr>
          <w:rFonts w:hint="eastAsia" w:ascii="宋体" w:hAnsi="宋体" w:eastAsia="新宋体" w:cs="Courier New"/>
          <w:b/>
          <w:bCs/>
          <w:color w:val="auto"/>
          <w:szCs w:val="21"/>
          <w:highlight w:val="none"/>
        </w:rPr>
      </w:pPr>
      <w:r>
        <w:rPr>
          <w:rFonts w:hint="eastAsia" w:ascii="宋体" w:hAnsi="宋体" w:cs="Courier New"/>
          <w:b/>
          <w:bCs/>
          <w:color w:val="auto"/>
          <w:szCs w:val="21"/>
          <w:highlight w:val="none"/>
        </w:rPr>
        <w:t>30.2提供相同品牌产品且通过资格审查、符合性审查的不同投标人参加同一合同项下投标的，按一家投标人计算，采用综合评分法则以评审得分最高者获得中标人推荐资格，确定后其他同品牌投标人投标无效或不作为中标候选人</w:t>
      </w:r>
      <w:r>
        <w:rPr>
          <w:rFonts w:hint="eastAsia" w:ascii="新宋体" w:hAnsi="新宋体" w:eastAsia="新宋体" w:cs="新宋体"/>
          <w:b/>
          <w:color w:val="auto"/>
          <w:szCs w:val="21"/>
          <w:highlight w:val="none"/>
        </w:rPr>
        <w:t>。</w:t>
      </w:r>
    </w:p>
    <w:p w14:paraId="46AAA8AB">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3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75487F73">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4中标供应商无正当理由拒签合同的，根据《中华人民共和国政府采购法》第七十七条第一款规定处理。</w:t>
      </w:r>
    </w:p>
    <w:p w14:paraId="542DADE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30.5根据《中华人民共和国民法典》</w:t>
      </w:r>
      <w:r>
        <w:rPr>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2C3A59E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1614408">
      <w:pPr>
        <w:spacing w:line="360" w:lineRule="auto"/>
        <w:ind w:firstLine="420" w:firstLineChars="200"/>
        <w:rPr>
          <w:rFonts w:hint="eastAsia"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供应商信用进行核实，对列入失信被执行人、重大税收违法案件当事人名单（重大税收违法失信主体）、政府采购严重违法失信行为记录名单及其他不符合《中华人民共和国政府采购法》第二十二条规定条件的投标人，取消其中标资格，并</w:t>
      </w:r>
      <w:r>
        <w:rPr>
          <w:rFonts w:hint="eastAsia"/>
          <w:b/>
          <w:bCs/>
          <w:color w:val="auto"/>
          <w:highlight w:val="none"/>
        </w:rPr>
        <w:t>依法</w:t>
      </w:r>
      <w:r>
        <w:rPr>
          <w:rFonts w:hint="eastAsia" w:hAnsi="宋体"/>
          <w:b/>
          <w:color w:val="auto"/>
          <w:szCs w:val="21"/>
          <w:highlight w:val="none"/>
        </w:rPr>
        <w:t>确定排名第二的中标候选人为中标供应商。</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采购人</w:t>
      </w:r>
      <w:r>
        <w:rPr>
          <w:rFonts w:hint="eastAsia" w:hAnsi="宋体"/>
          <w:color w:val="auto"/>
          <w:szCs w:val="21"/>
          <w:highlight w:val="none"/>
        </w:rPr>
        <w:t>可以</w:t>
      </w:r>
      <w:r>
        <w:rPr>
          <w:rFonts w:hint="eastAsia"/>
          <w:color w:val="auto"/>
          <w:highlight w:val="none"/>
        </w:rPr>
        <w:t>依法</w:t>
      </w:r>
      <w:r>
        <w:rPr>
          <w:rFonts w:hint="eastAsia" w:hAnsi="宋体"/>
          <w:color w:val="auto"/>
          <w:szCs w:val="21"/>
          <w:highlight w:val="none"/>
        </w:rPr>
        <w:t>确定排名第三的中标候选人为中标供应商，以此类推。</w:t>
      </w:r>
    </w:p>
    <w:p w14:paraId="298CDF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646975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53DFA27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D5BBB7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32.1在发布中标公告的同时，采购代理机构向中标供应商通过广西政府采购云平台发出电子中标通知书。</w:t>
      </w:r>
    </w:p>
    <w:p w14:paraId="2FD38AC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32.2对未通过资格审查的投标人，采购人或采购代理机构应当告知其未通过的原因；采用综合评分办法评审的，采购人或采购代理机构还应当告知未中标供应商本人的评审得分与排序。</w:t>
      </w:r>
    </w:p>
    <w:p w14:paraId="4C5FE57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D19B63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32EB20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0DF374C">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合同将授予被确定实质上响应招标文件要求，具备履行合同能力的中标供应商（招标文件另有约定多名中标供应商的除外）。</w:t>
      </w:r>
    </w:p>
    <w:p w14:paraId="169E5CB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4E48F53">
      <w:pPr>
        <w:adjustRightInd w:val="0"/>
        <w:snapToGrid w:val="0"/>
        <w:spacing w:line="360" w:lineRule="auto"/>
        <w:ind w:firstLine="420" w:firstLineChars="200"/>
        <w:rPr>
          <w:rFonts w:hint="eastAsia" w:ascii="宋体" w:hAnsi="宋体"/>
          <w:color w:val="auto"/>
          <w:kern w:val="0"/>
          <w:szCs w:val="21"/>
          <w:highlight w:val="none"/>
          <w:lang w:val="zh-CN"/>
        </w:rPr>
      </w:pPr>
      <w:bookmarkStart w:id="87" w:name="_39.1中标人须于签订合同前按本须知前附表规定的金额转账或电汇到指定账"/>
      <w:bookmarkEnd w:id="87"/>
      <w:r>
        <w:rPr>
          <w:rFonts w:hint="eastAsia" w:ascii="宋体" w:hAnsi="宋体"/>
          <w:color w:val="auto"/>
          <w:kern w:val="0"/>
          <w:szCs w:val="21"/>
          <w:highlight w:val="none"/>
          <w:lang w:val="zh-CN"/>
        </w:rPr>
        <w:t>见“投标人须知前附表”。</w:t>
      </w:r>
    </w:p>
    <w:p w14:paraId="60FEC1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017B27C">
      <w:pPr>
        <w:adjustRightInd w:val="0"/>
        <w:snapToGrid w:val="0"/>
        <w:spacing w:line="360" w:lineRule="auto"/>
        <w:ind w:firstLine="422" w:firstLineChars="200"/>
        <w:rPr>
          <w:rFonts w:hint="eastAsia" w:ascii="宋体" w:hAnsi="宋体"/>
          <w:color w:val="auto"/>
          <w:kern w:val="0"/>
          <w:szCs w:val="21"/>
          <w:highlight w:val="none"/>
          <w:lang w:val="zh-CN"/>
        </w:rPr>
      </w:pPr>
      <w:bookmarkStart w:id="88" w:name="_40.1投标人接到中标通知书后，按须知前附表规定向采购人出示相关资格证"/>
      <w:bookmarkEnd w:id="88"/>
      <w:r>
        <w:rPr>
          <w:rFonts w:hint="eastAsia" w:ascii="宋体" w:hAnsi="宋体"/>
          <w:b/>
          <w:color w:val="auto"/>
          <w:szCs w:val="21"/>
          <w:highlight w:val="none"/>
        </w:rPr>
        <w:t xml:space="preserve"> 36.1中标供应商在电子中标通知书发出后，</w:t>
      </w:r>
      <w:r>
        <w:rPr>
          <w:rFonts w:hint="eastAsia" w:ascii="宋体" w:hAnsi="宋体"/>
          <w:color w:val="auto"/>
          <w:kern w:val="0"/>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D16D232">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ascii="宋体" w:hAnsi="宋体" w:cs="仿宋_GB2312"/>
          <w:color w:val="auto"/>
          <w:szCs w:val="21"/>
          <w:highlight w:val="none"/>
        </w:rPr>
        <w:t>采购合同由采购人与</w:t>
      </w:r>
      <w:r>
        <w:rPr>
          <w:rFonts w:hint="eastAsia" w:ascii="宋体" w:hAnsi="宋体" w:cs="仿宋_GB2312"/>
          <w:color w:val="auto"/>
          <w:szCs w:val="21"/>
          <w:highlight w:val="none"/>
        </w:rPr>
        <w:t>中标供应商</w:t>
      </w:r>
      <w:r>
        <w:rPr>
          <w:rFonts w:ascii="宋体" w:hAnsi="宋体" w:cs="仿宋_GB2312"/>
          <w:color w:val="auto"/>
          <w:szCs w:val="21"/>
          <w:highlight w:val="none"/>
        </w:rPr>
        <w:t>根据</w:t>
      </w:r>
      <w:r>
        <w:rPr>
          <w:rFonts w:hint="eastAsia" w:ascii="宋体" w:hAnsi="宋体" w:cs="仿宋_GB2312"/>
          <w:color w:val="auto"/>
          <w:szCs w:val="21"/>
          <w:highlight w:val="none"/>
        </w:rPr>
        <w:t>招标文件、投标文件等内容通过政府采购电子交易平台在线签订，自动备案。</w:t>
      </w:r>
    </w:p>
    <w:p w14:paraId="6C6E64D1">
      <w:pPr>
        <w:adjustRightInd w:val="0"/>
        <w:snapToGrid w:val="0"/>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36.3签订合同时间：按中标通知书规定的时间与采购人签订合同。</w:t>
      </w:r>
    </w:p>
    <w:p w14:paraId="7D5517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96A5A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3E7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AF10B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5826A8A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36.8采购人需追加与合同标的相同的服务的，在不改变原合同条款且已报财政部门批准落实资金的前提下，可从原中标供应商处添购， 所签订的补充添置合同的采购资金总额不超过原采购合同金额的 10%。</w:t>
      </w:r>
    </w:p>
    <w:p w14:paraId="549F7338">
      <w:pPr>
        <w:spacing w:line="360" w:lineRule="auto"/>
        <w:ind w:firstLine="480" w:firstLineChars="200"/>
        <w:rPr>
          <w:rFonts w:hint="eastAsia" w:ascii="黑体" w:hAnsi="黑体" w:eastAsia="黑体"/>
          <w:color w:val="auto"/>
          <w:sz w:val="24"/>
          <w:highlight w:val="none"/>
        </w:rPr>
      </w:pPr>
      <w:bookmarkStart w:id="89" w:name="_41.政府采购合同公告"/>
      <w:bookmarkEnd w:id="89"/>
      <w:r>
        <w:rPr>
          <w:rFonts w:hint="eastAsia" w:ascii="黑体" w:hAnsi="黑体" w:eastAsia="黑体"/>
          <w:color w:val="auto"/>
          <w:sz w:val="24"/>
          <w:highlight w:val="none"/>
        </w:rPr>
        <w:t>37.政府采购合同公告</w:t>
      </w:r>
    </w:p>
    <w:p w14:paraId="47F49AE4">
      <w:pPr>
        <w:spacing w:line="360" w:lineRule="auto"/>
        <w:ind w:firstLine="420" w:firstLineChars="200"/>
        <w:rPr>
          <w:rFonts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w:t>
      </w:r>
      <w:r>
        <w:rPr>
          <w:rFonts w:hint="eastAsia" w:ascii="宋体" w:hAnsi="宋体" w:cs="宋体"/>
          <w:color w:val="auto"/>
          <w:kern w:val="0"/>
          <w:szCs w:val="21"/>
          <w:highlight w:val="none"/>
        </w:rPr>
        <w:t xml:space="preserve"> “广西政府采购网”（http://www.ccgp-guangxi.gov.cn/、http://zfcg.gxzf.gov.cn ）</w:t>
      </w:r>
      <w:r>
        <w:rPr>
          <w:rFonts w:hint="eastAsia" w:hAnsi="宋体"/>
          <w:color w:val="auto"/>
          <w:highlight w:val="none"/>
        </w:rPr>
        <w:t>上公告，</w:t>
      </w:r>
      <w:r>
        <w:rPr>
          <w:rFonts w:hAnsi="宋体"/>
          <w:color w:val="auto"/>
          <w:highlight w:val="none"/>
        </w:rPr>
        <w:t>但政府采购合同中涉及国家秘密、商业秘密的内容除外。</w:t>
      </w:r>
    </w:p>
    <w:p w14:paraId="7E1C3EE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9A387C1">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388D3616">
      <w:pPr>
        <w:spacing w:line="360" w:lineRule="auto"/>
        <w:ind w:firstLine="420" w:firstLineChars="200"/>
        <w:rPr>
          <w:rFonts w:hint="eastAsia"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613582E5">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7E74DF18">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7964C40B">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48462FB2">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0FD3536">
      <w:pPr>
        <w:spacing w:line="360" w:lineRule="auto"/>
        <w:ind w:firstLine="420" w:firstLineChars="200"/>
        <w:rPr>
          <w:rFonts w:hint="eastAsia"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923E3D8">
      <w:pPr>
        <w:spacing w:line="360" w:lineRule="auto"/>
        <w:ind w:firstLine="420" w:firstLineChars="200"/>
        <w:rPr>
          <w:rFonts w:hint="eastAsia"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11DB2D">
      <w:pPr>
        <w:spacing w:line="360" w:lineRule="auto"/>
        <w:ind w:firstLine="420" w:firstLineChars="200"/>
        <w:rPr>
          <w:rFonts w:hint="eastAsia"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71CAA331">
      <w:pPr>
        <w:spacing w:line="360" w:lineRule="auto"/>
        <w:ind w:firstLine="420" w:firstLineChars="200"/>
        <w:rPr>
          <w:rFonts w:hint="eastAsia" w:hAnsi="宋体"/>
          <w:color w:val="auto"/>
          <w:szCs w:val="21"/>
          <w:highlight w:val="none"/>
        </w:rPr>
      </w:pPr>
      <w:r>
        <w:rPr>
          <w:rFonts w:hint="eastAsia" w:hAnsi="宋体"/>
          <w:color w:val="auto"/>
          <w:szCs w:val="21"/>
          <w:highlight w:val="none"/>
        </w:rPr>
        <w:t>38.2.2供应商质疑实行实名制，其质疑应当有具体的质疑事项及事实根据，质疑应当坚持依法依规、诚实信用原则，不得进行虚假、恶意质疑。</w:t>
      </w:r>
    </w:p>
    <w:p w14:paraId="4F62F0CF">
      <w:pPr>
        <w:spacing w:line="360" w:lineRule="auto"/>
        <w:ind w:firstLine="420" w:firstLineChars="200"/>
        <w:rPr>
          <w:rFonts w:hint="eastAsia" w:hAnsi="宋体"/>
          <w:color w:val="auto"/>
          <w:highlight w:val="none"/>
        </w:rPr>
      </w:pPr>
      <w:r>
        <w:rPr>
          <w:rFonts w:hint="eastAsia" w:hAnsi="宋体"/>
          <w:color w:val="auto"/>
          <w:highlight w:val="none"/>
        </w:rPr>
        <w:t>38.2.3 质疑供应商可以委托代理人办理质疑事务。委托代理人应熟悉相关业务情况。代理人办理质疑事务时，除提交质疑书外，还应当提交质疑供应商的授权委托书和委托代理人身份证明复印件。</w:t>
      </w:r>
    </w:p>
    <w:p w14:paraId="4F3492DD">
      <w:pPr>
        <w:spacing w:line="360" w:lineRule="auto"/>
        <w:ind w:firstLine="422" w:firstLineChars="200"/>
        <w:rPr>
          <w:rFonts w:hint="eastAsia" w:hAnsi="宋体"/>
          <w:b/>
          <w:bCs/>
          <w:color w:val="auto"/>
          <w:highlight w:val="none"/>
        </w:rPr>
      </w:pPr>
      <w:r>
        <w:rPr>
          <w:rFonts w:hint="eastAsia" w:hAnsi="宋体"/>
          <w:b/>
          <w:bCs/>
          <w:color w:val="auto"/>
          <w:highlight w:val="none"/>
        </w:rPr>
        <w:t>38.2.4 质疑供应商提起质疑应当符合下列条件：</w:t>
      </w:r>
    </w:p>
    <w:p w14:paraId="14CE51B9">
      <w:pPr>
        <w:spacing w:line="360" w:lineRule="auto"/>
        <w:ind w:firstLine="420" w:firstLineChars="200"/>
        <w:rPr>
          <w:rFonts w:hint="eastAsia"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4ED6D46C">
      <w:pPr>
        <w:spacing w:line="360" w:lineRule="auto"/>
        <w:ind w:firstLine="420" w:firstLineChars="200"/>
        <w:rPr>
          <w:rFonts w:hint="eastAsia" w:hAnsi="宋体"/>
          <w:bCs/>
          <w:color w:val="auto"/>
          <w:highlight w:val="none"/>
        </w:rPr>
      </w:pPr>
      <w:r>
        <w:rPr>
          <w:rFonts w:hint="eastAsia" w:hAnsi="宋体"/>
          <w:bCs/>
          <w:color w:val="auto"/>
          <w:highlight w:val="none"/>
        </w:rPr>
        <w:t>（2）质疑函内容符合本章第38.2.5项的规定；</w:t>
      </w:r>
    </w:p>
    <w:p w14:paraId="0A6D81DD">
      <w:pPr>
        <w:spacing w:line="360" w:lineRule="auto"/>
        <w:ind w:firstLine="420" w:firstLineChars="200"/>
        <w:rPr>
          <w:rFonts w:hint="eastAsia" w:hAnsi="宋体"/>
          <w:bCs/>
          <w:color w:val="auto"/>
          <w:highlight w:val="none"/>
        </w:rPr>
      </w:pPr>
      <w:r>
        <w:rPr>
          <w:rFonts w:hint="eastAsia" w:hAnsi="宋体"/>
          <w:bCs/>
          <w:color w:val="auto"/>
          <w:highlight w:val="none"/>
        </w:rPr>
        <w:t>（3）在质疑有效期限内提起质疑；</w:t>
      </w:r>
    </w:p>
    <w:p w14:paraId="0612E1FA">
      <w:pPr>
        <w:spacing w:line="360" w:lineRule="auto"/>
        <w:ind w:firstLine="420" w:firstLineChars="200"/>
        <w:rPr>
          <w:rFonts w:hint="eastAsia" w:hAnsi="宋体"/>
          <w:bCs/>
          <w:color w:val="auto"/>
          <w:highlight w:val="none"/>
        </w:rPr>
      </w:pPr>
      <w:r>
        <w:rPr>
          <w:rFonts w:hint="eastAsia" w:hAnsi="宋体"/>
          <w:bCs/>
          <w:color w:val="auto"/>
          <w:highlight w:val="none"/>
        </w:rPr>
        <w:t>（4）属于所质疑的采购人或采购人委托的采购代理机构组织的采购活动；</w:t>
      </w:r>
    </w:p>
    <w:p w14:paraId="303DDACB">
      <w:pPr>
        <w:spacing w:line="360" w:lineRule="auto"/>
        <w:ind w:firstLine="420" w:firstLineChars="200"/>
        <w:rPr>
          <w:rFonts w:hint="eastAsia"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180A41DF">
      <w:pPr>
        <w:spacing w:line="360" w:lineRule="auto"/>
        <w:ind w:firstLine="420" w:firstLineChars="200"/>
        <w:rPr>
          <w:rFonts w:hint="eastAsia" w:hAnsi="宋体"/>
          <w:bCs/>
          <w:color w:val="auto"/>
          <w:highlight w:val="none"/>
        </w:rPr>
      </w:pPr>
      <w:r>
        <w:rPr>
          <w:rFonts w:hint="eastAsia" w:hAnsi="宋体"/>
          <w:bCs/>
          <w:color w:val="auto"/>
          <w:highlight w:val="none"/>
        </w:rPr>
        <w:t>（6）供应商对同一采购程序环节的质疑应当在质疑有效期内一次性提出；</w:t>
      </w:r>
    </w:p>
    <w:p w14:paraId="5E30C5AB">
      <w:pPr>
        <w:spacing w:line="360" w:lineRule="auto"/>
        <w:ind w:firstLine="420" w:firstLineChars="200"/>
        <w:rPr>
          <w:rFonts w:hint="eastAsia" w:hAnsi="宋体"/>
          <w:bCs/>
          <w:color w:val="auto"/>
          <w:highlight w:val="none"/>
        </w:rPr>
      </w:pPr>
      <w:r>
        <w:rPr>
          <w:rFonts w:hint="eastAsia" w:hAnsi="宋体"/>
          <w:bCs/>
          <w:color w:val="auto"/>
          <w:highlight w:val="none"/>
        </w:rPr>
        <w:t>（7）供应商提交质疑应当提交必要的证明材料，证明材料应以合法手段取得；</w:t>
      </w:r>
    </w:p>
    <w:p w14:paraId="0D5235D5">
      <w:pPr>
        <w:spacing w:line="360" w:lineRule="auto"/>
        <w:ind w:firstLine="420" w:firstLineChars="200"/>
        <w:rPr>
          <w:rFonts w:hint="eastAsia"/>
          <w:color w:val="auto"/>
          <w:highlight w:val="none"/>
        </w:rPr>
      </w:pPr>
      <w:r>
        <w:rPr>
          <w:rFonts w:hint="eastAsia" w:hAnsi="宋体"/>
          <w:bCs/>
          <w:color w:val="auto"/>
          <w:highlight w:val="none"/>
        </w:rPr>
        <w:t>（8）财政部门规定的其他条件。</w:t>
      </w:r>
    </w:p>
    <w:p w14:paraId="39F8F43D">
      <w:pPr>
        <w:spacing w:line="360" w:lineRule="auto"/>
        <w:ind w:firstLine="420" w:firstLineChars="200"/>
        <w:rPr>
          <w:rFonts w:ascii="宋体" w:hAnsi="宋体"/>
          <w:b/>
          <w:color w:val="auto"/>
          <w:szCs w:val="21"/>
          <w:highlight w:val="none"/>
        </w:rPr>
      </w:pPr>
      <w:bookmarkStart w:id="90" w:name="_9.2质疑、投诉应当采用书面形式，质疑函、投诉书均应明确阐述招标文件、"/>
      <w:bookmarkEnd w:id="90"/>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04CDCD91">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25598599">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4FD12546">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54782321">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0690499F">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7BBCC855">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10BF5B0A">
      <w:pPr>
        <w:spacing w:line="360" w:lineRule="auto"/>
        <w:ind w:firstLine="420" w:firstLineChars="200"/>
        <w:rPr>
          <w:rFonts w:hint="eastAsia"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28777FB6">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2C5C32C">
      <w:pPr>
        <w:spacing w:line="360" w:lineRule="auto"/>
        <w:ind w:firstLine="420" w:firstLineChars="200"/>
        <w:rPr>
          <w:rFonts w:hint="eastAsia" w:ascii="宋体" w:hAnsi="宋体"/>
          <w:bCs/>
          <w:color w:val="auto"/>
          <w:szCs w:val="21"/>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60FA6DC7">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301C20B">
      <w:pPr>
        <w:spacing w:line="360" w:lineRule="auto"/>
        <w:ind w:firstLine="420" w:firstLineChars="20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821BA11">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5AD22A0">
      <w:pPr>
        <w:spacing w:line="360" w:lineRule="auto"/>
        <w:ind w:firstLine="422" w:firstLineChars="200"/>
        <w:rPr>
          <w:rFonts w:hint="eastAsia" w:hAnsi="宋体"/>
          <w:b/>
          <w:color w:val="auto"/>
          <w:highlight w:val="none"/>
        </w:rPr>
      </w:pPr>
      <w:r>
        <w:rPr>
          <w:rFonts w:hAnsi="宋体"/>
          <w:b/>
          <w:color w:val="auto"/>
          <w:highlight w:val="none"/>
        </w:rPr>
        <w:t>38</w:t>
      </w:r>
      <w:r>
        <w:rPr>
          <w:rFonts w:hint="eastAsia" w:hAnsi="宋体"/>
          <w:b/>
          <w:color w:val="auto"/>
          <w:highlight w:val="none"/>
        </w:rPr>
        <w:t>.3投诉</w:t>
      </w:r>
    </w:p>
    <w:p w14:paraId="5C42F91C">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未在规定期限内做出答复的，供应商可以在答复期满后15个工作日内向南宁市财政局政府采购监督管理办公室提起投诉，投诉联系方式见“投标人须知前附表”。</w:t>
      </w:r>
    </w:p>
    <w:p w14:paraId="17169154">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606EBFB4">
      <w:pPr>
        <w:spacing w:line="360" w:lineRule="auto"/>
        <w:ind w:firstLine="420" w:firstLineChars="200"/>
        <w:rPr>
          <w:rFonts w:hint="eastAsia"/>
          <w:color w:val="auto"/>
          <w:highlight w:val="none"/>
        </w:rPr>
      </w:pPr>
      <w:r>
        <w:rPr>
          <w:rFonts w:hint="eastAsia" w:hAnsi="宋体"/>
          <w:color w:val="auto"/>
          <w:highlight w:val="none"/>
        </w:rPr>
        <w:t xml:space="preserve">（1）投诉人和被投诉人的名称、地址、邮编、联系人及联系电话等； </w:t>
      </w:r>
    </w:p>
    <w:p w14:paraId="1D55FE23">
      <w:pPr>
        <w:spacing w:line="360" w:lineRule="auto"/>
        <w:ind w:firstLine="420" w:firstLineChars="200"/>
        <w:rPr>
          <w:rFonts w:hint="eastAsia"/>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209FB367">
      <w:pPr>
        <w:spacing w:line="360" w:lineRule="auto"/>
        <w:ind w:firstLine="420" w:firstLineChars="200"/>
        <w:rPr>
          <w:rFonts w:hint="eastAsia" w:hAnsi="宋体"/>
          <w:color w:val="auto"/>
          <w:highlight w:val="none"/>
        </w:rPr>
      </w:pPr>
      <w:r>
        <w:rPr>
          <w:rFonts w:hint="eastAsia" w:hAnsi="宋体"/>
          <w:color w:val="auto"/>
          <w:highlight w:val="none"/>
        </w:rPr>
        <w:t>（3）具体、明确的投诉事项和与投诉事项相关的投诉请求；</w:t>
      </w:r>
    </w:p>
    <w:p w14:paraId="738FA865">
      <w:pPr>
        <w:spacing w:line="360" w:lineRule="auto"/>
        <w:ind w:firstLine="420" w:firstLineChars="200"/>
        <w:rPr>
          <w:rFonts w:hint="eastAsia" w:hAnsi="宋体"/>
          <w:color w:val="auto"/>
          <w:highlight w:val="none"/>
        </w:rPr>
      </w:pPr>
      <w:r>
        <w:rPr>
          <w:rFonts w:hint="eastAsia" w:hAnsi="宋体"/>
          <w:color w:val="auto"/>
          <w:highlight w:val="none"/>
        </w:rPr>
        <w:t>（4）事实依据；</w:t>
      </w:r>
    </w:p>
    <w:p w14:paraId="7D78DDD8">
      <w:pPr>
        <w:spacing w:line="360" w:lineRule="auto"/>
        <w:ind w:firstLine="420" w:firstLineChars="200"/>
        <w:rPr>
          <w:rFonts w:hint="eastAsia"/>
          <w:color w:val="auto"/>
          <w:highlight w:val="none"/>
        </w:rPr>
      </w:pPr>
      <w:r>
        <w:rPr>
          <w:rFonts w:hint="eastAsia" w:hAnsi="宋体"/>
          <w:color w:val="auto"/>
          <w:highlight w:val="none"/>
        </w:rPr>
        <w:t>（5）法律依据；</w:t>
      </w:r>
    </w:p>
    <w:p w14:paraId="5CDD1766">
      <w:pPr>
        <w:spacing w:line="360" w:lineRule="auto"/>
        <w:ind w:firstLine="420" w:firstLineChars="200"/>
        <w:rPr>
          <w:rFonts w:hint="eastAsia" w:hAnsi="宋体"/>
          <w:color w:val="auto"/>
          <w:highlight w:val="none"/>
        </w:rPr>
      </w:pPr>
      <w:r>
        <w:rPr>
          <w:rFonts w:hint="eastAsia" w:hAnsi="宋体"/>
          <w:color w:val="auto"/>
          <w:highlight w:val="none"/>
        </w:rPr>
        <w:t>（6）提起投诉的日期。</w:t>
      </w:r>
    </w:p>
    <w:p w14:paraId="3AF6B941">
      <w:pPr>
        <w:spacing w:line="360" w:lineRule="auto"/>
        <w:ind w:firstLine="420" w:firstLineChars="200"/>
        <w:rPr>
          <w:rFonts w:hint="eastAsia" w:hAnsi="宋体"/>
          <w:color w:val="auto"/>
          <w:highlight w:val="none"/>
        </w:rPr>
      </w:pPr>
      <w:r>
        <w:rPr>
          <w:rFonts w:hint="eastAsia" w:hAnsi="宋体"/>
          <w:color w:val="auto"/>
          <w:highlight w:val="none"/>
        </w:rPr>
        <w:t>（7）附件材料：营业执照副本内页复印件（要求证件有效并清晰反映企业法人经营范围）。</w:t>
      </w:r>
      <w:r>
        <w:rPr>
          <w:rFonts w:hint="eastAsia" w:hAnsi="宋体"/>
          <w:color w:val="auto"/>
          <w:highlight w:val="none"/>
        </w:rPr>
        <w:tab/>
      </w:r>
    </w:p>
    <w:p w14:paraId="29C8A5F3">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23C8D715">
      <w:pPr>
        <w:spacing w:line="360" w:lineRule="auto"/>
        <w:ind w:firstLine="422" w:firstLineChars="200"/>
        <w:rPr>
          <w:rFonts w:hint="eastAsia"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38A9022B">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32D42AC5">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7188E396">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55781A26">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25CA3E1D">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1CB075D1">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（6）同一投诉事项未经南宁市财政局政府采购监督管理办公室投诉处理；</w:t>
      </w:r>
    </w:p>
    <w:p w14:paraId="419924D4">
      <w:pPr>
        <w:spacing w:line="360" w:lineRule="auto"/>
        <w:ind w:firstLine="420" w:firstLineChars="200"/>
        <w:rPr>
          <w:rFonts w:hint="eastAsia" w:ascii="宋体"/>
          <w:color w:val="auto"/>
          <w:highlight w:val="none"/>
        </w:rPr>
      </w:pPr>
      <w:r>
        <w:rPr>
          <w:rFonts w:hint="eastAsia" w:ascii="宋体"/>
          <w:color w:val="auto"/>
          <w:highlight w:val="none"/>
        </w:rPr>
        <w:t>（7）</w:t>
      </w:r>
      <w:r>
        <w:rPr>
          <w:rFonts w:hint="eastAsia" w:ascii="宋体" w:hAnsi="Calibri"/>
          <w:color w:val="auto"/>
          <w:highlight w:val="none"/>
        </w:rPr>
        <w:t>国务院财政部门规定的其他条件。</w:t>
      </w:r>
    </w:p>
    <w:p w14:paraId="76EABE7E">
      <w:pPr>
        <w:spacing w:line="360" w:lineRule="auto"/>
        <w:ind w:firstLine="422" w:firstLineChars="200"/>
        <w:rPr>
          <w:rFonts w:hint="eastAsia"/>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hAnsi="Calibri"/>
          <w:color w:val="auto"/>
          <w:highlight w:val="none"/>
        </w:rPr>
        <w:t>南宁市政府采购监督管理部门</w:t>
      </w:r>
      <w:r>
        <w:rPr>
          <w:rFonts w:hint="eastAsia" w:ascii="Calibri" w:hAnsi="Calibri"/>
          <w:color w:val="auto"/>
          <w:highlight w:val="none"/>
        </w:rPr>
        <w:t>自受理投诉之日起</w:t>
      </w:r>
      <w:r>
        <w:rPr>
          <w:rFonts w:ascii="Calibri" w:hAnsi="Calibri"/>
          <w:color w:val="auto"/>
          <w:highlight w:val="none"/>
        </w:rPr>
        <w:t>30</w:t>
      </w:r>
      <w:r>
        <w:rPr>
          <w:rFonts w:hint="eastAsia" w:ascii="Calibri" w:hAnsi="Calibri"/>
          <w:color w:val="auto"/>
          <w:highlight w:val="none"/>
        </w:rPr>
        <w:t>个工作日内，对投诉事项作出处理决定，并以书面形式通知投诉人、被投诉人及其他与投诉处理结果有利害关系的政府采购当</w:t>
      </w:r>
      <w:r>
        <w:rPr>
          <w:rFonts w:hint="eastAsia" w:ascii="宋体" w:hAnsi="Calibri"/>
          <w:color w:val="auto"/>
          <w:highlight w:val="none"/>
        </w:rPr>
        <w:t>事人</w:t>
      </w:r>
      <w:r>
        <w:rPr>
          <w:rFonts w:hint="eastAsia" w:ascii="Calibri" w:hAnsi="Calibri"/>
          <w:color w:val="auto"/>
          <w:highlight w:val="none"/>
        </w:rPr>
        <w:t>。并将投诉结果在</w:t>
      </w:r>
      <w:r>
        <w:rPr>
          <w:rFonts w:hint="eastAsia"/>
          <w:color w:val="auto"/>
          <w:highlight w:val="none"/>
        </w:rPr>
        <w:t>http://www.ccgp-guangxi.gov.cn/、http://zfcg.gxzf.gov.cn (广西壮族自治区政府采购网)发布。</w:t>
      </w:r>
    </w:p>
    <w:p w14:paraId="6821BBAF">
      <w:pPr>
        <w:spacing w:line="360" w:lineRule="auto"/>
        <w:ind w:firstLine="422" w:firstLineChars="200"/>
        <w:rPr>
          <w:rFonts w:hint="eastAsia"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5682CD56">
      <w:pPr>
        <w:snapToGrid w:val="0"/>
        <w:jc w:val="left"/>
        <w:rPr>
          <w:rFonts w:hint="eastAsia" w:ascii="Calibri" w:hAnsi="Calibri"/>
          <w:color w:val="auto"/>
          <w:sz w:val="18"/>
          <w:szCs w:val="18"/>
          <w:highlight w:val="none"/>
        </w:rPr>
      </w:pPr>
    </w:p>
    <w:p w14:paraId="16E5A7A8">
      <w:pPr>
        <w:spacing w:line="400" w:lineRule="exact"/>
        <w:ind w:firstLine="643" w:firstLineChars="200"/>
        <w:jc w:val="center"/>
        <w:outlineLvl w:val="2"/>
        <w:rPr>
          <w:rFonts w:hint="eastAsia"/>
          <w:b/>
          <w:bCs/>
          <w:color w:val="auto"/>
          <w:sz w:val="32"/>
          <w:szCs w:val="32"/>
          <w:highlight w:val="none"/>
        </w:rPr>
      </w:pPr>
      <w:bookmarkStart w:id="91" w:name="_Toc11111"/>
      <w:r>
        <w:rPr>
          <w:rFonts w:hint="eastAsia"/>
          <w:b/>
          <w:bCs/>
          <w:color w:val="auto"/>
          <w:sz w:val="32"/>
          <w:szCs w:val="32"/>
          <w:highlight w:val="none"/>
        </w:rPr>
        <w:t>八、验收</w:t>
      </w:r>
      <w:bookmarkEnd w:id="91"/>
    </w:p>
    <w:p w14:paraId="6ADA0CC0">
      <w:pPr>
        <w:spacing w:line="360" w:lineRule="auto"/>
        <w:ind w:firstLine="422" w:firstLineChars="200"/>
        <w:rPr>
          <w:rFonts w:hint="eastAsia" w:hAnsi="宋体"/>
          <w:b/>
          <w:color w:val="auto"/>
          <w:highlight w:val="none"/>
        </w:rPr>
      </w:pPr>
      <w:r>
        <w:rPr>
          <w:rFonts w:hint="eastAsia" w:hAnsi="宋体"/>
          <w:b/>
          <w:color w:val="auto"/>
          <w:highlight w:val="none"/>
        </w:rPr>
        <w:t>39.验收</w:t>
      </w:r>
    </w:p>
    <w:p w14:paraId="28B5FEE7">
      <w:pPr>
        <w:tabs>
          <w:tab w:val="left" w:pos="0"/>
        </w:tabs>
        <w:spacing w:line="360" w:lineRule="auto"/>
        <w:ind w:firstLine="480"/>
        <w:rPr>
          <w:rFonts w:hint="eastAsia"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2364BAA">
      <w:pPr>
        <w:tabs>
          <w:tab w:val="left" w:pos="0"/>
        </w:tabs>
        <w:spacing w:line="360" w:lineRule="auto"/>
        <w:ind w:firstLine="480"/>
        <w:rPr>
          <w:rFonts w:hint="eastAsia"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69DC152C">
      <w:pPr>
        <w:tabs>
          <w:tab w:val="left" w:pos="0"/>
        </w:tabs>
        <w:spacing w:line="360" w:lineRule="auto"/>
        <w:ind w:firstLine="480"/>
        <w:rPr>
          <w:rFonts w:hint="eastAsia"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服务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hAnsi="宋体"/>
          <w:color w:val="auto"/>
          <w:highlight w:val="none"/>
        </w:rPr>
        <w:t>返还条件挂钩。履约验收的各项资料应当存档备查。</w:t>
      </w:r>
    </w:p>
    <w:p w14:paraId="157CBAF3">
      <w:pPr>
        <w:tabs>
          <w:tab w:val="left" w:pos="0"/>
        </w:tabs>
        <w:spacing w:line="360" w:lineRule="auto"/>
        <w:ind w:firstLine="480"/>
        <w:rPr>
          <w:rFonts w:hint="eastAsia"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B2DD5A">
      <w:pPr>
        <w:snapToGrid w:val="0"/>
        <w:spacing w:line="400" w:lineRule="exact"/>
        <w:rPr>
          <w:rFonts w:hint="eastAsia" w:ascii="宋体" w:hAnsi="宋体"/>
          <w:color w:val="auto"/>
          <w:szCs w:val="20"/>
          <w:highlight w:val="none"/>
        </w:rPr>
      </w:pPr>
    </w:p>
    <w:p w14:paraId="0A260349">
      <w:pPr>
        <w:spacing w:line="360" w:lineRule="auto"/>
        <w:ind w:firstLine="643" w:firstLineChars="200"/>
        <w:jc w:val="center"/>
        <w:outlineLvl w:val="2"/>
        <w:rPr>
          <w:rFonts w:hint="eastAsia"/>
          <w:b/>
          <w:bCs/>
          <w:color w:val="auto"/>
          <w:sz w:val="32"/>
          <w:szCs w:val="32"/>
          <w:highlight w:val="none"/>
        </w:rPr>
      </w:pPr>
      <w:bookmarkStart w:id="92" w:name="_八、其他事项"/>
      <w:bookmarkEnd w:id="92"/>
      <w:bookmarkStart w:id="93" w:name="_Toc5616"/>
      <w:r>
        <w:rPr>
          <w:rFonts w:hint="eastAsia"/>
          <w:b/>
          <w:bCs/>
          <w:color w:val="auto"/>
          <w:sz w:val="32"/>
          <w:szCs w:val="32"/>
          <w:highlight w:val="none"/>
        </w:rPr>
        <w:t>九、其他事项</w:t>
      </w:r>
      <w:bookmarkEnd w:id="93"/>
    </w:p>
    <w:p w14:paraId="7AEFB134">
      <w:pPr>
        <w:spacing w:line="360" w:lineRule="auto"/>
        <w:ind w:firstLine="480" w:firstLineChars="200"/>
        <w:rPr>
          <w:rFonts w:hint="eastAsia" w:ascii="黑体" w:hAnsi="黑体" w:eastAsia="黑体"/>
          <w:color w:val="auto"/>
          <w:sz w:val="24"/>
          <w:highlight w:val="none"/>
        </w:rPr>
      </w:pPr>
      <w:bookmarkStart w:id="94" w:name="_42.代理服务费"/>
      <w:bookmarkEnd w:id="94"/>
      <w:r>
        <w:rPr>
          <w:rFonts w:hint="eastAsia" w:ascii="黑体" w:hAnsi="黑体" w:eastAsia="黑体"/>
          <w:color w:val="auto"/>
          <w:sz w:val="24"/>
          <w:highlight w:val="none"/>
        </w:rPr>
        <w:t>40.代理服务费</w:t>
      </w:r>
    </w:p>
    <w:p w14:paraId="77D653D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40.1代理服务收费标准及缴费账户详见“投标人须知前附表”，投标人为联合体的，可以由联合体中的一方或者多方共同交纳代理服务费。</w:t>
      </w:r>
    </w:p>
    <w:p w14:paraId="138C43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40.2采购代理服务费收费标准：</w:t>
      </w:r>
    </w:p>
    <w:p w14:paraId="387656A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（1）参照原国家发改委办公厅《关于招标代理服务收费有关问题的通知》（发改办价格[2003]857 号）和桂价费〔2011〕55 号规定（服务类）的收费标准。</w:t>
      </w:r>
    </w:p>
    <w:p w14:paraId="3205F72B">
      <w:pPr>
        <w:spacing w:line="360" w:lineRule="auto"/>
        <w:ind w:firstLine="420" w:firstLineChars="200"/>
        <w:rPr>
          <w:rFonts w:hint="default" w:ascii="宋体" w:hAnsi="宋体"/>
          <w:bCs/>
          <w:color w:val="auto"/>
          <w:szCs w:val="21"/>
          <w:highlight w:val="none"/>
          <w:lang w:val="en-US"/>
        </w:rPr>
      </w:pPr>
      <w:r>
        <w:rPr>
          <w:rFonts w:hint="eastAsia" w:ascii="宋体" w:hAnsi="宋体"/>
          <w:bCs/>
          <w:color w:val="auto"/>
          <w:szCs w:val="21"/>
          <w:highlight w:val="none"/>
          <w:lang w:val="en-US" w:eastAsia="zh-CN"/>
        </w:rPr>
        <w:t>（2）代理服务收费标准:</w:t>
      </w:r>
    </w:p>
    <w:tbl>
      <w:tblPr>
        <w:tblStyle w:val="13"/>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B79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472" w:type="dxa"/>
            <w:tcBorders>
              <w:tl2br w:val="single" w:color="auto" w:sz="4" w:space="0"/>
            </w:tcBorders>
            <w:noWrap w:val="0"/>
            <w:vAlign w:val="top"/>
          </w:tcPr>
          <w:p w14:paraId="2C406EAF">
            <w:pPr>
              <w:spacing w:line="400" w:lineRule="exact"/>
              <w:rPr>
                <w:color w:val="auto"/>
                <w:szCs w:val="21"/>
                <w:highlight w:val="none"/>
              </w:rPr>
            </w:pPr>
            <w:r>
              <w:rPr>
                <w:color w:val="auto"/>
                <w:szCs w:val="21"/>
                <w:highlight w:val="none"/>
              </w:rPr>
              <w:t xml:space="preserve">               费率</w:t>
            </w:r>
          </w:p>
          <w:p w14:paraId="028E09C8">
            <w:pPr>
              <w:spacing w:line="400" w:lineRule="exact"/>
              <w:rPr>
                <w:color w:val="auto"/>
                <w:szCs w:val="21"/>
                <w:highlight w:val="none"/>
              </w:rPr>
            </w:pPr>
            <w:r>
              <w:rPr>
                <w:color w:val="auto"/>
                <w:szCs w:val="21"/>
                <w:highlight w:val="none"/>
              </w:rPr>
              <w:t>中标金额</w:t>
            </w:r>
          </w:p>
        </w:tc>
        <w:tc>
          <w:tcPr>
            <w:tcW w:w="1659" w:type="dxa"/>
            <w:noWrap w:val="0"/>
            <w:vAlign w:val="center"/>
          </w:tcPr>
          <w:p w14:paraId="72B2D9EC">
            <w:pPr>
              <w:spacing w:line="400" w:lineRule="exact"/>
              <w:ind w:firstLine="105" w:firstLineChars="50"/>
              <w:jc w:val="center"/>
              <w:rPr>
                <w:color w:val="auto"/>
                <w:szCs w:val="21"/>
                <w:highlight w:val="none"/>
              </w:rPr>
            </w:pPr>
            <w:r>
              <w:rPr>
                <w:color w:val="auto"/>
                <w:szCs w:val="21"/>
                <w:highlight w:val="none"/>
              </w:rPr>
              <w:t>货物招标</w:t>
            </w:r>
          </w:p>
        </w:tc>
        <w:tc>
          <w:tcPr>
            <w:tcW w:w="1687" w:type="dxa"/>
            <w:noWrap w:val="0"/>
            <w:vAlign w:val="center"/>
          </w:tcPr>
          <w:p w14:paraId="02AABB2A">
            <w:pPr>
              <w:spacing w:line="400" w:lineRule="exact"/>
              <w:jc w:val="center"/>
              <w:rPr>
                <w:color w:val="auto"/>
                <w:szCs w:val="21"/>
                <w:highlight w:val="none"/>
              </w:rPr>
            </w:pPr>
            <w:r>
              <w:rPr>
                <w:color w:val="auto"/>
                <w:szCs w:val="21"/>
                <w:highlight w:val="none"/>
              </w:rPr>
              <w:t>服务招标</w:t>
            </w:r>
          </w:p>
        </w:tc>
        <w:tc>
          <w:tcPr>
            <w:tcW w:w="1659" w:type="dxa"/>
            <w:noWrap w:val="0"/>
            <w:vAlign w:val="center"/>
          </w:tcPr>
          <w:p w14:paraId="317A3CD3">
            <w:pPr>
              <w:spacing w:line="400" w:lineRule="exact"/>
              <w:jc w:val="center"/>
              <w:rPr>
                <w:color w:val="auto"/>
                <w:szCs w:val="21"/>
                <w:highlight w:val="none"/>
              </w:rPr>
            </w:pPr>
            <w:r>
              <w:rPr>
                <w:color w:val="auto"/>
                <w:szCs w:val="21"/>
                <w:highlight w:val="none"/>
              </w:rPr>
              <w:t>工程招标</w:t>
            </w:r>
          </w:p>
        </w:tc>
      </w:tr>
      <w:tr w14:paraId="23A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50C9D0">
            <w:pPr>
              <w:spacing w:line="400" w:lineRule="exact"/>
              <w:rPr>
                <w:color w:val="auto"/>
                <w:szCs w:val="21"/>
                <w:highlight w:val="none"/>
              </w:rPr>
            </w:pPr>
            <w:r>
              <w:rPr>
                <w:color w:val="auto"/>
                <w:szCs w:val="21"/>
                <w:highlight w:val="none"/>
              </w:rPr>
              <w:t>100万元以下</w:t>
            </w:r>
          </w:p>
        </w:tc>
        <w:tc>
          <w:tcPr>
            <w:tcW w:w="1659" w:type="dxa"/>
            <w:noWrap w:val="0"/>
            <w:vAlign w:val="top"/>
          </w:tcPr>
          <w:p w14:paraId="2CF8ABAE">
            <w:pPr>
              <w:spacing w:line="400" w:lineRule="exact"/>
              <w:rPr>
                <w:color w:val="auto"/>
                <w:szCs w:val="21"/>
                <w:highlight w:val="none"/>
              </w:rPr>
            </w:pPr>
            <w:r>
              <w:rPr>
                <w:color w:val="auto"/>
                <w:kern w:val="0"/>
                <w:szCs w:val="21"/>
                <w:highlight w:val="none"/>
              </w:rPr>
              <w:t xml:space="preserve">  1.5%                </w:t>
            </w:r>
          </w:p>
        </w:tc>
        <w:tc>
          <w:tcPr>
            <w:tcW w:w="1687" w:type="dxa"/>
            <w:noWrap w:val="0"/>
            <w:vAlign w:val="top"/>
          </w:tcPr>
          <w:p w14:paraId="3D2902DA">
            <w:pPr>
              <w:spacing w:line="400" w:lineRule="exact"/>
              <w:ind w:firstLine="210" w:firstLineChars="100"/>
              <w:rPr>
                <w:color w:val="auto"/>
                <w:szCs w:val="21"/>
                <w:highlight w:val="none"/>
              </w:rPr>
            </w:pPr>
            <w:r>
              <w:rPr>
                <w:color w:val="auto"/>
                <w:kern w:val="0"/>
                <w:szCs w:val="21"/>
                <w:highlight w:val="none"/>
              </w:rPr>
              <w:t>1.5%</w:t>
            </w:r>
          </w:p>
        </w:tc>
        <w:tc>
          <w:tcPr>
            <w:tcW w:w="1659" w:type="dxa"/>
            <w:noWrap w:val="0"/>
            <w:vAlign w:val="top"/>
          </w:tcPr>
          <w:p w14:paraId="4172726E">
            <w:pPr>
              <w:spacing w:line="400" w:lineRule="exact"/>
              <w:ind w:firstLine="210" w:firstLineChars="100"/>
              <w:rPr>
                <w:color w:val="auto"/>
                <w:szCs w:val="21"/>
                <w:highlight w:val="none"/>
              </w:rPr>
            </w:pPr>
            <w:r>
              <w:rPr>
                <w:color w:val="auto"/>
                <w:kern w:val="0"/>
                <w:szCs w:val="21"/>
                <w:highlight w:val="none"/>
              </w:rPr>
              <w:t xml:space="preserve">1.0% </w:t>
            </w:r>
          </w:p>
        </w:tc>
      </w:tr>
      <w:tr w14:paraId="76B9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E5E740">
            <w:pPr>
              <w:spacing w:line="400" w:lineRule="exact"/>
              <w:rPr>
                <w:color w:val="auto"/>
                <w:szCs w:val="21"/>
                <w:highlight w:val="none"/>
              </w:rPr>
            </w:pPr>
            <w:r>
              <w:rPr>
                <w:rFonts w:hint="eastAsia"/>
                <w:color w:val="auto"/>
                <w:szCs w:val="21"/>
                <w:highlight w:val="none"/>
              </w:rPr>
              <w:t>100万～500万</w:t>
            </w:r>
            <w:r>
              <w:rPr>
                <w:color w:val="auto"/>
                <w:szCs w:val="21"/>
                <w:highlight w:val="none"/>
              </w:rPr>
              <w:t>元</w:t>
            </w:r>
          </w:p>
        </w:tc>
        <w:tc>
          <w:tcPr>
            <w:tcW w:w="1659" w:type="dxa"/>
            <w:noWrap w:val="0"/>
            <w:vAlign w:val="top"/>
          </w:tcPr>
          <w:p w14:paraId="7652F57F">
            <w:pPr>
              <w:spacing w:line="400" w:lineRule="exact"/>
              <w:ind w:firstLine="210" w:firstLineChars="100"/>
              <w:rPr>
                <w:color w:val="auto"/>
                <w:szCs w:val="21"/>
                <w:highlight w:val="none"/>
              </w:rPr>
            </w:pPr>
            <w:r>
              <w:rPr>
                <w:color w:val="auto"/>
                <w:kern w:val="0"/>
                <w:szCs w:val="21"/>
                <w:highlight w:val="none"/>
              </w:rPr>
              <w:t xml:space="preserve">1.1%                 </w:t>
            </w:r>
          </w:p>
        </w:tc>
        <w:tc>
          <w:tcPr>
            <w:tcW w:w="1687" w:type="dxa"/>
            <w:noWrap w:val="0"/>
            <w:vAlign w:val="top"/>
          </w:tcPr>
          <w:p w14:paraId="37ADB295">
            <w:pPr>
              <w:spacing w:line="400" w:lineRule="exact"/>
              <w:ind w:firstLine="210" w:firstLineChars="100"/>
              <w:rPr>
                <w:color w:val="auto"/>
                <w:szCs w:val="21"/>
                <w:highlight w:val="none"/>
              </w:rPr>
            </w:pPr>
            <w:r>
              <w:rPr>
                <w:color w:val="auto"/>
                <w:kern w:val="0"/>
                <w:szCs w:val="21"/>
                <w:highlight w:val="none"/>
              </w:rPr>
              <w:t>0.8%</w:t>
            </w:r>
          </w:p>
        </w:tc>
        <w:tc>
          <w:tcPr>
            <w:tcW w:w="1659" w:type="dxa"/>
            <w:noWrap w:val="0"/>
            <w:vAlign w:val="top"/>
          </w:tcPr>
          <w:p w14:paraId="3BB368EB">
            <w:pPr>
              <w:spacing w:line="400" w:lineRule="exact"/>
              <w:ind w:firstLine="210" w:firstLineChars="100"/>
              <w:rPr>
                <w:color w:val="auto"/>
                <w:szCs w:val="21"/>
                <w:highlight w:val="none"/>
              </w:rPr>
            </w:pPr>
            <w:r>
              <w:rPr>
                <w:color w:val="auto"/>
                <w:kern w:val="0"/>
                <w:szCs w:val="21"/>
                <w:highlight w:val="none"/>
              </w:rPr>
              <w:t xml:space="preserve">0.7% </w:t>
            </w:r>
          </w:p>
        </w:tc>
      </w:tr>
      <w:tr w14:paraId="75E2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D73532">
            <w:pPr>
              <w:spacing w:line="400" w:lineRule="exact"/>
              <w:rPr>
                <w:color w:val="auto"/>
                <w:szCs w:val="21"/>
                <w:highlight w:val="none"/>
              </w:rPr>
            </w:pPr>
            <w:r>
              <w:rPr>
                <w:rFonts w:hint="eastAsia"/>
                <w:color w:val="auto"/>
                <w:szCs w:val="21"/>
                <w:highlight w:val="none"/>
              </w:rPr>
              <w:t>500万～1000万</w:t>
            </w:r>
            <w:r>
              <w:rPr>
                <w:color w:val="auto"/>
                <w:szCs w:val="21"/>
                <w:highlight w:val="none"/>
              </w:rPr>
              <w:t>元</w:t>
            </w:r>
          </w:p>
        </w:tc>
        <w:tc>
          <w:tcPr>
            <w:tcW w:w="1659" w:type="dxa"/>
            <w:noWrap w:val="0"/>
            <w:vAlign w:val="top"/>
          </w:tcPr>
          <w:p w14:paraId="438B9550">
            <w:pPr>
              <w:spacing w:line="400" w:lineRule="exact"/>
              <w:rPr>
                <w:color w:val="auto"/>
                <w:szCs w:val="21"/>
                <w:highlight w:val="none"/>
              </w:rPr>
            </w:pPr>
            <w:r>
              <w:rPr>
                <w:color w:val="auto"/>
                <w:kern w:val="0"/>
                <w:szCs w:val="21"/>
                <w:highlight w:val="none"/>
              </w:rPr>
              <w:t xml:space="preserve">  0.8%                </w:t>
            </w:r>
          </w:p>
        </w:tc>
        <w:tc>
          <w:tcPr>
            <w:tcW w:w="1687" w:type="dxa"/>
            <w:noWrap w:val="0"/>
            <w:vAlign w:val="top"/>
          </w:tcPr>
          <w:p w14:paraId="54AF0627">
            <w:pPr>
              <w:spacing w:line="400" w:lineRule="exact"/>
              <w:ind w:firstLine="210" w:firstLineChars="100"/>
              <w:rPr>
                <w:color w:val="auto"/>
                <w:szCs w:val="21"/>
                <w:highlight w:val="none"/>
              </w:rPr>
            </w:pPr>
            <w:r>
              <w:rPr>
                <w:color w:val="auto"/>
                <w:kern w:val="0"/>
                <w:szCs w:val="21"/>
                <w:highlight w:val="none"/>
              </w:rPr>
              <w:t>0.45%</w:t>
            </w:r>
          </w:p>
        </w:tc>
        <w:tc>
          <w:tcPr>
            <w:tcW w:w="1659" w:type="dxa"/>
            <w:noWrap w:val="0"/>
            <w:vAlign w:val="top"/>
          </w:tcPr>
          <w:p w14:paraId="684EA7C7">
            <w:pPr>
              <w:spacing w:line="400" w:lineRule="exact"/>
              <w:ind w:firstLine="210" w:firstLineChars="100"/>
              <w:rPr>
                <w:color w:val="auto"/>
                <w:szCs w:val="21"/>
                <w:highlight w:val="none"/>
              </w:rPr>
            </w:pPr>
            <w:r>
              <w:rPr>
                <w:color w:val="auto"/>
                <w:kern w:val="0"/>
                <w:szCs w:val="21"/>
                <w:highlight w:val="none"/>
              </w:rPr>
              <w:t>0.55%</w:t>
            </w:r>
          </w:p>
        </w:tc>
      </w:tr>
      <w:tr w14:paraId="19D3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6C867D">
            <w:pPr>
              <w:spacing w:line="400" w:lineRule="exact"/>
              <w:rPr>
                <w:color w:val="auto"/>
                <w:szCs w:val="21"/>
                <w:highlight w:val="none"/>
              </w:rPr>
            </w:pPr>
            <w:r>
              <w:rPr>
                <w:rFonts w:hint="eastAsia"/>
                <w:color w:val="auto"/>
                <w:szCs w:val="21"/>
                <w:highlight w:val="none"/>
              </w:rPr>
              <w:t>1000万～5000万</w:t>
            </w:r>
            <w:r>
              <w:rPr>
                <w:color w:val="auto"/>
                <w:szCs w:val="21"/>
                <w:highlight w:val="none"/>
              </w:rPr>
              <w:t>元</w:t>
            </w:r>
          </w:p>
        </w:tc>
        <w:tc>
          <w:tcPr>
            <w:tcW w:w="1659" w:type="dxa"/>
            <w:noWrap w:val="0"/>
            <w:vAlign w:val="top"/>
          </w:tcPr>
          <w:p w14:paraId="08FDECF2">
            <w:pPr>
              <w:spacing w:line="400" w:lineRule="exact"/>
              <w:ind w:firstLine="210" w:firstLineChars="100"/>
              <w:rPr>
                <w:color w:val="auto"/>
                <w:szCs w:val="21"/>
                <w:highlight w:val="none"/>
              </w:rPr>
            </w:pPr>
            <w:r>
              <w:rPr>
                <w:color w:val="auto"/>
                <w:kern w:val="0"/>
                <w:szCs w:val="21"/>
                <w:highlight w:val="none"/>
              </w:rPr>
              <w:t xml:space="preserve">0.5%                </w:t>
            </w:r>
          </w:p>
        </w:tc>
        <w:tc>
          <w:tcPr>
            <w:tcW w:w="1687" w:type="dxa"/>
            <w:noWrap w:val="0"/>
            <w:vAlign w:val="top"/>
          </w:tcPr>
          <w:p w14:paraId="206A81E0">
            <w:pPr>
              <w:spacing w:line="400" w:lineRule="exact"/>
              <w:ind w:firstLine="210" w:firstLineChars="100"/>
              <w:rPr>
                <w:color w:val="auto"/>
                <w:szCs w:val="21"/>
                <w:highlight w:val="none"/>
              </w:rPr>
            </w:pPr>
            <w:r>
              <w:rPr>
                <w:color w:val="auto"/>
                <w:kern w:val="0"/>
                <w:szCs w:val="21"/>
                <w:highlight w:val="none"/>
              </w:rPr>
              <w:t>0.25%</w:t>
            </w:r>
          </w:p>
        </w:tc>
        <w:tc>
          <w:tcPr>
            <w:tcW w:w="1659" w:type="dxa"/>
            <w:noWrap w:val="0"/>
            <w:vAlign w:val="top"/>
          </w:tcPr>
          <w:p w14:paraId="2D7804D5">
            <w:pPr>
              <w:spacing w:line="400" w:lineRule="exact"/>
              <w:ind w:firstLine="210" w:firstLineChars="100"/>
              <w:rPr>
                <w:color w:val="auto"/>
                <w:szCs w:val="21"/>
                <w:highlight w:val="none"/>
              </w:rPr>
            </w:pPr>
            <w:r>
              <w:rPr>
                <w:color w:val="auto"/>
                <w:kern w:val="0"/>
                <w:szCs w:val="21"/>
                <w:highlight w:val="none"/>
              </w:rPr>
              <w:t xml:space="preserve">0.35% </w:t>
            </w:r>
          </w:p>
        </w:tc>
      </w:tr>
      <w:tr w14:paraId="37A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532906">
            <w:pPr>
              <w:spacing w:line="400" w:lineRule="exact"/>
              <w:rPr>
                <w:color w:val="auto"/>
                <w:szCs w:val="21"/>
                <w:highlight w:val="none"/>
              </w:rPr>
            </w:pPr>
            <w:r>
              <w:rPr>
                <w:color w:val="auto"/>
                <w:szCs w:val="21"/>
                <w:highlight w:val="none"/>
              </w:rPr>
              <w:t>5000万元～1亿元</w:t>
            </w:r>
          </w:p>
        </w:tc>
        <w:tc>
          <w:tcPr>
            <w:tcW w:w="1659" w:type="dxa"/>
            <w:noWrap w:val="0"/>
            <w:vAlign w:val="top"/>
          </w:tcPr>
          <w:p w14:paraId="5B270DC2">
            <w:pPr>
              <w:spacing w:line="400" w:lineRule="exact"/>
              <w:ind w:firstLine="210" w:firstLineChars="100"/>
              <w:rPr>
                <w:color w:val="auto"/>
                <w:szCs w:val="21"/>
                <w:highlight w:val="none"/>
              </w:rPr>
            </w:pPr>
            <w:r>
              <w:rPr>
                <w:color w:val="auto"/>
                <w:kern w:val="0"/>
                <w:szCs w:val="21"/>
                <w:highlight w:val="none"/>
              </w:rPr>
              <w:t xml:space="preserve">0.25%                 </w:t>
            </w:r>
          </w:p>
        </w:tc>
        <w:tc>
          <w:tcPr>
            <w:tcW w:w="1687" w:type="dxa"/>
            <w:noWrap w:val="0"/>
            <w:vAlign w:val="top"/>
          </w:tcPr>
          <w:p w14:paraId="4826C459">
            <w:pPr>
              <w:spacing w:line="400" w:lineRule="exact"/>
              <w:ind w:firstLine="210" w:firstLineChars="100"/>
              <w:rPr>
                <w:color w:val="auto"/>
                <w:szCs w:val="21"/>
                <w:highlight w:val="none"/>
              </w:rPr>
            </w:pPr>
            <w:r>
              <w:rPr>
                <w:color w:val="auto"/>
                <w:kern w:val="0"/>
                <w:szCs w:val="21"/>
                <w:highlight w:val="none"/>
              </w:rPr>
              <w:t>0.1%</w:t>
            </w:r>
          </w:p>
        </w:tc>
        <w:tc>
          <w:tcPr>
            <w:tcW w:w="1659" w:type="dxa"/>
            <w:noWrap w:val="0"/>
            <w:vAlign w:val="top"/>
          </w:tcPr>
          <w:p w14:paraId="41524CB9">
            <w:pPr>
              <w:spacing w:line="400" w:lineRule="exact"/>
              <w:ind w:firstLine="210" w:firstLineChars="100"/>
              <w:rPr>
                <w:color w:val="auto"/>
                <w:szCs w:val="21"/>
                <w:highlight w:val="none"/>
              </w:rPr>
            </w:pPr>
            <w:r>
              <w:rPr>
                <w:color w:val="auto"/>
                <w:kern w:val="0"/>
                <w:szCs w:val="21"/>
                <w:highlight w:val="none"/>
              </w:rPr>
              <w:t>0.2%</w:t>
            </w:r>
          </w:p>
        </w:tc>
      </w:tr>
      <w:tr w14:paraId="1BF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42206A">
            <w:pPr>
              <w:spacing w:line="400" w:lineRule="exact"/>
              <w:rPr>
                <w:color w:val="auto"/>
                <w:szCs w:val="21"/>
                <w:highlight w:val="none"/>
              </w:rPr>
            </w:pPr>
            <w:r>
              <w:rPr>
                <w:rFonts w:hint="eastAsia"/>
                <w:color w:val="auto"/>
                <w:szCs w:val="21"/>
                <w:highlight w:val="none"/>
              </w:rPr>
              <w:t>1亿～5亿</w:t>
            </w:r>
            <w:r>
              <w:rPr>
                <w:color w:val="auto"/>
                <w:szCs w:val="21"/>
                <w:highlight w:val="none"/>
              </w:rPr>
              <w:t>元</w:t>
            </w:r>
          </w:p>
        </w:tc>
        <w:tc>
          <w:tcPr>
            <w:tcW w:w="1659" w:type="dxa"/>
            <w:noWrap w:val="0"/>
            <w:vAlign w:val="top"/>
          </w:tcPr>
          <w:p w14:paraId="3249CB4E">
            <w:pPr>
              <w:spacing w:line="400" w:lineRule="exact"/>
              <w:ind w:firstLine="210" w:firstLineChars="100"/>
              <w:rPr>
                <w:color w:val="auto"/>
                <w:szCs w:val="21"/>
                <w:highlight w:val="none"/>
              </w:rPr>
            </w:pPr>
            <w:r>
              <w:rPr>
                <w:color w:val="auto"/>
                <w:szCs w:val="21"/>
                <w:highlight w:val="none"/>
              </w:rPr>
              <w:t>0.05%</w:t>
            </w:r>
          </w:p>
        </w:tc>
        <w:tc>
          <w:tcPr>
            <w:tcW w:w="1687" w:type="dxa"/>
            <w:noWrap w:val="0"/>
            <w:vAlign w:val="top"/>
          </w:tcPr>
          <w:p w14:paraId="1B3BC655">
            <w:pPr>
              <w:spacing w:line="400" w:lineRule="exact"/>
              <w:rPr>
                <w:color w:val="auto"/>
                <w:szCs w:val="21"/>
                <w:highlight w:val="none"/>
              </w:rPr>
            </w:pPr>
            <w:r>
              <w:rPr>
                <w:color w:val="auto"/>
                <w:szCs w:val="21"/>
                <w:highlight w:val="none"/>
              </w:rPr>
              <w:t xml:space="preserve">  0.05%</w:t>
            </w:r>
          </w:p>
        </w:tc>
        <w:tc>
          <w:tcPr>
            <w:tcW w:w="1659" w:type="dxa"/>
            <w:noWrap w:val="0"/>
            <w:vAlign w:val="top"/>
          </w:tcPr>
          <w:p w14:paraId="2D9A9F6B">
            <w:pPr>
              <w:spacing w:line="400" w:lineRule="exact"/>
              <w:rPr>
                <w:color w:val="auto"/>
                <w:szCs w:val="21"/>
                <w:highlight w:val="none"/>
              </w:rPr>
            </w:pPr>
            <w:r>
              <w:rPr>
                <w:color w:val="auto"/>
                <w:szCs w:val="21"/>
                <w:highlight w:val="none"/>
              </w:rPr>
              <w:t xml:space="preserve">  0.05%</w:t>
            </w:r>
          </w:p>
        </w:tc>
      </w:tr>
      <w:tr w14:paraId="5F5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25BD20">
            <w:pPr>
              <w:spacing w:line="400" w:lineRule="exact"/>
              <w:rPr>
                <w:rFonts w:hint="eastAsia"/>
                <w:color w:val="auto"/>
                <w:szCs w:val="21"/>
                <w:highlight w:val="none"/>
              </w:rPr>
            </w:pPr>
            <w:r>
              <w:rPr>
                <w:rFonts w:hint="eastAsia"/>
                <w:color w:val="auto"/>
                <w:szCs w:val="21"/>
                <w:highlight w:val="none"/>
              </w:rPr>
              <w:t>5亿～10亿</w:t>
            </w:r>
            <w:r>
              <w:rPr>
                <w:color w:val="auto"/>
                <w:szCs w:val="21"/>
                <w:highlight w:val="none"/>
              </w:rPr>
              <w:t>元</w:t>
            </w:r>
          </w:p>
        </w:tc>
        <w:tc>
          <w:tcPr>
            <w:tcW w:w="1659" w:type="dxa"/>
            <w:noWrap w:val="0"/>
            <w:vAlign w:val="top"/>
          </w:tcPr>
          <w:p w14:paraId="76056034">
            <w:pPr>
              <w:spacing w:line="400" w:lineRule="exact"/>
              <w:ind w:firstLine="105" w:firstLineChars="50"/>
              <w:rPr>
                <w:color w:val="auto"/>
                <w:szCs w:val="21"/>
                <w:highlight w:val="none"/>
              </w:rPr>
            </w:pPr>
            <w:r>
              <w:rPr>
                <w:color w:val="auto"/>
                <w:szCs w:val="21"/>
                <w:highlight w:val="none"/>
              </w:rPr>
              <w:t>0.035%</w:t>
            </w:r>
          </w:p>
        </w:tc>
        <w:tc>
          <w:tcPr>
            <w:tcW w:w="1687" w:type="dxa"/>
            <w:noWrap w:val="0"/>
            <w:vAlign w:val="top"/>
          </w:tcPr>
          <w:p w14:paraId="0E03E1C1">
            <w:pPr>
              <w:spacing w:line="400" w:lineRule="exact"/>
              <w:rPr>
                <w:color w:val="auto"/>
                <w:szCs w:val="21"/>
                <w:highlight w:val="none"/>
              </w:rPr>
            </w:pPr>
            <w:r>
              <w:rPr>
                <w:color w:val="auto"/>
                <w:szCs w:val="21"/>
                <w:highlight w:val="none"/>
              </w:rPr>
              <w:t xml:space="preserve">  0.035%</w:t>
            </w:r>
          </w:p>
        </w:tc>
        <w:tc>
          <w:tcPr>
            <w:tcW w:w="1659" w:type="dxa"/>
            <w:noWrap w:val="0"/>
            <w:vAlign w:val="top"/>
          </w:tcPr>
          <w:p w14:paraId="3328BF24">
            <w:pPr>
              <w:spacing w:line="400" w:lineRule="exact"/>
              <w:ind w:firstLine="105" w:firstLineChars="50"/>
              <w:rPr>
                <w:color w:val="auto"/>
                <w:szCs w:val="21"/>
                <w:highlight w:val="none"/>
              </w:rPr>
            </w:pPr>
            <w:r>
              <w:rPr>
                <w:color w:val="auto"/>
                <w:szCs w:val="21"/>
                <w:highlight w:val="none"/>
              </w:rPr>
              <w:t>0.035%</w:t>
            </w:r>
          </w:p>
        </w:tc>
      </w:tr>
      <w:tr w14:paraId="052E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7C1DF6">
            <w:pPr>
              <w:spacing w:line="400" w:lineRule="exact"/>
              <w:rPr>
                <w:rFonts w:hint="eastAsia"/>
                <w:color w:val="auto"/>
                <w:szCs w:val="21"/>
                <w:highlight w:val="none"/>
              </w:rPr>
            </w:pPr>
            <w:r>
              <w:rPr>
                <w:rFonts w:hint="eastAsia"/>
                <w:color w:val="auto"/>
                <w:szCs w:val="21"/>
                <w:highlight w:val="none"/>
              </w:rPr>
              <w:t>10亿～50亿</w:t>
            </w:r>
            <w:r>
              <w:rPr>
                <w:color w:val="auto"/>
                <w:szCs w:val="21"/>
                <w:highlight w:val="none"/>
              </w:rPr>
              <w:t>元</w:t>
            </w:r>
          </w:p>
        </w:tc>
        <w:tc>
          <w:tcPr>
            <w:tcW w:w="1659" w:type="dxa"/>
            <w:noWrap w:val="0"/>
            <w:vAlign w:val="top"/>
          </w:tcPr>
          <w:p w14:paraId="308FE411">
            <w:pPr>
              <w:spacing w:line="400" w:lineRule="exact"/>
              <w:ind w:firstLine="105" w:firstLineChars="50"/>
              <w:rPr>
                <w:color w:val="auto"/>
                <w:szCs w:val="21"/>
                <w:highlight w:val="none"/>
              </w:rPr>
            </w:pPr>
            <w:r>
              <w:rPr>
                <w:color w:val="auto"/>
                <w:szCs w:val="21"/>
                <w:highlight w:val="none"/>
              </w:rPr>
              <w:t>0.008%</w:t>
            </w:r>
          </w:p>
        </w:tc>
        <w:tc>
          <w:tcPr>
            <w:tcW w:w="1687" w:type="dxa"/>
            <w:noWrap w:val="0"/>
            <w:vAlign w:val="top"/>
          </w:tcPr>
          <w:p w14:paraId="2E3948C1">
            <w:pPr>
              <w:spacing w:line="400" w:lineRule="exact"/>
              <w:ind w:firstLine="210" w:firstLineChars="100"/>
              <w:rPr>
                <w:color w:val="auto"/>
                <w:szCs w:val="21"/>
                <w:highlight w:val="none"/>
              </w:rPr>
            </w:pPr>
            <w:r>
              <w:rPr>
                <w:color w:val="auto"/>
                <w:szCs w:val="21"/>
                <w:highlight w:val="none"/>
              </w:rPr>
              <w:t>0.008%</w:t>
            </w:r>
          </w:p>
        </w:tc>
        <w:tc>
          <w:tcPr>
            <w:tcW w:w="1659" w:type="dxa"/>
            <w:noWrap w:val="0"/>
            <w:vAlign w:val="top"/>
          </w:tcPr>
          <w:p w14:paraId="39DE5E1E">
            <w:pPr>
              <w:spacing w:line="400" w:lineRule="exact"/>
              <w:ind w:firstLine="105" w:firstLineChars="50"/>
              <w:rPr>
                <w:color w:val="auto"/>
                <w:szCs w:val="21"/>
                <w:highlight w:val="none"/>
              </w:rPr>
            </w:pPr>
            <w:r>
              <w:rPr>
                <w:color w:val="auto"/>
                <w:szCs w:val="21"/>
                <w:highlight w:val="none"/>
              </w:rPr>
              <w:t>0.008%</w:t>
            </w:r>
          </w:p>
        </w:tc>
      </w:tr>
      <w:tr w14:paraId="4A96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99E900">
            <w:pPr>
              <w:spacing w:line="400" w:lineRule="exact"/>
              <w:rPr>
                <w:rFonts w:hint="eastAsia"/>
                <w:color w:val="auto"/>
                <w:szCs w:val="21"/>
                <w:highlight w:val="none"/>
              </w:rPr>
            </w:pPr>
            <w:r>
              <w:rPr>
                <w:rFonts w:hint="eastAsia"/>
                <w:color w:val="auto"/>
                <w:szCs w:val="21"/>
                <w:highlight w:val="none"/>
              </w:rPr>
              <w:t>50亿～100亿</w:t>
            </w:r>
            <w:r>
              <w:rPr>
                <w:color w:val="auto"/>
                <w:szCs w:val="21"/>
                <w:highlight w:val="none"/>
              </w:rPr>
              <w:t>元</w:t>
            </w:r>
          </w:p>
        </w:tc>
        <w:tc>
          <w:tcPr>
            <w:tcW w:w="1659" w:type="dxa"/>
            <w:noWrap w:val="0"/>
            <w:vAlign w:val="top"/>
          </w:tcPr>
          <w:p w14:paraId="551774E3">
            <w:pPr>
              <w:spacing w:line="400" w:lineRule="exact"/>
              <w:rPr>
                <w:color w:val="auto"/>
                <w:szCs w:val="21"/>
                <w:highlight w:val="none"/>
              </w:rPr>
            </w:pPr>
            <w:r>
              <w:rPr>
                <w:color w:val="auto"/>
                <w:szCs w:val="21"/>
                <w:highlight w:val="none"/>
              </w:rPr>
              <w:t xml:space="preserve"> 0.006%</w:t>
            </w:r>
          </w:p>
        </w:tc>
        <w:tc>
          <w:tcPr>
            <w:tcW w:w="1687" w:type="dxa"/>
            <w:noWrap w:val="0"/>
            <w:vAlign w:val="top"/>
          </w:tcPr>
          <w:p w14:paraId="3CB380C3">
            <w:pPr>
              <w:spacing w:line="400" w:lineRule="exact"/>
              <w:ind w:firstLine="210" w:firstLineChars="100"/>
              <w:rPr>
                <w:color w:val="auto"/>
                <w:szCs w:val="21"/>
                <w:highlight w:val="none"/>
              </w:rPr>
            </w:pPr>
            <w:r>
              <w:rPr>
                <w:color w:val="auto"/>
                <w:szCs w:val="21"/>
                <w:highlight w:val="none"/>
              </w:rPr>
              <w:t>0.006%</w:t>
            </w:r>
          </w:p>
        </w:tc>
        <w:tc>
          <w:tcPr>
            <w:tcW w:w="1659" w:type="dxa"/>
            <w:noWrap w:val="0"/>
            <w:vAlign w:val="top"/>
          </w:tcPr>
          <w:p w14:paraId="63E9AC81">
            <w:pPr>
              <w:spacing w:line="400" w:lineRule="exact"/>
              <w:ind w:firstLine="105" w:firstLineChars="50"/>
              <w:rPr>
                <w:color w:val="auto"/>
                <w:szCs w:val="21"/>
                <w:highlight w:val="none"/>
              </w:rPr>
            </w:pPr>
            <w:r>
              <w:rPr>
                <w:color w:val="auto"/>
                <w:szCs w:val="21"/>
                <w:highlight w:val="none"/>
              </w:rPr>
              <w:t>0.006%</w:t>
            </w:r>
          </w:p>
        </w:tc>
      </w:tr>
      <w:tr w14:paraId="5618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472" w:type="dxa"/>
            <w:noWrap w:val="0"/>
            <w:vAlign w:val="top"/>
          </w:tcPr>
          <w:p w14:paraId="45B89A68">
            <w:pPr>
              <w:spacing w:line="400" w:lineRule="exact"/>
              <w:rPr>
                <w:rFonts w:hint="eastAsia"/>
                <w:color w:val="auto"/>
                <w:szCs w:val="21"/>
                <w:highlight w:val="none"/>
              </w:rPr>
            </w:pPr>
            <w:r>
              <w:rPr>
                <w:color w:val="auto"/>
                <w:szCs w:val="21"/>
                <w:highlight w:val="none"/>
              </w:rPr>
              <w:t>100亿以上</w:t>
            </w:r>
          </w:p>
        </w:tc>
        <w:tc>
          <w:tcPr>
            <w:tcW w:w="1659" w:type="dxa"/>
            <w:noWrap w:val="0"/>
            <w:vAlign w:val="top"/>
          </w:tcPr>
          <w:p w14:paraId="307CEAD6">
            <w:pPr>
              <w:spacing w:line="400" w:lineRule="exact"/>
              <w:rPr>
                <w:color w:val="auto"/>
                <w:szCs w:val="21"/>
                <w:highlight w:val="none"/>
              </w:rPr>
            </w:pPr>
            <w:r>
              <w:rPr>
                <w:color w:val="auto"/>
                <w:szCs w:val="21"/>
                <w:highlight w:val="none"/>
              </w:rPr>
              <w:t xml:space="preserve"> 0.004%</w:t>
            </w:r>
          </w:p>
        </w:tc>
        <w:tc>
          <w:tcPr>
            <w:tcW w:w="1687" w:type="dxa"/>
            <w:noWrap w:val="0"/>
            <w:vAlign w:val="top"/>
          </w:tcPr>
          <w:p w14:paraId="70BA23E8">
            <w:pPr>
              <w:spacing w:line="400" w:lineRule="exact"/>
              <w:ind w:firstLine="210" w:firstLineChars="100"/>
              <w:rPr>
                <w:color w:val="auto"/>
                <w:szCs w:val="21"/>
                <w:highlight w:val="none"/>
              </w:rPr>
            </w:pPr>
            <w:r>
              <w:rPr>
                <w:color w:val="auto"/>
                <w:szCs w:val="21"/>
                <w:highlight w:val="none"/>
              </w:rPr>
              <w:t>0.004%</w:t>
            </w:r>
          </w:p>
        </w:tc>
        <w:tc>
          <w:tcPr>
            <w:tcW w:w="1659" w:type="dxa"/>
            <w:noWrap w:val="0"/>
            <w:vAlign w:val="top"/>
          </w:tcPr>
          <w:p w14:paraId="232CCBA5">
            <w:pPr>
              <w:spacing w:line="400" w:lineRule="exact"/>
              <w:ind w:firstLine="105" w:firstLineChars="50"/>
              <w:rPr>
                <w:color w:val="auto"/>
                <w:szCs w:val="21"/>
                <w:highlight w:val="none"/>
              </w:rPr>
            </w:pPr>
            <w:r>
              <w:rPr>
                <w:color w:val="auto"/>
                <w:szCs w:val="21"/>
                <w:highlight w:val="none"/>
              </w:rPr>
              <w:t>0.004%</w:t>
            </w:r>
          </w:p>
        </w:tc>
      </w:tr>
    </w:tbl>
    <w:p w14:paraId="4969865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注：采购代理收费按差额定率累进法计算。</w:t>
      </w:r>
    </w:p>
    <w:p w14:paraId="37734988">
      <w:pPr>
        <w:spacing w:line="360" w:lineRule="auto"/>
        <w:ind w:firstLine="422" w:firstLineChars="200"/>
        <w:rPr>
          <w:rFonts w:hint="eastAsia" w:ascii="宋体" w:hAnsi="宋体"/>
          <w:b/>
          <w:color w:val="auto"/>
          <w:szCs w:val="21"/>
          <w:highlight w:val="none"/>
        </w:rPr>
      </w:pPr>
    </w:p>
    <w:p w14:paraId="6E6F48F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43881D9D">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31FE4F60">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02E87C61">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6917391A">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6272B79B">
      <w:pPr>
        <w:spacing w:before="120" w:after="120" w:line="360" w:lineRule="auto"/>
        <w:ind w:firstLine="420" w:firstLineChars="200"/>
        <w:contextualSpacing/>
        <w:rPr>
          <w:rFonts w:hint="eastAsia" w:ascii="宋体" w:hAnsi="宋体"/>
          <w:color w:val="auto"/>
          <w:szCs w:val="20"/>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3E3368D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5C97F78C">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423C7D7">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（1）线下渠道：在“南宁市公共资源交易中心”官网（网址：</w:t>
      </w:r>
      <w:r>
        <w:rPr>
          <w:rFonts w:ascii="Calibri" w:hAnsi="宋体"/>
          <w:color w:val="auto"/>
          <w:highlight w:val="none"/>
        </w:rPr>
        <w:t>http://www.nnggzy.org.cn</w:t>
      </w:r>
      <w:r>
        <w:rPr>
          <w:rFonts w:hint="eastAsia" w:ascii="Calibri" w:hAnsi="宋体"/>
          <w:color w:val="auto"/>
          <w:highlight w:val="none"/>
        </w:rPr>
        <w:t>）“交易信息</w:t>
      </w:r>
      <w:r>
        <w:rPr>
          <w:rFonts w:ascii="Calibri" w:hAnsi="宋体"/>
          <w:color w:val="auto"/>
          <w:highlight w:val="none"/>
        </w:rPr>
        <w:t>-</w:t>
      </w:r>
      <w:r>
        <w:rPr>
          <w:rFonts w:hint="eastAsia" w:ascii="Calibri" w:hAnsi="宋体"/>
          <w:color w:val="auto"/>
          <w:highlight w:val="none"/>
        </w:rPr>
        <w:t>政府采购</w:t>
      </w:r>
      <w:r>
        <w:rPr>
          <w:rFonts w:ascii="Calibri" w:hAnsi="宋体"/>
          <w:color w:val="auto"/>
          <w:highlight w:val="none"/>
        </w:rPr>
        <w:t>-</w:t>
      </w:r>
      <w:r>
        <w:rPr>
          <w:rFonts w:hint="eastAsia" w:ascii="Calibri" w:hAnsi="宋体"/>
          <w:color w:val="auto"/>
          <w:highlight w:val="none"/>
        </w:rPr>
        <w:t>政府采购信用融资”中融资银行和南宁市企业融资服务中心专栏信息申请政府采购信用融资。</w:t>
      </w:r>
    </w:p>
    <w:p w14:paraId="689F81A7">
      <w:pPr>
        <w:spacing w:line="360" w:lineRule="auto"/>
        <w:ind w:firstLine="420" w:firstLineChars="200"/>
        <w:jc w:val="left"/>
        <w:rPr>
          <w:rFonts w:hint="eastAsia" w:hAnsi="宋体"/>
          <w:color w:val="auto"/>
          <w:highlight w:val="none"/>
        </w:rPr>
      </w:pPr>
      <w:r>
        <w:rPr>
          <w:rFonts w:hint="eastAsia" w:ascii="Calibri"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br w:type="page"/>
      </w:r>
      <w:bookmarkStart w:id="95" w:name="_Toc532545043"/>
    </w:p>
    <w:p w14:paraId="3270C9F5">
      <w:pPr>
        <w:jc w:val="center"/>
        <w:outlineLvl w:val="0"/>
        <w:rPr>
          <w:b/>
          <w:color w:val="auto"/>
          <w:sz w:val="36"/>
          <w:szCs w:val="20"/>
          <w:highlight w:val="none"/>
        </w:rPr>
      </w:pPr>
      <w:bookmarkStart w:id="96" w:name="_Toc26743"/>
      <w:r>
        <w:rPr>
          <w:rFonts w:hint="eastAsia"/>
          <w:b/>
          <w:color w:val="auto"/>
          <w:sz w:val="36"/>
          <w:szCs w:val="20"/>
          <w:highlight w:val="none"/>
        </w:rPr>
        <w:t>第四章</w:t>
      </w:r>
      <w:r>
        <w:rPr>
          <w:b/>
          <w:color w:val="auto"/>
          <w:sz w:val="36"/>
          <w:szCs w:val="20"/>
          <w:highlight w:val="none"/>
        </w:rPr>
        <w:t xml:space="preserve">  </w:t>
      </w:r>
      <w:r>
        <w:rPr>
          <w:rFonts w:hint="eastAsia"/>
          <w:b/>
          <w:color w:val="auto"/>
          <w:sz w:val="36"/>
          <w:szCs w:val="20"/>
          <w:highlight w:val="none"/>
        </w:rPr>
        <w:t>评标方法</w:t>
      </w:r>
      <w:bookmarkEnd w:id="95"/>
      <w:r>
        <w:rPr>
          <w:rFonts w:hint="eastAsia"/>
          <w:b/>
          <w:color w:val="auto"/>
          <w:sz w:val="36"/>
          <w:szCs w:val="20"/>
          <w:highlight w:val="none"/>
        </w:rPr>
        <w:t>及评分标准</w:t>
      </w:r>
      <w:bookmarkEnd w:id="96"/>
    </w:p>
    <w:p w14:paraId="21525BCB">
      <w:pPr>
        <w:jc w:val="center"/>
        <w:outlineLvl w:val="1"/>
        <w:rPr>
          <w:rFonts w:hint="eastAsia"/>
          <w:b/>
          <w:bCs/>
          <w:color w:val="auto"/>
          <w:sz w:val="32"/>
          <w:szCs w:val="32"/>
          <w:highlight w:val="none"/>
        </w:rPr>
      </w:pPr>
      <w:bookmarkStart w:id="97" w:name="_Toc5618"/>
      <w:r>
        <w:rPr>
          <w:rFonts w:hint="eastAsia"/>
          <w:b/>
          <w:bCs/>
          <w:color w:val="auto"/>
          <w:sz w:val="32"/>
          <w:szCs w:val="32"/>
          <w:highlight w:val="none"/>
        </w:rPr>
        <w:t>第一节 评标方法</w:t>
      </w:r>
      <w:bookmarkEnd w:id="97"/>
    </w:p>
    <w:p w14:paraId="361C70B8">
      <w:pPr>
        <w:tabs>
          <w:tab w:val="left" w:pos="2472"/>
        </w:tabs>
        <w:spacing w:line="460" w:lineRule="exact"/>
        <w:ind w:firstLine="420" w:firstLineChars="200"/>
        <w:rPr>
          <w:rFonts w:hint="eastAsia" w:ascii="宋体" w:hAnsi="Courier New"/>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以下勾选的方式</w:t>
      </w:r>
      <w:r>
        <w:rPr>
          <w:rFonts w:hint="eastAsia" w:ascii="宋体" w:hAnsi="宋体" w:cs="宋体"/>
          <w:color w:val="auto"/>
          <w:szCs w:val="21"/>
          <w:highlight w:val="none"/>
        </w:rPr>
        <w:t>进行评审。</w:t>
      </w:r>
    </w:p>
    <w:p w14:paraId="39B397BC">
      <w:pPr>
        <w:spacing w:line="360" w:lineRule="auto"/>
        <w:ind w:firstLine="420"/>
        <w:rPr>
          <w:rFonts w:ascii="宋体" w:hAnsi="宋体"/>
          <w:color w:val="auto"/>
          <w:szCs w:val="20"/>
          <w:highlight w:val="none"/>
        </w:rPr>
      </w:pPr>
      <w:r>
        <w:rPr>
          <w:rFonts w:hint="eastAsia" w:ascii="宋体" w:hAnsi="宋体"/>
          <w:color w:val="auto"/>
          <w:szCs w:val="21"/>
          <w:highlight w:val="none"/>
        </w:rPr>
        <w:t>□最低评标价法，是指投标文件满足招标文件</w:t>
      </w:r>
      <w:r>
        <w:rPr>
          <w:rFonts w:hint="eastAsia" w:ascii="宋体" w:hAnsi="宋体"/>
          <w:color w:val="auto"/>
          <w:szCs w:val="20"/>
          <w:highlight w:val="none"/>
        </w:rPr>
        <w:t>全部实质性要求，且投标报价最低的投标人为中标候选人的评标方法。</w:t>
      </w:r>
    </w:p>
    <w:p w14:paraId="09087FD6">
      <w:pPr>
        <w:autoSpaceDE w:val="0"/>
        <w:autoSpaceDN w:val="0"/>
        <w:adjustRightInd w:val="0"/>
        <w:spacing w:line="440" w:lineRule="exact"/>
        <w:ind w:firstLine="420" w:firstLineChars="200"/>
        <w:rPr>
          <w:rFonts w:ascii="宋体" w:hAnsi="宋体"/>
          <w:color w:val="auto"/>
          <w:szCs w:val="20"/>
          <w:highlight w:val="none"/>
        </w:rPr>
      </w:pPr>
      <w:r>
        <w:rPr>
          <w:rFonts w:hint="eastAsia" w:hAnsi="宋体"/>
          <w:color w:val="auto"/>
          <w:highlight w:val="none"/>
        </w:rPr>
        <w:sym w:font="Wingdings 2" w:char="0052"/>
      </w:r>
      <w:r>
        <w:rPr>
          <w:rFonts w:hint="eastAsia" w:hAnsi="宋体"/>
          <w:color w:val="auto"/>
          <w:highlight w:val="none"/>
        </w:rPr>
        <w:t>综合评分法，</w:t>
      </w:r>
      <w:r>
        <w:rPr>
          <w:rFonts w:hint="eastAsia" w:ascii="宋体" w:hAnsi="宋体"/>
          <w:color w:val="auto"/>
          <w:szCs w:val="20"/>
          <w:highlight w:val="none"/>
        </w:rPr>
        <w:t>是指投标文件满足招标文件全部实质性要求，且按照评审因素的量化指标评审得分最高的投标人为中标候选人的评标方法。评标委员会将对各投标人的投标报价、技术、商务等方面进行综合评审，对实质上响应招标文件的投标人，由各评委独立记名打分。经统计，得出各投标人的综合得分,按综合得分由高到低顺序排列。若综合得分相同的，按投标报价由低到高顺序排列。若综合得分且投标报价相同并列。</w:t>
      </w:r>
    </w:p>
    <w:p w14:paraId="5277486B">
      <w:pPr>
        <w:tabs>
          <w:tab w:val="left" w:pos="2472"/>
        </w:tabs>
        <w:spacing w:line="460" w:lineRule="exact"/>
        <w:jc w:val="center"/>
        <w:outlineLvl w:val="1"/>
        <w:rPr>
          <w:rFonts w:hint="eastAsia"/>
          <w:b/>
          <w:bCs/>
          <w:color w:val="auto"/>
          <w:sz w:val="32"/>
          <w:szCs w:val="32"/>
          <w:highlight w:val="none"/>
        </w:rPr>
      </w:pPr>
      <w:bookmarkStart w:id="98" w:name="_Toc19457"/>
      <w:r>
        <w:rPr>
          <w:rFonts w:hint="eastAsia"/>
          <w:b/>
          <w:bCs/>
          <w:color w:val="auto"/>
          <w:sz w:val="32"/>
          <w:szCs w:val="32"/>
          <w:highlight w:val="none"/>
        </w:rPr>
        <w:t>第二节 评标程序</w:t>
      </w:r>
      <w:bookmarkEnd w:id="98"/>
    </w:p>
    <w:p w14:paraId="267F0C6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134EFED5">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168FDF5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476590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534E17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565DC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4051FD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2F398F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（3）报价超出招标文件规定最高限价（包括分项最高限价），或者超出采购预算金额（包括分项预算金额）的；</w:t>
      </w:r>
    </w:p>
    <w:p w14:paraId="27D05F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项目/分标进行报价或者存在漏项报价；投标人未就所投项目/分标的单项内容作唯一报价；投标人未就所投项目/分标的全部内容作唯一总价报价；存在有选择、有条件报价的（招标文件允许有备选方案或者其他约定的除外）；</w:t>
      </w:r>
    </w:p>
    <w:p w14:paraId="52A0E5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662457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0460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9AA29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14E7BE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56F073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2BD072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（4）投标有效期、服务期限、质保期或招标文件中标“▲”的商务条款发生负偏离的；</w:t>
      </w:r>
    </w:p>
    <w:p w14:paraId="0AE3F6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（5）商务评审允许负偏离的条款数超过“投标人须知前附表”规定项数的；</w:t>
      </w:r>
    </w:p>
    <w:p w14:paraId="2A69AC99">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（6）投标文件的实质性内容未使用中文表述、使用计量单位不符合招标文件要求的；</w:t>
      </w:r>
    </w:p>
    <w:p w14:paraId="7F76E338">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（7）投标文件中的文件资料因填写不齐全或者内容虚假或者出现其他情形而导致被评标委员会认定无效的；</w:t>
      </w:r>
    </w:p>
    <w:p w14:paraId="46D865D5">
      <w:pPr>
        <w:shd w:val="clear" w:color="auto" w:fill="FFFFFF"/>
        <w:snapToGrid w:val="0"/>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（8）未按商务条款的要求提供承诺书的；</w:t>
      </w:r>
    </w:p>
    <w:p w14:paraId="73732971">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（9）投标文件含有采购人不能接受的附加条件的；</w:t>
      </w:r>
    </w:p>
    <w:p w14:paraId="5A70CD0B">
      <w:pPr>
        <w:shd w:val="clear" w:color="auto" w:fill="FFFFFF"/>
        <w:snapToGrid w:val="0"/>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（10）招标文件第二章采购需求的商务要求中，如需求中涉及产品尺寸外形偏差或含有大于等于</w:t>
      </w:r>
      <w:r>
        <w:rPr>
          <w:rFonts w:hint="eastAsia" w:hAnsi="宋体"/>
          <w:color w:val="auto"/>
          <w:szCs w:val="21"/>
          <w:highlight w:val="none"/>
          <w:lang w:val="en-US" w:eastAsia="zh-CN"/>
        </w:rPr>
        <w:t>或者</w:t>
      </w:r>
      <w:r>
        <w:rPr>
          <w:rFonts w:hint="eastAsia" w:ascii="宋体" w:hAnsi="宋体" w:cs="宋体"/>
          <w:color w:val="auto"/>
          <w:szCs w:val="21"/>
          <w:highlight w:val="none"/>
          <w:lang w:bidi="ar"/>
        </w:rPr>
        <w:t>小于等于数值</w:t>
      </w:r>
      <w:r>
        <w:rPr>
          <w:rFonts w:hint="eastAsia" w:ascii="宋体" w:hAnsi="宋体" w:cs="宋体"/>
          <w:color w:val="auto"/>
          <w:szCs w:val="21"/>
          <w:highlight w:val="none"/>
          <w:lang w:val="en-US" w:eastAsia="zh-CN" w:bidi="ar"/>
        </w:rPr>
        <w:t>的</w:t>
      </w:r>
      <w:r>
        <w:rPr>
          <w:rFonts w:hint="eastAsia" w:ascii="宋体" w:hAnsi="宋体" w:cs="宋体"/>
          <w:color w:val="auto"/>
          <w:szCs w:val="21"/>
          <w:highlight w:val="none"/>
          <w:lang w:bidi="ar"/>
        </w:rPr>
        <w:t>或含有不小于</w:t>
      </w:r>
      <w:r>
        <w:rPr>
          <w:rFonts w:hint="eastAsia" w:hAnsi="宋体"/>
          <w:color w:val="auto"/>
          <w:szCs w:val="21"/>
          <w:highlight w:val="none"/>
          <w:lang w:val="en-US" w:eastAsia="zh-CN"/>
        </w:rPr>
        <w:t>或者</w:t>
      </w:r>
      <w:r>
        <w:rPr>
          <w:rFonts w:hint="eastAsia" w:ascii="宋体" w:hAnsi="宋体" w:cs="宋体"/>
          <w:color w:val="auto"/>
          <w:szCs w:val="21"/>
          <w:highlight w:val="none"/>
          <w:lang w:bidi="ar"/>
        </w:rPr>
        <w:t>不少于数值的，简单复制采购需求中的条款，未实际响应具体尺寸或具体数值的。</w:t>
      </w:r>
    </w:p>
    <w:p w14:paraId="38E7BD05">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（11）未响应招标文件实质性要求的；</w:t>
      </w:r>
    </w:p>
    <w:p w14:paraId="0988790D">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（12）属于投标人须知正文第9.2条情形的；</w:t>
      </w:r>
    </w:p>
    <w:p w14:paraId="0CED8A93">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（13）法律、法规和招标文件规定的其他无效情形。</w:t>
      </w:r>
    </w:p>
    <w:p w14:paraId="43DC9D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3A4D26F1">
      <w:pPr>
        <w:spacing w:line="360" w:lineRule="auto"/>
        <w:ind w:firstLine="420" w:firstLineChars="200"/>
        <w:rPr>
          <w:rFonts w:hint="eastAsia" w:hAnsi="宋体"/>
          <w:color w:val="auto"/>
          <w:szCs w:val="21"/>
          <w:highlight w:val="none"/>
        </w:rPr>
      </w:pPr>
      <w:r>
        <w:rPr>
          <w:rFonts w:hint="eastAsia" w:hAnsi="宋体"/>
          <w:color w:val="auto"/>
          <w:szCs w:val="21"/>
          <w:highlight w:val="none"/>
        </w:rPr>
        <w:t>（1）不满足招标文件要求的服务参数，或者与招标文件中标“▲”的技术需求发生负偏离的；</w:t>
      </w:r>
    </w:p>
    <w:p w14:paraId="74A8FBB1">
      <w:pPr>
        <w:spacing w:line="360" w:lineRule="auto"/>
        <w:ind w:firstLine="420" w:firstLineChars="200"/>
        <w:rPr>
          <w:rFonts w:hint="eastAsia" w:hAnsi="宋体"/>
          <w:color w:val="auto"/>
          <w:szCs w:val="21"/>
          <w:highlight w:val="none"/>
        </w:rPr>
      </w:pPr>
      <w:r>
        <w:rPr>
          <w:rFonts w:hint="eastAsia" w:hAnsi="宋体"/>
          <w:color w:val="auto"/>
          <w:szCs w:val="21"/>
          <w:highlight w:val="none"/>
        </w:rPr>
        <w:t>（2）技术评审允许负偏离的条款数超过“投标人须知前附表”规定项数的；</w:t>
      </w:r>
    </w:p>
    <w:p w14:paraId="731960DF">
      <w:pPr>
        <w:spacing w:line="360" w:lineRule="auto"/>
        <w:ind w:firstLine="420" w:firstLineChars="200"/>
        <w:rPr>
          <w:rFonts w:hint="eastAsia" w:hAnsi="宋体"/>
          <w:color w:val="auto"/>
          <w:szCs w:val="21"/>
          <w:highlight w:val="none"/>
        </w:rPr>
      </w:pPr>
      <w:r>
        <w:rPr>
          <w:rFonts w:hint="eastAsia" w:hAnsi="宋体"/>
          <w:color w:val="auto"/>
          <w:szCs w:val="21"/>
          <w:highlight w:val="none"/>
        </w:rPr>
        <w:t>（3）招标文件第二章采购需求的附件1、附件2配置需求中，如</w:t>
      </w:r>
      <w:r>
        <w:rPr>
          <w:rFonts w:hint="eastAsia" w:ascii="宋体" w:hAnsi="宋体" w:cs="宋体"/>
          <w:color w:val="auto"/>
          <w:szCs w:val="21"/>
          <w:highlight w:val="none"/>
          <w:lang w:bidi="ar"/>
        </w:rPr>
        <w:t>需求</w:t>
      </w:r>
      <w:r>
        <w:rPr>
          <w:rFonts w:hint="eastAsia" w:hAnsi="宋体"/>
          <w:color w:val="auto"/>
          <w:szCs w:val="21"/>
          <w:highlight w:val="none"/>
        </w:rPr>
        <w:t>中涉及产品尺寸外形偏差或含有大于等于</w:t>
      </w:r>
      <w:r>
        <w:rPr>
          <w:rFonts w:hint="eastAsia" w:hAnsi="宋体"/>
          <w:color w:val="auto"/>
          <w:szCs w:val="21"/>
          <w:highlight w:val="none"/>
          <w:lang w:val="en-US" w:eastAsia="zh-CN"/>
        </w:rPr>
        <w:t>或者</w:t>
      </w:r>
      <w:r>
        <w:rPr>
          <w:rFonts w:hint="eastAsia" w:hAnsi="宋体"/>
          <w:color w:val="auto"/>
          <w:szCs w:val="21"/>
          <w:highlight w:val="none"/>
        </w:rPr>
        <w:t>小于等于数值</w:t>
      </w:r>
      <w:r>
        <w:rPr>
          <w:rFonts w:hint="eastAsia" w:hAnsi="宋体"/>
          <w:color w:val="auto"/>
          <w:szCs w:val="21"/>
          <w:highlight w:val="none"/>
          <w:lang w:val="en-US" w:eastAsia="zh-CN"/>
        </w:rPr>
        <w:t>的</w:t>
      </w:r>
      <w:r>
        <w:rPr>
          <w:rFonts w:hint="eastAsia" w:hAnsi="宋体"/>
          <w:color w:val="auto"/>
          <w:szCs w:val="21"/>
          <w:highlight w:val="none"/>
        </w:rPr>
        <w:t>或含有不小于</w:t>
      </w:r>
      <w:r>
        <w:rPr>
          <w:rFonts w:hint="eastAsia" w:hAnsi="宋体"/>
          <w:color w:val="auto"/>
          <w:szCs w:val="21"/>
          <w:highlight w:val="none"/>
          <w:lang w:val="en-US" w:eastAsia="zh-CN"/>
        </w:rPr>
        <w:t>或者</w:t>
      </w:r>
      <w:r>
        <w:rPr>
          <w:rFonts w:hint="eastAsia" w:hAnsi="宋体"/>
          <w:color w:val="auto"/>
          <w:szCs w:val="21"/>
          <w:highlight w:val="none"/>
        </w:rPr>
        <w:t>不少于数值的，简单复制采购需求中的条款，未实际响应具体尺寸或具体数值的。</w:t>
      </w:r>
    </w:p>
    <w:p w14:paraId="5EA58A36">
      <w:pPr>
        <w:spacing w:line="360" w:lineRule="auto"/>
        <w:ind w:firstLine="420" w:firstLineChars="200"/>
        <w:rPr>
          <w:rFonts w:hint="eastAsia" w:hAnsi="宋体"/>
          <w:color w:val="auto"/>
          <w:szCs w:val="21"/>
          <w:highlight w:val="none"/>
        </w:rPr>
      </w:pPr>
      <w:r>
        <w:rPr>
          <w:rFonts w:hint="eastAsia" w:hAnsi="宋体"/>
          <w:color w:val="auto"/>
          <w:szCs w:val="21"/>
          <w:highlight w:val="none"/>
        </w:rPr>
        <w:t>（4）投标文件未提供“投标人须知前附表”第13.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55B0D3BB">
      <w:pPr>
        <w:spacing w:line="360" w:lineRule="auto"/>
        <w:ind w:firstLine="420" w:firstLineChars="200"/>
        <w:rPr>
          <w:rFonts w:hint="eastAsia" w:hAnsi="宋体"/>
          <w:color w:val="auto"/>
          <w:szCs w:val="21"/>
          <w:highlight w:val="none"/>
        </w:rPr>
      </w:pPr>
      <w:r>
        <w:rPr>
          <w:rFonts w:hint="eastAsia" w:hAnsi="宋体"/>
          <w:color w:val="auto"/>
          <w:szCs w:val="21"/>
          <w:highlight w:val="none"/>
        </w:rPr>
        <w:t>（5）虚假投标，或者出现其他情形而导致被评标委员会认定无效的；</w:t>
      </w:r>
    </w:p>
    <w:p w14:paraId="31889ECB">
      <w:pPr>
        <w:spacing w:line="360" w:lineRule="auto"/>
        <w:ind w:firstLine="420" w:firstLineChars="200"/>
        <w:rPr>
          <w:rFonts w:hint="eastAsia" w:hAnsi="宋体"/>
          <w:color w:val="auto"/>
          <w:szCs w:val="21"/>
          <w:highlight w:val="none"/>
        </w:rPr>
      </w:pPr>
      <w:r>
        <w:rPr>
          <w:rFonts w:hint="eastAsia" w:hAnsi="宋体"/>
          <w:color w:val="auto"/>
          <w:szCs w:val="21"/>
          <w:highlight w:val="none"/>
        </w:rPr>
        <w:t>（6）投标方案不明确，招标文件未允许但存在一个或者一个以上备选（替代）投标方案的。</w:t>
      </w:r>
    </w:p>
    <w:p w14:paraId="7AA0BCD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34669CB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公章）后在线上传至评标委员会。投标人的澄清、说明或者补正不得超出投标文件的范围或者改变投标文件的实质性内容。投标人未在规定时间内进行澄清、说明或者补正的，按无效投标处理。</w:t>
      </w:r>
    </w:p>
    <w:p w14:paraId="688CC1C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电子签章（公章），或者由法定代表人或者其授权的代表签字。</w:t>
      </w:r>
    </w:p>
    <w:p w14:paraId="6E7AE6B6">
      <w:pPr>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007560F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707B8CFA">
      <w:pPr>
        <w:spacing w:line="360" w:lineRule="auto"/>
        <w:ind w:firstLine="420" w:firstLineChars="20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0B00E522">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089F0462">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6822DF06">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60E74C67">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3F07E95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.2经投标人确认修正后的报价若超过采购预算金额或者最高限价，投标人的投标文件作无效投标处理。</w:t>
      </w:r>
    </w:p>
    <w:p w14:paraId="3906B6B4">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89D7E9A">
      <w:pPr>
        <w:spacing w:line="360" w:lineRule="auto"/>
        <w:ind w:firstLine="422" w:firstLineChars="200"/>
        <w:rPr>
          <w:rFonts w:hint="eastAsia" w:ascii="宋体" w:hAnsi="宋体"/>
          <w:b/>
          <w:bCs/>
          <w:color w:val="auto"/>
          <w:szCs w:val="21"/>
          <w:highlight w:val="none"/>
        </w:rPr>
      </w:pPr>
      <w:r>
        <w:rPr>
          <w:rFonts w:ascii="宋体" w:hAnsi="宋体"/>
          <w:b/>
          <w:bCs/>
          <w:color w:val="auto"/>
          <w:szCs w:val="21"/>
          <w:highlight w:val="none"/>
        </w:rPr>
        <w:t>5.</w:t>
      </w:r>
      <w:r>
        <w:rPr>
          <w:rFonts w:hint="eastAsia" w:ascii="宋体" w:hAnsi="宋体"/>
          <w:b/>
          <w:bCs/>
          <w:color w:val="auto"/>
          <w:szCs w:val="21"/>
          <w:highlight w:val="none"/>
        </w:rPr>
        <w:t>比较与评价</w:t>
      </w:r>
    </w:p>
    <w:p w14:paraId="39CA8463">
      <w:pPr>
        <w:spacing w:line="460" w:lineRule="exact"/>
        <w:ind w:firstLine="420" w:firstLineChars="200"/>
        <w:rPr>
          <w:rFonts w:hint="eastAsia" w:ascii="Calibri" w:hAnsi="宋体"/>
          <w:color w:val="auto"/>
          <w:highlight w:val="none"/>
        </w:rPr>
      </w:pPr>
      <w:r>
        <w:rPr>
          <w:rFonts w:ascii="Calibri" w:hAnsi="宋体"/>
          <w:color w:val="auto"/>
          <w:highlight w:val="none"/>
        </w:rPr>
        <w:t>5.1</w:t>
      </w:r>
      <w:r>
        <w:rPr>
          <w:rFonts w:hint="eastAsia" w:ascii="Calibri" w:hAnsi="宋体"/>
          <w:color w:val="auto"/>
          <w:highlight w:val="none"/>
        </w:rPr>
        <w:t>评标委员会按照招标文件中规定的评标方法及评分标准，对符合性审查合格的投标文件进行商务和技术评估，综合比较与评价。</w:t>
      </w:r>
    </w:p>
    <w:p w14:paraId="06A259C1">
      <w:pPr>
        <w:spacing w:line="460" w:lineRule="exact"/>
        <w:ind w:firstLine="420" w:firstLineChars="200"/>
        <w:rPr>
          <w:rFonts w:ascii="Calibri" w:hAnsi="宋体"/>
          <w:color w:val="auto"/>
          <w:highlight w:val="none"/>
        </w:rPr>
      </w:pPr>
      <w:r>
        <w:rPr>
          <w:rFonts w:ascii="Calibri" w:hAnsi="宋体"/>
          <w:color w:val="auto"/>
          <w:highlight w:val="none"/>
        </w:rPr>
        <w:t>5.2</w:t>
      </w:r>
      <w:r>
        <w:rPr>
          <w:rFonts w:hint="eastAsia" w:ascii="Calibri" w:hAnsi="宋体"/>
          <w:color w:val="auto"/>
          <w:highlight w:val="none"/>
        </w:rPr>
        <w:t>评标委员会独立对每个投标人的投标文件进行评价，并汇总每个投标人的得分。</w:t>
      </w:r>
    </w:p>
    <w:p w14:paraId="35EB194A">
      <w:pPr>
        <w:widowControl/>
        <w:numPr>
          <w:ilvl w:val="0"/>
          <w:numId w:val="2"/>
        </w:numPr>
        <w:spacing w:line="460" w:lineRule="exact"/>
        <w:ind w:firstLine="420" w:firstLineChars="200"/>
        <w:jc w:val="left"/>
        <w:rPr>
          <w:rFonts w:ascii="Calibri" w:hAnsi="宋体"/>
          <w:color w:val="auto"/>
          <w:highlight w:val="none"/>
        </w:rPr>
      </w:pPr>
      <w:r>
        <w:rPr>
          <w:rFonts w:hint="eastAsia" w:ascii="Calibri"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F283ED5">
      <w:pPr>
        <w:widowControl/>
        <w:numPr>
          <w:ilvl w:val="0"/>
          <w:numId w:val="2"/>
        </w:numPr>
        <w:spacing w:line="460" w:lineRule="exact"/>
        <w:ind w:firstLine="420" w:firstLineChars="200"/>
        <w:jc w:val="left"/>
        <w:rPr>
          <w:rFonts w:ascii="Calibri" w:hAnsi="宋体"/>
          <w:color w:val="auto"/>
          <w:highlight w:val="none"/>
        </w:rPr>
      </w:pPr>
      <w:r>
        <w:rPr>
          <w:rFonts w:hint="eastAsia" w:ascii="Calibri"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包含但不仅限于：拟投入本项目的人员数量及工资报酬成本，管理费用，税费，财务成本等相关成本和合理利润等及相关证明材料，以及评审时评委认为有必要提供的其他资料。以上资料必须齐全，并且相关资料真实性及合理性必须完全为评标委员会所接受）；投标人不能证明其报价合理性的，评标委员会将其作为无效投标处理。</w:t>
      </w:r>
    </w:p>
    <w:p w14:paraId="69388728">
      <w:pPr>
        <w:spacing w:line="460" w:lineRule="exact"/>
        <w:ind w:firstLine="420" w:firstLineChars="200"/>
        <w:rPr>
          <w:rFonts w:ascii="Calibri" w:hAnsi="宋体"/>
          <w:color w:val="auto"/>
          <w:highlight w:val="none"/>
        </w:rPr>
      </w:pPr>
      <w:r>
        <w:rPr>
          <w:rFonts w:ascii="Calibri" w:hAnsi="宋体"/>
          <w:color w:val="auto"/>
          <w:highlight w:val="none"/>
        </w:rPr>
        <w:t>5.3</w:t>
      </w:r>
      <w:r>
        <w:rPr>
          <w:rFonts w:hint="eastAsia" w:ascii="Calibri" w:hAnsi="宋体"/>
          <w:color w:val="auto"/>
          <w:highlight w:val="none"/>
        </w:rPr>
        <w:t>评标委员会按照招标文件中规定的评标方法和标准计算各投标人的报价得分。在计算过程中，不得去掉最高报价或者最低报价。</w:t>
      </w:r>
    </w:p>
    <w:p w14:paraId="055F8C71">
      <w:pPr>
        <w:spacing w:line="460" w:lineRule="exact"/>
        <w:ind w:firstLine="420" w:firstLineChars="200"/>
        <w:rPr>
          <w:rFonts w:ascii="Calibri" w:hAnsi="宋体"/>
          <w:color w:val="auto"/>
          <w:highlight w:val="none"/>
        </w:rPr>
      </w:pPr>
      <w:r>
        <w:rPr>
          <w:rFonts w:ascii="Calibri" w:hAnsi="宋体"/>
          <w:color w:val="auto"/>
          <w:highlight w:val="none"/>
        </w:rPr>
        <w:t>5.4</w:t>
      </w:r>
      <w:r>
        <w:rPr>
          <w:rFonts w:hint="eastAsia" w:ascii="Calibri" w:hAnsi="宋体"/>
          <w:color w:val="auto"/>
          <w:highlight w:val="none"/>
        </w:rPr>
        <w:t>各投标人的得分为评标委员会各成员的有效评分的算术平均数。</w:t>
      </w:r>
    </w:p>
    <w:p w14:paraId="504926BB">
      <w:pPr>
        <w:spacing w:line="460" w:lineRule="exact"/>
        <w:ind w:firstLine="420" w:firstLineChars="200"/>
        <w:rPr>
          <w:rFonts w:ascii="Calibri" w:hAnsi="宋体"/>
          <w:color w:val="auto"/>
          <w:highlight w:val="none"/>
        </w:rPr>
      </w:pPr>
      <w:r>
        <w:rPr>
          <w:rFonts w:ascii="Calibri" w:hAnsi="宋体"/>
          <w:color w:val="auto"/>
          <w:highlight w:val="none"/>
        </w:rPr>
        <w:t>5.5</w:t>
      </w:r>
      <w:r>
        <w:rPr>
          <w:rFonts w:hint="eastAsia" w:ascii="Calibri" w:hAnsi="宋体"/>
          <w:color w:val="auto"/>
          <w:highlight w:val="none"/>
        </w:rPr>
        <w:t>评标委员会按照招标文件中的规定推荐中标候选人。</w:t>
      </w:r>
    </w:p>
    <w:p w14:paraId="0D52321B">
      <w:pPr>
        <w:spacing w:line="460" w:lineRule="exact"/>
        <w:ind w:firstLine="420" w:firstLineChars="200"/>
        <w:rPr>
          <w:rFonts w:hint="eastAsia" w:hAnsi="宋体"/>
          <w:color w:val="auto"/>
          <w:highlight w:val="none"/>
        </w:rPr>
      </w:pPr>
      <w:r>
        <w:rPr>
          <w:rFonts w:ascii="Calibri" w:hAnsi="宋体"/>
          <w:color w:val="auto"/>
          <w:highlight w:val="none"/>
        </w:rPr>
        <w:t>5.6</w:t>
      </w:r>
      <w:r>
        <w:rPr>
          <w:rFonts w:hint="eastAsia" w:ascii="Calibri"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r>
        <w:rPr>
          <w:rFonts w:hint="eastAsia" w:hAnsi="宋体"/>
          <w:color w:val="auto"/>
          <w:highlight w:val="none"/>
        </w:rPr>
        <w:t>。</w:t>
      </w:r>
    </w:p>
    <w:p w14:paraId="7ECB24C8">
      <w:pPr>
        <w:spacing w:line="360" w:lineRule="auto"/>
        <w:ind w:firstLine="422" w:firstLineChars="200"/>
        <w:rPr>
          <w:rFonts w:hint="eastAsia" w:hAnsi="宋体"/>
          <w:b/>
          <w:bCs/>
          <w:color w:val="auto"/>
          <w:highlight w:val="none"/>
        </w:rPr>
      </w:pPr>
      <w:r>
        <w:rPr>
          <w:rFonts w:hint="eastAsia" w:hAnsi="宋体"/>
          <w:b/>
          <w:bCs/>
          <w:color w:val="auto"/>
          <w:highlight w:val="none"/>
        </w:rPr>
        <w:t>6.评审复核</w:t>
      </w:r>
    </w:p>
    <w:p w14:paraId="7C3B886B">
      <w:pPr>
        <w:spacing w:line="360" w:lineRule="auto"/>
        <w:ind w:firstLine="420" w:firstLineChars="200"/>
        <w:rPr>
          <w:rFonts w:hint="eastAsia" w:hAnsi="宋体"/>
          <w:color w:val="auto"/>
          <w:highlight w:val="none"/>
        </w:rPr>
      </w:pPr>
      <w:r>
        <w:rPr>
          <w:rFonts w:hint="eastAsia" w:hAnsi="宋体"/>
          <w:color w:val="auto"/>
          <w:highlight w:val="none"/>
        </w:rPr>
        <w:t>6.1 评标报告签署前，评标委员会要对评审结果进行复核，复核意见要体现在评标报告中。</w:t>
      </w:r>
    </w:p>
    <w:p w14:paraId="438ADCA6">
      <w:pPr>
        <w:spacing w:line="360" w:lineRule="auto"/>
        <w:ind w:firstLine="420" w:firstLineChars="200"/>
        <w:rPr>
          <w:rFonts w:hint="eastAsia" w:hAnsi="宋体"/>
          <w:color w:val="auto"/>
          <w:highlight w:val="none"/>
        </w:rPr>
      </w:pPr>
      <w:r>
        <w:rPr>
          <w:rFonts w:hint="eastAsia" w:hAnsi="宋体"/>
          <w:color w:val="auto"/>
          <w:highlight w:val="none"/>
        </w:rPr>
        <w:t>6.2 评标结果汇总完成后，除下列情形外，任何人不得修改评标结果：</w:t>
      </w:r>
    </w:p>
    <w:p w14:paraId="416655A0">
      <w:pPr>
        <w:spacing w:line="360" w:lineRule="auto"/>
        <w:ind w:firstLine="420" w:firstLineChars="200"/>
        <w:rPr>
          <w:rFonts w:hint="eastAsia" w:hAnsi="宋体"/>
          <w:color w:val="auto"/>
          <w:highlight w:val="none"/>
        </w:rPr>
      </w:pPr>
      <w:r>
        <w:rPr>
          <w:rFonts w:hint="eastAsia" w:hAnsi="宋体"/>
          <w:color w:val="auto"/>
          <w:highlight w:val="none"/>
        </w:rPr>
        <w:t>（一）分值汇总计算错误的；</w:t>
      </w:r>
    </w:p>
    <w:p w14:paraId="708FE039">
      <w:pPr>
        <w:spacing w:line="360" w:lineRule="auto"/>
        <w:ind w:firstLine="420" w:firstLineChars="200"/>
        <w:rPr>
          <w:rFonts w:hint="eastAsia" w:hAnsi="宋体"/>
          <w:color w:val="auto"/>
          <w:highlight w:val="none"/>
        </w:rPr>
      </w:pPr>
      <w:r>
        <w:rPr>
          <w:rFonts w:hint="eastAsia" w:hAnsi="宋体"/>
          <w:color w:val="auto"/>
          <w:highlight w:val="none"/>
        </w:rPr>
        <w:t>（二）分项评分超出评分标准范围的；</w:t>
      </w:r>
    </w:p>
    <w:p w14:paraId="2B85DE20">
      <w:pPr>
        <w:spacing w:line="360" w:lineRule="auto"/>
        <w:ind w:firstLine="420" w:firstLineChars="200"/>
        <w:rPr>
          <w:rFonts w:hint="eastAsia" w:hAnsi="宋体"/>
          <w:color w:val="auto"/>
          <w:highlight w:val="none"/>
        </w:rPr>
      </w:pPr>
      <w:r>
        <w:rPr>
          <w:rFonts w:hint="eastAsia" w:hAnsi="宋体"/>
          <w:color w:val="auto"/>
          <w:highlight w:val="none"/>
        </w:rPr>
        <w:t>（三）评标委员会成员对客观评审因素评分不一致的；</w:t>
      </w:r>
    </w:p>
    <w:p w14:paraId="0ACF8DA3">
      <w:pPr>
        <w:spacing w:line="360" w:lineRule="auto"/>
        <w:ind w:firstLine="420" w:firstLineChars="200"/>
        <w:rPr>
          <w:rFonts w:hint="eastAsia" w:hAnsi="宋体"/>
          <w:color w:val="auto"/>
          <w:highlight w:val="none"/>
        </w:rPr>
      </w:pPr>
      <w:r>
        <w:rPr>
          <w:rFonts w:hint="eastAsia" w:hAnsi="宋体"/>
          <w:color w:val="auto"/>
          <w:highlight w:val="none"/>
        </w:rPr>
        <w:t>（四）经评标委员会认定评分畸高、畸低的。</w:t>
      </w:r>
    </w:p>
    <w:p w14:paraId="59EAE7F1">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BE721FA">
      <w:pPr>
        <w:keepNext/>
        <w:keepLines/>
        <w:spacing w:before="260" w:after="260" w:line="413" w:lineRule="auto"/>
        <w:jc w:val="center"/>
        <w:outlineLvl w:val="1"/>
        <w:rPr>
          <w:rFonts w:hint="eastAsia" w:ascii="Arial" w:hAnsi="Arial" w:eastAsia="黑体"/>
          <w:bCs/>
          <w:color w:val="auto"/>
          <w:sz w:val="30"/>
          <w:szCs w:val="30"/>
          <w:highlight w:val="none"/>
        </w:rPr>
      </w:pPr>
      <w:bookmarkStart w:id="99" w:name="_Toc9537"/>
      <w:r>
        <w:rPr>
          <w:rFonts w:hint="eastAsia" w:ascii="Arial" w:hAnsi="Arial" w:eastAsia="黑体"/>
          <w:bCs/>
          <w:color w:val="auto"/>
          <w:sz w:val="30"/>
          <w:szCs w:val="30"/>
          <w:highlight w:val="none"/>
        </w:rPr>
        <w:t>第三节 评分标准</w:t>
      </w:r>
      <w:bookmarkEnd w:id="99"/>
    </w:p>
    <w:p w14:paraId="27876095">
      <w:pPr>
        <w:spacing w:line="500" w:lineRule="exact"/>
        <w:ind w:firstLine="602" w:firstLineChars="200"/>
        <w:jc w:val="center"/>
        <w:rPr>
          <w:b/>
          <w:color w:val="auto"/>
          <w:sz w:val="30"/>
          <w:szCs w:val="30"/>
          <w:highlight w:val="none"/>
        </w:rPr>
      </w:pPr>
      <w:r>
        <w:rPr>
          <w:rFonts w:hint="eastAsia"/>
          <w:b/>
          <w:color w:val="auto"/>
          <w:sz w:val="30"/>
          <w:szCs w:val="30"/>
          <w:highlight w:val="none"/>
        </w:rPr>
        <w:t>综合评分法</w:t>
      </w:r>
    </w:p>
    <w:p w14:paraId="4BAAEC4C">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1、计分方法按四舍五入取至百分位。</w:t>
      </w:r>
    </w:p>
    <w:p w14:paraId="07866FFA">
      <w:pPr>
        <w:spacing w:line="500" w:lineRule="exact"/>
        <w:ind w:firstLine="420"/>
        <w:rPr>
          <w:rFonts w:ascii="宋体" w:hAnsi="宋体"/>
          <w:bCs/>
          <w:color w:val="auto"/>
          <w:szCs w:val="20"/>
          <w:highlight w:val="none"/>
        </w:rPr>
      </w:pPr>
      <w:r>
        <w:rPr>
          <w:rFonts w:hint="eastAsia" w:ascii="宋体" w:hAnsi="宋体"/>
          <w:bCs/>
          <w:color w:val="auto"/>
          <w:szCs w:val="20"/>
          <w:highlight w:val="none"/>
        </w:rPr>
        <w:t>总得分=报价分+技术分+商务分</w:t>
      </w:r>
    </w:p>
    <w:p w14:paraId="255E695E">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2、商务技术评审因素为客观评分项的，应在评分项目或评分标准中予以标注为“客观分”。对投标人的客观评分项目，各评标委员会成员评分应当一致。</w:t>
      </w:r>
    </w:p>
    <w:p w14:paraId="6C981B3E">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注：计分方法按四舍五入取至百分位。</w:t>
      </w:r>
    </w:p>
    <w:tbl>
      <w:tblPr>
        <w:tblStyle w:val="13"/>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907"/>
        <w:gridCol w:w="1263"/>
        <w:gridCol w:w="6996"/>
      </w:tblGrid>
      <w:tr w14:paraId="0265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6D500575">
            <w:pPr>
              <w:spacing w:line="460" w:lineRule="exact"/>
              <w:jc w:val="center"/>
              <w:rPr>
                <w:rFonts w:hint="eastAsia" w:ascii="宋体" w:hAnsi="宋体" w:cs="宋体"/>
                <w:b/>
                <w:bCs/>
                <w:color w:val="auto"/>
                <w:szCs w:val="21"/>
                <w:highlight w:val="none"/>
              </w:rPr>
            </w:pPr>
            <w:bookmarkStart w:id="100" w:name="_Toc17002"/>
            <w:r>
              <w:rPr>
                <w:rFonts w:hint="eastAsia" w:ascii="宋体" w:hAnsi="宋体" w:cs="宋体"/>
                <w:b/>
                <w:bCs/>
                <w:color w:val="auto"/>
                <w:szCs w:val="21"/>
                <w:highlight w:val="none"/>
              </w:rPr>
              <w:t>序号</w:t>
            </w:r>
          </w:p>
        </w:tc>
        <w:tc>
          <w:tcPr>
            <w:tcW w:w="2170" w:type="dxa"/>
            <w:gridSpan w:val="2"/>
            <w:noWrap w:val="0"/>
            <w:vAlign w:val="center"/>
          </w:tcPr>
          <w:p w14:paraId="4A195BC8">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996" w:type="dxa"/>
            <w:noWrap w:val="0"/>
            <w:vAlign w:val="center"/>
          </w:tcPr>
          <w:p w14:paraId="4ECE05A2">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r>
      <w:tr w14:paraId="35D1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9" w:hRule="atLeast"/>
          <w:jc w:val="center"/>
        </w:trPr>
        <w:tc>
          <w:tcPr>
            <w:tcW w:w="560" w:type="dxa"/>
            <w:noWrap w:val="0"/>
            <w:vAlign w:val="center"/>
          </w:tcPr>
          <w:p w14:paraId="1269D2A3">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2170" w:type="dxa"/>
            <w:gridSpan w:val="2"/>
            <w:noWrap w:val="0"/>
            <w:vAlign w:val="center"/>
          </w:tcPr>
          <w:p w14:paraId="52183E6C">
            <w:pPr>
              <w:spacing w:line="2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价格分</w:t>
            </w:r>
          </w:p>
          <w:p w14:paraId="1924FC36">
            <w:pPr>
              <w:spacing w:line="24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（满分16分）</w:t>
            </w:r>
          </w:p>
          <w:p w14:paraId="26CA7645">
            <w:pPr>
              <w:pStyle w:val="21"/>
              <w:spacing w:line="460" w:lineRule="exact"/>
              <w:ind w:firstLine="810"/>
              <w:rPr>
                <w:rFonts w:hint="eastAsia" w:hAnsi="宋体" w:cs="宋体"/>
                <w:color w:val="auto"/>
                <w:sz w:val="21"/>
                <w:szCs w:val="21"/>
                <w:highlight w:val="none"/>
              </w:rPr>
            </w:pPr>
          </w:p>
        </w:tc>
        <w:tc>
          <w:tcPr>
            <w:tcW w:w="6996" w:type="dxa"/>
            <w:noWrap w:val="0"/>
            <w:vAlign w:val="center"/>
          </w:tcPr>
          <w:p w14:paraId="45B07D65">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本项目预留30%专门面向中小企业采购。根据《政府采购促进中小企业发展管理办法》（财库〔2020〕46号）及《广西壮族自治区财政厅关于持续优化政府采购营商环境推动高质量发展的通知》（桂财采〔2024〕55号）规定，不再执行价格评审优惠的扶持政策。‌</w:t>
            </w:r>
          </w:p>
          <w:p w14:paraId="3842FA13">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（2）评审报价＝投标报价。</w:t>
            </w:r>
          </w:p>
          <w:p w14:paraId="5202420B">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（3）以进入比较与评价环节的最低的评审报价为基准价，基准价得分为16分。</w:t>
            </w:r>
          </w:p>
          <w:p w14:paraId="3988AFB8">
            <w:pPr>
              <w:spacing w:line="240" w:lineRule="exact"/>
              <w:ind w:firstLine="420" w:firstLineChars="200"/>
              <w:rPr>
                <w:rFonts w:hint="eastAsia" w:ascii="宋体" w:hAnsi="宋体" w:cs="宋体"/>
                <w:color w:val="auto"/>
                <w:szCs w:val="21"/>
                <w:highlight w:val="none"/>
              </w:rPr>
            </w:pPr>
            <w:r>
              <w:rPr>
                <w:rFonts w:hint="eastAsia" w:ascii="宋体" w:hAnsi="宋体" w:eastAsia="宋体" w:cs="宋体"/>
                <w:bCs/>
                <w:color w:val="auto"/>
                <w:kern w:val="0"/>
                <w:szCs w:val="21"/>
                <w:highlight w:val="none"/>
                <w:lang w:bidi="ar"/>
              </w:rPr>
              <w:t>（4）价格分计算公式：价格分=（评标基准价／评标报价）×1</w:t>
            </w:r>
            <w:r>
              <w:rPr>
                <w:rFonts w:hint="eastAsia" w:ascii="宋体" w:hAnsi="宋体" w:eastAsia="宋体" w:cs="宋体"/>
                <w:bCs/>
                <w:color w:val="auto"/>
                <w:kern w:val="0"/>
                <w:szCs w:val="21"/>
                <w:highlight w:val="none"/>
                <w:lang w:val="en-US" w:eastAsia="zh-CN" w:bidi="ar"/>
              </w:rPr>
              <w:t>6</w:t>
            </w:r>
            <w:r>
              <w:rPr>
                <w:rFonts w:hint="eastAsia" w:ascii="宋体" w:hAnsi="宋体" w:eastAsia="宋体" w:cs="宋体"/>
                <w:bCs/>
                <w:color w:val="auto"/>
                <w:kern w:val="0"/>
                <w:szCs w:val="21"/>
                <w:highlight w:val="none"/>
                <w:lang w:bidi="ar"/>
              </w:rPr>
              <w:t>分</w:t>
            </w:r>
          </w:p>
        </w:tc>
      </w:tr>
      <w:tr w14:paraId="342EC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restart"/>
            <w:noWrap w:val="0"/>
            <w:vAlign w:val="center"/>
          </w:tcPr>
          <w:p w14:paraId="5EAEFC5F">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907" w:type="dxa"/>
            <w:vMerge w:val="restart"/>
            <w:noWrap w:val="0"/>
            <w:vAlign w:val="center"/>
          </w:tcPr>
          <w:p w14:paraId="365E00C7">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p w14:paraId="03716038">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满分6</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r>
              <w:rPr>
                <w:rFonts w:hint="eastAsia" w:ascii="宋体" w:hAnsi="宋体" w:cs="宋体"/>
                <w:b/>
                <w:bCs/>
                <w:color w:val="auto"/>
                <w:szCs w:val="21"/>
                <w:highlight w:val="none"/>
              </w:rPr>
              <w:t>）</w:t>
            </w:r>
          </w:p>
        </w:tc>
        <w:tc>
          <w:tcPr>
            <w:tcW w:w="1263" w:type="dxa"/>
            <w:noWrap w:val="0"/>
            <w:vAlign w:val="center"/>
          </w:tcPr>
          <w:p w14:paraId="15BF3A16">
            <w:pPr>
              <w:numPr>
                <w:ilvl w:val="0"/>
                <w:numId w:val="3"/>
              </w:num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配套设备性能分（满分14分）</w:t>
            </w:r>
          </w:p>
        </w:tc>
        <w:tc>
          <w:tcPr>
            <w:tcW w:w="6996" w:type="dxa"/>
            <w:noWrap w:val="0"/>
            <w:vAlign w:val="center"/>
          </w:tcPr>
          <w:p w14:paraId="20C9D218">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宋体" w:hAnsi="宋体" w:cs="宋体"/>
                <w:bCs/>
                <w:kern w:val="0"/>
                <w:szCs w:val="21"/>
                <w:highlight w:val="none"/>
                <w:lang w:bidi="ar"/>
              </w:rPr>
            </w:pPr>
            <w:r>
              <w:rPr>
                <w:rFonts w:hint="eastAsia" w:ascii="宋体" w:hAnsi="宋体" w:cs="宋体"/>
                <w:bCs/>
                <w:kern w:val="0"/>
                <w:szCs w:val="21"/>
                <w:highlight w:val="none"/>
                <w:lang w:bidi="ar"/>
              </w:rPr>
              <w:t>投标人所提供的产品均能满足招标文件中的技术参数要求，项目采购需求一览表中标注“◆”号的技术参数，为重要技术指标、功能条款，将作为货物性能评审依据。标注“◆”号的各项参数均能提供</w:t>
            </w:r>
            <w:r>
              <w:rPr>
                <w:rFonts w:hint="eastAsia" w:ascii="宋体" w:hAnsi="宋体" w:cs="宋体"/>
                <w:b/>
                <w:kern w:val="0"/>
                <w:szCs w:val="21"/>
                <w:highlight w:val="none"/>
                <w:lang w:bidi="ar"/>
              </w:rPr>
              <w:t>技术证明材料</w:t>
            </w:r>
            <w:r>
              <w:rPr>
                <w:rFonts w:hint="eastAsia" w:ascii="宋体" w:hAnsi="宋体" w:cs="宋体"/>
                <w:bCs/>
                <w:kern w:val="0"/>
                <w:szCs w:val="21"/>
                <w:highlight w:val="none"/>
                <w:lang w:bidi="ar"/>
              </w:rPr>
              <w:t>的，得14分，满分14分；每存在一项标“◆”技术参数不能提供</w:t>
            </w:r>
            <w:r>
              <w:rPr>
                <w:rFonts w:hint="eastAsia" w:ascii="宋体" w:hAnsi="宋体" w:cs="宋体"/>
                <w:b/>
                <w:kern w:val="0"/>
                <w:szCs w:val="21"/>
                <w:highlight w:val="none"/>
                <w:lang w:bidi="ar"/>
              </w:rPr>
              <w:t>技术证明材料</w:t>
            </w:r>
            <w:r>
              <w:rPr>
                <w:rFonts w:hint="eastAsia" w:ascii="宋体" w:hAnsi="宋体" w:cs="宋体"/>
                <w:bCs/>
                <w:kern w:val="0"/>
                <w:szCs w:val="21"/>
                <w:highlight w:val="none"/>
                <w:lang w:bidi="ar"/>
              </w:rPr>
              <w:t>或</w:t>
            </w:r>
            <w:r>
              <w:rPr>
                <w:rFonts w:hint="eastAsia" w:ascii="宋体" w:hAnsi="宋体" w:cs="宋体"/>
                <w:b/>
                <w:kern w:val="0"/>
                <w:szCs w:val="21"/>
                <w:highlight w:val="none"/>
                <w:lang w:bidi="ar"/>
              </w:rPr>
              <w:t>技术证明材料</w:t>
            </w:r>
            <w:r>
              <w:rPr>
                <w:rFonts w:hint="eastAsia" w:ascii="宋体" w:hAnsi="宋体" w:cs="宋体"/>
                <w:bCs/>
                <w:kern w:val="0"/>
                <w:szCs w:val="21"/>
                <w:highlight w:val="none"/>
                <w:lang w:bidi="ar"/>
              </w:rPr>
              <w:t>中无体现或不完全体现的扣0.7分，扣完为止，不计负分。</w:t>
            </w:r>
          </w:p>
          <w:p w14:paraId="1AA8A9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kern w:val="0"/>
                <w:szCs w:val="21"/>
                <w:highlight w:val="none"/>
                <w:lang w:bidi="ar"/>
              </w:rPr>
            </w:pPr>
            <w:r>
              <w:rPr>
                <w:rFonts w:hint="eastAsia" w:ascii="宋体" w:hAnsi="宋体" w:cs="宋体"/>
                <w:b/>
                <w:kern w:val="0"/>
                <w:szCs w:val="21"/>
                <w:highlight w:val="none"/>
                <w:lang w:bidi="ar"/>
              </w:rPr>
              <w:t>说明：①技术证明材料可以是产品彩页</w:t>
            </w:r>
            <w:r>
              <w:rPr>
                <w:rFonts w:hint="eastAsia" w:ascii="宋体" w:hAnsi="宋体" w:cs="宋体"/>
                <w:b/>
                <w:kern w:val="0"/>
                <w:szCs w:val="21"/>
                <w:highlight w:val="none"/>
                <w:lang w:eastAsia="zh-CN" w:bidi="ar"/>
              </w:rPr>
              <w:t>、</w:t>
            </w:r>
            <w:r>
              <w:rPr>
                <w:rFonts w:hint="eastAsia" w:ascii="宋体" w:hAnsi="宋体" w:cs="宋体"/>
                <w:b/>
                <w:kern w:val="0"/>
                <w:szCs w:val="21"/>
                <w:highlight w:val="none"/>
                <w:lang w:bidi="ar"/>
              </w:rPr>
              <w:t>产品官网</w:t>
            </w:r>
            <w:r>
              <w:rPr>
                <w:rFonts w:hint="eastAsia" w:ascii="宋体" w:hAnsi="宋体" w:cs="宋体"/>
                <w:b/>
                <w:kern w:val="0"/>
                <w:szCs w:val="21"/>
                <w:highlight w:val="none"/>
                <w:lang w:val="en-US" w:eastAsia="zh-CN" w:bidi="ar"/>
              </w:rPr>
              <w:t>截图和</w:t>
            </w:r>
            <w:r>
              <w:rPr>
                <w:rFonts w:hint="eastAsia" w:ascii="宋体" w:hAnsi="宋体" w:cs="宋体"/>
                <w:b/>
                <w:kern w:val="0"/>
                <w:szCs w:val="21"/>
                <w:highlight w:val="none"/>
                <w:lang w:bidi="ar"/>
              </w:rPr>
              <w:t>功能配置截图、第三方机构检测/测试/检验报告等可以说明技术要求的材料，并加盖投标人电子公章。</w:t>
            </w:r>
          </w:p>
          <w:p w14:paraId="00FBF71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color w:val="auto"/>
                <w:kern w:val="0"/>
                <w:szCs w:val="21"/>
                <w:highlight w:val="none"/>
                <w:lang w:bidi="ar"/>
              </w:rPr>
            </w:pPr>
            <w:r>
              <w:rPr>
                <w:rFonts w:hint="eastAsia" w:ascii="宋体" w:hAnsi="宋体" w:cs="宋体"/>
                <w:b/>
                <w:kern w:val="0"/>
                <w:szCs w:val="21"/>
                <w:highlight w:val="none"/>
                <w:lang w:bidi="ar"/>
              </w:rPr>
              <w:t>②标注“◆”的内容在投标文件中逐点应答出技术证明材料具体位置，项目中标后，采购人有权要求中标人提供技术证明材料进行审查</w:t>
            </w:r>
            <w:r>
              <w:rPr>
                <w:rFonts w:hint="eastAsia" w:ascii="宋体" w:hAnsi="宋体" w:cs="宋体"/>
                <w:b/>
                <w:kern w:val="0"/>
                <w:szCs w:val="21"/>
                <w:highlight w:val="none"/>
                <w:lang w:eastAsia="zh-CN" w:bidi="ar"/>
              </w:rPr>
              <w:t>，</w:t>
            </w:r>
            <w:r>
              <w:rPr>
                <w:rFonts w:hint="eastAsia" w:ascii="宋体" w:hAnsi="宋体" w:cs="宋体"/>
                <w:b/>
                <w:kern w:val="0"/>
                <w:szCs w:val="21"/>
                <w:highlight w:val="none"/>
                <w:lang w:val="en-US" w:eastAsia="zh-CN" w:bidi="ar"/>
              </w:rPr>
              <w:t>必要时可核验原件</w:t>
            </w:r>
            <w:r>
              <w:rPr>
                <w:rFonts w:hint="eastAsia" w:ascii="宋体" w:hAnsi="宋体" w:cs="宋体"/>
                <w:b/>
                <w:kern w:val="0"/>
                <w:szCs w:val="21"/>
                <w:highlight w:val="none"/>
                <w:lang w:bidi="ar"/>
              </w:rPr>
              <w:t>。</w:t>
            </w:r>
          </w:p>
        </w:tc>
      </w:tr>
      <w:tr w14:paraId="179E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0" w:type="dxa"/>
            <w:vMerge w:val="continue"/>
            <w:noWrap w:val="0"/>
            <w:vAlign w:val="center"/>
          </w:tcPr>
          <w:p w14:paraId="5B83A73F">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369A1980">
            <w:pPr>
              <w:spacing w:line="460" w:lineRule="exact"/>
              <w:jc w:val="center"/>
              <w:rPr>
                <w:rFonts w:hint="eastAsia" w:ascii="宋体" w:hAnsi="宋体" w:cs="宋体"/>
                <w:b/>
                <w:bCs/>
                <w:color w:val="auto"/>
                <w:szCs w:val="21"/>
                <w:highlight w:val="none"/>
              </w:rPr>
            </w:pPr>
          </w:p>
        </w:tc>
        <w:tc>
          <w:tcPr>
            <w:tcW w:w="1263" w:type="dxa"/>
            <w:noWrap w:val="0"/>
            <w:vAlign w:val="center"/>
          </w:tcPr>
          <w:p w14:paraId="34202FE4">
            <w:pPr>
              <w:spacing w:line="240" w:lineRule="exact"/>
              <w:jc w:val="left"/>
              <w:rPr>
                <w:rFonts w:hint="eastAsia" w:hAnsi="宋体" w:cs="宋体"/>
                <w:b/>
                <w:bCs/>
                <w:color w:val="auto"/>
                <w:highlight w:val="none"/>
              </w:rPr>
            </w:pPr>
            <w:r>
              <w:rPr>
                <w:rFonts w:hint="eastAsia" w:ascii="宋体" w:hAnsi="宋体" w:cs="宋体"/>
                <w:b/>
                <w:color w:val="auto"/>
                <w:szCs w:val="21"/>
                <w:highlight w:val="none"/>
              </w:rPr>
              <w:t>（2）技术服务方案</w:t>
            </w:r>
            <w:r>
              <w:rPr>
                <w:rFonts w:hint="eastAsia" w:hAnsi="宋体" w:cs="宋体"/>
                <w:b/>
                <w:color w:val="auto"/>
                <w:szCs w:val="21"/>
                <w:highlight w:val="none"/>
              </w:rPr>
              <w:t>（满分</w:t>
            </w:r>
            <w:r>
              <w:rPr>
                <w:rFonts w:hint="eastAsia" w:hAnsi="宋体" w:cs="宋体"/>
                <w:b/>
                <w:bCs/>
                <w:color w:val="auto"/>
                <w:highlight w:val="none"/>
              </w:rPr>
              <w:t>15</w:t>
            </w:r>
            <w:r>
              <w:rPr>
                <w:rFonts w:hint="eastAsia" w:hAnsi="宋体" w:cs="宋体"/>
                <w:b/>
                <w:color w:val="auto"/>
                <w:szCs w:val="21"/>
                <w:highlight w:val="none"/>
              </w:rPr>
              <w:t>分）</w:t>
            </w:r>
          </w:p>
        </w:tc>
        <w:tc>
          <w:tcPr>
            <w:tcW w:w="6996" w:type="dxa"/>
            <w:noWrap w:val="0"/>
            <w:vAlign w:val="center"/>
          </w:tcPr>
          <w:p w14:paraId="663ABE2E">
            <w:pPr>
              <w:spacing w:line="240" w:lineRule="exact"/>
              <w:ind w:firstLine="422" w:firstLineChars="200"/>
              <w:rPr>
                <w:rFonts w:hint="eastAsia" w:ascii="宋体" w:hAnsi="宋体" w:cs="微软雅黑"/>
                <w:b/>
                <w:bCs/>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投标文件未提供技术服务方案不得分。</w:t>
            </w:r>
          </w:p>
          <w:p w14:paraId="3E4A8251">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二档（5分）：</w:t>
            </w:r>
            <w:r>
              <w:rPr>
                <w:rFonts w:hint="eastAsia" w:ascii="宋体" w:hAnsi="宋体" w:cs="微软雅黑"/>
                <w:color w:val="auto"/>
                <w:szCs w:val="21"/>
                <w:highlight w:val="none"/>
              </w:rPr>
              <w:t>提供有技术服务方案，技术服务方案包含项目总体理解、项目整体架构设计、技术路线设计、各项系统服务及</w:t>
            </w:r>
            <w:r>
              <w:rPr>
                <w:rFonts w:hint="eastAsia" w:ascii="宋体" w:hAnsi="宋体" w:cs="宋体"/>
                <w:color w:val="auto"/>
                <w:kern w:val="0"/>
                <w:szCs w:val="21"/>
                <w:highlight w:val="none"/>
              </w:rPr>
              <w:t>功能并对其有</w:t>
            </w:r>
            <w:r>
              <w:rPr>
                <w:rFonts w:hint="eastAsia" w:ascii="宋体" w:hAnsi="宋体" w:cs="微软雅黑"/>
                <w:color w:val="auto"/>
                <w:szCs w:val="21"/>
                <w:highlight w:val="none"/>
              </w:rPr>
              <w:t>简单的论述；</w:t>
            </w:r>
          </w:p>
          <w:p w14:paraId="514758E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三档（10分）：</w:t>
            </w:r>
            <w:r>
              <w:rPr>
                <w:rFonts w:hint="eastAsia" w:ascii="宋体" w:hAnsi="宋体" w:cs="微软雅黑"/>
                <w:color w:val="auto"/>
                <w:szCs w:val="21"/>
                <w:highlight w:val="none"/>
              </w:rPr>
              <w:t>提供有技术服务方案，技术服务方案包含项目总体理解、项目整体架构设计、技术路线设计、各项系统服务及</w:t>
            </w:r>
            <w:r>
              <w:rPr>
                <w:rFonts w:hint="eastAsia" w:ascii="宋体" w:hAnsi="宋体" w:cs="宋体"/>
                <w:color w:val="auto"/>
                <w:kern w:val="0"/>
                <w:szCs w:val="21"/>
                <w:highlight w:val="none"/>
              </w:rPr>
              <w:t>功能并对其有详细</w:t>
            </w:r>
            <w:r>
              <w:rPr>
                <w:rFonts w:hint="eastAsia" w:ascii="宋体" w:hAnsi="宋体" w:cs="微软雅黑"/>
                <w:color w:val="auto"/>
                <w:szCs w:val="21"/>
                <w:highlight w:val="none"/>
              </w:rPr>
              <w:t>的</w:t>
            </w:r>
            <w:r>
              <w:rPr>
                <w:rFonts w:hint="eastAsia" w:ascii="宋体" w:hAnsi="宋体" w:cs="宋体"/>
                <w:color w:val="auto"/>
                <w:kern w:val="0"/>
                <w:szCs w:val="21"/>
                <w:highlight w:val="none"/>
              </w:rPr>
              <w:t>轮述，</w:t>
            </w:r>
            <w:r>
              <w:rPr>
                <w:rFonts w:hint="eastAsia" w:ascii="宋体" w:hAnsi="宋体" w:cs="宋体"/>
                <w:color w:val="auto"/>
                <w:szCs w:val="21"/>
                <w:highlight w:val="none"/>
              </w:rPr>
              <w:t>基本理解项目整体需求</w:t>
            </w:r>
            <w:r>
              <w:rPr>
                <w:rFonts w:hint="eastAsia" w:ascii="宋体" w:hAnsi="宋体" w:cs="微软雅黑"/>
                <w:color w:val="auto"/>
                <w:szCs w:val="21"/>
                <w:highlight w:val="none"/>
              </w:rPr>
              <w:t>；</w:t>
            </w:r>
          </w:p>
          <w:p w14:paraId="088C0F7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四档（15分）：</w:t>
            </w:r>
            <w:r>
              <w:rPr>
                <w:rFonts w:hint="eastAsia" w:ascii="宋体" w:hAnsi="宋体" w:cs="微软雅黑"/>
                <w:color w:val="auto"/>
                <w:szCs w:val="21"/>
                <w:highlight w:val="none"/>
              </w:rPr>
              <w:t>提供有技术服务方案，技术服务方案包含项目总体理解、项目整体架构设计、技术路线设计、各项系统服务及功能、项目重点难点分析、合理化建议并对其有</w:t>
            </w:r>
            <w:r>
              <w:rPr>
                <w:rFonts w:hint="eastAsia" w:ascii="宋体" w:hAnsi="宋体" w:cs="宋体"/>
                <w:color w:val="auto"/>
                <w:kern w:val="0"/>
                <w:szCs w:val="21"/>
                <w:highlight w:val="none"/>
              </w:rPr>
              <w:t>详细完善的论述</w:t>
            </w:r>
            <w:r>
              <w:rPr>
                <w:rFonts w:hint="eastAsia" w:ascii="宋体" w:hAnsi="宋体" w:cs="微软雅黑"/>
                <w:color w:val="auto"/>
                <w:szCs w:val="21"/>
                <w:highlight w:val="none"/>
              </w:rPr>
              <w:t>，</w:t>
            </w:r>
            <w:r>
              <w:rPr>
                <w:rFonts w:hint="eastAsia" w:ascii="宋体" w:hAnsi="宋体" w:cs="宋体"/>
                <w:color w:val="auto"/>
                <w:szCs w:val="21"/>
                <w:highlight w:val="none"/>
              </w:rPr>
              <w:t>确切理解项目整体需求</w:t>
            </w:r>
            <w:r>
              <w:rPr>
                <w:rFonts w:hint="eastAsia" w:ascii="宋体" w:hAnsi="宋体" w:cs="宋体"/>
                <w:bCs/>
                <w:color w:val="auto"/>
                <w:spacing w:val="-4"/>
                <w:szCs w:val="21"/>
                <w:highlight w:val="none"/>
              </w:rPr>
              <w:t>，整体方案有针对性。</w:t>
            </w:r>
          </w:p>
        </w:tc>
      </w:tr>
      <w:tr w14:paraId="4CC4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60" w:type="dxa"/>
            <w:vMerge w:val="continue"/>
            <w:noWrap w:val="0"/>
            <w:vAlign w:val="center"/>
          </w:tcPr>
          <w:p w14:paraId="1D5FAAD7">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5ACC18AE">
            <w:pPr>
              <w:spacing w:line="460" w:lineRule="exact"/>
              <w:jc w:val="center"/>
              <w:rPr>
                <w:rFonts w:hint="eastAsia" w:ascii="宋体" w:hAnsi="宋体" w:cs="宋体"/>
                <w:b/>
                <w:bCs/>
                <w:color w:val="auto"/>
                <w:szCs w:val="21"/>
                <w:highlight w:val="none"/>
              </w:rPr>
            </w:pPr>
          </w:p>
        </w:tc>
        <w:tc>
          <w:tcPr>
            <w:tcW w:w="1263" w:type="dxa"/>
            <w:noWrap w:val="0"/>
            <w:vAlign w:val="center"/>
          </w:tcPr>
          <w:p w14:paraId="779E2461">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（3）项目实施方案</w:t>
            </w:r>
          </w:p>
          <w:p w14:paraId="3BDB8EE9">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（满分</w:t>
            </w:r>
            <w:r>
              <w:rPr>
                <w:rFonts w:hint="eastAsia" w:ascii="宋体" w:hAnsi="宋体" w:cs="微软雅黑"/>
                <w:b/>
                <w:bCs/>
                <w:color w:val="auto"/>
                <w:szCs w:val="21"/>
                <w:highlight w:val="none"/>
              </w:rPr>
              <w:t>12</w:t>
            </w:r>
            <w:r>
              <w:rPr>
                <w:rFonts w:hint="eastAsia" w:ascii="宋体" w:hAnsi="宋体" w:cs="宋体"/>
                <w:b/>
                <w:color w:val="auto"/>
                <w:szCs w:val="21"/>
                <w:highlight w:val="none"/>
              </w:rPr>
              <w:t>分）</w:t>
            </w:r>
          </w:p>
        </w:tc>
        <w:tc>
          <w:tcPr>
            <w:tcW w:w="6996" w:type="dxa"/>
            <w:noWrap w:val="0"/>
            <w:vAlign w:val="center"/>
          </w:tcPr>
          <w:p w14:paraId="539ACEF3">
            <w:pPr>
              <w:spacing w:line="2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投标文件未提供项目实施方案不得分。</w:t>
            </w:r>
          </w:p>
          <w:p w14:paraId="33ECC32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二档（4分）：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实施总体条件、交付期保障措施、项目管理方案</w:t>
            </w:r>
            <w:bookmarkStart w:id="284" w:name="_GoBack"/>
            <w:bookmarkEnd w:id="284"/>
            <w:r>
              <w:rPr>
                <w:rFonts w:hint="eastAsia" w:ascii="宋体" w:hAnsi="宋体" w:cs="微软雅黑"/>
                <w:color w:val="auto"/>
                <w:szCs w:val="21"/>
                <w:highlight w:val="none"/>
              </w:rPr>
              <w:t>、项目管理制度及流程、项目三期建设计划、项目进度管理、实施各环节工作要点，并对其进行简单的论述；提供项目经理1人，项目实施团队成员不低于5人。</w:t>
            </w:r>
          </w:p>
          <w:p w14:paraId="3BB419B8">
            <w:pPr>
              <w:spacing w:line="240" w:lineRule="exact"/>
              <w:ind w:firstLine="422" w:firstLineChars="200"/>
              <w:rPr>
                <w:rFonts w:hint="eastAsia" w:ascii="宋体" w:hAnsi="宋体" w:cs="微软雅黑"/>
                <w:b/>
                <w:bCs/>
                <w:color w:val="auto"/>
                <w:szCs w:val="21"/>
                <w:highlight w:val="none"/>
              </w:rPr>
            </w:pPr>
            <w:r>
              <w:rPr>
                <w:rFonts w:hint="eastAsia" w:ascii="宋体" w:hAnsi="宋体" w:cs="微软雅黑"/>
                <w:b/>
                <w:bCs/>
                <w:color w:val="auto"/>
                <w:szCs w:val="21"/>
                <w:highlight w:val="none"/>
              </w:rPr>
              <w:t>三档（8分）：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项目实施总体条件、</w:t>
            </w:r>
            <w:r>
              <w:rPr>
                <w:rFonts w:hint="eastAsia" w:ascii="宋体" w:hAnsi="宋体" w:cs="宋体"/>
                <w:color w:val="auto"/>
                <w:szCs w:val="21"/>
                <w:highlight w:val="none"/>
              </w:rPr>
              <w:t>配套设备的保管措施</w:t>
            </w:r>
            <w:r>
              <w:rPr>
                <w:rFonts w:hint="eastAsia" w:ascii="宋体" w:hAnsi="宋体" w:cs="微软雅黑"/>
                <w:color w:val="auto"/>
                <w:szCs w:val="21"/>
                <w:highlight w:val="none"/>
              </w:rPr>
              <w:t>、交付期保障措施、项目管理方案、项目管理制度及流程、项目三期建设计划、项目进度管理、实施各环节工作要点、系统部署调试、测试并对其进行详细的论述，</w:t>
            </w:r>
            <w:r>
              <w:rPr>
                <w:rFonts w:hint="eastAsia" w:ascii="宋体" w:hAnsi="宋体" w:cs="宋体"/>
                <w:color w:val="auto"/>
                <w:szCs w:val="21"/>
                <w:highlight w:val="none"/>
              </w:rPr>
              <w:t>基本理解项目整体需求</w:t>
            </w:r>
            <w:r>
              <w:rPr>
                <w:rFonts w:hint="eastAsia" w:ascii="宋体" w:hAnsi="宋体" w:cs="微软雅黑"/>
                <w:color w:val="auto"/>
                <w:szCs w:val="21"/>
                <w:highlight w:val="none"/>
              </w:rPr>
              <w:t>；提供项目经理1人（具备信息系统项目管理师证书），</w:t>
            </w:r>
            <w:r>
              <w:rPr>
                <w:rFonts w:hint="eastAsia" w:ascii="宋体" w:hAnsi="宋体" w:cs="微软雅黑"/>
                <w:color w:val="auto"/>
                <w:szCs w:val="21"/>
                <w:highlight w:val="none"/>
                <w:lang w:val="en-US" w:eastAsia="zh-CN"/>
              </w:rPr>
              <w:t>农业专业类1人（中级及以上职称）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项目实施团队成员不低于8人的。</w:t>
            </w:r>
          </w:p>
          <w:p w14:paraId="5D848461">
            <w:pPr>
              <w:spacing w:line="240" w:lineRule="exact"/>
              <w:ind w:firstLine="415" w:firstLineChars="197"/>
              <w:rPr>
                <w:rFonts w:hint="eastAsia" w:ascii="宋体" w:hAnsi="宋体" w:cs="微软雅黑"/>
                <w:color w:val="auto"/>
                <w:szCs w:val="21"/>
                <w:highlight w:val="none"/>
              </w:rPr>
            </w:pPr>
            <w:r>
              <w:rPr>
                <w:rFonts w:hint="eastAsia" w:ascii="宋体" w:hAnsi="宋体" w:cs="微软雅黑"/>
                <w:b/>
                <w:bCs/>
                <w:color w:val="auto"/>
                <w:szCs w:val="21"/>
                <w:highlight w:val="none"/>
              </w:rPr>
              <w:t>四档（12分）：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项目实施总体条件、</w:t>
            </w:r>
            <w:r>
              <w:rPr>
                <w:rFonts w:hint="eastAsia" w:ascii="宋体" w:hAnsi="宋体" w:cs="宋体"/>
                <w:color w:val="auto"/>
                <w:szCs w:val="21"/>
                <w:highlight w:val="none"/>
              </w:rPr>
              <w:t>配套设备的保管措施</w:t>
            </w:r>
            <w:r>
              <w:rPr>
                <w:rFonts w:hint="eastAsia" w:ascii="宋体" w:hAnsi="宋体" w:cs="微软雅黑"/>
                <w:color w:val="auto"/>
                <w:szCs w:val="21"/>
                <w:highlight w:val="none"/>
              </w:rPr>
              <w:t>、交付期保障措施、项目管理方案、项目管理制度及流程、项目三期建设计划、项目进度管理、实施各环节工作要点、项目实施质量保证、系统部署调试、测试并对其进行详细完善的论述，</w:t>
            </w:r>
            <w:r>
              <w:rPr>
                <w:rFonts w:hint="eastAsia" w:ascii="宋体" w:hAnsi="宋体" w:cs="宋体"/>
                <w:color w:val="auto"/>
                <w:szCs w:val="21"/>
                <w:highlight w:val="none"/>
              </w:rPr>
              <w:t>确切理解项目需求</w:t>
            </w:r>
            <w:r>
              <w:rPr>
                <w:rFonts w:hint="eastAsia" w:ascii="宋体" w:hAnsi="宋体" w:cs="宋体"/>
                <w:bCs/>
                <w:color w:val="auto"/>
                <w:spacing w:val="-4"/>
                <w:szCs w:val="21"/>
                <w:highlight w:val="none"/>
              </w:rPr>
              <w:t>，整体方案有针对性</w:t>
            </w:r>
            <w:r>
              <w:rPr>
                <w:rFonts w:hint="eastAsia" w:ascii="宋体" w:hAnsi="宋体" w:cs="宋体"/>
                <w:color w:val="auto"/>
                <w:spacing w:val="-4"/>
                <w:szCs w:val="21"/>
                <w:highlight w:val="none"/>
              </w:rPr>
              <w:t>；</w:t>
            </w:r>
            <w:r>
              <w:rPr>
                <w:rFonts w:hint="eastAsia" w:ascii="宋体" w:hAnsi="宋体" w:cs="微软雅黑"/>
                <w:color w:val="auto"/>
                <w:szCs w:val="21"/>
                <w:highlight w:val="none"/>
              </w:rPr>
              <w:t>提供项目经理1人（具备信息系统项目管理师证书、计算机科学与技术专业中级及以上职称），开发主管1人（高级软件工程师、数据库工程师）</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农业专业类1人（中级及以上职称）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项目实施团队成员不低于8人的。</w:t>
            </w:r>
          </w:p>
          <w:p w14:paraId="0E0F0ED2">
            <w:pPr>
              <w:spacing w:line="24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注：</w:t>
            </w:r>
            <w:r>
              <w:rPr>
                <w:rFonts w:hint="eastAsia" w:ascii="宋体" w:hAnsi="宋体" w:cs="宋体"/>
                <w:color w:val="auto"/>
                <w:kern w:val="0"/>
                <w:szCs w:val="21"/>
                <w:highlight w:val="none"/>
              </w:rPr>
              <w:t>以上人员均为投标人自有员工（提供投标人为其员工缴纳投标截止时间前近半年内任意</w:t>
            </w:r>
            <w:r>
              <w:rPr>
                <w:rFonts w:hint="eastAsia" w:ascii="宋体" w:hAnsi="宋体" w:cs="宋体"/>
                <w:color w:val="auto"/>
                <w:kern w:val="0"/>
                <w:szCs w:val="21"/>
                <w:highlight w:val="none"/>
                <w:lang w:val="en-US" w:eastAsia="zh-CN"/>
              </w:rPr>
              <w:t>连续</w:t>
            </w:r>
            <w:r>
              <w:rPr>
                <w:rFonts w:hint="eastAsia" w:ascii="宋体" w:hAnsi="宋体" w:cs="宋体"/>
                <w:color w:val="auto"/>
                <w:kern w:val="0"/>
                <w:szCs w:val="21"/>
                <w:highlight w:val="none"/>
              </w:rPr>
              <w:t>3个月的社保证明复印件），并提供其有效证书复印件</w:t>
            </w:r>
            <w:r>
              <w:rPr>
                <w:rFonts w:hint="eastAsia" w:ascii="宋体" w:hAnsi="宋体" w:cs="宋体"/>
                <w:color w:val="auto"/>
                <w:kern w:val="0"/>
                <w:szCs w:val="21"/>
                <w:highlight w:val="none"/>
                <w:lang w:val="en-US" w:eastAsia="zh-CN"/>
              </w:rPr>
              <w:t>及身份证正反面复印件</w:t>
            </w:r>
            <w:r>
              <w:rPr>
                <w:rFonts w:hint="eastAsia" w:ascii="宋体" w:hAnsi="宋体" w:cs="宋体"/>
                <w:color w:val="auto"/>
                <w:kern w:val="0"/>
                <w:szCs w:val="21"/>
                <w:highlight w:val="none"/>
              </w:rPr>
              <w:t>并加盖投标人公章（或CA签章）。</w:t>
            </w:r>
          </w:p>
        </w:tc>
      </w:tr>
      <w:tr w14:paraId="1ACF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7" w:hRule="atLeast"/>
          <w:jc w:val="center"/>
        </w:trPr>
        <w:tc>
          <w:tcPr>
            <w:tcW w:w="560" w:type="dxa"/>
            <w:vMerge w:val="continue"/>
            <w:noWrap w:val="0"/>
            <w:vAlign w:val="center"/>
          </w:tcPr>
          <w:p w14:paraId="50ED7E3A">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0269A453">
            <w:pPr>
              <w:spacing w:line="460" w:lineRule="exact"/>
              <w:jc w:val="center"/>
              <w:rPr>
                <w:rFonts w:hint="eastAsia" w:ascii="宋体" w:hAnsi="宋体" w:cs="宋体"/>
                <w:b/>
                <w:bCs/>
                <w:color w:val="auto"/>
                <w:szCs w:val="21"/>
                <w:highlight w:val="none"/>
              </w:rPr>
            </w:pPr>
          </w:p>
        </w:tc>
        <w:tc>
          <w:tcPr>
            <w:tcW w:w="1263" w:type="dxa"/>
            <w:noWrap w:val="0"/>
            <w:vAlign w:val="center"/>
          </w:tcPr>
          <w:p w14:paraId="7547DD53">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（4）培训方案（满分</w:t>
            </w:r>
            <w:r>
              <w:rPr>
                <w:rFonts w:hint="eastAsia" w:ascii="宋体" w:hAnsi="宋体" w:cs="微软雅黑"/>
                <w:b/>
                <w:bCs/>
                <w:color w:val="auto"/>
                <w:szCs w:val="21"/>
                <w:highlight w:val="none"/>
              </w:rPr>
              <w:t>8</w:t>
            </w:r>
            <w:r>
              <w:rPr>
                <w:rFonts w:hint="eastAsia" w:ascii="宋体" w:hAnsi="宋体" w:cs="宋体"/>
                <w:b/>
                <w:color w:val="auto"/>
                <w:szCs w:val="21"/>
                <w:highlight w:val="none"/>
              </w:rPr>
              <w:t>分）</w:t>
            </w:r>
          </w:p>
        </w:tc>
        <w:tc>
          <w:tcPr>
            <w:tcW w:w="6996" w:type="dxa"/>
            <w:noWrap w:val="0"/>
            <w:vAlign w:val="center"/>
          </w:tcPr>
          <w:p w14:paraId="5EDF780A">
            <w:pPr>
              <w:widowControl/>
              <w:spacing w:line="2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一档（0分）：</w:t>
            </w:r>
            <w:r>
              <w:rPr>
                <w:rFonts w:hint="eastAsia" w:ascii="宋体" w:hAnsi="宋体" w:cs="宋体"/>
                <w:color w:val="auto"/>
                <w:kern w:val="0"/>
                <w:szCs w:val="21"/>
                <w:highlight w:val="none"/>
                <w:lang w:bidi="ar"/>
              </w:rPr>
              <w:t>投标文件未提供培训方案的，得0分。</w:t>
            </w:r>
          </w:p>
          <w:p w14:paraId="7508284D">
            <w:pPr>
              <w:widowControl/>
              <w:spacing w:line="240" w:lineRule="exact"/>
              <w:ind w:firstLine="422"/>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二档（2分）：</w:t>
            </w:r>
            <w:r>
              <w:rPr>
                <w:rFonts w:hint="eastAsia" w:ascii="宋体" w:hAnsi="宋体" w:cs="宋体"/>
                <w:color w:val="auto"/>
                <w:kern w:val="0"/>
                <w:szCs w:val="21"/>
                <w:highlight w:val="none"/>
                <w:lang w:bidi="ar"/>
              </w:rPr>
              <w:t>提供培训方案，方案内容满足采购需求且具有培训计划，其中包括每期进度服务成果交付后提供专业技术人员对项目管理人员（业主领导、项目管理人员、技术人员、种植户等）进行培训、时间计划安排和培训内容、培训方式满足采购文件要求，培训内容含有系统及设备操作方法、使用注意事项、基础维护知识。</w:t>
            </w:r>
          </w:p>
          <w:p w14:paraId="1708AE01">
            <w:pPr>
              <w:widowControl/>
              <w:spacing w:line="240" w:lineRule="exact"/>
              <w:ind w:firstLine="422"/>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三档（5分）：</w:t>
            </w:r>
            <w:r>
              <w:rPr>
                <w:rFonts w:hint="eastAsia" w:ascii="宋体" w:hAnsi="宋体" w:cs="宋体"/>
                <w:color w:val="auto"/>
                <w:kern w:val="0"/>
                <w:szCs w:val="21"/>
                <w:highlight w:val="none"/>
                <w:lang w:bidi="ar"/>
              </w:rPr>
              <w:t>提供培训方案，方案内容满足采购需求且具有详细的培训计划，其中包括每期进度服务成果交付后提供专业技术人员对项目管理人员（业主领导、项目管理人员、技术人员、种植户等）进行培训、时间计划安排和培训内容、培训方式满足采购文件要求，培训内容含有系统及设备操作方法、使用注意事项、基础维护知识、一般故障处理方法、重大故障处理方法。</w:t>
            </w:r>
          </w:p>
          <w:p w14:paraId="2FA5FDB8">
            <w:pPr>
              <w:spacing w:line="240" w:lineRule="exact"/>
              <w:ind w:firstLine="422" w:firstLineChars="200"/>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四档（8分）：</w:t>
            </w:r>
            <w:r>
              <w:rPr>
                <w:rFonts w:hint="eastAsia" w:ascii="宋体" w:hAnsi="宋体" w:cs="宋体"/>
                <w:color w:val="auto"/>
                <w:kern w:val="0"/>
                <w:szCs w:val="21"/>
                <w:highlight w:val="none"/>
                <w:lang w:bidi="ar"/>
              </w:rPr>
              <w:t>提供培训方案，方案内容满足采购需求且具有详细完善的培训计划，其中包括每期进度服务成果交付后提供专业技术人员对项目管理人员（业主领导、项目管理人员、技术人员、种植户等）进行培训、时间计划安排和培训内容、培训方式优于采购文件要求，培训内容含有系统及设备标准操作方法、使用注意事项、基础维护知识、一般故障处理方法、重大故障处理方法、配套设备维护保养细则。</w:t>
            </w:r>
          </w:p>
        </w:tc>
      </w:tr>
      <w:tr w14:paraId="03BA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63690C69">
            <w:pPr>
              <w:spacing w:line="460" w:lineRule="exact"/>
              <w:jc w:val="center"/>
              <w:rPr>
                <w:rFonts w:hint="eastAsia" w:ascii="宋体" w:hAnsi="宋体" w:cs="宋体"/>
                <w:b/>
                <w:bCs/>
                <w:color w:val="auto"/>
                <w:szCs w:val="21"/>
                <w:highlight w:val="none"/>
              </w:rPr>
            </w:pPr>
          </w:p>
        </w:tc>
        <w:tc>
          <w:tcPr>
            <w:tcW w:w="907" w:type="dxa"/>
            <w:noWrap w:val="0"/>
            <w:vAlign w:val="center"/>
          </w:tcPr>
          <w:p w14:paraId="27914F55">
            <w:pPr>
              <w:spacing w:line="460" w:lineRule="exact"/>
              <w:jc w:val="center"/>
              <w:rPr>
                <w:rFonts w:hint="eastAsia" w:ascii="宋体" w:hAnsi="宋体" w:cs="宋体"/>
                <w:b/>
                <w:color w:val="auto"/>
                <w:szCs w:val="21"/>
                <w:highlight w:val="none"/>
              </w:rPr>
            </w:pPr>
          </w:p>
        </w:tc>
        <w:tc>
          <w:tcPr>
            <w:tcW w:w="1263" w:type="dxa"/>
            <w:noWrap w:val="0"/>
            <w:vAlign w:val="center"/>
          </w:tcPr>
          <w:p w14:paraId="61B6E114">
            <w:pPr>
              <w:numPr>
                <w:ilvl w:val="0"/>
                <w:numId w:val="4"/>
              </w:num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售后服务方案</w:t>
            </w:r>
          </w:p>
          <w:p w14:paraId="78445C11">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（满分</w:t>
            </w:r>
            <w:r>
              <w:rPr>
                <w:rFonts w:hint="eastAsia" w:hAnsi="宋体" w:cs="宋体"/>
                <w:b/>
                <w:color w:val="auto"/>
                <w:highlight w:val="none"/>
              </w:rPr>
              <w:t>15</w:t>
            </w:r>
            <w:r>
              <w:rPr>
                <w:rFonts w:hint="eastAsia" w:ascii="宋体" w:hAnsi="宋体" w:cs="宋体"/>
                <w:b/>
                <w:color w:val="auto"/>
                <w:szCs w:val="21"/>
                <w:highlight w:val="none"/>
              </w:rPr>
              <w:t>分）</w:t>
            </w:r>
          </w:p>
          <w:p w14:paraId="20AB9EE6">
            <w:pPr>
              <w:pStyle w:val="8"/>
              <w:keepNext/>
              <w:tabs>
                <w:tab w:val="left" w:pos="8820"/>
              </w:tabs>
              <w:spacing w:line="460" w:lineRule="exact"/>
              <w:jc w:val="center"/>
              <w:rPr>
                <w:rFonts w:hint="eastAsia" w:hAnsi="宋体" w:cs="宋体"/>
                <w:b/>
                <w:color w:val="auto"/>
                <w:highlight w:val="none"/>
              </w:rPr>
            </w:pPr>
          </w:p>
        </w:tc>
        <w:tc>
          <w:tcPr>
            <w:tcW w:w="6996" w:type="dxa"/>
            <w:noWrap w:val="0"/>
            <w:vAlign w:val="center"/>
          </w:tcPr>
          <w:p w14:paraId="08B01A5F">
            <w:pPr>
              <w:spacing w:line="2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投标文件未提供售后服务方案的，得0分。</w:t>
            </w:r>
          </w:p>
          <w:p w14:paraId="17F3F86E">
            <w:pPr>
              <w:adjustRightInd w:val="0"/>
              <w:snapToGrid w:val="0"/>
              <w:spacing w:line="2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二档（5分）：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lang w:eastAsia="zh-CN"/>
              </w:rPr>
              <w:t>；</w:t>
            </w:r>
            <w:r>
              <w:rPr>
                <w:rFonts w:hint="eastAsia"/>
                <w:color w:val="auto"/>
                <w:highlight w:val="none"/>
              </w:rPr>
              <w:t>在系统上线和试运行阶段，提供满足采购文件要求时间的驻点服务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1名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供应商应在2小时内响应；</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对于一般问题承诺6小时内解决，需要到现场维修的，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应在36小时内到达维修现场，8 小时内排除设备故障</w:t>
            </w:r>
            <w:r>
              <w:rPr>
                <w:rFonts w:hint="eastAsia"/>
                <w:color w:val="auto"/>
                <w:highlight w:val="none"/>
              </w:rPr>
              <w:t>（遇到自然灾害等不可抗拒事故除外）；</w:t>
            </w:r>
            <w:r>
              <w:rPr>
                <w:rFonts w:hint="eastAsia"/>
                <w:color w:val="auto"/>
                <w:highlight w:val="none"/>
                <w:lang w:val="en-US" w:eastAsia="zh-CN"/>
              </w:rPr>
              <w:t>对于</w:t>
            </w:r>
            <w:r>
              <w:rPr>
                <w:rFonts w:hint="eastAsia"/>
                <w:color w:val="auto"/>
                <w:highlight w:val="none"/>
              </w:rPr>
              <w:t>短时间内不能解决的问题，提供</w:t>
            </w:r>
            <w:r>
              <w:rPr>
                <w:rFonts w:hint="eastAsia"/>
                <w:color w:val="auto"/>
                <w:highlight w:val="none"/>
                <w:lang w:eastAsia="zh-CN"/>
              </w:rPr>
              <w:t>有</w:t>
            </w:r>
            <w:r>
              <w:rPr>
                <w:rFonts w:hint="eastAsia"/>
                <w:color w:val="auto"/>
                <w:highlight w:val="none"/>
              </w:rPr>
              <w:t>应急措施</w:t>
            </w:r>
            <w:r>
              <w:rPr>
                <w:rFonts w:hint="eastAsia"/>
                <w:color w:val="auto"/>
                <w:highlight w:val="none"/>
                <w:lang w:val="en-US" w:eastAsia="zh-CN"/>
              </w:rPr>
              <w:t>方案</w:t>
            </w:r>
            <w:r>
              <w:rPr>
                <w:rFonts w:hint="eastAsia"/>
                <w:color w:val="auto"/>
                <w:highlight w:val="none"/>
                <w:lang w:eastAsia="zh-CN"/>
              </w:rPr>
              <w:t>；</w:t>
            </w:r>
            <w:r>
              <w:rPr>
                <w:rFonts w:hint="eastAsia"/>
                <w:color w:val="auto"/>
                <w:highlight w:val="none"/>
              </w:rPr>
              <w:t>提供有服务流程</w:t>
            </w:r>
            <w:r>
              <w:rPr>
                <w:rFonts w:hint="eastAsia"/>
                <w:color w:val="auto"/>
                <w:highlight w:val="none"/>
                <w:lang w:val="en-US" w:eastAsia="zh-CN"/>
              </w:rPr>
              <w:t xml:space="preserve"> </w:t>
            </w:r>
            <w:r>
              <w:rPr>
                <w:rFonts w:hint="eastAsia"/>
                <w:color w:val="auto"/>
                <w:highlight w:val="none"/>
              </w:rPr>
              <w:t>（包括现场维护、日常维护、电话维护、远程维护）</w:t>
            </w:r>
            <w:r>
              <w:rPr>
                <w:rFonts w:hint="eastAsia" w:ascii="宋体" w:hAnsi="宋体" w:cs="宋体"/>
                <w:bCs/>
                <w:color w:val="auto"/>
                <w:szCs w:val="21"/>
                <w:highlight w:val="none"/>
              </w:rPr>
              <w:t>、</w:t>
            </w:r>
            <w:r>
              <w:rPr>
                <w:rFonts w:hint="eastAsia"/>
                <w:color w:val="auto"/>
                <w:highlight w:val="none"/>
              </w:rPr>
              <w:t>维护方案</w:t>
            </w:r>
            <w:r>
              <w:rPr>
                <w:rFonts w:hint="eastAsia"/>
                <w:color w:val="auto"/>
                <w:highlight w:val="none"/>
                <w:lang w:val="en-US" w:eastAsia="zh-CN"/>
              </w:rPr>
              <w:t xml:space="preserve"> </w:t>
            </w:r>
            <w:r>
              <w:rPr>
                <w:rFonts w:hint="eastAsia"/>
                <w:color w:val="auto"/>
                <w:highlight w:val="none"/>
              </w:rPr>
              <w:t>（含回访措施、</w:t>
            </w:r>
            <w:r>
              <w:rPr>
                <w:rFonts w:hint="eastAsia" w:ascii="宋体" w:hAnsi="宋体" w:cs="宋体"/>
                <w:bCs/>
                <w:color w:val="auto"/>
                <w:szCs w:val="21"/>
                <w:highlight w:val="none"/>
              </w:rPr>
              <w:t>运维保障措施、</w:t>
            </w:r>
            <w:r>
              <w:rPr>
                <w:rFonts w:hint="eastAsia"/>
                <w:color w:val="auto"/>
                <w:highlight w:val="none"/>
              </w:rPr>
              <w:t>有</w:t>
            </w:r>
            <w:r>
              <w:rPr>
                <w:rFonts w:hint="eastAsia" w:ascii="宋体" w:hAnsi="宋体" w:cs="宋体"/>
                <w:bCs/>
                <w:color w:val="auto"/>
                <w:szCs w:val="21"/>
                <w:highlight w:val="none"/>
              </w:rPr>
              <w:t>售后服务团队人员</w:t>
            </w:r>
            <w:r>
              <w:rPr>
                <w:rFonts w:hint="eastAsia"/>
                <w:color w:val="auto"/>
                <w:highlight w:val="none"/>
              </w:rPr>
              <w:t>、提供有售后服务机构（</w:t>
            </w:r>
            <w:r>
              <w:rPr>
                <w:rFonts w:hint="eastAsia"/>
                <w:color w:val="auto"/>
                <w:highlight w:val="none"/>
                <w:lang w:val="en-US" w:eastAsia="zh-CN"/>
              </w:rPr>
              <w:t xml:space="preserve"> </w:t>
            </w:r>
            <w:r>
              <w:rPr>
                <w:rFonts w:hint="eastAsia"/>
                <w:color w:val="auto"/>
                <w:highlight w:val="none"/>
              </w:rPr>
              <w:t>含服务机构的介绍、联系人、联系电话等</w:t>
            </w:r>
            <w:r>
              <w:rPr>
                <w:rFonts w:hint="eastAsia"/>
                <w:color w:val="auto"/>
                <w:highlight w:val="none"/>
                <w:lang w:val="en-US" w:eastAsia="zh-CN"/>
              </w:rPr>
              <w:t xml:space="preserve"> </w:t>
            </w:r>
            <w:r>
              <w:rPr>
                <w:rFonts w:hint="eastAsia"/>
                <w:color w:val="auto"/>
                <w:highlight w:val="none"/>
              </w:rPr>
              <w:t>）。</w:t>
            </w:r>
          </w:p>
          <w:p w14:paraId="50ECE958">
            <w:pPr>
              <w:adjustRightInd w:val="0"/>
              <w:snapToGrid w:val="0"/>
              <w:spacing w:line="2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三档（10分）：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rPr>
              <w:t>，</w:t>
            </w:r>
            <w:r>
              <w:rPr>
                <w:rFonts w:hint="eastAsia"/>
                <w:color w:val="auto"/>
                <w:highlight w:val="none"/>
              </w:rPr>
              <w:t>在系统上线和试运行阶段，提供优于采购文件要求时间的驻点服务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2名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供应商应在1小时内响应；</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对于一般问题承诺5小时内解决，需要到现场维修的，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应在24小时内到达维修现场，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6小时内排除设备故障</w:t>
            </w:r>
            <w:r>
              <w:rPr>
                <w:rFonts w:hint="eastAsia"/>
                <w:color w:val="auto"/>
                <w:highlight w:val="none"/>
              </w:rPr>
              <w:t>（遇到自然灾害等不可抗拒事故除外）</w:t>
            </w:r>
            <w:r>
              <w:rPr>
                <w:rFonts w:hint="eastAsia" w:ascii="宋体" w:hAnsi="宋体" w:cs="宋体"/>
                <w:color w:val="auto"/>
                <w:szCs w:val="21"/>
                <w:highlight w:val="none"/>
              </w:rPr>
              <w:t>；</w:t>
            </w:r>
            <w:r>
              <w:rPr>
                <w:rFonts w:hint="eastAsia"/>
                <w:color w:val="auto"/>
                <w:highlight w:val="none"/>
                <w:lang w:val="en-US" w:eastAsia="zh-CN"/>
              </w:rPr>
              <w:t>对于</w:t>
            </w:r>
            <w:r>
              <w:rPr>
                <w:rFonts w:hint="eastAsia"/>
                <w:color w:val="auto"/>
                <w:highlight w:val="none"/>
              </w:rPr>
              <w:t>短时间内不能解决的问题，</w:t>
            </w:r>
            <w:r>
              <w:rPr>
                <w:rFonts w:hint="eastAsia"/>
                <w:color w:val="auto"/>
                <w:highlight w:val="none"/>
                <w:lang w:val="en-US" w:eastAsia="zh-CN"/>
              </w:rPr>
              <w:t xml:space="preserve"> 提供有</w:t>
            </w:r>
            <w:r>
              <w:rPr>
                <w:rFonts w:hint="eastAsia"/>
                <w:color w:val="auto"/>
                <w:highlight w:val="none"/>
              </w:rPr>
              <w:t>应急措施</w:t>
            </w:r>
            <w:r>
              <w:rPr>
                <w:rFonts w:hint="eastAsia"/>
                <w:color w:val="auto"/>
                <w:highlight w:val="none"/>
                <w:lang w:val="en-US" w:eastAsia="zh-CN"/>
              </w:rPr>
              <w:t xml:space="preserve">方案且考虑项目实际可能存在的突发情况并做出相应分析； </w:t>
            </w:r>
            <w:r>
              <w:rPr>
                <w:rFonts w:hint="eastAsia"/>
                <w:color w:val="auto"/>
                <w:highlight w:val="none"/>
              </w:rPr>
              <w:t>提供有详细的服务流程（</w:t>
            </w:r>
            <w:r>
              <w:rPr>
                <w:rFonts w:hint="eastAsia"/>
                <w:color w:val="auto"/>
                <w:highlight w:val="none"/>
                <w:lang w:val="en-US" w:eastAsia="zh-CN"/>
              </w:rPr>
              <w:t xml:space="preserve"> </w:t>
            </w:r>
            <w:r>
              <w:rPr>
                <w:rFonts w:hint="eastAsia"/>
                <w:color w:val="auto"/>
                <w:highlight w:val="none"/>
              </w:rPr>
              <w:t>包括现场维护、日常维护、电话维护、远程维护、主动巡检等</w:t>
            </w:r>
            <w:r>
              <w:rPr>
                <w:rFonts w:hint="eastAsia"/>
                <w:color w:val="auto"/>
                <w:highlight w:val="none"/>
                <w:lang w:val="en-US" w:eastAsia="zh-CN"/>
              </w:rPr>
              <w:t xml:space="preserve"> </w:t>
            </w:r>
            <w:r>
              <w:rPr>
                <w:rFonts w:hint="eastAsia"/>
                <w:color w:val="auto"/>
                <w:highlight w:val="none"/>
              </w:rPr>
              <w:t>）</w:t>
            </w:r>
            <w:r>
              <w:rPr>
                <w:rFonts w:hint="eastAsia" w:ascii="宋体" w:hAnsi="宋体" w:cs="宋体"/>
                <w:bCs/>
                <w:color w:val="auto"/>
                <w:szCs w:val="21"/>
                <w:highlight w:val="none"/>
              </w:rPr>
              <w:t>、</w:t>
            </w:r>
            <w:r>
              <w:rPr>
                <w:rFonts w:hint="eastAsia"/>
                <w:color w:val="auto"/>
                <w:highlight w:val="none"/>
              </w:rPr>
              <w:t>维护方案</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含回访措施、</w:t>
            </w:r>
            <w:r>
              <w:rPr>
                <w:rFonts w:hint="eastAsia" w:ascii="宋体" w:hAnsi="宋体" w:cs="宋体"/>
                <w:bCs/>
                <w:color w:val="auto"/>
                <w:szCs w:val="21"/>
                <w:highlight w:val="none"/>
              </w:rPr>
              <w:t>运维保障措施、故障处理措施</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lang w:eastAsia="zh-CN"/>
              </w:rPr>
              <w:t>）</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有</w:t>
            </w:r>
            <w:r>
              <w:rPr>
                <w:rFonts w:hint="eastAsia" w:ascii="宋体" w:hAnsi="宋体" w:cs="宋体"/>
                <w:bCs/>
                <w:color w:val="auto"/>
                <w:szCs w:val="21"/>
                <w:highlight w:val="none"/>
              </w:rPr>
              <w:t>售后服务团队人员且配置不低于5人</w:t>
            </w:r>
            <w:r>
              <w:rPr>
                <w:rFonts w:hint="eastAsia" w:ascii="宋体" w:hAnsi="宋体" w:cs="宋体"/>
                <w:bCs/>
                <w:color w:val="auto"/>
                <w:szCs w:val="21"/>
                <w:highlight w:val="none"/>
                <w:lang w:eastAsia="zh-CN"/>
              </w:rPr>
              <w:t>）</w:t>
            </w:r>
            <w:r>
              <w:rPr>
                <w:rFonts w:hint="eastAsia"/>
                <w:color w:val="auto"/>
                <w:highlight w:val="none"/>
              </w:rPr>
              <w:t>、提供有售后服务机构（</w:t>
            </w:r>
            <w:r>
              <w:rPr>
                <w:rFonts w:hint="eastAsia"/>
                <w:color w:val="auto"/>
                <w:highlight w:val="none"/>
                <w:lang w:val="en-US" w:eastAsia="zh-CN"/>
              </w:rPr>
              <w:t xml:space="preserve"> </w:t>
            </w:r>
            <w:r>
              <w:rPr>
                <w:rFonts w:hint="eastAsia"/>
                <w:color w:val="auto"/>
                <w:highlight w:val="none"/>
              </w:rPr>
              <w:t>含服务机构的介绍、联系人、联系电话等</w:t>
            </w:r>
            <w:r>
              <w:rPr>
                <w:rFonts w:hint="eastAsia"/>
                <w:color w:val="auto"/>
                <w:highlight w:val="none"/>
                <w:lang w:val="en-US" w:eastAsia="zh-CN"/>
              </w:rPr>
              <w:t xml:space="preserve"> </w:t>
            </w:r>
            <w:r>
              <w:rPr>
                <w:rFonts w:hint="eastAsia"/>
                <w:color w:val="auto"/>
                <w:highlight w:val="none"/>
              </w:rPr>
              <w:t>）。</w:t>
            </w:r>
          </w:p>
          <w:p w14:paraId="73B44F52">
            <w:pPr>
              <w:spacing w:line="240" w:lineRule="exact"/>
              <w:ind w:firstLine="422" w:firstLineChars="200"/>
              <w:rPr>
                <w:rFonts w:hint="eastAsia"/>
                <w:color w:val="auto"/>
                <w:highlight w:val="none"/>
              </w:rPr>
            </w:pPr>
            <w:r>
              <w:rPr>
                <w:rFonts w:hint="eastAsia" w:ascii="宋体" w:hAnsi="宋体" w:cs="宋体"/>
                <w:b/>
                <w:bCs/>
                <w:color w:val="auto"/>
                <w:szCs w:val="21"/>
                <w:highlight w:val="none"/>
              </w:rPr>
              <w:t>四档（15分）：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lang w:eastAsia="zh-CN"/>
              </w:rPr>
              <w:t>；</w:t>
            </w:r>
            <w:r>
              <w:rPr>
                <w:rFonts w:hint="eastAsia"/>
                <w:color w:val="auto"/>
                <w:highlight w:val="none"/>
              </w:rPr>
              <w:t>在系统上线和试运行阶段，提供优于采购文件要求时间的驻点服务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2名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在售后服务期内，在接到故障报修或采购人有服务需求的，供应商应在0.5小时内响应；对于一般问题承诺4小时内解决</w:t>
            </w:r>
            <w:r>
              <w:rPr>
                <w:rFonts w:hint="eastAsia" w:ascii="宋体" w:hAnsi="宋体" w:cs="宋体"/>
                <w:color w:val="auto"/>
                <w:szCs w:val="21"/>
                <w:highlight w:val="none"/>
                <w:lang w:eastAsia="zh-CN"/>
              </w:rPr>
              <w:t>；</w:t>
            </w:r>
            <w:r>
              <w:rPr>
                <w:rFonts w:hint="eastAsia" w:ascii="宋体" w:hAnsi="宋体" w:cs="宋体"/>
                <w:color w:val="auto"/>
                <w:szCs w:val="21"/>
                <w:highlight w:val="none"/>
              </w:rPr>
              <w:t>需要到现场维修的，应在12小时内到达维修现场，4小时内排除设备故障</w:t>
            </w:r>
            <w:r>
              <w:rPr>
                <w:rFonts w:hint="eastAsia"/>
                <w:color w:val="auto"/>
                <w:highlight w:val="none"/>
              </w:rPr>
              <w:t>（遇到自然灾害等不可抗拒事故除外）</w:t>
            </w:r>
            <w:r>
              <w:rPr>
                <w:rFonts w:hint="eastAsia"/>
                <w:color w:val="auto"/>
                <w:highlight w:val="none"/>
                <w:lang w:eastAsia="zh-CN"/>
              </w:rPr>
              <w:t>；</w:t>
            </w:r>
            <w:r>
              <w:rPr>
                <w:rFonts w:hint="eastAsia"/>
                <w:color w:val="auto"/>
                <w:highlight w:val="none"/>
                <w:lang w:val="en-US" w:eastAsia="zh-CN"/>
              </w:rPr>
              <w:t>对于</w:t>
            </w:r>
            <w:r>
              <w:rPr>
                <w:rFonts w:hint="eastAsia"/>
                <w:color w:val="auto"/>
                <w:highlight w:val="none"/>
              </w:rPr>
              <w:t>短时间内不能解决的问题，</w:t>
            </w:r>
            <w:r>
              <w:rPr>
                <w:rFonts w:hint="eastAsia"/>
                <w:color w:val="auto"/>
                <w:highlight w:val="none"/>
                <w:lang w:val="en-US" w:eastAsia="zh-CN"/>
              </w:rPr>
              <w:t>提供有</w:t>
            </w:r>
            <w:r>
              <w:rPr>
                <w:rFonts w:hint="eastAsia"/>
                <w:color w:val="auto"/>
                <w:highlight w:val="none"/>
              </w:rPr>
              <w:t>应急措施</w:t>
            </w:r>
            <w:r>
              <w:rPr>
                <w:rFonts w:hint="eastAsia"/>
                <w:color w:val="auto"/>
                <w:highlight w:val="none"/>
                <w:lang w:val="en-US" w:eastAsia="zh-CN"/>
              </w:rPr>
              <w:t>方案且贴合项目实际可能存在的突发情况并做出合理分析</w:t>
            </w:r>
            <w:r>
              <w:rPr>
                <w:rFonts w:hint="eastAsia" w:ascii="宋体" w:hAnsi="宋体" w:cs="宋体"/>
                <w:color w:val="auto"/>
                <w:szCs w:val="21"/>
                <w:highlight w:val="none"/>
              </w:rPr>
              <w:t>；</w:t>
            </w:r>
            <w:r>
              <w:rPr>
                <w:rFonts w:hint="eastAsia"/>
                <w:color w:val="auto"/>
                <w:highlight w:val="none"/>
              </w:rPr>
              <w:t>提供有详细完善的服务流程（包括现场维护、日常维护、电话维护、远程维护、主动巡检等）</w:t>
            </w:r>
            <w:r>
              <w:rPr>
                <w:rFonts w:hint="eastAsia" w:ascii="宋体" w:hAnsi="宋体" w:cs="宋体"/>
                <w:bCs/>
                <w:color w:val="auto"/>
                <w:szCs w:val="21"/>
                <w:highlight w:val="none"/>
              </w:rPr>
              <w:t>、</w:t>
            </w:r>
            <w:r>
              <w:rPr>
                <w:rFonts w:hint="eastAsia"/>
                <w:color w:val="auto"/>
                <w:highlight w:val="none"/>
              </w:rPr>
              <w:t>应急预案、维护方案（含回访措施、</w:t>
            </w:r>
            <w:r>
              <w:rPr>
                <w:rFonts w:hint="eastAsia" w:ascii="宋体" w:hAnsi="宋体" w:cs="宋体"/>
                <w:bCs/>
                <w:color w:val="auto"/>
                <w:szCs w:val="21"/>
                <w:highlight w:val="none"/>
              </w:rPr>
              <w:t>运维保障措施、故障处理措施</w:t>
            </w:r>
            <w:r>
              <w:rPr>
                <w:rFonts w:hint="eastAsia" w:ascii="宋体" w:hAnsi="宋体" w:cs="宋体"/>
                <w:bCs/>
                <w:color w:val="auto"/>
                <w:szCs w:val="21"/>
                <w:highlight w:val="none"/>
                <w:lang w:eastAsia="zh-CN"/>
              </w:rPr>
              <w:t>）</w:t>
            </w:r>
            <w:r>
              <w:rPr>
                <w:rFonts w:hint="eastAsia"/>
                <w:color w:val="auto"/>
                <w:highlight w:val="none"/>
              </w:rPr>
              <w:t>、有</w:t>
            </w:r>
            <w:r>
              <w:rPr>
                <w:rFonts w:hint="eastAsia" w:ascii="宋体" w:hAnsi="宋体" w:cs="宋体"/>
                <w:bCs/>
                <w:color w:val="auto"/>
                <w:szCs w:val="21"/>
                <w:highlight w:val="none"/>
              </w:rPr>
              <w:t>售后服务团队人员且配置不低于8人</w:t>
            </w:r>
            <w:r>
              <w:rPr>
                <w:rFonts w:hint="eastAsia"/>
                <w:color w:val="auto"/>
                <w:highlight w:val="none"/>
              </w:rPr>
              <w:t>、提供有售后服务机构（含服务机构的介绍、联系人、联系电话等）。</w:t>
            </w:r>
          </w:p>
          <w:p w14:paraId="55E0ACB9">
            <w:pPr>
              <w:spacing w:line="240" w:lineRule="exact"/>
              <w:ind w:firstLine="422" w:firstLineChars="200"/>
              <w:rPr>
                <w:rFonts w:hint="eastAsia"/>
                <w:color w:val="auto"/>
                <w:highlight w:val="none"/>
              </w:rPr>
            </w:pPr>
            <w:r>
              <w:rPr>
                <w:rFonts w:hint="eastAsia" w:ascii="宋体" w:hAnsi="宋体" w:cs="宋体"/>
                <w:b/>
                <w:bCs/>
                <w:color w:val="auto"/>
                <w:kern w:val="0"/>
                <w:szCs w:val="21"/>
                <w:highlight w:val="none"/>
              </w:rPr>
              <w:t>注：</w:t>
            </w:r>
            <w:r>
              <w:rPr>
                <w:rFonts w:hint="eastAsia" w:ascii="宋体" w:hAnsi="宋体" w:cs="宋体"/>
                <w:color w:val="auto"/>
                <w:kern w:val="0"/>
                <w:szCs w:val="21"/>
                <w:highlight w:val="none"/>
              </w:rPr>
              <w:t>以上人员均为投标人自有员工（提供投标人为其员工缴纳投标截止时间前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半年内任意</w:t>
            </w:r>
            <w:r>
              <w:rPr>
                <w:rFonts w:hint="eastAsia" w:ascii="宋体" w:hAnsi="宋体" w:cs="宋体"/>
                <w:color w:val="auto"/>
                <w:kern w:val="0"/>
                <w:szCs w:val="21"/>
                <w:highlight w:val="none"/>
                <w:lang w:val="en-US" w:eastAsia="zh-CN"/>
              </w:rPr>
              <w:t>连续</w:t>
            </w:r>
            <w:r>
              <w:rPr>
                <w:rFonts w:hint="eastAsia" w:ascii="宋体" w:hAnsi="宋体" w:cs="宋体"/>
                <w:color w:val="auto"/>
                <w:kern w:val="0"/>
                <w:szCs w:val="21"/>
                <w:highlight w:val="none"/>
              </w:rPr>
              <w:t>3个月的社保证明复印件），并提供其有效证书复印件及身份证正反面复印件并加盖投标人公章（或CA签章）。</w:t>
            </w:r>
          </w:p>
        </w:tc>
      </w:tr>
      <w:tr w14:paraId="3F61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560" w:type="dxa"/>
            <w:vMerge w:val="restart"/>
            <w:noWrap w:val="0"/>
            <w:vAlign w:val="center"/>
          </w:tcPr>
          <w:p w14:paraId="3DBE95A7">
            <w:pPr>
              <w:spacing w:line="4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3</w:t>
            </w:r>
          </w:p>
        </w:tc>
        <w:tc>
          <w:tcPr>
            <w:tcW w:w="907" w:type="dxa"/>
            <w:vMerge w:val="restart"/>
            <w:noWrap w:val="0"/>
            <w:vAlign w:val="center"/>
          </w:tcPr>
          <w:p w14:paraId="3C58BE4B">
            <w:pPr>
              <w:spacing w:line="4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商务分（满分20分）</w:t>
            </w:r>
          </w:p>
          <w:p w14:paraId="4FD0A45B">
            <w:pPr>
              <w:spacing w:line="460" w:lineRule="exact"/>
              <w:jc w:val="center"/>
              <w:rPr>
                <w:rFonts w:hint="eastAsia" w:ascii="宋体" w:hAnsi="宋体" w:cs="宋体"/>
                <w:b/>
                <w:bCs/>
                <w:color w:val="auto"/>
                <w:szCs w:val="21"/>
                <w:highlight w:val="none"/>
              </w:rPr>
            </w:pPr>
          </w:p>
        </w:tc>
        <w:tc>
          <w:tcPr>
            <w:tcW w:w="1263" w:type="dxa"/>
            <w:noWrap w:val="0"/>
            <w:vAlign w:val="center"/>
          </w:tcPr>
          <w:p w14:paraId="15AC0FDA">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（1）信誉分（满分10分）</w:t>
            </w:r>
          </w:p>
        </w:tc>
        <w:tc>
          <w:tcPr>
            <w:tcW w:w="6996" w:type="dxa"/>
            <w:noWrap w:val="0"/>
            <w:vAlign w:val="top"/>
          </w:tcPr>
          <w:p w14:paraId="480BEDEC">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1）投标人有与项目相关的产品研发实力，能够提供相关物联网、数字化平台、数据分析、管理系统的软件著作登记证书证明材料的，每有1项得2分，满分6分。</w:t>
            </w:r>
          </w:p>
          <w:p w14:paraId="5FE2EADD">
            <w:pPr>
              <w:spacing w:line="2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2）投标人具备一定农业灌溉和植物营养能力，可有效开展节水灌溉和土壤质量提升工作，与有资质的机构</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提供资质认定证书（CMA）证明材料</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合作，能提供委托合作协议证明材料</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，得2分；</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提供</w:t>
            </w:r>
            <w:r>
              <w:rPr>
                <w:rFonts w:hint="eastAsia" w:ascii="宋体" w:hAnsi="宋体" w:cs="宋体"/>
                <w:bCs/>
                <w:color w:val="auto"/>
                <w:szCs w:val="21"/>
                <w:highlight w:val="none"/>
                <w:lang w:val="en-US" w:eastAsia="zh-CN"/>
              </w:rPr>
              <w:t>自有</w:t>
            </w:r>
            <w:r>
              <w:rPr>
                <w:rFonts w:hint="eastAsia" w:ascii="宋体" w:hAnsi="宋体" w:cs="宋体"/>
                <w:bCs/>
                <w:color w:val="auto"/>
                <w:szCs w:val="21"/>
                <w:highlight w:val="none"/>
              </w:rPr>
              <w:t>资质认定证书（CMA）证明材料</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，得4分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此项满分4分。</w:t>
            </w:r>
          </w:p>
        </w:tc>
      </w:tr>
      <w:tr w14:paraId="7335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560" w:type="dxa"/>
            <w:vMerge w:val="continue"/>
            <w:noWrap w:val="0"/>
            <w:vAlign w:val="center"/>
          </w:tcPr>
          <w:p w14:paraId="5D9C261A">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4D2FCFD1">
            <w:pPr>
              <w:spacing w:line="460" w:lineRule="exact"/>
              <w:jc w:val="center"/>
              <w:rPr>
                <w:rFonts w:hint="eastAsia" w:ascii="宋体" w:hAnsi="宋体" w:cs="宋体"/>
                <w:b/>
                <w:color w:val="auto"/>
                <w:szCs w:val="21"/>
                <w:highlight w:val="none"/>
              </w:rPr>
            </w:pPr>
          </w:p>
        </w:tc>
        <w:tc>
          <w:tcPr>
            <w:tcW w:w="1263" w:type="dxa"/>
            <w:noWrap w:val="0"/>
            <w:vAlign w:val="center"/>
          </w:tcPr>
          <w:p w14:paraId="590DBEA4">
            <w:pPr>
              <w:spacing w:line="240" w:lineRule="exact"/>
              <w:jc w:val="left"/>
              <w:rPr>
                <w:rFonts w:hint="eastAsia" w:ascii="宋体" w:hAnsi="宋体"/>
                <w:b/>
                <w:bCs/>
                <w:color w:val="auto"/>
                <w:szCs w:val="21"/>
                <w:highlight w:val="none"/>
              </w:rPr>
            </w:pPr>
            <w:r>
              <w:rPr>
                <w:rFonts w:hint="eastAsia" w:ascii="宋体" w:hAnsi="宋体" w:cs="宋体"/>
                <w:b/>
                <w:color w:val="auto"/>
                <w:szCs w:val="21"/>
                <w:highlight w:val="none"/>
              </w:rPr>
              <w:t>（2）业绩分（满分9分）</w:t>
            </w:r>
          </w:p>
        </w:tc>
        <w:tc>
          <w:tcPr>
            <w:tcW w:w="6996" w:type="dxa"/>
            <w:noWrap w:val="0"/>
            <w:vAlign w:val="top"/>
          </w:tcPr>
          <w:p w14:paraId="718424B1">
            <w:pPr>
              <w:spacing w:line="2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在2022年1月1日至今每承接过一个类似项目业绩的，得3分，满分9分。类似项目业绩指涉农项目(限于数字农业、节水灌溉、土壤质量提升、标准化果园建设等)相关业绩。（附中标（成交）通知书或合同协议书复印件，以上复印件均须加盖投标人单位公章）。</w:t>
            </w:r>
          </w:p>
        </w:tc>
      </w:tr>
      <w:tr w14:paraId="345A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560" w:type="dxa"/>
            <w:vMerge w:val="continue"/>
            <w:noWrap w:val="0"/>
            <w:vAlign w:val="center"/>
          </w:tcPr>
          <w:p w14:paraId="7203C911">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1EB9DA7F">
            <w:pPr>
              <w:spacing w:line="460" w:lineRule="exact"/>
              <w:jc w:val="center"/>
              <w:rPr>
                <w:rFonts w:hint="eastAsia" w:ascii="宋体" w:hAnsi="宋体" w:cs="宋体"/>
                <w:b/>
                <w:color w:val="auto"/>
                <w:szCs w:val="21"/>
                <w:highlight w:val="none"/>
              </w:rPr>
            </w:pPr>
          </w:p>
        </w:tc>
        <w:tc>
          <w:tcPr>
            <w:tcW w:w="1263" w:type="dxa"/>
            <w:noWrap w:val="0"/>
            <w:vAlign w:val="center"/>
          </w:tcPr>
          <w:p w14:paraId="7FE7EFA5">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（3）政策功能分（节能、环保、区内产品等）（满分1分）</w:t>
            </w:r>
          </w:p>
          <w:p w14:paraId="53437892">
            <w:pPr>
              <w:spacing w:line="460" w:lineRule="exact"/>
              <w:jc w:val="center"/>
              <w:rPr>
                <w:rFonts w:hint="eastAsia" w:ascii="宋体" w:hAnsi="宋体"/>
                <w:b/>
                <w:bCs/>
                <w:color w:val="auto"/>
                <w:szCs w:val="21"/>
                <w:highlight w:val="none"/>
              </w:rPr>
            </w:pPr>
          </w:p>
        </w:tc>
        <w:tc>
          <w:tcPr>
            <w:tcW w:w="6996" w:type="dxa"/>
            <w:noWrap w:val="0"/>
            <w:vAlign w:val="center"/>
          </w:tcPr>
          <w:p w14:paraId="24450110">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属于财政部《节能产品政府采购品目清单》内优先采购（清单内未标注“★”的品目）的产品（投标文件中提供中国政府采购网环境标志产品查询截图（标注出投标产品在品目清单中所属的品目）），每项得0.5分，满分0.5分。</w:t>
            </w:r>
          </w:p>
          <w:p w14:paraId="717F8CCF">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2）属于财政部《环境标志产品政府采购品目清单》内的产品（投标文件中提供中国政府采购网节能产品查询截图（标注出投标产品在品目清单中所属的品目）），每项得0.5分，满分0.5分。</w:t>
            </w:r>
          </w:p>
        </w:tc>
      </w:tr>
    </w:tbl>
    <w:p w14:paraId="615EE870">
      <w:pPr>
        <w:keepNext/>
        <w:keepLines/>
        <w:spacing w:before="260" w:after="260" w:line="413" w:lineRule="auto"/>
        <w:jc w:val="center"/>
        <w:outlineLvl w:val="1"/>
        <w:rPr>
          <w:rFonts w:hint="eastAsia" w:ascii="Arial" w:hAnsi="Arial" w:eastAsia="黑体"/>
          <w:bCs/>
          <w:color w:val="auto"/>
          <w:sz w:val="30"/>
          <w:szCs w:val="30"/>
          <w:highlight w:val="none"/>
        </w:rPr>
      </w:pPr>
      <w:r>
        <w:rPr>
          <w:rFonts w:hint="eastAsia" w:ascii="Arial" w:hAnsi="Arial" w:eastAsia="黑体"/>
          <w:bCs/>
          <w:color w:val="auto"/>
          <w:sz w:val="30"/>
          <w:szCs w:val="30"/>
          <w:highlight w:val="none"/>
        </w:rPr>
        <w:br w:type="page"/>
      </w:r>
      <w:r>
        <w:rPr>
          <w:rFonts w:hint="eastAsia" w:ascii="Arial" w:hAnsi="Arial" w:eastAsia="黑体"/>
          <w:bCs/>
          <w:color w:val="auto"/>
          <w:sz w:val="30"/>
          <w:szCs w:val="30"/>
          <w:highlight w:val="none"/>
        </w:rPr>
        <w:t>第四节 中标候选人推荐原则</w:t>
      </w:r>
      <w:bookmarkEnd w:id="100"/>
    </w:p>
    <w:p w14:paraId="5F56890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357471C">
      <w:pPr>
        <w:spacing w:line="360" w:lineRule="auto"/>
        <w:ind w:firstLine="420" w:firstLineChars="200"/>
        <w:contextualSpacing/>
        <w:rPr>
          <w:rFonts w:hint="eastAsia" w:ascii="宋体" w:hAnsi="宋体"/>
          <w:color w:val="auto"/>
          <w:szCs w:val="20"/>
          <w:highlight w:val="none"/>
        </w:rPr>
      </w:pPr>
    </w:p>
    <w:p w14:paraId="536EDD33">
      <w:pPr>
        <w:keepNext/>
        <w:keepLines/>
        <w:spacing w:line="360" w:lineRule="auto"/>
        <w:ind w:firstLine="600" w:firstLineChars="200"/>
        <w:jc w:val="center"/>
        <w:outlineLvl w:val="1"/>
        <w:rPr>
          <w:rFonts w:hint="eastAsia" w:ascii="Arial" w:hAnsi="Arial" w:eastAsia="黑体"/>
          <w:bCs/>
          <w:color w:val="auto"/>
          <w:sz w:val="30"/>
          <w:szCs w:val="30"/>
          <w:highlight w:val="none"/>
        </w:rPr>
      </w:pPr>
      <w:bookmarkStart w:id="101" w:name="_Toc24229"/>
      <w:r>
        <w:rPr>
          <w:rFonts w:hint="eastAsia" w:ascii="Arial" w:hAnsi="Arial" w:eastAsia="黑体"/>
          <w:bCs/>
          <w:color w:val="auto"/>
          <w:sz w:val="30"/>
          <w:szCs w:val="30"/>
          <w:highlight w:val="none"/>
        </w:rPr>
        <w:t>第五节 评标报告</w:t>
      </w:r>
      <w:bookmarkEnd w:id="101"/>
    </w:p>
    <w:p w14:paraId="2E9AB9E2">
      <w:pPr>
        <w:adjustRightIn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（一）评标报告与推荐中标候选人</w:t>
      </w:r>
    </w:p>
    <w:p w14:paraId="39B99640">
      <w:pPr>
        <w:tabs>
          <w:tab w:val="left" w:pos="2472"/>
        </w:tabs>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评标委员会根据原始评标记录和评标结果编写评标报告，并通过电子交易平台向采购人、采购代理机构提交。</w:t>
      </w:r>
    </w:p>
    <w:p w14:paraId="00647EEE">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3D3C178A">
      <w:pPr>
        <w:tabs>
          <w:tab w:val="left" w:pos="2472"/>
        </w:tabs>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79218DF">
      <w:pPr>
        <w:tabs>
          <w:tab w:val="left" w:pos="2472"/>
        </w:tabs>
        <w:spacing w:line="460" w:lineRule="exact"/>
        <w:rPr>
          <w:rFonts w:hint="eastAsia"/>
          <w:b/>
          <w:color w:val="auto"/>
          <w:sz w:val="36"/>
          <w:highlight w:val="none"/>
        </w:rPr>
        <w:sectPr>
          <w:pgSz w:w="11911" w:h="16838"/>
          <w:pgMar w:top="1134" w:right="1134" w:bottom="1134" w:left="1134" w:header="720" w:footer="720" w:gutter="0"/>
          <w:cols w:space="720" w:num="1"/>
          <w:titlePg/>
          <w:docGrid w:linePitch="331" w:charSpace="0"/>
        </w:sectPr>
      </w:pPr>
    </w:p>
    <w:p w14:paraId="33ED2F0D">
      <w:pPr>
        <w:tabs>
          <w:tab w:val="left" w:pos="2472"/>
        </w:tabs>
        <w:spacing w:line="460" w:lineRule="exact"/>
        <w:jc w:val="center"/>
        <w:rPr>
          <w:b/>
          <w:color w:val="auto"/>
          <w:sz w:val="36"/>
          <w:szCs w:val="20"/>
          <w:highlight w:val="none"/>
        </w:rPr>
      </w:pPr>
    </w:p>
    <w:p w14:paraId="2FC219C8">
      <w:pPr>
        <w:tabs>
          <w:tab w:val="left" w:pos="2472"/>
        </w:tabs>
        <w:spacing w:line="460" w:lineRule="exact"/>
        <w:jc w:val="center"/>
        <w:rPr>
          <w:b/>
          <w:color w:val="auto"/>
          <w:sz w:val="36"/>
          <w:szCs w:val="20"/>
          <w:highlight w:val="none"/>
        </w:rPr>
      </w:pPr>
    </w:p>
    <w:p w14:paraId="7438B7C4">
      <w:pPr>
        <w:tabs>
          <w:tab w:val="left" w:pos="2472"/>
        </w:tabs>
        <w:spacing w:line="460" w:lineRule="exact"/>
        <w:jc w:val="center"/>
        <w:rPr>
          <w:b/>
          <w:color w:val="auto"/>
          <w:sz w:val="36"/>
          <w:szCs w:val="20"/>
          <w:highlight w:val="none"/>
        </w:rPr>
      </w:pPr>
    </w:p>
    <w:p w14:paraId="28905231">
      <w:pPr>
        <w:tabs>
          <w:tab w:val="left" w:pos="2472"/>
        </w:tabs>
        <w:spacing w:line="460" w:lineRule="exact"/>
        <w:jc w:val="center"/>
        <w:rPr>
          <w:b/>
          <w:color w:val="auto"/>
          <w:sz w:val="36"/>
          <w:szCs w:val="20"/>
          <w:highlight w:val="none"/>
        </w:rPr>
      </w:pPr>
    </w:p>
    <w:p w14:paraId="77956834">
      <w:pPr>
        <w:tabs>
          <w:tab w:val="left" w:pos="2472"/>
        </w:tabs>
        <w:spacing w:line="460" w:lineRule="exact"/>
        <w:jc w:val="center"/>
        <w:rPr>
          <w:b/>
          <w:color w:val="auto"/>
          <w:sz w:val="36"/>
          <w:szCs w:val="20"/>
          <w:highlight w:val="none"/>
        </w:rPr>
      </w:pPr>
    </w:p>
    <w:p w14:paraId="04622935">
      <w:pPr>
        <w:tabs>
          <w:tab w:val="left" w:pos="2472"/>
        </w:tabs>
        <w:spacing w:line="460" w:lineRule="exact"/>
        <w:jc w:val="center"/>
        <w:rPr>
          <w:b/>
          <w:color w:val="auto"/>
          <w:sz w:val="36"/>
          <w:szCs w:val="20"/>
          <w:highlight w:val="none"/>
        </w:rPr>
      </w:pPr>
    </w:p>
    <w:p w14:paraId="05601A6B">
      <w:pPr>
        <w:tabs>
          <w:tab w:val="left" w:pos="2472"/>
        </w:tabs>
        <w:spacing w:line="460" w:lineRule="exact"/>
        <w:jc w:val="center"/>
        <w:rPr>
          <w:b/>
          <w:color w:val="auto"/>
          <w:sz w:val="36"/>
          <w:szCs w:val="20"/>
          <w:highlight w:val="none"/>
        </w:rPr>
      </w:pPr>
    </w:p>
    <w:p w14:paraId="38FB8881">
      <w:pPr>
        <w:tabs>
          <w:tab w:val="left" w:pos="2472"/>
        </w:tabs>
        <w:spacing w:line="460" w:lineRule="exact"/>
        <w:jc w:val="center"/>
        <w:rPr>
          <w:b/>
          <w:color w:val="auto"/>
          <w:sz w:val="36"/>
          <w:szCs w:val="20"/>
          <w:highlight w:val="none"/>
        </w:rPr>
      </w:pPr>
    </w:p>
    <w:p w14:paraId="1E958F72">
      <w:pPr>
        <w:tabs>
          <w:tab w:val="left" w:pos="2472"/>
        </w:tabs>
        <w:spacing w:line="460" w:lineRule="exact"/>
        <w:jc w:val="center"/>
        <w:rPr>
          <w:b/>
          <w:color w:val="auto"/>
          <w:sz w:val="36"/>
          <w:szCs w:val="20"/>
          <w:highlight w:val="none"/>
        </w:rPr>
      </w:pPr>
    </w:p>
    <w:p w14:paraId="167ABDB5">
      <w:pPr>
        <w:tabs>
          <w:tab w:val="left" w:pos="2472"/>
        </w:tabs>
        <w:spacing w:line="460" w:lineRule="exact"/>
        <w:jc w:val="center"/>
        <w:rPr>
          <w:b/>
          <w:color w:val="auto"/>
          <w:sz w:val="36"/>
          <w:szCs w:val="20"/>
          <w:highlight w:val="none"/>
        </w:rPr>
      </w:pPr>
    </w:p>
    <w:p w14:paraId="35440251">
      <w:pPr>
        <w:tabs>
          <w:tab w:val="left" w:pos="2472"/>
        </w:tabs>
        <w:spacing w:line="460" w:lineRule="exact"/>
        <w:jc w:val="center"/>
        <w:rPr>
          <w:b/>
          <w:color w:val="auto"/>
          <w:sz w:val="36"/>
          <w:szCs w:val="20"/>
          <w:highlight w:val="none"/>
        </w:rPr>
      </w:pPr>
    </w:p>
    <w:p w14:paraId="3848B3C0">
      <w:pPr>
        <w:tabs>
          <w:tab w:val="left" w:pos="2472"/>
        </w:tabs>
        <w:spacing w:line="460" w:lineRule="exact"/>
        <w:jc w:val="center"/>
        <w:rPr>
          <w:rFonts w:hint="eastAsia"/>
          <w:b/>
          <w:color w:val="auto"/>
          <w:sz w:val="36"/>
          <w:szCs w:val="20"/>
          <w:highlight w:val="none"/>
        </w:rPr>
      </w:pPr>
    </w:p>
    <w:p w14:paraId="0A2BC78C">
      <w:pPr>
        <w:tabs>
          <w:tab w:val="left" w:pos="2472"/>
        </w:tabs>
        <w:spacing w:line="460" w:lineRule="exact"/>
        <w:jc w:val="center"/>
        <w:rPr>
          <w:rFonts w:hint="eastAsia"/>
          <w:b/>
          <w:color w:val="auto"/>
          <w:sz w:val="36"/>
          <w:szCs w:val="20"/>
          <w:highlight w:val="none"/>
        </w:rPr>
      </w:pPr>
    </w:p>
    <w:p w14:paraId="321B6B72">
      <w:pPr>
        <w:tabs>
          <w:tab w:val="left" w:pos="2472"/>
        </w:tabs>
        <w:spacing w:line="460" w:lineRule="exact"/>
        <w:jc w:val="center"/>
        <w:outlineLvl w:val="0"/>
        <w:rPr>
          <w:b/>
          <w:color w:val="auto"/>
          <w:sz w:val="36"/>
          <w:szCs w:val="20"/>
          <w:highlight w:val="none"/>
        </w:rPr>
      </w:pPr>
      <w:bookmarkStart w:id="102" w:name="_Toc9091"/>
      <w:r>
        <w:rPr>
          <w:rFonts w:hint="eastAsia"/>
          <w:b/>
          <w:color w:val="auto"/>
          <w:sz w:val="36"/>
          <w:szCs w:val="20"/>
          <w:highlight w:val="none"/>
        </w:rPr>
        <w:t>第五章 拟签订的合同文本</w:t>
      </w:r>
      <w:bookmarkEnd w:id="102"/>
    </w:p>
    <w:p w14:paraId="31FB9C57">
      <w:pPr>
        <w:tabs>
          <w:tab w:val="left" w:pos="720"/>
        </w:tabs>
        <w:spacing w:line="460" w:lineRule="exact"/>
        <w:rPr>
          <w:bCs/>
          <w:color w:val="auto"/>
          <w:highlight w:val="none"/>
        </w:rPr>
        <w:sectPr>
          <w:pgSz w:w="11911" w:h="16838"/>
          <w:pgMar w:top="1134" w:right="1134" w:bottom="1134" w:left="1134" w:header="720" w:footer="720" w:gutter="0"/>
          <w:cols w:space="720" w:num="1"/>
          <w:titlePg/>
          <w:docGrid w:linePitch="331" w:charSpace="0"/>
        </w:sectPr>
      </w:pPr>
    </w:p>
    <w:p w14:paraId="68A1128D">
      <w:pPr>
        <w:spacing w:line="360" w:lineRule="auto"/>
        <w:rPr>
          <w:rFonts w:hint="eastAsia" w:ascii="宋体" w:hAnsi="宋体" w:cs="宋体"/>
          <w:color w:val="auto"/>
          <w:sz w:val="24"/>
          <w:highlight w:val="none"/>
        </w:rPr>
      </w:pPr>
    </w:p>
    <w:p w14:paraId="54C509B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48B64EAE">
      <w:pPr>
        <w:spacing w:line="360" w:lineRule="auto"/>
        <w:rPr>
          <w:rFonts w:hint="eastAsia" w:ascii="宋体" w:hAnsi="宋体" w:cs="宋体"/>
          <w:b/>
          <w:bCs/>
          <w:color w:val="auto"/>
          <w:sz w:val="52"/>
          <w:highlight w:val="none"/>
        </w:rPr>
      </w:pPr>
    </w:p>
    <w:p w14:paraId="2DA31256">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2D100571">
      <w:pPr>
        <w:spacing w:line="360" w:lineRule="auto"/>
        <w:rPr>
          <w:rFonts w:hint="eastAsia" w:ascii="宋体" w:hAnsi="宋体" w:cs="宋体"/>
          <w:color w:val="auto"/>
          <w:highlight w:val="none"/>
        </w:rPr>
      </w:pPr>
    </w:p>
    <w:p w14:paraId="052470CC">
      <w:pPr>
        <w:spacing w:line="360" w:lineRule="auto"/>
        <w:rPr>
          <w:rFonts w:hint="eastAsia" w:ascii="宋体" w:hAnsi="宋体" w:cs="宋体"/>
          <w:color w:val="auto"/>
          <w:highlight w:val="none"/>
        </w:rPr>
      </w:pPr>
    </w:p>
    <w:p w14:paraId="6AAA495B">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75695023">
      <w:pPr>
        <w:spacing w:line="360" w:lineRule="auto"/>
        <w:rPr>
          <w:rFonts w:hint="eastAsia" w:ascii="宋体" w:hAnsi="宋体" w:cs="宋体"/>
          <w:b/>
          <w:bCs/>
          <w:color w:val="auto"/>
          <w:sz w:val="44"/>
          <w:highlight w:val="none"/>
        </w:rPr>
      </w:pPr>
    </w:p>
    <w:p w14:paraId="3EA62A4E">
      <w:pPr>
        <w:spacing w:line="360" w:lineRule="auto"/>
        <w:rPr>
          <w:rFonts w:hint="eastAsia" w:ascii="宋体" w:hAnsi="宋体" w:cs="宋体"/>
          <w:b/>
          <w:bCs/>
          <w:color w:val="auto"/>
          <w:sz w:val="44"/>
          <w:highlight w:val="none"/>
        </w:rPr>
      </w:pPr>
    </w:p>
    <w:p w14:paraId="04D937CB">
      <w:pPr>
        <w:spacing w:line="360" w:lineRule="auto"/>
        <w:rPr>
          <w:rFonts w:hint="eastAsia" w:ascii="宋体" w:hAnsi="宋体" w:cs="宋体"/>
          <w:b/>
          <w:bCs/>
          <w:color w:val="auto"/>
          <w:sz w:val="44"/>
          <w:highlight w:val="none"/>
        </w:rPr>
      </w:pPr>
    </w:p>
    <w:p w14:paraId="66669D67">
      <w:pPr>
        <w:spacing w:line="360" w:lineRule="auto"/>
        <w:rPr>
          <w:rFonts w:hint="eastAsia" w:ascii="宋体" w:hAnsi="宋体" w:cs="宋体"/>
          <w:b/>
          <w:bCs/>
          <w:color w:val="auto"/>
          <w:sz w:val="44"/>
          <w:highlight w:val="none"/>
        </w:rPr>
      </w:pPr>
    </w:p>
    <w:p w14:paraId="358450D3">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21043598">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205BD912">
      <w:pPr>
        <w:ind w:firstLine="1995" w:firstLineChars="552"/>
        <w:rPr>
          <w:rFonts w:hint="eastAsia" w:ascii="宋体" w:hAnsi="宋体" w:cs="宋体"/>
          <w:b/>
          <w:color w:val="auto"/>
          <w:sz w:val="36"/>
          <w:szCs w:val="36"/>
          <w:highlight w:val="none"/>
        </w:rPr>
      </w:pPr>
    </w:p>
    <w:p w14:paraId="6D815731">
      <w:pPr>
        <w:rPr>
          <w:rFonts w:hint="eastAsia" w:ascii="宋体" w:hAnsi="宋体" w:cs="宋体"/>
          <w:b/>
          <w:color w:val="auto"/>
          <w:sz w:val="36"/>
          <w:szCs w:val="36"/>
          <w:highlight w:val="none"/>
          <w:u w:val="single"/>
        </w:rPr>
      </w:pPr>
    </w:p>
    <w:p w14:paraId="38298ED6">
      <w:pPr>
        <w:rPr>
          <w:rFonts w:hint="eastAsia" w:ascii="宋体" w:hAnsi="宋体" w:cs="宋体"/>
          <w:b/>
          <w:color w:val="auto"/>
          <w:sz w:val="36"/>
          <w:szCs w:val="36"/>
          <w:highlight w:val="none"/>
          <w:u w:val="single"/>
        </w:rPr>
      </w:pPr>
    </w:p>
    <w:p w14:paraId="778B0BA6">
      <w:pPr>
        <w:rPr>
          <w:rFonts w:hint="eastAsia" w:ascii="宋体" w:hAnsi="宋体" w:cs="宋体"/>
          <w:b/>
          <w:color w:val="auto"/>
          <w:sz w:val="36"/>
          <w:szCs w:val="36"/>
          <w:highlight w:val="none"/>
          <w:u w:val="single"/>
        </w:rPr>
      </w:pPr>
    </w:p>
    <w:p w14:paraId="01CBC27B">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539B3F4E">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35827E2E">
      <w:pPr>
        <w:autoSpaceDE w:val="0"/>
        <w:autoSpaceDN w:val="0"/>
        <w:adjustRightInd w:val="0"/>
        <w:snapToGrid w:val="0"/>
        <w:spacing w:after="120" w:line="360" w:lineRule="auto"/>
        <w:ind w:left="420" w:leftChars="200" w:firstLine="422" w:firstLineChars="200"/>
        <w:jc w:val="center"/>
        <w:rPr>
          <w:rFonts w:hint="eastAsia" w:ascii="宋体"/>
          <w:b/>
          <w:bCs/>
          <w:color w:val="auto"/>
          <w:sz w:val="21"/>
          <w:szCs w:val="21"/>
          <w:highlight w:val="none"/>
          <w:lang w:val="en-US" w:eastAsia="zh-CN"/>
        </w:rPr>
      </w:pPr>
    </w:p>
    <w:p w14:paraId="58512B1A">
      <w:pPr>
        <w:autoSpaceDE w:val="0"/>
        <w:autoSpaceDN w:val="0"/>
        <w:adjustRightInd w:val="0"/>
        <w:snapToGrid w:val="0"/>
        <w:spacing w:after="120" w:line="360" w:lineRule="auto"/>
        <w:ind w:left="420" w:leftChars="200" w:firstLine="422" w:firstLineChars="200"/>
        <w:jc w:val="center"/>
        <w:rPr>
          <w:rFonts w:hint="default" w:ascii="宋体" w:eastAsia="宋体"/>
          <w:b/>
          <w:bCs/>
          <w:color w:val="auto"/>
          <w:sz w:val="44"/>
          <w:szCs w:val="21"/>
          <w:highlight w:val="none"/>
          <w:lang w:val="en-US" w:eastAsia="zh-CN"/>
        </w:rPr>
      </w:pPr>
      <w:r>
        <w:rPr>
          <w:rFonts w:hint="eastAsia" w:ascii="宋体"/>
          <w:b/>
          <w:bCs/>
          <w:color w:val="auto"/>
          <w:sz w:val="21"/>
          <w:szCs w:val="21"/>
          <w:highlight w:val="none"/>
          <w:lang w:val="en-US" w:eastAsia="zh-CN"/>
        </w:rPr>
        <w:t>签订日期：</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年</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月</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日</w:t>
      </w:r>
    </w:p>
    <w:p w14:paraId="5B33B3DB">
      <w:pPr>
        <w:snapToGrid w:val="0"/>
        <w:spacing w:line="360" w:lineRule="auto"/>
        <w:jc w:val="center"/>
        <w:rPr>
          <w:rFonts w:hint="eastAsia" w:ascii="宋体"/>
          <w:b/>
          <w:bCs/>
          <w:color w:val="auto"/>
          <w:sz w:val="44"/>
          <w:highlight w:val="none"/>
        </w:rPr>
      </w:pPr>
      <w:r>
        <w:rPr>
          <w:rFonts w:hint="eastAsia" w:ascii="宋体"/>
          <w:b/>
          <w:bCs/>
          <w:color w:val="auto"/>
          <w:sz w:val="44"/>
          <w:highlight w:val="none"/>
        </w:rPr>
        <w:br w:type="page"/>
      </w:r>
    </w:p>
    <w:p w14:paraId="618FA364">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合同目录</w:t>
      </w:r>
    </w:p>
    <w:p w14:paraId="47EF1CBD">
      <w:pPr>
        <w:snapToGrid w:val="0"/>
        <w:spacing w:line="360" w:lineRule="auto"/>
        <w:jc w:val="center"/>
        <w:rPr>
          <w:rFonts w:hint="eastAsia" w:ascii="宋体" w:hAnsi="宋体" w:cs="宋体"/>
          <w:b/>
          <w:bCs/>
          <w:color w:val="auto"/>
          <w:sz w:val="44"/>
          <w:highlight w:val="none"/>
        </w:rPr>
      </w:pPr>
    </w:p>
    <w:p w14:paraId="1D2B412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64067EB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5C1BBC3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0C2699B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E754F8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249FFC19">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4.2招标文件采购需求 …………………………………………………………（页码）</w:t>
      </w:r>
    </w:p>
    <w:p w14:paraId="0DB30E2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49B9227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0A3C0D1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4.5</w:t>
      </w:r>
      <w:r>
        <w:rPr>
          <w:rFonts w:hint="eastAsia" w:ascii="宋体" w:hAnsi="宋体" w:cs="宋体"/>
          <w:color w:val="auto"/>
          <w:kern w:val="0"/>
          <w:sz w:val="22"/>
          <w:szCs w:val="22"/>
          <w:highlight w:val="none"/>
        </w:rPr>
        <w:t>报价表</w:t>
      </w:r>
      <w:r>
        <w:rPr>
          <w:rFonts w:hint="eastAsia" w:ascii="宋体" w:hAnsi="宋体" w:cs="宋体"/>
          <w:color w:val="auto"/>
          <w:kern w:val="0"/>
          <w:sz w:val="24"/>
          <w:highlight w:val="none"/>
        </w:rPr>
        <w:t xml:space="preserve"> ………………………………………………………………………（页码）</w:t>
      </w:r>
    </w:p>
    <w:p w14:paraId="3B6CEA7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4.6服务参数偏离表 ……………………………………………………………（页码）</w:t>
      </w:r>
    </w:p>
    <w:p w14:paraId="507E8E3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1B326F8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4FA405C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22D705AE">
      <w:pPr>
        <w:snapToGrid w:val="0"/>
        <w:spacing w:line="360" w:lineRule="auto"/>
        <w:rPr>
          <w:rFonts w:ascii="仿宋_GB2312" w:hAnsi="仿宋" w:eastAsia="仿宋_GB2312" w:cs="仿宋_GB2312"/>
          <w:color w:val="auto"/>
          <w:kern w:val="0"/>
          <w:sz w:val="24"/>
          <w:highlight w:val="none"/>
        </w:rPr>
      </w:pPr>
    </w:p>
    <w:p w14:paraId="4CEBE137">
      <w:pPr>
        <w:rPr>
          <w:color w:val="auto"/>
          <w:highlight w:val="none"/>
        </w:rPr>
        <w:sectPr>
          <w:pgSz w:w="11911" w:h="16838"/>
          <w:pgMar w:top="1134" w:right="1134" w:bottom="1134" w:left="1134" w:header="720" w:footer="720" w:gutter="0"/>
          <w:cols w:space="720" w:num="1"/>
          <w:titlePg/>
          <w:docGrid w:linePitch="331" w:charSpace="0"/>
        </w:sectPr>
      </w:pPr>
    </w:p>
    <w:p w14:paraId="5BF12E54">
      <w:pPr>
        <w:autoSpaceDE w:val="0"/>
        <w:autoSpaceDN w:val="0"/>
        <w:adjustRightInd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4B5079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日</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rPr>
        <w:t>以</w:t>
      </w:r>
      <w:r>
        <w:rPr>
          <w:rFonts w:hint="eastAsia" w:ascii="宋体" w:hAnsi="宋体" w:cs="宋体"/>
          <w:color w:val="auto"/>
          <w:szCs w:val="21"/>
          <w:highlight w:val="none"/>
          <w:u w:val="single"/>
        </w:rPr>
        <w:t xml:space="preserve">   公开招标方式  </w:t>
      </w:r>
      <w:r>
        <w:rPr>
          <w:rFonts w:hint="eastAsia" w:ascii="宋体" w:hAnsi="宋体" w:cs="宋体"/>
          <w:color w:val="auto"/>
          <w:szCs w:val="21"/>
          <w:highlight w:val="none"/>
        </w:rPr>
        <w:t>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项目进行了采购。经</w:t>
      </w:r>
      <w:r>
        <w:rPr>
          <w:rFonts w:hint="eastAsia" w:ascii="宋体" w:hAnsi="宋体" w:cs="宋体"/>
          <w:color w:val="auto"/>
          <w:szCs w:val="21"/>
          <w:highlight w:val="none"/>
          <w:u w:val="single"/>
        </w:rPr>
        <w:t xml:space="preserve">   （相关评定主体名称）   </w:t>
      </w:r>
      <w:r>
        <w:rPr>
          <w:rFonts w:hint="eastAsia" w:ascii="宋体" w:hAnsi="宋体" w:cs="宋体"/>
          <w:color w:val="auto"/>
          <w:szCs w:val="21"/>
          <w:highlight w:val="none"/>
        </w:rPr>
        <w:t>评定，</w:t>
      </w:r>
      <w:r>
        <w:rPr>
          <w:rFonts w:hint="eastAsia" w:ascii="宋体" w:hAnsi="宋体" w:cs="宋体"/>
          <w:color w:val="auto"/>
          <w:szCs w:val="21"/>
          <w:highlight w:val="none"/>
          <w:u w:val="single"/>
        </w:rPr>
        <w:t xml:space="preserve">   （中标供应商名称）</w:t>
      </w:r>
      <w:r>
        <w:rPr>
          <w:rFonts w:hint="eastAsia" w:ascii="宋体" w:hAnsi="宋体" w:cs="宋体"/>
          <w:color w:val="auto"/>
          <w:szCs w:val="21"/>
          <w:highlight w:val="none"/>
        </w:rPr>
        <w:t>为该项目中标供应商。现于中标通知书发出之日起二十五日内，按照采购文件确定的事项签订本合同。</w:t>
      </w:r>
    </w:p>
    <w:p w14:paraId="3598A0C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lang w:val="zh-CN"/>
        </w:rPr>
        <w:t>(以下简称：甲方)和</w:t>
      </w:r>
      <w:r>
        <w:rPr>
          <w:rFonts w:hint="eastAsia" w:ascii="宋体" w:hAnsi="宋体" w:cs="宋体"/>
          <w:color w:val="auto"/>
          <w:szCs w:val="21"/>
          <w:highlight w:val="none"/>
          <w:u w:val="single"/>
        </w:rPr>
        <w:t xml:space="preserve">   （中标供应商名称）   </w:t>
      </w:r>
      <w:r>
        <w:rPr>
          <w:rFonts w:hint="eastAsia" w:ascii="宋体" w:hAnsi="宋体" w:cs="宋体"/>
          <w:color w:val="auto"/>
          <w:szCs w:val="21"/>
          <w:highlight w:val="none"/>
          <w:lang w:val="zh-CN"/>
        </w:rPr>
        <w:t>(以下简称：乙方)协商一致，约定以下合同</w:t>
      </w:r>
      <w:r>
        <w:rPr>
          <w:rFonts w:hint="eastAsia" w:ascii="宋体" w:hAnsi="宋体" w:cs="宋体"/>
          <w:color w:val="auto"/>
          <w:szCs w:val="21"/>
          <w:highlight w:val="none"/>
        </w:rPr>
        <w:t>条款，以兹共同遵守、全面履行。</w:t>
      </w:r>
    </w:p>
    <w:p w14:paraId="4D39C8EC">
      <w:pPr>
        <w:spacing w:line="500" w:lineRule="exact"/>
        <w:ind w:firstLine="422" w:firstLineChars="200"/>
        <w:rPr>
          <w:rFonts w:hint="eastAsia" w:ascii="宋体" w:hAnsi="宋体" w:cs="宋体"/>
          <w:b/>
          <w:color w:val="auto"/>
          <w:szCs w:val="21"/>
          <w:highlight w:val="none"/>
        </w:rPr>
      </w:pPr>
      <w:bookmarkStart w:id="103" w:name="_Toc24059"/>
      <w:bookmarkStart w:id="104" w:name="_Toc2232"/>
      <w:bookmarkStart w:id="105" w:name="_Toc3029"/>
      <w:r>
        <w:rPr>
          <w:rFonts w:hint="eastAsia" w:ascii="宋体" w:hAnsi="宋体" w:cs="宋体"/>
          <w:b/>
          <w:color w:val="auto"/>
          <w:szCs w:val="21"/>
          <w:highlight w:val="none"/>
        </w:rPr>
        <w:t>1.1 合同组成部分</w:t>
      </w:r>
      <w:bookmarkEnd w:id="103"/>
      <w:bookmarkEnd w:id="104"/>
      <w:bookmarkEnd w:id="105"/>
    </w:p>
    <w:p w14:paraId="03E0E94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8CEF3A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本合同及其补充合同、变更协议；</w:t>
      </w:r>
    </w:p>
    <w:p w14:paraId="34015A8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中标通知书；</w:t>
      </w:r>
    </w:p>
    <w:p w14:paraId="6695E58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投标文件及“投标报价”（含澄清或者说明文件）；</w:t>
      </w:r>
    </w:p>
    <w:p w14:paraId="1A58AB5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招标文件（含澄清或者修改文件）；</w:t>
      </w:r>
    </w:p>
    <w:p w14:paraId="6827440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其他相关采购文件。</w:t>
      </w:r>
    </w:p>
    <w:p w14:paraId="25367314">
      <w:pPr>
        <w:spacing w:line="500" w:lineRule="exact"/>
        <w:ind w:firstLine="422" w:firstLineChars="200"/>
        <w:rPr>
          <w:rFonts w:hint="eastAsia" w:ascii="宋体" w:hAnsi="宋体" w:cs="宋体"/>
          <w:b/>
          <w:color w:val="auto"/>
          <w:szCs w:val="21"/>
          <w:highlight w:val="none"/>
        </w:rPr>
      </w:pPr>
      <w:bookmarkStart w:id="106" w:name="_Toc27126"/>
      <w:bookmarkStart w:id="107" w:name="_Toc21295"/>
      <w:bookmarkStart w:id="108" w:name="_Toc24300"/>
      <w:r>
        <w:rPr>
          <w:rFonts w:hint="eastAsia" w:ascii="宋体" w:hAnsi="宋体" w:cs="宋体"/>
          <w:b/>
          <w:color w:val="auto"/>
          <w:szCs w:val="21"/>
          <w:highlight w:val="none"/>
        </w:rPr>
        <w:t>1.2 标的物</w:t>
      </w:r>
      <w:bookmarkEnd w:id="106"/>
      <w:bookmarkEnd w:id="107"/>
      <w:bookmarkEnd w:id="108"/>
    </w:p>
    <w:p w14:paraId="2F0B734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标的物信息</w:t>
      </w:r>
    </w:p>
    <w:p w14:paraId="43846B9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标的物名称、数量、质量：</w:t>
      </w:r>
      <w:r>
        <w:rPr>
          <w:rFonts w:hint="eastAsia" w:ascii="宋体" w:hAnsi="宋体" w:cs="宋体"/>
          <w:color w:val="auto"/>
          <w:szCs w:val="21"/>
          <w:highlight w:val="none"/>
          <w:u w:val="single"/>
        </w:rPr>
        <w:t>详见报价表、服务参数偏离表和商务条款偏离表</w:t>
      </w:r>
      <w:r>
        <w:rPr>
          <w:rFonts w:hint="eastAsia" w:ascii="宋体" w:hAnsi="宋体" w:cs="宋体"/>
          <w:color w:val="auto"/>
          <w:szCs w:val="21"/>
          <w:highlight w:val="none"/>
        </w:rPr>
        <w:t>。</w:t>
      </w:r>
    </w:p>
    <w:p w14:paraId="252E0933">
      <w:pPr>
        <w:spacing w:line="500" w:lineRule="exact"/>
        <w:ind w:firstLine="422" w:firstLineChars="200"/>
        <w:rPr>
          <w:rFonts w:hint="eastAsia" w:ascii="宋体" w:hAnsi="宋体" w:cs="宋体"/>
          <w:b/>
          <w:color w:val="auto"/>
          <w:szCs w:val="21"/>
          <w:highlight w:val="none"/>
        </w:rPr>
      </w:pPr>
      <w:bookmarkStart w:id="109" w:name="_Toc23292"/>
      <w:bookmarkStart w:id="110" w:name="_Toc21551"/>
      <w:bookmarkStart w:id="111" w:name="_Toc21631"/>
      <w:r>
        <w:rPr>
          <w:rFonts w:hint="eastAsia" w:ascii="宋体" w:hAnsi="宋体" w:cs="宋体"/>
          <w:b/>
          <w:color w:val="auto"/>
          <w:szCs w:val="21"/>
          <w:highlight w:val="none"/>
        </w:rPr>
        <w:t>1.3 价款</w:t>
      </w:r>
      <w:bookmarkEnd w:id="109"/>
      <w:bookmarkEnd w:id="110"/>
      <w:bookmarkEnd w:id="111"/>
    </w:p>
    <w:p w14:paraId="0E256D32">
      <w:pPr>
        <w:spacing w:line="500" w:lineRule="exact"/>
        <w:ind w:firstLine="420" w:firstLineChars="200"/>
        <w:rPr>
          <w:rFonts w:hint="eastAsia" w:ascii="宋体" w:hAnsi="宋体" w:cs="宋体"/>
          <w:color w:val="auto"/>
          <w:szCs w:val="21"/>
          <w:highlight w:val="none"/>
        </w:rPr>
      </w:pPr>
      <w:bookmarkStart w:id="112" w:name="_Toc22618"/>
      <w:bookmarkStart w:id="113" w:name="_Toc1814"/>
      <w:bookmarkStart w:id="114" w:name="_Toc10340"/>
      <w:r>
        <w:rPr>
          <w:rFonts w:hint="eastAsia" w:ascii="宋体" w:hAnsi="宋体" w:cs="宋体"/>
          <w:color w:val="auto"/>
          <w:szCs w:val="21"/>
          <w:highlight w:val="none"/>
        </w:rPr>
        <w:t>本合同总价为：人民币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元），含税。</w:t>
      </w:r>
    </w:p>
    <w:p w14:paraId="742AD348">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分项价格：详见</w:t>
      </w:r>
      <w:r>
        <w:rPr>
          <w:rFonts w:hint="eastAsia" w:ascii="宋体" w:hAnsi="宋体" w:cs="宋体"/>
          <w:color w:val="auto"/>
          <w:szCs w:val="21"/>
          <w:highlight w:val="none"/>
          <w:u w:val="single"/>
        </w:rPr>
        <w:t>报价表</w:t>
      </w:r>
      <w:r>
        <w:rPr>
          <w:rFonts w:hint="eastAsia" w:ascii="宋体" w:hAnsi="宋体" w:cs="宋体"/>
          <w:color w:val="auto"/>
          <w:szCs w:val="21"/>
          <w:highlight w:val="none"/>
        </w:rPr>
        <w:t>。</w:t>
      </w:r>
    </w:p>
    <w:p w14:paraId="43436FEC">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付款方式和发票开具方式</w:t>
      </w:r>
      <w:bookmarkEnd w:id="112"/>
      <w:bookmarkEnd w:id="113"/>
      <w:bookmarkEnd w:id="114"/>
    </w:p>
    <w:p w14:paraId="1EE5BB8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付款方式：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C1AA8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发票开具方式：</w:t>
      </w:r>
      <w:r>
        <w:rPr>
          <w:rFonts w:hint="eastAsia" w:ascii="宋体" w:hAnsi="宋体" w:cs="宋体"/>
          <w:color w:val="auto"/>
          <w:szCs w:val="21"/>
          <w:highlight w:val="none"/>
          <w:u w:val="single"/>
        </w:rPr>
        <w:t>乙方必须在收到款项后10个工作日内向甲方开具正式发票</w:t>
      </w:r>
      <w:r>
        <w:rPr>
          <w:rFonts w:hint="eastAsia" w:ascii="宋体" w:hAnsi="宋体" w:cs="宋体"/>
          <w:color w:val="auto"/>
          <w:szCs w:val="21"/>
          <w:highlight w:val="none"/>
        </w:rPr>
        <w:t>。</w:t>
      </w:r>
    </w:p>
    <w:p w14:paraId="0C930F8D">
      <w:pPr>
        <w:spacing w:line="500" w:lineRule="exact"/>
        <w:ind w:firstLine="422" w:firstLineChars="200"/>
        <w:rPr>
          <w:rFonts w:hint="eastAsia" w:ascii="宋体" w:hAnsi="宋体" w:cs="宋体"/>
          <w:b/>
          <w:color w:val="auto"/>
          <w:szCs w:val="21"/>
          <w:highlight w:val="none"/>
        </w:rPr>
      </w:pPr>
      <w:bookmarkStart w:id="115" w:name="_Toc19304"/>
      <w:bookmarkStart w:id="116" w:name="_Toc2846"/>
      <w:bookmarkStart w:id="117" w:name="_Toc32071"/>
      <w:r>
        <w:rPr>
          <w:rFonts w:hint="eastAsia" w:ascii="宋体" w:hAnsi="宋体" w:cs="宋体"/>
          <w:b/>
          <w:color w:val="auto"/>
          <w:szCs w:val="21"/>
          <w:highlight w:val="none"/>
        </w:rPr>
        <w:t>1.5 标的物交付期限、地点、方式</w:t>
      </w:r>
      <w:bookmarkEnd w:id="115"/>
      <w:bookmarkEnd w:id="116"/>
      <w:bookmarkEnd w:id="117"/>
      <w:r>
        <w:rPr>
          <w:rFonts w:hint="eastAsia" w:ascii="宋体" w:hAnsi="宋体" w:cs="宋体"/>
          <w:b/>
          <w:color w:val="auto"/>
          <w:szCs w:val="21"/>
          <w:highlight w:val="none"/>
        </w:rPr>
        <w:t>和质保期限</w:t>
      </w:r>
    </w:p>
    <w:p w14:paraId="090A4B9B">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1.5.1 交付期限（服务期限）：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07EA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 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FFFA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交付方式：</w:t>
      </w:r>
      <w:r>
        <w:rPr>
          <w:rFonts w:hint="eastAsia" w:ascii="宋体" w:hAnsi="宋体" w:cs="宋体"/>
          <w:color w:val="auto"/>
          <w:szCs w:val="21"/>
          <w:highlight w:val="none"/>
          <w:u w:val="single"/>
        </w:rPr>
        <w:t>现场交付</w:t>
      </w:r>
      <w:r>
        <w:rPr>
          <w:rFonts w:hint="eastAsia" w:ascii="宋体" w:hAnsi="宋体" w:cs="宋体"/>
          <w:color w:val="auto"/>
          <w:szCs w:val="21"/>
          <w:highlight w:val="none"/>
        </w:rPr>
        <w:t>；</w:t>
      </w:r>
    </w:p>
    <w:p w14:paraId="2A31802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 服务及质保期限：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472A7">
      <w:pPr>
        <w:spacing w:line="500" w:lineRule="exact"/>
        <w:ind w:firstLine="422" w:firstLineChars="200"/>
        <w:rPr>
          <w:rFonts w:hint="eastAsia" w:ascii="宋体" w:hAnsi="宋体" w:cs="宋体"/>
          <w:b/>
          <w:color w:val="auto"/>
          <w:szCs w:val="21"/>
          <w:highlight w:val="none"/>
        </w:rPr>
      </w:pPr>
      <w:bookmarkStart w:id="118" w:name="_Toc27250"/>
      <w:bookmarkStart w:id="119" w:name="_Toc19554"/>
      <w:bookmarkStart w:id="120" w:name="_Toc21423"/>
      <w:r>
        <w:rPr>
          <w:rFonts w:hint="eastAsia" w:ascii="宋体" w:hAnsi="宋体" w:cs="宋体"/>
          <w:b/>
          <w:color w:val="auto"/>
          <w:szCs w:val="21"/>
          <w:highlight w:val="none"/>
        </w:rPr>
        <w:t>1.6 违约责任</w:t>
      </w:r>
      <w:bookmarkEnd w:id="118"/>
      <w:bookmarkEnd w:id="119"/>
      <w:bookmarkEnd w:id="120"/>
    </w:p>
    <w:p w14:paraId="0A278D8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20</w:t>
      </w:r>
      <w:r>
        <w:rPr>
          <w:rFonts w:hint="eastAsia" w:ascii="宋体" w:hAnsi="宋体" w:cs="宋体"/>
          <w:color w:val="auto"/>
          <w:szCs w:val="21"/>
          <w:highlight w:val="none"/>
        </w:rPr>
        <w:t>%；迟延超过</w:t>
      </w:r>
      <w:r>
        <w:rPr>
          <w:rFonts w:hint="eastAsia" w:ascii="宋体" w:hAnsi="宋体" w:cs="宋体"/>
          <w:color w:val="auto"/>
          <w:szCs w:val="21"/>
          <w:highlight w:val="none"/>
          <w:u w:val="single"/>
        </w:rPr>
        <w:t>5</w:t>
      </w:r>
      <w:r>
        <w:rPr>
          <w:rFonts w:hint="eastAsia" w:ascii="宋体" w:hAnsi="宋体" w:cs="宋体"/>
          <w:color w:val="auto"/>
          <w:szCs w:val="21"/>
          <w:highlight w:val="none"/>
        </w:rPr>
        <w:t>日的，甲方有权在要求乙方支付违约金的同时，书面通知乙方解除本合同，乙方应退回全部已收取的合同价款并按合同总金额的</w:t>
      </w:r>
      <w:r>
        <w:rPr>
          <w:rFonts w:hint="eastAsia" w:ascii="宋体" w:hAnsi="宋体" w:cs="宋体"/>
          <w:color w:val="auto"/>
          <w:szCs w:val="21"/>
          <w:highlight w:val="none"/>
          <w:u w:val="single"/>
        </w:rPr>
        <w:t>20%</w:t>
      </w:r>
      <w:r>
        <w:rPr>
          <w:rFonts w:hint="eastAsia" w:ascii="宋体" w:hAnsi="宋体" w:cs="宋体"/>
          <w:color w:val="auto"/>
          <w:szCs w:val="21"/>
          <w:highlight w:val="none"/>
        </w:rPr>
        <w:t>向甲方支付违约金；</w:t>
      </w:r>
    </w:p>
    <w:p w14:paraId="70B9D5C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计算，最高限额为欠付金额的</w:t>
      </w:r>
      <w:r>
        <w:rPr>
          <w:rFonts w:hint="eastAsia" w:ascii="宋体" w:hAnsi="宋体" w:cs="宋体"/>
          <w:color w:val="auto"/>
          <w:szCs w:val="21"/>
          <w:highlight w:val="none"/>
          <w:u w:val="single"/>
        </w:rPr>
        <w:t>20</w:t>
      </w:r>
      <w:r>
        <w:rPr>
          <w:rFonts w:hint="eastAsia" w:ascii="宋体" w:hAnsi="宋体" w:cs="宋体"/>
          <w:color w:val="auto"/>
          <w:szCs w:val="21"/>
          <w:highlight w:val="none"/>
        </w:rPr>
        <w:t>%；迟延付款的违约金计算数额达到前述最高限额之日起，乙方有权在要求甲方支付违约金的同时，书面通知甲方解除本合同；</w:t>
      </w:r>
    </w:p>
    <w:p w14:paraId="7F185B9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并可要求违约方按合同总金额的20%支付违约金；</w:t>
      </w:r>
    </w:p>
    <w:p w14:paraId="70820DA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1.6.4乙方在质保期内未按承诺提供售后等服务的，每发生一次向甲方支付</w:t>
      </w:r>
      <w:r>
        <w:rPr>
          <w:rFonts w:hint="eastAsia" w:ascii="宋体" w:hAnsi="宋体" w:cs="宋体"/>
          <w:color w:val="auto"/>
          <w:szCs w:val="21"/>
          <w:highlight w:val="none"/>
          <w:u w:val="single"/>
        </w:rPr>
        <w:t>¥2000.00</w:t>
      </w:r>
      <w:r>
        <w:rPr>
          <w:rFonts w:hint="eastAsia" w:ascii="宋体" w:hAnsi="宋体" w:cs="宋体"/>
          <w:color w:val="auto"/>
          <w:szCs w:val="21"/>
          <w:highlight w:val="none"/>
        </w:rPr>
        <w:t>元的违约金，乙方收到甲方售后服务要求通知后3日内（甲方按照本合同尾部所留联系人及联系人电话完成通知或者按照本合同第1.8条完成通知的，均视为乙方已经收到通知），乙方未能提供售后服务的，甲方另行委托他人完成产生的费用由乙方承担。</w:t>
      </w:r>
    </w:p>
    <w:p w14:paraId="09B65D4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1.6条所约定的违约金均为惩罚性违约金，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11E64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F07E6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1.6.7 如果出现政府采购监督管理部门在处理投诉事项期间，书面通知甲方暂停采购活动的情形，或者询问或质疑事项可能影响中标结果的，导致甲方中止履行合同或最终导致废标合同无效的情形，均不视为甲方违约，如废标原因是乙方过错导致，甲方可要求乙方因废标对甲方造成的损失承担赔偿责任。</w:t>
      </w:r>
    </w:p>
    <w:p w14:paraId="02D57C05">
      <w:pPr>
        <w:spacing w:line="500" w:lineRule="exact"/>
        <w:ind w:firstLine="422" w:firstLineChars="200"/>
        <w:rPr>
          <w:rFonts w:hint="eastAsia" w:ascii="宋体" w:hAnsi="宋体" w:cs="宋体"/>
          <w:b/>
          <w:color w:val="auto"/>
          <w:szCs w:val="21"/>
          <w:highlight w:val="none"/>
        </w:rPr>
      </w:pPr>
      <w:bookmarkStart w:id="121" w:name="_Toc15583"/>
      <w:bookmarkStart w:id="122" w:name="_Toc28375"/>
      <w:bookmarkStart w:id="123" w:name="_Toc16021"/>
      <w:r>
        <w:rPr>
          <w:rFonts w:hint="eastAsia" w:ascii="宋体" w:hAnsi="宋体" w:cs="宋体"/>
          <w:b/>
          <w:color w:val="auto"/>
          <w:szCs w:val="21"/>
          <w:highlight w:val="none"/>
        </w:rPr>
        <w:t>1.7 合同争议的解决</w:t>
      </w:r>
      <w:bookmarkEnd w:id="121"/>
      <w:bookmarkEnd w:id="122"/>
      <w:bookmarkEnd w:id="123"/>
    </w:p>
    <w:p w14:paraId="739C57A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Cs w:val="21"/>
          <w:highlight w:val="none"/>
          <w:u w:val="single"/>
        </w:rPr>
        <w:t>1.7.2</w:t>
      </w:r>
      <w:r>
        <w:rPr>
          <w:rFonts w:hint="eastAsia" w:ascii="宋体" w:hAnsi="宋体" w:cs="宋体"/>
          <w:color w:val="auto"/>
          <w:szCs w:val="21"/>
          <w:highlight w:val="none"/>
        </w:rPr>
        <w:t>种方式解决：</w:t>
      </w:r>
    </w:p>
    <w:p w14:paraId="089D067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将争议提交</w:t>
      </w:r>
      <w:r>
        <w:rPr>
          <w:rFonts w:hint="eastAsia" w:ascii="宋体" w:hAnsi="宋体" w:cs="宋体"/>
          <w:color w:val="auto"/>
          <w:szCs w:val="21"/>
          <w:highlight w:val="none"/>
          <w:u w:val="single"/>
        </w:rPr>
        <w:t>南宁市</w:t>
      </w:r>
      <w:r>
        <w:rPr>
          <w:rFonts w:hint="eastAsia" w:ascii="宋体" w:hAnsi="宋体" w:cs="宋体"/>
          <w:color w:val="auto"/>
          <w:szCs w:val="21"/>
          <w:highlight w:val="none"/>
        </w:rPr>
        <w:t>仲裁委员会依申请仲裁时其现行有效的仲裁规则裁决；</w:t>
      </w:r>
    </w:p>
    <w:p w14:paraId="3A5739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向</w:t>
      </w:r>
      <w:r>
        <w:rPr>
          <w:rFonts w:hint="eastAsia" w:ascii="宋体" w:hAnsi="宋体" w:cs="宋体"/>
          <w:color w:val="auto"/>
          <w:szCs w:val="21"/>
          <w:highlight w:val="none"/>
          <w:u w:val="single"/>
        </w:rPr>
        <w:t>甲方所在地</w:t>
      </w:r>
      <w:r>
        <w:rPr>
          <w:rFonts w:hint="eastAsia" w:ascii="宋体" w:hAnsi="宋体" w:cs="宋体"/>
          <w:color w:val="auto"/>
          <w:szCs w:val="21"/>
          <w:highlight w:val="none"/>
        </w:rPr>
        <w:t>有管辖权的人民法院起诉。</w:t>
      </w:r>
    </w:p>
    <w:p w14:paraId="2017D970">
      <w:pPr>
        <w:spacing w:line="500" w:lineRule="exact"/>
        <w:ind w:firstLine="422" w:firstLineChars="200"/>
        <w:rPr>
          <w:rFonts w:hint="eastAsia" w:ascii="宋体" w:hAnsi="宋体" w:cs="宋体"/>
          <w:b/>
          <w:color w:val="auto"/>
          <w:szCs w:val="21"/>
          <w:highlight w:val="none"/>
        </w:rPr>
      </w:pPr>
      <w:bookmarkStart w:id="124" w:name="_Toc7245"/>
      <w:bookmarkStart w:id="125" w:name="_Toc15322"/>
      <w:bookmarkStart w:id="126" w:name="_Toc11173"/>
      <w:r>
        <w:rPr>
          <w:rFonts w:hint="eastAsia" w:ascii="宋体" w:hAnsi="宋体" w:cs="宋体"/>
          <w:b/>
          <w:color w:val="auto"/>
          <w:szCs w:val="21"/>
          <w:highlight w:val="none"/>
        </w:rPr>
        <w:t>1.8 合同生效</w:t>
      </w:r>
      <w:bookmarkEnd w:id="124"/>
      <w:bookmarkEnd w:id="125"/>
      <w:bookmarkEnd w:id="126"/>
    </w:p>
    <w:p w14:paraId="1A5E6A28">
      <w:pPr>
        <w:spacing w:line="5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本合同自双方当事人加盖公章或有效电子公章时生效。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120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noWrap w:val="0"/>
            <w:vAlign w:val="center"/>
          </w:tcPr>
          <w:p w14:paraId="2F24F38C">
            <w:pPr>
              <w:spacing w:line="500" w:lineRule="exact"/>
              <w:rPr>
                <w:rFonts w:hint="eastAsia" w:ascii="宋体" w:hAnsi="宋体" w:cs="宋体"/>
                <w:color w:val="auto"/>
                <w:szCs w:val="21"/>
                <w:highlight w:val="none"/>
                <w:lang w:val="zh-CN"/>
              </w:rPr>
            </w:pPr>
            <w:bookmarkStart w:id="127" w:name="_Toc331685783"/>
            <w:r>
              <w:rPr>
                <w:rFonts w:hint="eastAsia" w:ascii="宋体" w:hAnsi="宋体" w:cs="宋体"/>
                <w:color w:val="auto"/>
                <w:szCs w:val="21"/>
                <w:highlight w:val="none"/>
                <w:lang w:val="zh-CN"/>
              </w:rPr>
              <w:t>甲方：</w:t>
            </w:r>
          </w:p>
          <w:p w14:paraId="45E3FF27">
            <w:pPr>
              <w:spacing w:line="500" w:lineRule="exact"/>
              <w:rPr>
                <w:rFonts w:hint="eastAsia" w:ascii="宋体" w:hAnsi="宋体" w:cs="宋体"/>
                <w:color w:val="auto"/>
                <w:szCs w:val="21"/>
                <w:highlight w:val="none"/>
                <w:lang w:val="zh-CN"/>
              </w:rPr>
            </w:pPr>
          </w:p>
          <w:p w14:paraId="5FF559DC">
            <w:pPr>
              <w:spacing w:line="500" w:lineRule="exact"/>
              <w:rPr>
                <w:rFonts w:hint="eastAsia" w:ascii="宋体" w:hAnsi="宋体" w:cs="宋体"/>
                <w:color w:val="auto"/>
                <w:szCs w:val="21"/>
                <w:highlight w:val="none"/>
                <w:lang w:val="zh-CN"/>
              </w:rPr>
            </w:pPr>
          </w:p>
          <w:p w14:paraId="0A6CCC32">
            <w:pPr>
              <w:spacing w:line="500" w:lineRule="exact"/>
              <w:rPr>
                <w:rFonts w:hint="eastAsia" w:ascii="宋体" w:hAnsi="宋体" w:cs="宋体"/>
                <w:color w:val="auto"/>
                <w:szCs w:val="21"/>
                <w:highlight w:val="none"/>
                <w:lang w:val="zh-CN"/>
              </w:rPr>
            </w:pPr>
          </w:p>
        </w:tc>
        <w:tc>
          <w:tcPr>
            <w:tcW w:w="4820" w:type="dxa"/>
            <w:noWrap w:val="0"/>
            <w:vAlign w:val="center"/>
          </w:tcPr>
          <w:p w14:paraId="227A1191">
            <w:pPr>
              <w:spacing w:line="50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乙方：</w:t>
            </w:r>
          </w:p>
          <w:p w14:paraId="0AAE1F24">
            <w:pPr>
              <w:spacing w:line="500" w:lineRule="exact"/>
              <w:rPr>
                <w:rFonts w:hint="eastAsia" w:ascii="宋体" w:hAnsi="宋体" w:cs="宋体"/>
                <w:color w:val="auto"/>
                <w:szCs w:val="21"/>
                <w:highlight w:val="none"/>
                <w:lang w:val="zh-CN"/>
              </w:rPr>
            </w:pPr>
          </w:p>
          <w:p w14:paraId="0443355A">
            <w:pPr>
              <w:spacing w:line="500" w:lineRule="exact"/>
              <w:rPr>
                <w:rFonts w:hint="eastAsia" w:ascii="宋体" w:hAnsi="宋体" w:cs="宋体"/>
                <w:color w:val="auto"/>
                <w:szCs w:val="21"/>
                <w:highlight w:val="none"/>
                <w:lang w:val="zh-CN"/>
              </w:rPr>
            </w:pPr>
          </w:p>
          <w:p w14:paraId="5A96A786">
            <w:pPr>
              <w:spacing w:line="500" w:lineRule="exact"/>
              <w:rPr>
                <w:rFonts w:hint="eastAsia" w:ascii="宋体" w:hAnsi="宋体" w:cs="宋体"/>
                <w:color w:val="auto"/>
                <w:szCs w:val="21"/>
                <w:highlight w:val="none"/>
                <w:lang w:val="zh-CN"/>
              </w:rPr>
            </w:pPr>
          </w:p>
        </w:tc>
      </w:tr>
      <w:tr w14:paraId="7122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0F5798AF">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统一社会信用代码：</w:t>
            </w:r>
          </w:p>
        </w:tc>
        <w:tc>
          <w:tcPr>
            <w:tcW w:w="4820" w:type="dxa"/>
            <w:noWrap w:val="0"/>
            <w:vAlign w:val="center"/>
          </w:tcPr>
          <w:p w14:paraId="244F01D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统一社会信用代码：</w:t>
            </w:r>
          </w:p>
        </w:tc>
      </w:tr>
      <w:tr w14:paraId="7558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73DCBF43">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住所：</w:t>
            </w:r>
          </w:p>
        </w:tc>
        <w:tc>
          <w:tcPr>
            <w:tcW w:w="4820" w:type="dxa"/>
            <w:noWrap w:val="0"/>
            <w:vAlign w:val="center"/>
          </w:tcPr>
          <w:p w14:paraId="25CAF7C6">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住所：</w:t>
            </w:r>
          </w:p>
        </w:tc>
      </w:tr>
      <w:tr w14:paraId="5426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13FC483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w:t>
            </w:r>
          </w:p>
          <w:p w14:paraId="60947B1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或授权代表（签字或盖章）：</w:t>
            </w:r>
          </w:p>
        </w:tc>
        <w:tc>
          <w:tcPr>
            <w:tcW w:w="4820" w:type="dxa"/>
            <w:noWrap w:val="0"/>
            <w:vAlign w:val="center"/>
          </w:tcPr>
          <w:p w14:paraId="4E055D6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w:t>
            </w:r>
          </w:p>
          <w:p w14:paraId="67B464E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或授权代表（签字或盖章）:</w:t>
            </w:r>
          </w:p>
        </w:tc>
      </w:tr>
      <w:tr w14:paraId="06F1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B21501B">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联系人：</w:t>
            </w:r>
          </w:p>
        </w:tc>
        <w:tc>
          <w:tcPr>
            <w:tcW w:w="4820" w:type="dxa"/>
            <w:noWrap w:val="0"/>
            <w:vAlign w:val="center"/>
          </w:tcPr>
          <w:p w14:paraId="77062DF2">
            <w:pPr>
              <w:rPr>
                <w:rFonts w:hint="eastAsia" w:ascii="宋体" w:hAnsi="宋体" w:cs="宋体"/>
                <w:color w:val="auto"/>
                <w:szCs w:val="21"/>
                <w:highlight w:val="none"/>
              </w:rPr>
            </w:pPr>
            <w:r>
              <w:rPr>
                <w:rFonts w:hint="eastAsia" w:ascii="宋体" w:hAnsi="宋体" w:cs="宋体"/>
                <w:color w:val="auto"/>
                <w:szCs w:val="21"/>
                <w:highlight w:val="none"/>
                <w:lang w:val="zh-CN"/>
              </w:rPr>
              <w:t>联系人：</w:t>
            </w:r>
          </w:p>
        </w:tc>
      </w:tr>
      <w:tr w14:paraId="149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78183BE9">
            <w:pPr>
              <w:rPr>
                <w:rFonts w:ascii="宋体" w:hAnsi="宋体" w:cs="宋体"/>
                <w:color w:val="auto"/>
                <w:szCs w:val="21"/>
                <w:highlight w:val="none"/>
              </w:rPr>
            </w:pPr>
            <w:r>
              <w:rPr>
                <w:rFonts w:hint="eastAsia" w:ascii="宋体" w:hAnsi="宋体" w:cs="宋体"/>
                <w:color w:val="auto"/>
                <w:szCs w:val="21"/>
                <w:highlight w:val="none"/>
                <w:lang w:val="zh-CN"/>
              </w:rPr>
              <w:t>约定送达地址：</w:t>
            </w:r>
          </w:p>
        </w:tc>
        <w:tc>
          <w:tcPr>
            <w:tcW w:w="4820" w:type="dxa"/>
            <w:noWrap w:val="0"/>
            <w:vAlign w:val="center"/>
          </w:tcPr>
          <w:p w14:paraId="21962F5C">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约定送达地址：</w:t>
            </w:r>
          </w:p>
        </w:tc>
      </w:tr>
      <w:tr w14:paraId="181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6320E87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电话</w:t>
            </w:r>
            <w:bookmarkStart w:id="128" w:name="PO_3000001867_PM028"/>
            <w:r>
              <w:rPr>
                <w:rFonts w:hint="eastAsia" w:ascii="宋体" w:hAnsi="宋体" w:cs="宋体"/>
                <w:color w:val="auto"/>
                <w:szCs w:val="21"/>
                <w:highlight w:val="none"/>
                <w:lang w:val="zh-CN"/>
              </w:rPr>
              <w:t>：</w:t>
            </w:r>
            <w:bookmarkEnd w:id="128"/>
          </w:p>
        </w:tc>
        <w:tc>
          <w:tcPr>
            <w:tcW w:w="4820" w:type="dxa"/>
            <w:noWrap w:val="0"/>
            <w:vAlign w:val="center"/>
          </w:tcPr>
          <w:p w14:paraId="1E591ADB">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电话：</w:t>
            </w:r>
          </w:p>
        </w:tc>
      </w:tr>
      <w:tr w14:paraId="59CC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066EBF3">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电子邮箱：</w:t>
            </w:r>
          </w:p>
        </w:tc>
        <w:tc>
          <w:tcPr>
            <w:tcW w:w="4820" w:type="dxa"/>
            <w:noWrap w:val="0"/>
            <w:vAlign w:val="center"/>
          </w:tcPr>
          <w:p w14:paraId="100A3C51">
            <w:pPr>
              <w:rPr>
                <w:rFonts w:hint="eastAsia" w:ascii="宋体" w:hAnsi="宋体" w:cs="宋体"/>
                <w:color w:val="auto"/>
                <w:szCs w:val="21"/>
                <w:highlight w:val="none"/>
              </w:rPr>
            </w:pPr>
            <w:r>
              <w:rPr>
                <w:rFonts w:hint="eastAsia" w:ascii="宋体" w:hAnsi="宋体" w:cs="宋体"/>
                <w:color w:val="auto"/>
                <w:szCs w:val="21"/>
                <w:highlight w:val="none"/>
                <w:lang w:val="zh-CN"/>
              </w:rPr>
              <w:t>电子邮箱：</w:t>
            </w:r>
          </w:p>
        </w:tc>
      </w:tr>
      <w:tr w14:paraId="138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04C2B98B">
            <w:pPr>
              <w:rPr>
                <w:rFonts w:hint="eastAsia" w:ascii="宋体" w:hAnsi="宋体" w:cs="宋体"/>
                <w:color w:val="auto"/>
                <w:szCs w:val="21"/>
                <w:highlight w:val="none"/>
                <w:lang w:val="zh-CN"/>
              </w:rPr>
            </w:pPr>
            <w:r>
              <w:rPr>
                <w:rFonts w:hint="eastAsia" w:ascii="宋体" w:hAnsi="宋体" w:cs="宋体"/>
                <w:color w:val="auto"/>
                <w:szCs w:val="21"/>
                <w:highlight w:val="none"/>
              </w:rPr>
              <w:t>开户银行：</w:t>
            </w:r>
          </w:p>
        </w:tc>
        <w:tc>
          <w:tcPr>
            <w:tcW w:w="4820" w:type="dxa"/>
            <w:noWrap w:val="0"/>
            <w:vAlign w:val="center"/>
          </w:tcPr>
          <w:p w14:paraId="0B6834D6">
            <w:pPr>
              <w:rPr>
                <w:rFonts w:hint="eastAsia" w:ascii="宋体" w:hAnsi="宋体" w:cs="宋体"/>
                <w:color w:val="auto"/>
                <w:szCs w:val="21"/>
                <w:highlight w:val="none"/>
                <w:lang w:val="zh-CN"/>
              </w:rPr>
            </w:pPr>
            <w:r>
              <w:rPr>
                <w:rFonts w:hint="eastAsia" w:ascii="宋体" w:hAnsi="宋体" w:cs="宋体"/>
                <w:color w:val="auto"/>
                <w:szCs w:val="21"/>
                <w:highlight w:val="none"/>
              </w:rPr>
              <w:t>开户银行：</w:t>
            </w:r>
          </w:p>
        </w:tc>
      </w:tr>
      <w:tr w14:paraId="0164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80831C6">
            <w:pPr>
              <w:rPr>
                <w:rFonts w:hint="eastAsia" w:ascii="宋体" w:hAnsi="宋体" w:cs="宋体"/>
                <w:color w:val="auto"/>
                <w:szCs w:val="21"/>
                <w:highlight w:val="none"/>
                <w:lang w:val="zh-CN"/>
              </w:rPr>
            </w:pPr>
            <w:r>
              <w:rPr>
                <w:rFonts w:hint="eastAsia" w:ascii="宋体" w:hAnsi="宋体" w:cs="宋体"/>
                <w:color w:val="auto"/>
                <w:szCs w:val="21"/>
                <w:highlight w:val="none"/>
              </w:rPr>
              <w:t>开户名称：</w:t>
            </w:r>
          </w:p>
        </w:tc>
        <w:tc>
          <w:tcPr>
            <w:tcW w:w="4820" w:type="dxa"/>
            <w:noWrap w:val="0"/>
            <w:vAlign w:val="center"/>
          </w:tcPr>
          <w:p w14:paraId="3F30067E">
            <w:pPr>
              <w:rPr>
                <w:rFonts w:hint="eastAsia" w:ascii="宋体" w:hAnsi="宋体" w:cs="宋体"/>
                <w:color w:val="auto"/>
                <w:szCs w:val="21"/>
                <w:highlight w:val="none"/>
                <w:lang w:val="zh-CN"/>
              </w:rPr>
            </w:pPr>
            <w:r>
              <w:rPr>
                <w:rFonts w:hint="eastAsia" w:ascii="宋体" w:hAnsi="宋体" w:cs="宋体"/>
                <w:color w:val="auto"/>
                <w:szCs w:val="21"/>
                <w:highlight w:val="none"/>
              </w:rPr>
              <w:t>开户名称：</w:t>
            </w:r>
          </w:p>
        </w:tc>
      </w:tr>
      <w:tr w14:paraId="3F73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64904400">
            <w:pPr>
              <w:rPr>
                <w:rFonts w:hint="eastAsia" w:ascii="宋体" w:hAnsi="宋体" w:cs="宋体"/>
                <w:color w:val="auto"/>
                <w:szCs w:val="21"/>
                <w:highlight w:val="none"/>
                <w:lang w:val="zh-CN"/>
              </w:rPr>
            </w:pPr>
            <w:r>
              <w:rPr>
                <w:rFonts w:hint="eastAsia" w:ascii="宋体" w:hAnsi="宋体" w:cs="宋体"/>
                <w:color w:val="auto"/>
                <w:szCs w:val="21"/>
                <w:highlight w:val="none"/>
              </w:rPr>
              <w:t>开户账号：</w:t>
            </w:r>
          </w:p>
        </w:tc>
        <w:tc>
          <w:tcPr>
            <w:tcW w:w="4820" w:type="dxa"/>
            <w:noWrap w:val="0"/>
            <w:vAlign w:val="center"/>
          </w:tcPr>
          <w:p w14:paraId="65ECD7F1">
            <w:pPr>
              <w:rPr>
                <w:rFonts w:hint="eastAsia" w:ascii="宋体" w:hAnsi="宋体" w:cs="宋体"/>
                <w:color w:val="auto"/>
                <w:szCs w:val="21"/>
                <w:highlight w:val="none"/>
                <w:lang w:val="zh-CN"/>
              </w:rPr>
            </w:pPr>
            <w:r>
              <w:rPr>
                <w:rFonts w:hint="eastAsia" w:ascii="宋体" w:hAnsi="宋体" w:cs="宋体"/>
                <w:color w:val="auto"/>
                <w:szCs w:val="21"/>
                <w:highlight w:val="none"/>
              </w:rPr>
              <w:t>开户账号：</w:t>
            </w:r>
          </w:p>
        </w:tc>
      </w:tr>
    </w:tbl>
    <w:p w14:paraId="72968FF2">
      <w:pPr>
        <w:ind w:firstLine="200"/>
        <w:rPr>
          <w:rFonts w:hint="eastAsia" w:ascii="宋体" w:hAnsi="宋体" w:cs="宋体"/>
          <w:color w:val="auto"/>
          <w:szCs w:val="21"/>
          <w:highlight w:val="none"/>
        </w:rPr>
      </w:pPr>
    </w:p>
    <w:p w14:paraId="457A998E">
      <w:pPr>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r>
        <w:rPr>
          <w:rFonts w:hint="eastAsia" w:ascii="宋体" w:hAnsi="宋体" w:cs="宋体"/>
          <w:b/>
          <w:color w:val="auto"/>
          <w:sz w:val="28"/>
          <w:szCs w:val="28"/>
          <w:highlight w:val="none"/>
        </w:rPr>
        <w:t>第二部分 合同一般条款</w:t>
      </w:r>
      <w:bookmarkEnd w:id="127"/>
    </w:p>
    <w:p w14:paraId="0C99CD4A">
      <w:pPr>
        <w:spacing w:line="480" w:lineRule="exact"/>
        <w:ind w:firstLine="422" w:firstLineChars="200"/>
        <w:rPr>
          <w:rFonts w:hint="eastAsia" w:ascii="宋体" w:hAnsi="宋体" w:cs="宋体"/>
          <w:b/>
          <w:color w:val="auto"/>
          <w:szCs w:val="21"/>
          <w:highlight w:val="none"/>
        </w:rPr>
      </w:pPr>
      <w:bookmarkStart w:id="129" w:name="_Ref467379101"/>
      <w:bookmarkStart w:id="130" w:name="_Toc19614"/>
      <w:bookmarkStart w:id="131" w:name="_Ref467379094"/>
      <w:bookmarkStart w:id="132" w:name="_Ref467379195"/>
      <w:bookmarkStart w:id="133" w:name="_Ref467379225"/>
      <w:bookmarkStart w:id="134" w:name="_Toc279701240"/>
      <w:bookmarkStart w:id="135" w:name="_Ref467379214"/>
      <w:bookmarkStart w:id="136" w:name="_Toc487900349"/>
      <w:bookmarkStart w:id="137" w:name="_Ref467378463"/>
      <w:bookmarkStart w:id="138" w:name="_Ref467379205"/>
      <w:bookmarkStart w:id="139" w:name="_Toc259093669"/>
      <w:bookmarkStart w:id="140" w:name="_Ref467378404"/>
      <w:bookmarkStart w:id="141" w:name="_Ref467379109"/>
      <w:bookmarkStart w:id="142" w:name="_Toc16917"/>
      <w:bookmarkStart w:id="143" w:name="_Ref467378499"/>
      <w:bookmarkStart w:id="144" w:name="_Toc28763"/>
      <w:r>
        <w:rPr>
          <w:rFonts w:hint="eastAsia" w:ascii="宋体" w:hAnsi="宋体" w:cs="宋体"/>
          <w:b/>
          <w:color w:val="auto"/>
          <w:szCs w:val="21"/>
          <w:highlight w:val="none"/>
        </w:rPr>
        <w:t>2.1 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4D79BE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本合同中的下列词语应按以下内容进行解释：</w:t>
      </w:r>
    </w:p>
    <w:p w14:paraId="5C0D42C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“合同”系指采购人和中标供应商签订的载明双方当事人所达成的协议，并包括所有的附件、附录和构成合同的其他文件。</w:t>
      </w:r>
    </w:p>
    <w:p w14:paraId="25E4589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“合同价”系指根据合同约定，中标供应商在完全履行合同义务后，采购人应支付给中标供应商的价格。</w:t>
      </w:r>
    </w:p>
    <w:p w14:paraId="0054626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4125BB4">
      <w:pPr>
        <w:spacing w:line="480" w:lineRule="exact"/>
        <w:ind w:firstLine="420" w:firstLineChars="200"/>
        <w:rPr>
          <w:rFonts w:hint="eastAsia" w:ascii="宋体" w:hAnsi="宋体" w:cs="宋体"/>
          <w:color w:val="auto"/>
          <w:szCs w:val="21"/>
          <w:highlight w:val="none"/>
        </w:rPr>
      </w:pPr>
      <w:bookmarkStart w:id="145" w:name="_Ref467378840"/>
      <w:r>
        <w:rPr>
          <w:rFonts w:hint="eastAsia" w:ascii="宋体" w:hAnsi="宋体" w:cs="宋体"/>
          <w:color w:val="auto"/>
          <w:szCs w:val="21"/>
          <w:highlight w:val="none"/>
        </w:rPr>
        <w:t>2.1.4 “甲方”系指与中标供应商签署合同的采购人</w:t>
      </w:r>
      <w:bookmarkEnd w:id="145"/>
      <w:r>
        <w:rPr>
          <w:rFonts w:hint="eastAsia" w:ascii="宋体" w:hAnsi="宋体" w:cs="宋体"/>
          <w:color w:val="auto"/>
          <w:szCs w:val="21"/>
          <w:highlight w:val="none"/>
        </w:rPr>
        <w:t>；采购人委托采购代理机构代表其与乙方签订合同的，采购人的授权委托书作为合同附件。</w:t>
      </w:r>
    </w:p>
    <w:p w14:paraId="49F6B7BB">
      <w:pPr>
        <w:spacing w:line="480" w:lineRule="exact"/>
        <w:ind w:firstLine="420" w:firstLineChars="200"/>
        <w:rPr>
          <w:rFonts w:hint="eastAsia" w:ascii="宋体" w:hAnsi="宋体" w:cs="宋体"/>
          <w:color w:val="auto"/>
          <w:szCs w:val="21"/>
          <w:highlight w:val="none"/>
        </w:rPr>
      </w:pPr>
      <w:bookmarkStart w:id="146" w:name="_Ref467379400"/>
      <w:r>
        <w:rPr>
          <w:rFonts w:hint="eastAsia" w:ascii="宋体" w:hAnsi="宋体" w:cs="宋体"/>
          <w:color w:val="auto"/>
          <w:szCs w:val="21"/>
          <w:highlight w:val="none"/>
        </w:rPr>
        <w:t>2.1.5 “乙方”系指根据合同约定交付标的物的</w:t>
      </w:r>
      <w:bookmarkEnd w:id="146"/>
      <w:r>
        <w:rPr>
          <w:rFonts w:hint="eastAsia" w:ascii="宋体" w:hAnsi="宋体" w:cs="宋体"/>
          <w:color w:val="auto"/>
          <w:szCs w:val="21"/>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02C1A5F">
      <w:pPr>
        <w:spacing w:line="480" w:lineRule="exact"/>
        <w:ind w:firstLine="420" w:firstLineChars="200"/>
        <w:rPr>
          <w:rFonts w:hint="eastAsia" w:ascii="宋体" w:hAnsi="宋体" w:cs="宋体"/>
          <w:color w:val="auto"/>
          <w:szCs w:val="21"/>
          <w:highlight w:val="none"/>
        </w:rPr>
      </w:pPr>
      <w:bookmarkStart w:id="147" w:name="_Ref467379436"/>
      <w:r>
        <w:rPr>
          <w:rFonts w:hint="eastAsia" w:ascii="宋体" w:hAnsi="宋体" w:cs="宋体"/>
          <w:color w:val="auto"/>
          <w:szCs w:val="21"/>
          <w:highlight w:val="none"/>
        </w:rPr>
        <w:t>2.1.6 “现场”系指合同约定标的物将要运至或者实施或者安装的地点。</w:t>
      </w:r>
      <w:bookmarkEnd w:id="147"/>
    </w:p>
    <w:p w14:paraId="3CDE38E8">
      <w:pPr>
        <w:spacing w:line="480" w:lineRule="exact"/>
        <w:ind w:firstLine="422" w:firstLineChars="200"/>
        <w:rPr>
          <w:rFonts w:hint="eastAsia" w:ascii="宋体" w:hAnsi="宋体" w:cs="宋体"/>
          <w:b/>
          <w:color w:val="auto"/>
          <w:szCs w:val="21"/>
          <w:highlight w:val="none"/>
        </w:rPr>
      </w:pPr>
      <w:bookmarkStart w:id="148" w:name="_Toc259093670"/>
      <w:bookmarkStart w:id="149" w:name="_Toc27635"/>
      <w:bookmarkStart w:id="150" w:name="_Toc279701241"/>
      <w:bookmarkStart w:id="151" w:name="_Toc13336"/>
      <w:bookmarkStart w:id="152" w:name="_Toc32504"/>
      <w:bookmarkStart w:id="153" w:name="_Toc487900350"/>
      <w:r>
        <w:rPr>
          <w:rFonts w:hint="eastAsia" w:ascii="宋体" w:hAnsi="宋体" w:cs="宋体"/>
          <w:b/>
          <w:color w:val="auto"/>
          <w:szCs w:val="21"/>
          <w:highlight w:val="none"/>
        </w:rPr>
        <w:t>2.2 技术规范</w:t>
      </w:r>
      <w:bookmarkEnd w:id="148"/>
      <w:bookmarkEnd w:id="149"/>
      <w:bookmarkEnd w:id="150"/>
      <w:bookmarkEnd w:id="151"/>
      <w:bookmarkEnd w:id="152"/>
      <w:bookmarkEnd w:id="153"/>
    </w:p>
    <w:p w14:paraId="39A828C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9FA67FE">
      <w:pPr>
        <w:spacing w:line="480" w:lineRule="exact"/>
        <w:ind w:firstLine="422" w:firstLineChars="200"/>
        <w:rPr>
          <w:rFonts w:hint="eastAsia" w:ascii="宋体" w:hAnsi="宋体" w:cs="宋体"/>
          <w:b/>
          <w:color w:val="auto"/>
          <w:szCs w:val="21"/>
          <w:highlight w:val="none"/>
        </w:rPr>
      </w:pPr>
      <w:bookmarkStart w:id="154" w:name="_Toc279701242"/>
      <w:bookmarkStart w:id="155" w:name="_Toc31634"/>
      <w:bookmarkStart w:id="156" w:name="_Toc9829"/>
      <w:bookmarkStart w:id="157" w:name="_Toc259093671"/>
      <w:bookmarkStart w:id="158" w:name="_Toc487900351"/>
      <w:bookmarkStart w:id="159" w:name="_Toc27853"/>
      <w:r>
        <w:rPr>
          <w:rFonts w:hint="eastAsia" w:ascii="宋体" w:hAnsi="宋体" w:cs="宋体"/>
          <w:b/>
          <w:color w:val="auto"/>
          <w:szCs w:val="21"/>
          <w:highlight w:val="none"/>
        </w:rPr>
        <w:t>2.3 知识产权</w:t>
      </w:r>
      <w:bookmarkEnd w:id="154"/>
      <w:bookmarkEnd w:id="155"/>
      <w:bookmarkEnd w:id="156"/>
      <w:bookmarkEnd w:id="157"/>
      <w:bookmarkEnd w:id="158"/>
      <w:bookmarkEnd w:id="159"/>
    </w:p>
    <w:p w14:paraId="4CB103C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D6972C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2.3.2具有知识产权的计算机软件等标的物的知识产权归属，详见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1F0B1656">
      <w:pPr>
        <w:spacing w:line="480" w:lineRule="exact"/>
        <w:ind w:firstLine="422" w:firstLineChars="200"/>
        <w:rPr>
          <w:rFonts w:hint="eastAsia" w:ascii="宋体" w:hAnsi="宋体" w:cs="宋体"/>
          <w:b/>
          <w:color w:val="auto"/>
          <w:szCs w:val="21"/>
          <w:highlight w:val="none"/>
        </w:rPr>
      </w:pPr>
      <w:bookmarkStart w:id="160" w:name="_Toc4194"/>
      <w:bookmarkStart w:id="161" w:name="_Toc29149"/>
      <w:bookmarkStart w:id="162" w:name="_Toc11932"/>
      <w:r>
        <w:rPr>
          <w:rFonts w:hint="eastAsia" w:ascii="宋体" w:hAnsi="宋体" w:cs="宋体"/>
          <w:b/>
          <w:color w:val="auto"/>
          <w:szCs w:val="21"/>
          <w:highlight w:val="none"/>
        </w:rPr>
        <w:t>2.4 包装和装运</w:t>
      </w:r>
      <w:bookmarkEnd w:id="160"/>
      <w:bookmarkEnd w:id="161"/>
      <w:bookmarkEnd w:id="162"/>
    </w:p>
    <w:p w14:paraId="5C23728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2.4.1除</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A5F670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装运标的物的要求和通知，详见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5DB2C107">
      <w:pPr>
        <w:spacing w:line="480" w:lineRule="exact"/>
        <w:ind w:firstLine="422" w:firstLineChars="200"/>
        <w:rPr>
          <w:rFonts w:hint="eastAsia" w:ascii="宋体" w:hAnsi="宋体" w:cs="宋体"/>
          <w:b/>
          <w:color w:val="auto"/>
          <w:szCs w:val="21"/>
          <w:highlight w:val="none"/>
        </w:rPr>
      </w:pPr>
      <w:bookmarkStart w:id="163" w:name="_Ref467378541"/>
      <w:bookmarkStart w:id="164" w:name="_Toc259093674"/>
      <w:bookmarkStart w:id="165" w:name="_Toc487900354"/>
      <w:bookmarkStart w:id="166" w:name="_Ref467379536"/>
      <w:bookmarkStart w:id="167" w:name="_Ref467378591"/>
      <w:bookmarkStart w:id="168" w:name="_Ref467379542"/>
      <w:bookmarkStart w:id="169" w:name="_Ref467379527"/>
      <w:bookmarkStart w:id="170" w:name="_Toc279701245"/>
      <w:bookmarkStart w:id="171" w:name="_Toc30272"/>
      <w:bookmarkStart w:id="172" w:name="_Toc19074"/>
      <w:bookmarkStart w:id="173" w:name="_Toc26182"/>
      <w:r>
        <w:rPr>
          <w:rFonts w:hint="eastAsia" w:ascii="宋体" w:hAnsi="宋体" w:cs="宋体"/>
          <w:b/>
          <w:color w:val="auto"/>
          <w:szCs w:val="21"/>
          <w:highlight w:val="none"/>
        </w:rPr>
        <w:t>2.</w:t>
      </w:r>
      <w:bookmarkEnd w:id="163"/>
      <w:bookmarkEnd w:id="164"/>
      <w:bookmarkEnd w:id="165"/>
      <w:bookmarkEnd w:id="166"/>
      <w:bookmarkEnd w:id="167"/>
      <w:bookmarkEnd w:id="168"/>
      <w:bookmarkEnd w:id="169"/>
      <w:bookmarkEnd w:id="170"/>
      <w:r>
        <w:rPr>
          <w:rFonts w:hint="eastAsia" w:ascii="宋体" w:hAnsi="宋体" w:cs="宋体"/>
          <w:b/>
          <w:color w:val="auto"/>
          <w:szCs w:val="21"/>
          <w:highlight w:val="none"/>
        </w:rPr>
        <w:t>5 履约检查和问题反馈</w:t>
      </w:r>
      <w:bookmarkEnd w:id="171"/>
      <w:bookmarkEnd w:id="172"/>
      <w:bookmarkEnd w:id="173"/>
    </w:p>
    <w:p w14:paraId="4D587B97">
      <w:pPr>
        <w:spacing w:line="480" w:lineRule="exact"/>
        <w:ind w:firstLine="420" w:firstLineChars="200"/>
        <w:rPr>
          <w:rFonts w:hint="eastAsia" w:ascii="宋体" w:hAnsi="宋体" w:cs="宋体"/>
          <w:color w:val="auto"/>
          <w:szCs w:val="21"/>
          <w:highlight w:val="none"/>
        </w:rPr>
      </w:pPr>
      <w:bookmarkStart w:id="174" w:name="_Ref467379657"/>
      <w:r>
        <w:rPr>
          <w:rFonts w:hint="eastAsia" w:ascii="宋体" w:hAnsi="宋体" w:cs="宋体"/>
          <w:color w:val="auto"/>
          <w:szCs w:val="21"/>
          <w:highlight w:val="none"/>
        </w:rPr>
        <w:t>2.5.1</w:t>
      </w:r>
      <w:bookmarkEnd w:id="174"/>
      <w:bookmarkStart w:id="175" w:name="_Toc186431854"/>
      <w:bookmarkStart w:id="176" w:name="_Toc259093676"/>
      <w:bookmarkStart w:id="177" w:name="_Toc487900357"/>
      <w:bookmarkStart w:id="178" w:name="_Ref467379807"/>
      <w:bookmarkStart w:id="179" w:name="_Ref467379793"/>
      <w:bookmarkStart w:id="180" w:name="_Toc279701247"/>
      <w:r>
        <w:rPr>
          <w:rFonts w:hint="eastAsia" w:ascii="宋体" w:hAnsi="宋体" w:cs="宋体"/>
          <w:color w:val="auto"/>
          <w:szCs w:val="21"/>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C2EBAB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合同履行期间，甲方有权将履行过程中出现的问题反馈给乙方，双方当事人应以书面形式约定需要完善和改进的内容</w:t>
      </w:r>
      <w:bookmarkEnd w:id="175"/>
      <w:bookmarkStart w:id="181" w:name="_Toc186431855"/>
      <w:r>
        <w:rPr>
          <w:rFonts w:hint="eastAsia" w:ascii="宋体" w:hAnsi="宋体" w:cs="宋体"/>
          <w:color w:val="auto"/>
          <w:szCs w:val="21"/>
          <w:highlight w:val="none"/>
        </w:rPr>
        <w:t>。</w:t>
      </w:r>
    </w:p>
    <w:bookmarkEnd w:id="181"/>
    <w:p w14:paraId="768947BC">
      <w:pPr>
        <w:spacing w:line="480" w:lineRule="exact"/>
        <w:ind w:firstLine="422" w:firstLineChars="200"/>
        <w:rPr>
          <w:rFonts w:hint="eastAsia" w:ascii="宋体" w:hAnsi="宋体" w:cs="宋体"/>
          <w:b/>
          <w:color w:val="auto"/>
          <w:szCs w:val="21"/>
          <w:highlight w:val="none"/>
        </w:rPr>
      </w:pPr>
      <w:bookmarkStart w:id="182" w:name="_Toc28451"/>
      <w:bookmarkStart w:id="183" w:name="_Toc19219"/>
      <w:bookmarkStart w:id="184" w:name="_Toc7836"/>
      <w:r>
        <w:rPr>
          <w:rFonts w:hint="eastAsia" w:ascii="宋体" w:hAnsi="宋体" w:cs="宋体"/>
          <w:b/>
          <w:color w:val="auto"/>
          <w:szCs w:val="21"/>
          <w:highlight w:val="none"/>
        </w:rPr>
        <w:t>2.6 结算方式和付款条件</w:t>
      </w:r>
      <w:bookmarkEnd w:id="176"/>
      <w:bookmarkEnd w:id="177"/>
      <w:bookmarkEnd w:id="178"/>
      <w:bookmarkEnd w:id="179"/>
      <w:bookmarkEnd w:id="180"/>
      <w:bookmarkEnd w:id="182"/>
      <w:bookmarkEnd w:id="183"/>
      <w:bookmarkEnd w:id="184"/>
    </w:p>
    <w:p w14:paraId="6F50D5D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596E8400">
      <w:pPr>
        <w:spacing w:line="480" w:lineRule="exact"/>
        <w:ind w:firstLine="422" w:firstLineChars="200"/>
        <w:rPr>
          <w:rFonts w:hint="eastAsia" w:ascii="宋体" w:hAnsi="宋体" w:cs="宋体"/>
          <w:b/>
          <w:color w:val="auto"/>
          <w:szCs w:val="21"/>
          <w:highlight w:val="none"/>
        </w:rPr>
      </w:pPr>
      <w:bookmarkStart w:id="185" w:name="_Toc279701248"/>
      <w:bookmarkStart w:id="186" w:name="_Ref467379863"/>
      <w:bookmarkStart w:id="187" w:name="_Ref467379923"/>
      <w:bookmarkStart w:id="188" w:name="_Ref467379852"/>
      <w:bookmarkStart w:id="189" w:name="_Toc487900358"/>
      <w:bookmarkStart w:id="190" w:name="_Toc259093677"/>
      <w:bookmarkStart w:id="191" w:name="_Toc16110"/>
      <w:bookmarkStart w:id="192" w:name="_Toc774"/>
      <w:bookmarkStart w:id="193" w:name="_Toc3225"/>
      <w:r>
        <w:rPr>
          <w:rFonts w:hint="eastAsia" w:ascii="宋体" w:hAnsi="宋体" w:cs="宋体"/>
          <w:b/>
          <w:color w:val="auto"/>
          <w:szCs w:val="21"/>
          <w:highlight w:val="none"/>
        </w:rPr>
        <w:t>2.7 技术资料</w:t>
      </w:r>
      <w:bookmarkEnd w:id="185"/>
      <w:bookmarkEnd w:id="186"/>
      <w:bookmarkEnd w:id="187"/>
      <w:bookmarkEnd w:id="188"/>
      <w:bookmarkEnd w:id="189"/>
      <w:bookmarkEnd w:id="190"/>
      <w:r>
        <w:rPr>
          <w:rFonts w:hint="eastAsia" w:ascii="宋体" w:hAnsi="宋体" w:cs="宋体"/>
          <w:b/>
          <w:color w:val="auto"/>
          <w:szCs w:val="21"/>
          <w:highlight w:val="none"/>
        </w:rPr>
        <w:t>和保密义务</w:t>
      </w:r>
      <w:bookmarkEnd w:id="191"/>
      <w:bookmarkEnd w:id="192"/>
      <w:bookmarkEnd w:id="193"/>
    </w:p>
    <w:p w14:paraId="4E59310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 乙方有权依据合同约定和项目需要，向甲方了解有关情况，调阅有关资料等，甲方应予积极配合；</w:t>
      </w:r>
    </w:p>
    <w:p w14:paraId="24FF433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 乙方有义务妥善保管和保护由甲方提供的前款信息和资料等；</w:t>
      </w:r>
    </w:p>
    <w:p w14:paraId="666CC16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2DE5701">
      <w:pPr>
        <w:spacing w:line="480" w:lineRule="exact"/>
        <w:ind w:firstLine="422" w:firstLineChars="200"/>
        <w:rPr>
          <w:rFonts w:hint="eastAsia" w:ascii="宋体" w:hAnsi="宋体" w:cs="宋体"/>
          <w:b/>
          <w:color w:val="auto"/>
          <w:szCs w:val="21"/>
          <w:highlight w:val="none"/>
        </w:rPr>
      </w:pPr>
      <w:bookmarkStart w:id="194" w:name="_Toc7860"/>
      <w:r>
        <w:rPr>
          <w:rFonts w:hint="eastAsia" w:ascii="宋体" w:hAnsi="宋体" w:cs="宋体"/>
          <w:b/>
          <w:color w:val="auto"/>
          <w:szCs w:val="21"/>
          <w:highlight w:val="none"/>
        </w:rPr>
        <w:t>2.8 质量保证</w:t>
      </w:r>
      <w:bookmarkEnd w:id="194"/>
    </w:p>
    <w:p w14:paraId="78AEF16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乙方应建立和完善履行合同的内部质量保证体系，并提供相关内部规章制度给甲方，以便甲方进行监督检查；</w:t>
      </w:r>
    </w:p>
    <w:p w14:paraId="186062B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 乙方应保证履行合同的人员数量和素质、软件和硬件设备的配置、场地、环境和设施等满足全面履行合同的要求，并应接受甲方的监督检查。</w:t>
      </w:r>
    </w:p>
    <w:p w14:paraId="276B08FC">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Cs w:val="21"/>
          <w:highlight w:val="none"/>
        </w:rPr>
        <w:t>甲方有权放弃或终止合同，并没收履约保证金</w:t>
      </w:r>
      <w:r>
        <w:rPr>
          <w:rFonts w:hint="eastAsia" w:ascii="宋体" w:hAnsi="宋体" w:cs="宋体"/>
          <w:color w:val="auto"/>
          <w:szCs w:val="21"/>
          <w:highlight w:val="none"/>
        </w:rPr>
        <w:t>（如有）</w:t>
      </w:r>
      <w:r>
        <w:rPr>
          <w:rFonts w:hint="eastAsia" w:ascii="宋体" w:hAnsi="宋体" w:cs="宋体"/>
          <w:color w:val="auto"/>
          <w:kern w:val="0"/>
          <w:szCs w:val="21"/>
          <w:highlight w:val="none"/>
        </w:rPr>
        <w:t>。</w:t>
      </w:r>
    </w:p>
    <w:p w14:paraId="7AC660F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Cs w:val="21"/>
          <w:highlight w:val="none"/>
          <w:u w:val="single"/>
        </w:rPr>
        <w:t>30%</w:t>
      </w:r>
      <w:r>
        <w:rPr>
          <w:rFonts w:hint="eastAsia" w:ascii="宋体" w:hAnsi="宋体" w:cs="宋体"/>
          <w:color w:val="auto"/>
          <w:szCs w:val="21"/>
          <w:highlight w:val="none"/>
        </w:rPr>
        <w:t>。</w:t>
      </w:r>
    </w:p>
    <w:p w14:paraId="2947635D">
      <w:pPr>
        <w:spacing w:line="480" w:lineRule="exact"/>
        <w:ind w:firstLine="422" w:firstLineChars="200"/>
        <w:rPr>
          <w:rFonts w:hint="eastAsia" w:ascii="宋体" w:hAnsi="宋体" w:cs="宋体"/>
          <w:b/>
          <w:color w:val="auto"/>
          <w:szCs w:val="21"/>
          <w:highlight w:val="none"/>
        </w:rPr>
      </w:pPr>
      <w:bookmarkStart w:id="195" w:name="_Toc17244"/>
      <w:bookmarkStart w:id="196" w:name="_Toc487900362"/>
      <w:bookmarkStart w:id="197" w:name="_Toc279701252"/>
      <w:bookmarkStart w:id="198" w:name="_Toc259093681"/>
      <w:r>
        <w:rPr>
          <w:rFonts w:hint="eastAsia" w:ascii="宋体" w:hAnsi="宋体" w:cs="宋体"/>
          <w:b/>
          <w:color w:val="auto"/>
          <w:szCs w:val="21"/>
          <w:highlight w:val="none"/>
        </w:rPr>
        <w:t>2.9 标的物的风险负担</w:t>
      </w:r>
      <w:bookmarkEnd w:id="195"/>
    </w:p>
    <w:p w14:paraId="445BBFF7">
      <w:pPr>
        <w:spacing w:line="48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标的物或者在途标的物或者交付给第一承运人后的标的物毁损、灭失的风险负担详见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12515A19">
      <w:pPr>
        <w:spacing w:line="480" w:lineRule="exact"/>
        <w:ind w:firstLine="422" w:firstLineChars="200"/>
        <w:rPr>
          <w:rFonts w:hint="eastAsia" w:ascii="宋体" w:hAnsi="宋体" w:cs="宋体"/>
          <w:b/>
          <w:color w:val="auto"/>
          <w:szCs w:val="21"/>
          <w:highlight w:val="none"/>
        </w:rPr>
      </w:pPr>
      <w:bookmarkStart w:id="199" w:name="_Toc14055"/>
      <w:r>
        <w:rPr>
          <w:rFonts w:hint="eastAsia" w:ascii="宋体" w:hAnsi="宋体" w:cs="宋体"/>
          <w:b/>
          <w:color w:val="auto"/>
          <w:szCs w:val="21"/>
          <w:highlight w:val="none"/>
        </w:rPr>
        <w:t>2.10 延迟</w:t>
      </w:r>
      <w:bookmarkEnd w:id="196"/>
      <w:bookmarkEnd w:id="197"/>
      <w:bookmarkEnd w:id="198"/>
      <w:bookmarkEnd w:id="199"/>
      <w:r>
        <w:rPr>
          <w:rFonts w:hint="eastAsia" w:ascii="宋体" w:hAnsi="宋体" w:cs="宋体"/>
          <w:b/>
          <w:color w:val="auto"/>
          <w:szCs w:val="21"/>
          <w:highlight w:val="none"/>
        </w:rPr>
        <w:t>交付</w:t>
      </w:r>
    </w:p>
    <w:p w14:paraId="562CEEF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如果乙方遇到不能按时交付标的物的情况，应及时以书面形式将不能按时交付标的物的理由、逾期延误时间通知甲方；甲方收到乙方通知后，认为其理由正当的，可以书面形式酌情同意乙方可以延长交付的具体时间。</w:t>
      </w:r>
    </w:p>
    <w:p w14:paraId="310C7600">
      <w:pPr>
        <w:spacing w:line="480" w:lineRule="exact"/>
        <w:ind w:firstLine="422" w:firstLineChars="200"/>
        <w:rPr>
          <w:rFonts w:hint="eastAsia" w:ascii="宋体" w:hAnsi="宋体" w:cs="宋体"/>
          <w:b/>
          <w:color w:val="auto"/>
          <w:szCs w:val="21"/>
          <w:highlight w:val="none"/>
        </w:rPr>
      </w:pPr>
      <w:bookmarkStart w:id="200" w:name="_Toc7502"/>
      <w:bookmarkStart w:id="201" w:name="_Ref467378121"/>
      <w:bookmarkStart w:id="202" w:name="_Toc487900364"/>
      <w:bookmarkStart w:id="203" w:name="_Toc279701254"/>
      <w:bookmarkStart w:id="204" w:name="_Toc259093683"/>
      <w:r>
        <w:rPr>
          <w:rFonts w:hint="eastAsia" w:ascii="宋体" w:hAnsi="宋体" w:cs="宋体"/>
          <w:b/>
          <w:color w:val="auto"/>
          <w:szCs w:val="21"/>
          <w:highlight w:val="none"/>
        </w:rPr>
        <w:t>2.11 合同变更</w:t>
      </w:r>
      <w:bookmarkEnd w:id="200"/>
    </w:p>
    <w:p w14:paraId="009F362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45B0FE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205" w:name="_Toc259093688"/>
      <w:bookmarkStart w:id="206" w:name="_Toc279701259"/>
      <w:bookmarkStart w:id="207" w:name="_Toc487900369"/>
    </w:p>
    <w:p w14:paraId="5314B5F3">
      <w:pPr>
        <w:spacing w:line="480" w:lineRule="exact"/>
        <w:ind w:firstLine="422" w:firstLineChars="200"/>
        <w:rPr>
          <w:rFonts w:hint="eastAsia" w:ascii="宋体" w:hAnsi="宋体" w:cs="宋体"/>
          <w:b/>
          <w:color w:val="auto"/>
          <w:szCs w:val="21"/>
          <w:highlight w:val="none"/>
        </w:rPr>
      </w:pPr>
      <w:bookmarkStart w:id="208" w:name="_Toc22955"/>
      <w:bookmarkStart w:id="209" w:name="_Toc15237"/>
      <w:bookmarkStart w:id="210" w:name="_Toc10366"/>
      <w:r>
        <w:rPr>
          <w:rFonts w:hint="eastAsia" w:ascii="宋体" w:hAnsi="宋体" w:cs="宋体"/>
          <w:b/>
          <w:color w:val="auto"/>
          <w:szCs w:val="21"/>
          <w:highlight w:val="none"/>
        </w:rPr>
        <w:t>2.12 合同转让</w:t>
      </w:r>
      <w:bookmarkEnd w:id="205"/>
      <w:bookmarkEnd w:id="206"/>
      <w:bookmarkEnd w:id="207"/>
      <w:r>
        <w:rPr>
          <w:rFonts w:hint="eastAsia" w:ascii="宋体" w:hAnsi="宋体" w:cs="宋体"/>
          <w:b/>
          <w:color w:val="auto"/>
          <w:szCs w:val="21"/>
          <w:highlight w:val="none"/>
        </w:rPr>
        <w:t>和分包</w:t>
      </w:r>
      <w:bookmarkEnd w:id="208"/>
      <w:bookmarkEnd w:id="209"/>
      <w:bookmarkEnd w:id="210"/>
    </w:p>
    <w:p w14:paraId="2141089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A8C5734">
      <w:pPr>
        <w:spacing w:line="480" w:lineRule="exact"/>
        <w:ind w:firstLine="422" w:firstLineChars="200"/>
        <w:rPr>
          <w:rFonts w:hint="eastAsia" w:ascii="宋体" w:hAnsi="宋体" w:cs="宋体"/>
          <w:b/>
          <w:color w:val="auto"/>
          <w:szCs w:val="21"/>
          <w:highlight w:val="none"/>
        </w:rPr>
      </w:pPr>
      <w:bookmarkStart w:id="211" w:name="_Toc14066"/>
      <w:bookmarkStart w:id="212" w:name="_Toc16508"/>
      <w:bookmarkStart w:id="213" w:name="_Toc13566"/>
      <w:r>
        <w:rPr>
          <w:rFonts w:hint="eastAsia" w:ascii="宋体" w:hAnsi="宋体" w:cs="宋体"/>
          <w:b/>
          <w:color w:val="auto"/>
          <w:szCs w:val="21"/>
          <w:highlight w:val="none"/>
        </w:rPr>
        <w:t>2.13 不可抗力</w:t>
      </w:r>
      <w:bookmarkEnd w:id="211"/>
      <w:bookmarkEnd w:id="212"/>
      <w:bookmarkEnd w:id="213"/>
    </w:p>
    <w:p w14:paraId="16A6E7E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2.13.1如果任何一方遭遇法律规定的不可抗力，致使合同履行受阻时，履行合同的期限应予延长，延长的期限应相当于不可抗力所影响的时间；</w:t>
      </w:r>
    </w:p>
    <w:p w14:paraId="489348F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2.13.2受不可抗力影响的一方在不可抗力发生后，应在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约定时间内以书面形式通知对方当事人，并在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约定时间内，将有关部门出具的证明文件送达对方当事人。</w:t>
      </w:r>
    </w:p>
    <w:p w14:paraId="1B4C75A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2.13.3 因不可抗力致使不能实现合同目的的，当事人可以解除合同；</w:t>
      </w:r>
    </w:p>
    <w:p w14:paraId="16F5EE3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因不可抗力致使合同有变更必要的，双方当事人应在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约定时间内以书面形式变更合同；</w:t>
      </w:r>
    </w:p>
    <w:p w14:paraId="12778A14">
      <w:pPr>
        <w:spacing w:line="480" w:lineRule="exact"/>
        <w:ind w:firstLine="422" w:firstLineChars="200"/>
        <w:rPr>
          <w:rFonts w:hint="eastAsia" w:ascii="宋体" w:hAnsi="宋体" w:cs="宋体"/>
          <w:b/>
          <w:color w:val="auto"/>
          <w:szCs w:val="21"/>
          <w:highlight w:val="none"/>
        </w:rPr>
      </w:pPr>
      <w:bookmarkStart w:id="214" w:name="_Toc6969"/>
      <w:bookmarkStart w:id="215" w:name="_Toc279701255"/>
      <w:bookmarkStart w:id="216" w:name="_Toc30676"/>
      <w:bookmarkStart w:id="217" w:name="_Toc259093684"/>
      <w:bookmarkStart w:id="218" w:name="_Toc487900365"/>
      <w:bookmarkStart w:id="219" w:name="_Toc689"/>
      <w:r>
        <w:rPr>
          <w:rFonts w:hint="eastAsia" w:ascii="宋体" w:hAnsi="宋体" w:cs="宋体"/>
          <w:b/>
          <w:color w:val="auto"/>
          <w:szCs w:val="21"/>
          <w:highlight w:val="none"/>
        </w:rPr>
        <w:t>2.14 税费</w:t>
      </w:r>
      <w:bookmarkEnd w:id="214"/>
      <w:bookmarkEnd w:id="215"/>
      <w:bookmarkEnd w:id="216"/>
      <w:bookmarkEnd w:id="217"/>
      <w:bookmarkEnd w:id="218"/>
      <w:bookmarkEnd w:id="219"/>
    </w:p>
    <w:p w14:paraId="1FE58EE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与合同有关的一切税费，均按照中华人民共和国法律的相关规定执行。</w:t>
      </w:r>
    </w:p>
    <w:p w14:paraId="1450524C">
      <w:pPr>
        <w:spacing w:line="480" w:lineRule="exact"/>
        <w:ind w:firstLine="422" w:firstLineChars="200"/>
        <w:rPr>
          <w:rFonts w:hint="eastAsia" w:ascii="宋体" w:hAnsi="宋体" w:cs="宋体"/>
          <w:b/>
          <w:color w:val="auto"/>
          <w:szCs w:val="21"/>
          <w:highlight w:val="none"/>
        </w:rPr>
      </w:pPr>
      <w:bookmarkStart w:id="220" w:name="_Toc487900368"/>
      <w:bookmarkStart w:id="221" w:name="_Toc259093687"/>
      <w:bookmarkStart w:id="222" w:name="_Toc7102"/>
      <w:bookmarkStart w:id="223" w:name="_Toc16959"/>
      <w:bookmarkStart w:id="224" w:name="_Toc279701258"/>
      <w:bookmarkStart w:id="225" w:name="_Toc8298"/>
      <w:r>
        <w:rPr>
          <w:rFonts w:hint="eastAsia" w:ascii="宋体" w:hAnsi="宋体" w:cs="宋体"/>
          <w:b/>
          <w:color w:val="auto"/>
          <w:szCs w:val="21"/>
          <w:highlight w:val="none"/>
        </w:rPr>
        <w:t>2.15 乙方破产</w:t>
      </w:r>
      <w:bookmarkEnd w:id="220"/>
      <w:bookmarkEnd w:id="221"/>
      <w:bookmarkEnd w:id="222"/>
      <w:bookmarkEnd w:id="223"/>
      <w:bookmarkEnd w:id="224"/>
      <w:bookmarkEnd w:id="225"/>
    </w:p>
    <w:p w14:paraId="2495C9C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0D000D">
      <w:pPr>
        <w:spacing w:line="480" w:lineRule="exact"/>
        <w:ind w:firstLine="422" w:firstLineChars="200"/>
        <w:rPr>
          <w:rFonts w:hint="eastAsia" w:ascii="宋体" w:hAnsi="宋体" w:cs="宋体"/>
          <w:b/>
          <w:color w:val="auto"/>
          <w:szCs w:val="21"/>
          <w:highlight w:val="none"/>
        </w:rPr>
      </w:pPr>
      <w:bookmarkStart w:id="226" w:name="_Toc29333"/>
      <w:bookmarkStart w:id="227" w:name="_Toc15387"/>
      <w:bookmarkStart w:id="228" w:name="_Toc6134"/>
      <w:r>
        <w:rPr>
          <w:rFonts w:hint="eastAsia" w:ascii="宋体" w:hAnsi="宋体" w:cs="宋体"/>
          <w:b/>
          <w:color w:val="auto"/>
          <w:szCs w:val="21"/>
          <w:highlight w:val="none"/>
        </w:rPr>
        <w:t>2.16 合同中止、终止</w:t>
      </w:r>
      <w:bookmarkEnd w:id="226"/>
      <w:bookmarkEnd w:id="227"/>
      <w:bookmarkEnd w:id="228"/>
    </w:p>
    <w:p w14:paraId="5F97483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2.16.1 双方当事人不得擅自中止或者终止合同；</w:t>
      </w:r>
    </w:p>
    <w:p w14:paraId="145F69A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14:paraId="4BB5412E">
      <w:pPr>
        <w:spacing w:line="480" w:lineRule="exact"/>
        <w:ind w:firstLine="422" w:firstLineChars="200"/>
        <w:rPr>
          <w:rFonts w:hint="eastAsia" w:ascii="宋体" w:hAnsi="宋体" w:cs="宋体"/>
          <w:b/>
          <w:color w:val="auto"/>
          <w:szCs w:val="21"/>
          <w:highlight w:val="none"/>
        </w:rPr>
      </w:pPr>
      <w:bookmarkStart w:id="229" w:name="_Toc1125"/>
      <w:bookmarkStart w:id="230" w:name="_Toc6596"/>
      <w:bookmarkStart w:id="231" w:name="_Toc14563"/>
      <w:r>
        <w:rPr>
          <w:rFonts w:hint="eastAsia" w:ascii="宋体" w:hAnsi="宋体" w:cs="宋体"/>
          <w:b/>
          <w:color w:val="auto"/>
          <w:szCs w:val="21"/>
          <w:highlight w:val="none"/>
        </w:rPr>
        <w:t>2.17 检验和验收</w:t>
      </w:r>
      <w:bookmarkEnd w:id="229"/>
      <w:bookmarkEnd w:id="230"/>
      <w:bookmarkEnd w:id="231"/>
    </w:p>
    <w:p w14:paraId="104221F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约定时间内发起验收，并可依法邀请相关方参加，验收应出具验收书。</w:t>
      </w:r>
    </w:p>
    <w:p w14:paraId="784BCCFB">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0703AE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2.17.3 检验和验收标准、程序等具体内容以及前述验收书的效力详见</w:t>
      </w:r>
      <w:r>
        <w:rPr>
          <w:rFonts w:hint="eastAsia" w:ascii="宋体" w:hAnsi="宋体" w:cs="宋体"/>
          <w:b/>
          <w:i/>
          <w:color w:val="auto"/>
          <w:szCs w:val="21"/>
          <w:highlight w:val="none"/>
          <w:u w:val="single"/>
        </w:rPr>
        <w:t>合同专用条款</w:t>
      </w:r>
      <w:r>
        <w:rPr>
          <w:rFonts w:hint="eastAsia" w:ascii="宋体" w:hAnsi="宋体" w:cs="宋体"/>
          <w:i/>
          <w:color w:val="auto"/>
          <w:szCs w:val="21"/>
          <w:highlight w:val="none"/>
        </w:rPr>
        <w:t>。</w:t>
      </w:r>
    </w:p>
    <w:bookmarkEnd w:id="201"/>
    <w:bookmarkEnd w:id="202"/>
    <w:bookmarkEnd w:id="203"/>
    <w:bookmarkEnd w:id="204"/>
    <w:p w14:paraId="4D7EF8F5">
      <w:pPr>
        <w:spacing w:line="480" w:lineRule="exact"/>
        <w:ind w:firstLine="422" w:firstLineChars="200"/>
        <w:rPr>
          <w:rFonts w:hint="eastAsia" w:ascii="宋体" w:hAnsi="宋体" w:cs="宋体"/>
          <w:b/>
          <w:color w:val="auto"/>
          <w:szCs w:val="21"/>
          <w:highlight w:val="none"/>
        </w:rPr>
      </w:pPr>
      <w:bookmarkStart w:id="232" w:name="_Toc259093690"/>
      <w:bookmarkStart w:id="233" w:name="_Toc279701261"/>
      <w:bookmarkStart w:id="234" w:name="_Toc487900371"/>
      <w:bookmarkStart w:id="235" w:name="_Toc11284"/>
      <w:bookmarkStart w:id="236" w:name="_Toc19604"/>
      <w:bookmarkStart w:id="237" w:name="_Toc25182"/>
      <w:r>
        <w:rPr>
          <w:rFonts w:hint="eastAsia" w:ascii="宋体" w:hAnsi="宋体" w:cs="宋体"/>
          <w:b/>
          <w:color w:val="auto"/>
          <w:szCs w:val="21"/>
          <w:highlight w:val="none"/>
        </w:rPr>
        <w:t>2.18 通知</w:t>
      </w:r>
      <w:bookmarkEnd w:id="232"/>
      <w:bookmarkEnd w:id="233"/>
      <w:bookmarkEnd w:id="234"/>
      <w:r>
        <w:rPr>
          <w:rFonts w:hint="eastAsia" w:ascii="宋体" w:hAnsi="宋体" w:cs="宋体"/>
          <w:b/>
          <w:color w:val="auto"/>
          <w:szCs w:val="21"/>
          <w:highlight w:val="none"/>
        </w:rPr>
        <w:t>和送达</w:t>
      </w:r>
      <w:bookmarkEnd w:id="235"/>
      <w:bookmarkEnd w:id="236"/>
      <w:bookmarkEnd w:id="237"/>
    </w:p>
    <w:p w14:paraId="4B42C434">
      <w:pPr>
        <w:spacing w:line="480" w:lineRule="exact"/>
        <w:ind w:firstLine="420" w:firstLineChars="200"/>
        <w:rPr>
          <w:rFonts w:hint="eastAsia" w:ascii="宋体" w:hAnsi="宋体" w:cs="宋体"/>
          <w:color w:val="auto"/>
          <w:szCs w:val="21"/>
          <w:highlight w:val="none"/>
        </w:rPr>
      </w:pPr>
      <w:bookmarkStart w:id="238" w:name="_Toc6698"/>
      <w:bookmarkStart w:id="239" w:name="_Toc3135"/>
      <w:bookmarkStart w:id="240" w:name="_Toc487900372"/>
      <w:bookmarkStart w:id="241" w:name="_Toc279701262"/>
      <w:bookmarkStart w:id="242" w:name="_Toc259093691"/>
      <w:r>
        <w:rPr>
          <w:rFonts w:hint="eastAsia" w:ascii="宋体" w:hAnsi="宋体" w:cs="宋体"/>
          <w:color w:val="auto"/>
          <w:szCs w:val="21"/>
          <w:highlight w:val="none"/>
        </w:rPr>
        <w:t>2.18.1 任何一方因履行合同而以合同第一部分尾部所列明的</w:t>
      </w:r>
      <w:r>
        <w:rPr>
          <w:rFonts w:hint="eastAsia" w:ascii="宋体" w:hAnsi="宋体" w:cs="宋体"/>
          <w:color w:val="auto"/>
          <w:szCs w:val="21"/>
          <w:highlight w:val="none"/>
          <w:u w:val="single"/>
        </w:rPr>
        <w:t>“约定送达地址”</w:t>
      </w:r>
      <w:r>
        <w:rPr>
          <w:rFonts w:hint="eastAsia" w:ascii="宋体" w:hAnsi="宋体" w:cs="宋体"/>
          <w:color w:val="auto"/>
          <w:szCs w:val="21"/>
          <w:highlight w:val="none"/>
        </w:rPr>
        <w:t>为收件地址的所有通知、文件、材料，均视为已向对方当事人送达；任何一方变更上述送达方式或者地址的，应于</w:t>
      </w:r>
      <w:r>
        <w:rPr>
          <w:rFonts w:hint="eastAsia" w:ascii="宋体" w:hAnsi="宋体" w:cs="宋体"/>
          <w:color w:val="auto"/>
          <w:szCs w:val="21"/>
          <w:highlight w:val="none"/>
          <w:u w:val="single"/>
        </w:rPr>
        <w:t>1</w:t>
      </w:r>
      <w:r>
        <w:rPr>
          <w:rFonts w:hint="eastAsia" w:ascii="宋体" w:hAnsi="宋体" w:cs="宋体"/>
          <w:color w:val="auto"/>
          <w:szCs w:val="21"/>
          <w:highlight w:val="none"/>
        </w:rPr>
        <w:t>个工作日内书面通知对方当事人，在对方当事人收到有关变更通知之前，变更前的约定送达方式或者地址仍视为有效。</w:t>
      </w:r>
      <w:bookmarkEnd w:id="238"/>
      <w:bookmarkEnd w:id="239"/>
    </w:p>
    <w:p w14:paraId="254CD2B7">
      <w:pPr>
        <w:spacing w:line="480" w:lineRule="exact"/>
        <w:ind w:firstLine="420" w:firstLineChars="200"/>
        <w:rPr>
          <w:rFonts w:hint="eastAsia" w:ascii="宋体" w:hAnsi="宋体" w:cs="宋体"/>
          <w:color w:val="auto"/>
          <w:szCs w:val="21"/>
          <w:highlight w:val="none"/>
        </w:rPr>
      </w:pPr>
      <w:bookmarkStart w:id="243" w:name="_Toc23128"/>
      <w:bookmarkStart w:id="244" w:name="_Toc23294"/>
      <w:r>
        <w:rPr>
          <w:rFonts w:hint="eastAsia" w:ascii="宋体" w:hAnsi="宋体" w:cs="宋体"/>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3"/>
      <w:bookmarkEnd w:id="244"/>
    </w:p>
    <w:p w14:paraId="6860549E">
      <w:pPr>
        <w:spacing w:line="480" w:lineRule="exact"/>
        <w:ind w:firstLine="422" w:firstLineChars="200"/>
        <w:rPr>
          <w:rFonts w:hint="eastAsia" w:ascii="宋体" w:hAnsi="宋体" w:cs="宋体"/>
          <w:b/>
          <w:color w:val="auto"/>
          <w:szCs w:val="21"/>
          <w:highlight w:val="none"/>
        </w:rPr>
      </w:pPr>
      <w:bookmarkStart w:id="245" w:name="_Toc18540"/>
      <w:bookmarkStart w:id="246" w:name="_Toc30599"/>
      <w:bookmarkStart w:id="247" w:name="_Toc4355"/>
      <w:r>
        <w:rPr>
          <w:rFonts w:hint="eastAsia" w:ascii="宋体" w:hAnsi="宋体" w:cs="宋体"/>
          <w:b/>
          <w:color w:val="auto"/>
          <w:szCs w:val="21"/>
          <w:highlight w:val="none"/>
        </w:rPr>
        <w:t>2.19 计量单位</w:t>
      </w:r>
      <w:bookmarkEnd w:id="240"/>
      <w:bookmarkEnd w:id="241"/>
      <w:bookmarkEnd w:id="242"/>
      <w:bookmarkEnd w:id="245"/>
      <w:bookmarkEnd w:id="246"/>
      <w:bookmarkEnd w:id="247"/>
    </w:p>
    <w:p w14:paraId="4D41CD8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除技术规范中另有规定外,合同的计量单位均使用国家法定计量单位。</w:t>
      </w:r>
    </w:p>
    <w:p w14:paraId="45D95F36">
      <w:pPr>
        <w:spacing w:line="480" w:lineRule="exact"/>
        <w:ind w:firstLine="422" w:firstLineChars="200"/>
        <w:rPr>
          <w:rFonts w:hint="eastAsia" w:ascii="宋体" w:hAnsi="宋体" w:cs="宋体"/>
          <w:b/>
          <w:color w:val="auto"/>
          <w:szCs w:val="21"/>
          <w:highlight w:val="none"/>
        </w:rPr>
      </w:pPr>
      <w:bookmarkStart w:id="248" w:name="_Toc10330"/>
      <w:bookmarkStart w:id="249" w:name="_Toc12773"/>
      <w:bookmarkStart w:id="250" w:name="_Toc487900373"/>
      <w:bookmarkStart w:id="251" w:name="_Toc18567"/>
      <w:bookmarkStart w:id="252" w:name="_Toc279701263"/>
      <w:bookmarkStart w:id="253" w:name="_Toc259093692"/>
      <w:r>
        <w:rPr>
          <w:rFonts w:hint="eastAsia" w:ascii="宋体" w:hAnsi="宋体" w:cs="宋体"/>
          <w:b/>
          <w:color w:val="auto"/>
          <w:szCs w:val="21"/>
          <w:highlight w:val="none"/>
        </w:rPr>
        <w:t>2.20 合同使用的文字和适用的法律</w:t>
      </w:r>
      <w:bookmarkEnd w:id="248"/>
      <w:bookmarkEnd w:id="249"/>
      <w:bookmarkEnd w:id="250"/>
      <w:bookmarkEnd w:id="251"/>
      <w:bookmarkEnd w:id="252"/>
      <w:bookmarkEnd w:id="253"/>
    </w:p>
    <w:p w14:paraId="4E4E027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 合同使用汉语书写、变更和解释；</w:t>
      </w:r>
    </w:p>
    <w:p w14:paraId="483C771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2.20.2 合同适用中华人民共和国法律。</w:t>
      </w:r>
    </w:p>
    <w:p w14:paraId="4DF95731">
      <w:pPr>
        <w:spacing w:line="480" w:lineRule="exact"/>
        <w:ind w:firstLine="422" w:firstLineChars="200"/>
        <w:rPr>
          <w:rFonts w:hint="eastAsia" w:ascii="宋体" w:hAnsi="宋体" w:cs="宋体"/>
          <w:b/>
          <w:color w:val="auto"/>
          <w:szCs w:val="21"/>
          <w:highlight w:val="none"/>
        </w:rPr>
      </w:pPr>
      <w:bookmarkStart w:id="254" w:name="_Toc259093693"/>
      <w:bookmarkStart w:id="255" w:name="_Toc3148"/>
      <w:bookmarkStart w:id="256" w:name="_Toc279701264"/>
      <w:bookmarkStart w:id="257" w:name="_Toc12004"/>
      <w:bookmarkStart w:id="258" w:name="_Toc16673"/>
      <w:bookmarkStart w:id="259" w:name="_Toc487900374"/>
      <w:r>
        <w:rPr>
          <w:rFonts w:hint="eastAsia" w:ascii="宋体" w:hAnsi="宋体" w:cs="宋体"/>
          <w:b/>
          <w:color w:val="auto"/>
          <w:szCs w:val="21"/>
          <w:highlight w:val="none"/>
        </w:rPr>
        <w:t>2.21 履约保证金</w:t>
      </w:r>
      <w:bookmarkEnd w:id="254"/>
      <w:bookmarkEnd w:id="255"/>
      <w:bookmarkEnd w:id="256"/>
      <w:bookmarkEnd w:id="257"/>
      <w:bookmarkEnd w:id="258"/>
    </w:p>
    <w:p w14:paraId="14DCA384">
      <w:pPr>
        <w:spacing w:line="480" w:lineRule="exact"/>
        <w:ind w:firstLine="420" w:firstLineChars="200"/>
        <w:rPr>
          <w:rFonts w:hint="eastAsia" w:ascii="宋体" w:hAnsi="宋体" w:cs="宋体"/>
          <w:snapToGrid w:val="0"/>
          <w:color w:val="auto"/>
          <w:kern w:val="0"/>
          <w:szCs w:val="21"/>
          <w:highlight w:val="none"/>
        </w:rPr>
      </w:pPr>
      <w:r>
        <w:rPr>
          <w:rFonts w:hint="eastAsia" w:ascii="宋体" w:hAnsi="宋体" w:cs="宋体"/>
          <w:color w:val="auto"/>
          <w:szCs w:val="21"/>
          <w:highlight w:val="none"/>
        </w:rPr>
        <w:t>本项目不收取履约保证金</w:t>
      </w:r>
    </w:p>
    <w:p w14:paraId="77D89B53">
      <w:pPr>
        <w:spacing w:line="480" w:lineRule="exact"/>
        <w:ind w:firstLine="422" w:firstLineChars="200"/>
        <w:rPr>
          <w:rFonts w:hint="eastAsia" w:ascii="宋体" w:hAnsi="宋体" w:cs="宋体"/>
          <w:color w:val="auto"/>
          <w:kern w:val="0"/>
          <w:szCs w:val="21"/>
          <w:highlight w:val="none"/>
          <w:lang w:val="zh-CN"/>
        </w:rPr>
      </w:pPr>
      <w:r>
        <w:rPr>
          <w:rFonts w:hint="eastAsia" w:ascii="宋体" w:hAnsi="宋体" w:cs="宋体"/>
          <w:b/>
          <w:color w:val="auto"/>
          <w:szCs w:val="21"/>
          <w:highlight w:val="none"/>
        </w:rPr>
        <w:t>2.22 中小企业政策</w:t>
      </w:r>
    </w:p>
    <w:p w14:paraId="5310B631">
      <w:pPr>
        <w:spacing w:line="48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2.22.1本合同（</w:t>
      </w: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是  □否）为可融资合同，关于中小企业信用融资事项见采购文件“投标人须知正文”。</w:t>
      </w:r>
    </w:p>
    <w:p w14:paraId="7F90EAC3">
      <w:pPr>
        <w:spacing w:line="48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2.22.2本合同（□是  </w:t>
      </w: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否）为中小企业预留合同。</w:t>
      </w:r>
    </w:p>
    <w:bookmarkEnd w:id="259"/>
    <w:p w14:paraId="0CA4E1D4">
      <w:pPr>
        <w:spacing w:line="480" w:lineRule="exact"/>
        <w:ind w:firstLine="422" w:firstLineChars="200"/>
        <w:rPr>
          <w:rFonts w:hint="eastAsia" w:ascii="宋体" w:hAnsi="宋体" w:cs="宋体"/>
          <w:b/>
          <w:color w:val="auto"/>
          <w:szCs w:val="21"/>
          <w:highlight w:val="none"/>
        </w:rPr>
      </w:pPr>
      <w:bookmarkStart w:id="260" w:name="_Toc19890"/>
      <w:bookmarkStart w:id="261" w:name="_Toc6885"/>
      <w:bookmarkStart w:id="262" w:name="_Toc14001"/>
      <w:r>
        <w:rPr>
          <w:rFonts w:hint="eastAsia" w:ascii="宋体" w:hAnsi="宋体" w:cs="宋体"/>
          <w:b/>
          <w:color w:val="auto"/>
          <w:szCs w:val="21"/>
          <w:highlight w:val="none"/>
        </w:rPr>
        <w:t>2.23 合同份数</w:t>
      </w:r>
      <w:bookmarkEnd w:id="260"/>
      <w:bookmarkEnd w:id="261"/>
      <w:bookmarkEnd w:id="262"/>
    </w:p>
    <w:p w14:paraId="4CDF212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份。每份均具有同等法律效力。</w:t>
      </w:r>
    </w:p>
    <w:p w14:paraId="47517F04">
      <w:pPr>
        <w:spacing w:line="360" w:lineRule="auto"/>
        <w:jc w:val="center"/>
        <w:rPr>
          <w:rFonts w:hint="eastAsia" w:ascii="宋体" w:hAnsi="宋体" w:cs="宋体"/>
          <w:b/>
          <w:color w:val="auto"/>
          <w:sz w:val="28"/>
          <w:szCs w:val="28"/>
          <w:highlight w:val="none"/>
        </w:rPr>
      </w:pPr>
      <w:r>
        <w:rPr>
          <w:rFonts w:hint="eastAsia" w:ascii="宋体" w:hAnsi="宋体" w:cs="宋体"/>
          <w:color w:val="auto"/>
          <w:highlight w:val="none"/>
        </w:rPr>
        <w:br w:type="page"/>
      </w:r>
      <w:bookmarkStart w:id="263" w:name="_Toc331685784"/>
      <w:r>
        <w:rPr>
          <w:rFonts w:hint="eastAsia" w:ascii="宋体" w:hAnsi="宋体" w:cs="宋体"/>
          <w:b/>
          <w:color w:val="auto"/>
          <w:sz w:val="28"/>
          <w:szCs w:val="28"/>
          <w:highlight w:val="none"/>
        </w:rPr>
        <w:t>第三部分  合同专用条款</w:t>
      </w:r>
      <w:bookmarkEnd w:id="263"/>
    </w:p>
    <w:p w14:paraId="306208D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C66136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2.3.2具有知识产权的标的物知识产权归属：</w:t>
      </w:r>
      <w:r>
        <w:rPr>
          <w:rFonts w:hint="eastAsia" w:ascii="宋体" w:hAnsi="宋体" w:cs="宋体"/>
          <w:color w:val="auto"/>
          <w:szCs w:val="21"/>
          <w:highlight w:val="none"/>
          <w:u w:val="single"/>
        </w:rPr>
        <w:t xml:space="preserve">                                          。</w:t>
      </w:r>
    </w:p>
    <w:p w14:paraId="109FF1B4">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2.4.1包装和装运专用条款（如果有）：</w:t>
      </w:r>
      <w:r>
        <w:rPr>
          <w:rFonts w:hint="eastAsia" w:ascii="宋体" w:hAnsi="宋体" w:cs="宋体"/>
          <w:color w:val="auto"/>
          <w:szCs w:val="21"/>
          <w:highlight w:val="none"/>
          <w:u w:val="single"/>
        </w:rPr>
        <w:t xml:space="preserve">                                          。</w:t>
      </w:r>
    </w:p>
    <w:p w14:paraId="4FF72615">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2.4.2装运标的物的要求和通知：</w:t>
      </w:r>
      <w:r>
        <w:rPr>
          <w:rFonts w:hint="eastAsia" w:ascii="宋体" w:hAnsi="宋体" w:cs="宋体"/>
          <w:color w:val="auto"/>
          <w:szCs w:val="21"/>
          <w:highlight w:val="none"/>
          <w:u w:val="single"/>
        </w:rPr>
        <w:t xml:space="preserve">                                          。</w:t>
      </w:r>
    </w:p>
    <w:p w14:paraId="2BCC5F95">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2.6结算方式和付款条件</w:t>
      </w:r>
    </w:p>
    <w:p w14:paraId="6CC6BB11">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本次项目合同总价为大写</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元），含税</w:t>
      </w:r>
      <w:r>
        <w:rPr>
          <w:rFonts w:hint="eastAsia" w:ascii="宋体" w:hAnsi="宋体" w:cs="宋体"/>
          <w:color w:val="auto"/>
          <w:kern w:val="0"/>
          <w:szCs w:val="21"/>
          <w:highlight w:val="none"/>
          <w:lang w:val="zh-CN"/>
        </w:rPr>
        <w:t>。本项目采用以下勾选结算方式进行支付：</w:t>
      </w:r>
    </w:p>
    <w:p w14:paraId="18BE5CBE">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□采用一次性支付方式，付款条件为：</w:t>
      </w:r>
      <w:r>
        <w:rPr>
          <w:rFonts w:hint="eastAsia" w:ascii="宋体" w:hAnsi="宋体" w:cs="宋体"/>
          <w:color w:val="auto"/>
          <w:kern w:val="0"/>
          <w:szCs w:val="21"/>
          <w:highlight w:val="none"/>
          <w:u w:val="single"/>
        </w:rPr>
        <w:t xml:space="preserve">           </w:t>
      </w:r>
    </w:p>
    <w:p w14:paraId="1110C7BC">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□采用分期付款方式，付款条件为</w:t>
      </w:r>
      <w:r>
        <w:rPr>
          <w:rFonts w:hint="eastAsia" w:ascii="宋体" w:hAnsi="宋体" w:cs="宋体"/>
          <w:color w:val="auto"/>
          <w:kern w:val="0"/>
          <w:szCs w:val="21"/>
          <w:highlight w:val="none"/>
        </w:rPr>
        <w:t>：</w:t>
      </w:r>
    </w:p>
    <w:p w14:paraId="786B0CC5">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第一期付款</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p>
    <w:p w14:paraId="0F1994F8">
      <w:pPr>
        <w:spacing w:line="42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val="zh-CN"/>
        </w:rPr>
        <w:t>第</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val="zh-CN"/>
        </w:rPr>
        <w:t>期付款</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p>
    <w:p w14:paraId="07CB00DE">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03898405">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szCs w:val="21"/>
          <w:highlight w:val="none"/>
        </w:rPr>
        <w:t>甲方无故逾期支付服务费用的，按照每逾期一日支付欠付服务费额度的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承担违约责任，违约金上限按照《合同书》约定执行。</w:t>
      </w:r>
    </w:p>
    <w:p w14:paraId="3E63960D">
      <w:pPr>
        <w:spacing w:line="42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2.9</w:t>
      </w:r>
      <w:r>
        <w:rPr>
          <w:rFonts w:hint="eastAsia" w:ascii="宋体" w:hAnsi="宋体" w:cs="宋体"/>
          <w:b/>
          <w:color w:val="auto"/>
          <w:szCs w:val="21"/>
          <w:highlight w:val="none"/>
        </w:rPr>
        <w:t>标的物的风险负担</w:t>
      </w:r>
    </w:p>
    <w:p w14:paraId="7A53A513">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标的物或者在途标的物或者交付给第一承运人后的标的物毁损、灭失的风险负担：</w:t>
      </w:r>
      <w:r>
        <w:rPr>
          <w:rFonts w:hint="eastAsia" w:ascii="宋体" w:hAnsi="宋体" w:cs="宋体"/>
          <w:color w:val="auto"/>
          <w:szCs w:val="21"/>
          <w:highlight w:val="none"/>
          <w:u w:val="single"/>
        </w:rPr>
        <w:t>乙方</w:t>
      </w:r>
    </w:p>
    <w:p w14:paraId="4ECE78A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2.13.2受不可抗力影响的一方在不可抗力发生后，应在</w:t>
      </w:r>
      <w:r>
        <w:rPr>
          <w:rFonts w:hint="eastAsia" w:ascii="宋体" w:hAnsi="宋体" w:cs="宋体"/>
          <w:color w:val="auto"/>
          <w:szCs w:val="21"/>
          <w:highlight w:val="none"/>
          <w:u w:val="single"/>
        </w:rPr>
        <w:t>3</w:t>
      </w:r>
      <w:r>
        <w:rPr>
          <w:rFonts w:hint="eastAsia" w:ascii="宋体" w:hAnsi="宋体" w:cs="宋体"/>
          <w:color w:val="auto"/>
          <w:szCs w:val="21"/>
          <w:highlight w:val="none"/>
        </w:rPr>
        <w:t>日内以书面形式通知对方当事人，并在</w:t>
      </w:r>
      <w:r>
        <w:rPr>
          <w:rFonts w:hint="eastAsia" w:ascii="宋体" w:hAnsi="宋体" w:cs="宋体"/>
          <w:color w:val="auto"/>
          <w:szCs w:val="21"/>
          <w:highlight w:val="none"/>
          <w:u w:val="single"/>
        </w:rPr>
        <w:t>2</w:t>
      </w:r>
      <w:r>
        <w:rPr>
          <w:rFonts w:hint="eastAsia" w:ascii="宋体" w:hAnsi="宋体" w:cs="宋体"/>
          <w:color w:val="auto"/>
          <w:szCs w:val="21"/>
          <w:highlight w:val="none"/>
        </w:rPr>
        <w:t>日内，将有关部门出具的证明文件送达对方当事人。</w:t>
      </w:r>
    </w:p>
    <w:p w14:paraId="2BCBC90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2.13.4因不可抗力致使合同有变更必要的，双方当事人应在</w:t>
      </w:r>
      <w:r>
        <w:rPr>
          <w:rFonts w:hint="eastAsia" w:ascii="宋体" w:hAnsi="宋体" w:cs="宋体"/>
          <w:color w:val="auto"/>
          <w:szCs w:val="21"/>
          <w:highlight w:val="none"/>
          <w:u w:val="single"/>
        </w:rPr>
        <w:t>7</w:t>
      </w:r>
      <w:r>
        <w:rPr>
          <w:rFonts w:hint="eastAsia" w:ascii="宋体" w:hAnsi="宋体" w:cs="宋体"/>
          <w:color w:val="auto"/>
          <w:szCs w:val="21"/>
          <w:highlight w:val="none"/>
        </w:rPr>
        <w:t>日内以书面形式变更合同；</w:t>
      </w:r>
    </w:p>
    <w:p w14:paraId="58DAB4D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Cs w:val="21"/>
          <w:highlight w:val="none"/>
          <w:u w:val="single"/>
        </w:rPr>
        <w:t>7</w:t>
      </w:r>
      <w:r>
        <w:rPr>
          <w:rFonts w:hint="eastAsia" w:ascii="宋体" w:hAnsi="宋体" w:cs="宋体"/>
          <w:color w:val="auto"/>
          <w:szCs w:val="21"/>
          <w:highlight w:val="none"/>
        </w:rPr>
        <w:t>日内发起验收，并可依法邀请相关方参加，验收应出具验收书。</w:t>
      </w:r>
    </w:p>
    <w:p w14:paraId="6A090647">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2.17.3 检验和验收标准、程序等具体内容以及前述验收书的效力：</w:t>
      </w:r>
      <w:r>
        <w:rPr>
          <w:rFonts w:hint="eastAsia" w:ascii="宋体" w:hAnsi="宋体" w:cs="宋体"/>
          <w:color w:val="auto"/>
          <w:szCs w:val="21"/>
          <w:highlight w:val="none"/>
          <w:u w:val="single"/>
        </w:rPr>
        <w:t>本项目按照招标文件及国家、行业规定的技术标准及规范开展验收工作，验收结果以验收书为准。</w:t>
      </w:r>
    </w:p>
    <w:p w14:paraId="37A5C8B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其他：无。</w:t>
      </w:r>
    </w:p>
    <w:p w14:paraId="56623F44">
      <w:pPr>
        <w:spacing w:line="42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项目验收：</w:t>
      </w:r>
    </w:p>
    <w:p w14:paraId="113BE26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0ABC6B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A882B25">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13C169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4、验收产生的费用首次验收费用由甲方承担，如首次验收不合格，后续验收费用由乙方支付。</w:t>
      </w:r>
    </w:p>
    <w:p w14:paraId="56D29C4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5、验收内容及资料要求：</w:t>
      </w:r>
    </w:p>
    <w:p w14:paraId="74B55CC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根据采购文件确定的技术指标或者服务要求确定验收指标和标准。未进行相应约定的，应当符合国家强制性规定、政策要求、安全标准、行业或企业有关标准等。</w:t>
      </w:r>
    </w:p>
    <w:p w14:paraId="62BF2088">
      <w:pPr>
        <w:tabs>
          <w:tab w:val="left" w:pos="904"/>
        </w:tabs>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5.1验收内容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351"/>
        <w:gridCol w:w="5235"/>
      </w:tblGrid>
      <w:tr w14:paraId="723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noWrap w:val="0"/>
            <w:vAlign w:val="center"/>
          </w:tcPr>
          <w:p w14:paraId="74BCB446">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51" w:type="dxa"/>
            <w:noWrap w:val="0"/>
            <w:vAlign w:val="center"/>
          </w:tcPr>
          <w:p w14:paraId="500DA25C">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验收内容</w:t>
            </w:r>
          </w:p>
        </w:tc>
        <w:tc>
          <w:tcPr>
            <w:tcW w:w="5235" w:type="dxa"/>
            <w:noWrap w:val="0"/>
            <w:vAlign w:val="center"/>
          </w:tcPr>
          <w:p w14:paraId="0B8C5BAB">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r>
      <w:tr w14:paraId="6C8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35" w:type="dxa"/>
            <w:noWrap w:val="0"/>
            <w:vAlign w:val="center"/>
          </w:tcPr>
          <w:p w14:paraId="1B573BE1">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51" w:type="dxa"/>
            <w:noWrap w:val="0"/>
            <w:vAlign w:val="center"/>
          </w:tcPr>
          <w:p w14:paraId="1C25BFE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交付标的物数量</w:t>
            </w:r>
          </w:p>
        </w:tc>
        <w:tc>
          <w:tcPr>
            <w:tcW w:w="5235" w:type="dxa"/>
            <w:noWrap w:val="0"/>
            <w:vAlign w:val="center"/>
          </w:tcPr>
          <w:p w14:paraId="6828C61A">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4EA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35" w:type="dxa"/>
            <w:noWrap w:val="0"/>
            <w:vAlign w:val="center"/>
          </w:tcPr>
          <w:p w14:paraId="3ED085D2">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51" w:type="dxa"/>
            <w:noWrap w:val="0"/>
            <w:vAlign w:val="center"/>
          </w:tcPr>
          <w:p w14:paraId="4C462C1C">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交付标的物质量文件</w:t>
            </w:r>
          </w:p>
        </w:tc>
        <w:tc>
          <w:tcPr>
            <w:tcW w:w="5235" w:type="dxa"/>
            <w:noWrap w:val="0"/>
            <w:vAlign w:val="center"/>
          </w:tcPr>
          <w:p w14:paraId="50FE3223">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329D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5" w:type="dxa"/>
            <w:noWrap w:val="0"/>
            <w:vAlign w:val="center"/>
          </w:tcPr>
          <w:p w14:paraId="0E8D4CE4">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51" w:type="dxa"/>
            <w:noWrap w:val="0"/>
            <w:vAlign w:val="center"/>
          </w:tcPr>
          <w:p w14:paraId="368EB25D">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交付标的物技术、性能指标 </w:t>
            </w:r>
          </w:p>
        </w:tc>
        <w:tc>
          <w:tcPr>
            <w:tcW w:w="5235" w:type="dxa"/>
            <w:noWrap w:val="0"/>
            <w:vAlign w:val="center"/>
          </w:tcPr>
          <w:p w14:paraId="53FC131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6838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35" w:type="dxa"/>
            <w:noWrap w:val="0"/>
            <w:vAlign w:val="center"/>
          </w:tcPr>
          <w:p w14:paraId="764D4EEF">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51" w:type="dxa"/>
            <w:noWrap w:val="0"/>
            <w:vAlign w:val="center"/>
          </w:tcPr>
          <w:p w14:paraId="6899B0C5">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售后服务承诺</w:t>
            </w:r>
          </w:p>
        </w:tc>
        <w:tc>
          <w:tcPr>
            <w:tcW w:w="5235" w:type="dxa"/>
            <w:noWrap w:val="0"/>
            <w:vAlign w:val="center"/>
          </w:tcPr>
          <w:p w14:paraId="7128DA24">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6B0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35" w:type="dxa"/>
            <w:noWrap w:val="0"/>
            <w:vAlign w:val="center"/>
          </w:tcPr>
          <w:p w14:paraId="6C4C7BAD">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351" w:type="dxa"/>
            <w:noWrap w:val="0"/>
            <w:vAlign w:val="center"/>
          </w:tcPr>
          <w:p w14:paraId="6CCCC0F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其他工作</w:t>
            </w:r>
          </w:p>
        </w:tc>
        <w:tc>
          <w:tcPr>
            <w:tcW w:w="5235" w:type="dxa"/>
            <w:noWrap w:val="0"/>
            <w:vAlign w:val="center"/>
          </w:tcPr>
          <w:p w14:paraId="2B26CCE8">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bl>
    <w:p w14:paraId="176F2CF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5.2验收资料要求</w:t>
      </w:r>
    </w:p>
    <w:p w14:paraId="4605351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验收资料要求包括（不限于）以下内容：</w:t>
      </w:r>
    </w:p>
    <w:p w14:paraId="05D7D39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（1）采购文件；</w:t>
      </w:r>
    </w:p>
    <w:p w14:paraId="773CBCC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（2）投标文件；</w:t>
      </w:r>
    </w:p>
    <w:p w14:paraId="278939B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（3）采购合同；</w:t>
      </w:r>
    </w:p>
    <w:p w14:paraId="397F97D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（4）验收书；</w:t>
      </w:r>
    </w:p>
    <w:p w14:paraId="54E3BD4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（5）其他需提供的相关材料。</w:t>
      </w:r>
    </w:p>
    <w:p w14:paraId="7F96B6C8">
      <w:pPr>
        <w:widowControl/>
        <w:spacing w:line="420" w:lineRule="exact"/>
        <w:ind w:firstLine="630" w:firstLineChars="300"/>
        <w:jc w:val="left"/>
        <w:rPr>
          <w:rFonts w:hint="eastAsia" w:ascii="宋体" w:hAnsi="宋体" w:cs="宋体"/>
          <w:bCs/>
          <w:color w:val="auto"/>
          <w:szCs w:val="21"/>
          <w:highlight w:val="none"/>
        </w:rPr>
      </w:pPr>
    </w:p>
    <w:p w14:paraId="1B0C4A30">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争议条款</w:t>
      </w:r>
    </w:p>
    <w:p w14:paraId="7C18ACC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1、本合同在履行过程中发生的任何争议，双方当事人均应通过友好协商的方式和解或者调解解决；不愿和解、调解或者和解、调解不成的，可以选择下列第（2）种方式解决：</w:t>
      </w:r>
    </w:p>
    <w:p w14:paraId="14AD553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（1）将争议提交南宁市仲裁委员会依申请仲裁时其现行有效的仲裁规则裁决；</w:t>
      </w:r>
    </w:p>
    <w:p w14:paraId="0B18DB7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（2）向甲方所在地有管辖权的人民法院起诉。</w:t>
      </w:r>
    </w:p>
    <w:p w14:paraId="384813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合同生效后，各方均应全面履行本合同约定的义务。任何一方不履行或不完全履行本合同约定义务的，应当承担相应的违约责任，并赔偿由此给守约方造成的损失，包括但不限于守约方为实现债权而支付的律师费、保全费、诉讼收费、公证费、鉴定费等。</w:t>
      </w:r>
    </w:p>
    <w:p w14:paraId="55657362">
      <w:pPr>
        <w:spacing w:line="420" w:lineRule="exact"/>
        <w:ind w:firstLine="420" w:firstLineChars="200"/>
        <w:rPr>
          <w:rFonts w:hint="eastAsia" w:ascii="仿宋" w:hAnsi="仿宋" w:eastAsia="仿宋" w:cs="仿宋_GB2312"/>
          <w:b/>
          <w:color w:val="auto"/>
          <w:sz w:val="36"/>
          <w:szCs w:val="20"/>
          <w:highlight w:val="none"/>
        </w:rPr>
      </w:pPr>
      <w:r>
        <w:rPr>
          <w:rFonts w:hint="eastAsia" w:ascii="宋体" w:hAnsi="宋体" w:cs="宋体"/>
          <w:color w:val="auto"/>
          <w:szCs w:val="21"/>
          <w:highlight w:val="none"/>
        </w:rPr>
        <w:t>3、本合同及采购文件、投标文件、补充协议、附件等与本合同具有同等法律效力。各项文件之间约定不一致的，以签署时间在后者的为准。</w:t>
      </w:r>
    </w:p>
    <w:p w14:paraId="04D0EB75">
      <w:pPr>
        <w:tabs>
          <w:tab w:val="left" w:pos="7380"/>
        </w:tabs>
        <w:spacing w:line="360" w:lineRule="auto"/>
        <w:jc w:val="center"/>
        <w:rPr>
          <w:rFonts w:hAnsi="宋体"/>
          <w:color w:val="auto"/>
          <w:highlight w:val="none"/>
        </w:rPr>
        <w:sectPr>
          <w:pgSz w:w="11911" w:h="16838"/>
          <w:pgMar w:top="1134" w:right="1134" w:bottom="1134" w:left="1134" w:header="720" w:footer="720" w:gutter="0"/>
          <w:cols w:space="720" w:num="1"/>
          <w:titlePg/>
          <w:docGrid w:linePitch="331" w:charSpace="0"/>
        </w:sectPr>
      </w:pPr>
    </w:p>
    <w:p w14:paraId="4F4DF4A4">
      <w:pPr>
        <w:spacing w:line="360" w:lineRule="auto"/>
        <w:ind w:left="178" w:leftChars="85"/>
        <w:rPr>
          <w:rFonts w:hint="eastAsia" w:ascii="宋体" w:hAnsi="宋体"/>
          <w:color w:val="auto"/>
          <w:szCs w:val="20"/>
          <w:highlight w:val="none"/>
        </w:rPr>
      </w:pPr>
    </w:p>
    <w:p w14:paraId="50FD3DBF">
      <w:pPr>
        <w:tabs>
          <w:tab w:val="left" w:pos="2472"/>
        </w:tabs>
        <w:spacing w:line="460" w:lineRule="exact"/>
        <w:jc w:val="center"/>
        <w:rPr>
          <w:rFonts w:hint="eastAsia"/>
          <w:b/>
          <w:color w:val="auto"/>
          <w:sz w:val="36"/>
          <w:szCs w:val="20"/>
          <w:highlight w:val="none"/>
        </w:rPr>
      </w:pPr>
    </w:p>
    <w:p w14:paraId="36BE044A">
      <w:pPr>
        <w:tabs>
          <w:tab w:val="left" w:pos="2472"/>
        </w:tabs>
        <w:spacing w:line="460" w:lineRule="exact"/>
        <w:jc w:val="center"/>
        <w:rPr>
          <w:rFonts w:hint="eastAsia"/>
          <w:b/>
          <w:color w:val="auto"/>
          <w:sz w:val="36"/>
          <w:szCs w:val="20"/>
          <w:highlight w:val="none"/>
        </w:rPr>
      </w:pPr>
    </w:p>
    <w:p w14:paraId="48329050">
      <w:pPr>
        <w:tabs>
          <w:tab w:val="left" w:pos="2472"/>
        </w:tabs>
        <w:spacing w:line="460" w:lineRule="exact"/>
        <w:jc w:val="center"/>
        <w:rPr>
          <w:rFonts w:hint="eastAsia"/>
          <w:b/>
          <w:color w:val="auto"/>
          <w:sz w:val="36"/>
          <w:szCs w:val="20"/>
          <w:highlight w:val="none"/>
        </w:rPr>
      </w:pPr>
    </w:p>
    <w:p w14:paraId="2D2C5D46">
      <w:pPr>
        <w:tabs>
          <w:tab w:val="left" w:pos="2472"/>
        </w:tabs>
        <w:spacing w:line="460" w:lineRule="exact"/>
        <w:jc w:val="center"/>
        <w:rPr>
          <w:rFonts w:hint="eastAsia"/>
          <w:b/>
          <w:color w:val="auto"/>
          <w:sz w:val="36"/>
          <w:szCs w:val="20"/>
          <w:highlight w:val="none"/>
        </w:rPr>
      </w:pPr>
    </w:p>
    <w:p w14:paraId="165E2AD4">
      <w:pPr>
        <w:tabs>
          <w:tab w:val="left" w:pos="2472"/>
        </w:tabs>
        <w:spacing w:line="460" w:lineRule="exact"/>
        <w:jc w:val="center"/>
        <w:rPr>
          <w:rFonts w:hint="eastAsia"/>
          <w:b/>
          <w:color w:val="auto"/>
          <w:sz w:val="36"/>
          <w:szCs w:val="20"/>
          <w:highlight w:val="none"/>
        </w:rPr>
      </w:pPr>
    </w:p>
    <w:p w14:paraId="096E5EB5">
      <w:pPr>
        <w:tabs>
          <w:tab w:val="left" w:pos="2472"/>
        </w:tabs>
        <w:spacing w:line="460" w:lineRule="exact"/>
        <w:jc w:val="center"/>
        <w:rPr>
          <w:rFonts w:hint="eastAsia"/>
          <w:b/>
          <w:color w:val="auto"/>
          <w:sz w:val="36"/>
          <w:szCs w:val="20"/>
          <w:highlight w:val="none"/>
        </w:rPr>
      </w:pPr>
    </w:p>
    <w:p w14:paraId="7808D0DD">
      <w:pPr>
        <w:tabs>
          <w:tab w:val="left" w:pos="2472"/>
        </w:tabs>
        <w:spacing w:line="460" w:lineRule="exact"/>
        <w:jc w:val="center"/>
        <w:rPr>
          <w:rFonts w:hint="eastAsia"/>
          <w:b/>
          <w:color w:val="auto"/>
          <w:sz w:val="36"/>
          <w:szCs w:val="20"/>
          <w:highlight w:val="none"/>
        </w:rPr>
      </w:pPr>
    </w:p>
    <w:p w14:paraId="0E7345EC">
      <w:pPr>
        <w:tabs>
          <w:tab w:val="left" w:pos="2472"/>
        </w:tabs>
        <w:spacing w:line="460" w:lineRule="exact"/>
        <w:jc w:val="center"/>
        <w:rPr>
          <w:rFonts w:hint="eastAsia"/>
          <w:b/>
          <w:color w:val="auto"/>
          <w:sz w:val="36"/>
          <w:szCs w:val="20"/>
          <w:highlight w:val="none"/>
        </w:rPr>
      </w:pPr>
    </w:p>
    <w:p w14:paraId="488CE688">
      <w:pPr>
        <w:tabs>
          <w:tab w:val="left" w:pos="2472"/>
        </w:tabs>
        <w:spacing w:line="460" w:lineRule="exact"/>
        <w:jc w:val="center"/>
        <w:rPr>
          <w:rFonts w:hint="eastAsia"/>
          <w:b/>
          <w:color w:val="auto"/>
          <w:sz w:val="36"/>
          <w:szCs w:val="20"/>
          <w:highlight w:val="none"/>
        </w:rPr>
      </w:pPr>
    </w:p>
    <w:p w14:paraId="566742E1">
      <w:pPr>
        <w:tabs>
          <w:tab w:val="left" w:pos="2472"/>
        </w:tabs>
        <w:spacing w:line="460" w:lineRule="exact"/>
        <w:jc w:val="center"/>
        <w:outlineLvl w:val="0"/>
        <w:rPr>
          <w:b/>
          <w:color w:val="auto"/>
          <w:sz w:val="36"/>
          <w:szCs w:val="20"/>
          <w:highlight w:val="none"/>
        </w:rPr>
      </w:pPr>
      <w:bookmarkStart w:id="264" w:name="_Toc27178"/>
      <w:r>
        <w:rPr>
          <w:rFonts w:hint="eastAsia"/>
          <w:b/>
          <w:color w:val="auto"/>
          <w:sz w:val="36"/>
          <w:szCs w:val="20"/>
          <w:highlight w:val="none"/>
        </w:rPr>
        <w:t>第六章 投标文件格式</w:t>
      </w:r>
      <w:bookmarkEnd w:id="264"/>
    </w:p>
    <w:p w14:paraId="298C6E39">
      <w:pPr>
        <w:spacing w:line="360" w:lineRule="auto"/>
        <w:rPr>
          <w:rFonts w:hAnsi="宋体"/>
          <w:color w:val="auto"/>
          <w:highlight w:val="none"/>
        </w:rPr>
        <w:sectPr>
          <w:pgSz w:w="11911" w:h="16838"/>
          <w:pgMar w:top="1134" w:right="1134" w:bottom="1134" w:left="1134" w:header="720" w:footer="720" w:gutter="0"/>
          <w:cols w:space="720" w:num="1"/>
          <w:titlePg/>
          <w:docGrid w:linePitch="331" w:charSpace="0"/>
        </w:sectPr>
      </w:pPr>
    </w:p>
    <w:p w14:paraId="56F5B20C">
      <w:pPr>
        <w:ind w:firstLine="551" w:firstLineChars="196"/>
        <w:jc w:val="center"/>
        <w:outlineLvl w:val="1"/>
        <w:rPr>
          <w:rFonts w:hint="eastAsia" w:ascii="宋体" w:hAnsi="宋体"/>
          <w:b/>
          <w:bCs/>
          <w:color w:val="auto"/>
          <w:sz w:val="28"/>
          <w:szCs w:val="28"/>
          <w:highlight w:val="none"/>
        </w:rPr>
      </w:pPr>
      <w:bookmarkStart w:id="265" w:name="_Toc28834"/>
      <w:r>
        <w:rPr>
          <w:rFonts w:hint="eastAsia" w:ascii="宋体" w:hAnsi="宋体"/>
          <w:b/>
          <w:bCs/>
          <w:color w:val="auto"/>
          <w:sz w:val="28"/>
          <w:szCs w:val="28"/>
          <w:highlight w:val="none"/>
        </w:rPr>
        <w:t>第一节 投标文件封面格式</w:t>
      </w:r>
      <w:bookmarkEnd w:id="265"/>
    </w:p>
    <w:p w14:paraId="4CB26FBD">
      <w:pPr>
        <w:spacing w:before="120" w:beforeLines="50" w:after="120" w:afterLines="50"/>
        <w:jc w:val="center"/>
        <w:rPr>
          <w:rFonts w:hint="eastAsia" w:ascii="宋体" w:hAnsi="宋体" w:cs="宋体"/>
          <w:color w:val="auto"/>
          <w:spacing w:val="20"/>
          <w:sz w:val="44"/>
          <w:szCs w:val="44"/>
          <w:highlight w:val="none"/>
        </w:rPr>
      </w:pPr>
    </w:p>
    <w:p w14:paraId="1FF96E33">
      <w:pPr>
        <w:spacing w:before="120" w:beforeLines="50" w:after="120" w:afterLines="50"/>
        <w:jc w:val="center"/>
        <w:rPr>
          <w:rFonts w:hint="eastAsia" w:ascii="宋体" w:hAnsi="宋体" w:cs="宋体"/>
          <w:color w:val="auto"/>
          <w:spacing w:val="20"/>
          <w:sz w:val="44"/>
          <w:szCs w:val="44"/>
          <w:highlight w:val="none"/>
        </w:rPr>
      </w:pPr>
    </w:p>
    <w:p w14:paraId="35C3FE72">
      <w:pPr>
        <w:spacing w:before="120" w:beforeLines="50" w:after="120" w:afterLines="50"/>
        <w:jc w:val="center"/>
        <w:rPr>
          <w:rFonts w:hint="eastAsia" w:ascii="宋体" w:hAnsi="宋体" w:cs="宋体"/>
          <w:color w:val="auto"/>
          <w:spacing w:val="20"/>
          <w:sz w:val="44"/>
          <w:szCs w:val="44"/>
          <w:highlight w:val="none"/>
        </w:rPr>
      </w:pPr>
    </w:p>
    <w:p w14:paraId="4BC675D8">
      <w:pPr>
        <w:spacing w:before="120" w:beforeLines="50" w:after="120" w:afterLines="50"/>
        <w:jc w:val="center"/>
        <w:rPr>
          <w:rFonts w:hint="eastAsia" w:ascii="宋体" w:hAnsi="宋体" w:cs="宋体"/>
          <w:color w:val="auto"/>
          <w:spacing w:val="20"/>
          <w:sz w:val="44"/>
          <w:szCs w:val="44"/>
          <w:highlight w:val="none"/>
        </w:rPr>
      </w:pPr>
    </w:p>
    <w:p w14:paraId="2C1DC47B">
      <w:pPr>
        <w:spacing w:before="120" w:beforeLines="50" w:after="120" w:afterLines="50"/>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rPr>
        <w:t>南宁市武鸣区现代农业产业园沃柑智能水肥一体化建设试点项目</w:t>
      </w:r>
    </w:p>
    <w:p w14:paraId="7E67D302">
      <w:pPr>
        <w:spacing w:before="120" w:beforeLines="50" w:after="120" w:afterLines="5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（项目名称）</w:t>
      </w:r>
    </w:p>
    <w:p w14:paraId="3020616E">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B5CAC49">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13"/>
        <w:tblW w:w="0" w:type="auto"/>
        <w:jc w:val="center"/>
        <w:tblLayout w:type="fixed"/>
        <w:tblCellMar>
          <w:top w:w="0" w:type="dxa"/>
          <w:left w:w="108" w:type="dxa"/>
          <w:bottom w:w="0" w:type="dxa"/>
          <w:right w:w="108" w:type="dxa"/>
        </w:tblCellMar>
      </w:tblPr>
      <w:tblGrid>
        <w:gridCol w:w="1601"/>
        <w:gridCol w:w="6172"/>
      </w:tblGrid>
      <w:tr w14:paraId="01B5EC7F">
        <w:tblPrEx>
          <w:tblCellMar>
            <w:top w:w="0" w:type="dxa"/>
            <w:left w:w="108" w:type="dxa"/>
            <w:bottom w:w="0" w:type="dxa"/>
            <w:right w:w="108" w:type="dxa"/>
          </w:tblCellMar>
        </w:tblPrEx>
        <w:trPr>
          <w:jc w:val="center"/>
        </w:trPr>
        <w:tc>
          <w:tcPr>
            <w:tcW w:w="1601" w:type="dxa"/>
            <w:noWrap w:val="0"/>
            <w:vAlign w:val="bottom"/>
          </w:tcPr>
          <w:p w14:paraId="2F75D310">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0"/>
            <w:vAlign w:val="bottom"/>
          </w:tcPr>
          <w:p w14:paraId="41BDB70A">
            <w:pPr>
              <w:jc w:val="left"/>
              <w:rPr>
                <w:rFonts w:ascii="宋体" w:hAnsi="宋体" w:cs="宋体"/>
                <w:color w:val="auto"/>
                <w:sz w:val="24"/>
                <w:highlight w:val="none"/>
              </w:rPr>
            </w:pPr>
          </w:p>
        </w:tc>
      </w:tr>
      <w:tr w14:paraId="43C6681F">
        <w:tblPrEx>
          <w:tblCellMar>
            <w:top w:w="0" w:type="dxa"/>
            <w:left w:w="108" w:type="dxa"/>
            <w:bottom w:w="0" w:type="dxa"/>
            <w:right w:w="108" w:type="dxa"/>
          </w:tblCellMar>
        </w:tblPrEx>
        <w:trPr>
          <w:jc w:val="center"/>
        </w:trPr>
        <w:tc>
          <w:tcPr>
            <w:tcW w:w="1601" w:type="dxa"/>
            <w:noWrap w:val="0"/>
            <w:vAlign w:val="bottom"/>
          </w:tcPr>
          <w:p w14:paraId="699C1892">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3B5E05A8">
            <w:pPr>
              <w:jc w:val="left"/>
              <w:rPr>
                <w:rFonts w:ascii="宋体" w:hAnsi="宋体" w:cs="宋体"/>
                <w:color w:val="auto"/>
                <w:sz w:val="24"/>
                <w:highlight w:val="none"/>
              </w:rPr>
            </w:pPr>
            <w:r>
              <w:rPr>
                <w:rFonts w:hint="eastAsia" w:ascii="宋体" w:hAnsi="宋体" w:cs="宋体"/>
                <w:color w:val="auto"/>
                <w:sz w:val="24"/>
                <w:highlight w:val="none"/>
              </w:rPr>
              <w:t>公开招标在线投标响应</w:t>
            </w:r>
          </w:p>
        </w:tc>
      </w:tr>
      <w:tr w14:paraId="52D4AB5F">
        <w:tblPrEx>
          <w:tblCellMar>
            <w:top w:w="0" w:type="dxa"/>
            <w:left w:w="108" w:type="dxa"/>
            <w:bottom w:w="0" w:type="dxa"/>
            <w:right w:w="108" w:type="dxa"/>
          </w:tblCellMar>
        </w:tblPrEx>
        <w:trPr>
          <w:jc w:val="center"/>
        </w:trPr>
        <w:tc>
          <w:tcPr>
            <w:tcW w:w="1601" w:type="dxa"/>
            <w:noWrap w:val="0"/>
            <w:vAlign w:val="bottom"/>
          </w:tcPr>
          <w:p w14:paraId="7354F5C0">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450335DF">
            <w:pPr>
              <w:jc w:val="left"/>
              <w:rPr>
                <w:rFonts w:ascii="宋体" w:hAnsi="宋体" w:cs="宋体"/>
                <w:color w:val="auto"/>
                <w:sz w:val="24"/>
                <w:highlight w:val="none"/>
              </w:rPr>
            </w:pPr>
          </w:p>
        </w:tc>
      </w:tr>
      <w:tr w14:paraId="22E2B721">
        <w:tblPrEx>
          <w:tblCellMar>
            <w:top w:w="0" w:type="dxa"/>
            <w:left w:w="108" w:type="dxa"/>
            <w:bottom w:w="0" w:type="dxa"/>
            <w:right w:w="108" w:type="dxa"/>
          </w:tblCellMar>
        </w:tblPrEx>
        <w:trPr>
          <w:jc w:val="center"/>
        </w:trPr>
        <w:tc>
          <w:tcPr>
            <w:tcW w:w="1601" w:type="dxa"/>
            <w:noWrap w:val="0"/>
            <w:vAlign w:val="bottom"/>
          </w:tcPr>
          <w:p w14:paraId="63945E65">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bottom w:val="single" w:color="000000" w:sz="4" w:space="0"/>
            </w:tcBorders>
            <w:noWrap w:val="0"/>
            <w:vAlign w:val="bottom"/>
          </w:tcPr>
          <w:p w14:paraId="0E2BD6EB">
            <w:pPr>
              <w:jc w:val="left"/>
              <w:rPr>
                <w:rFonts w:ascii="宋体" w:hAnsi="宋体" w:cs="宋体"/>
                <w:color w:val="auto"/>
                <w:sz w:val="24"/>
                <w:highlight w:val="none"/>
              </w:rPr>
            </w:pPr>
          </w:p>
        </w:tc>
      </w:tr>
      <w:tr w14:paraId="6765DDA1">
        <w:tblPrEx>
          <w:tblCellMar>
            <w:top w:w="0" w:type="dxa"/>
            <w:left w:w="108" w:type="dxa"/>
            <w:bottom w:w="0" w:type="dxa"/>
            <w:right w:w="108" w:type="dxa"/>
          </w:tblCellMar>
        </w:tblPrEx>
        <w:trPr>
          <w:jc w:val="center"/>
        </w:trPr>
        <w:tc>
          <w:tcPr>
            <w:tcW w:w="1601" w:type="dxa"/>
            <w:noWrap w:val="0"/>
            <w:vAlign w:val="bottom"/>
          </w:tcPr>
          <w:p w14:paraId="13C275B5">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5D77CEB8">
            <w:pPr>
              <w:jc w:val="left"/>
              <w:rPr>
                <w:rFonts w:ascii="宋体" w:hAnsi="宋体" w:cs="宋体"/>
                <w:color w:val="auto"/>
                <w:sz w:val="24"/>
                <w:highlight w:val="none"/>
              </w:rPr>
            </w:pPr>
          </w:p>
        </w:tc>
      </w:tr>
      <w:tr w14:paraId="4C853127">
        <w:tblPrEx>
          <w:tblCellMar>
            <w:top w:w="0" w:type="dxa"/>
            <w:left w:w="108" w:type="dxa"/>
            <w:bottom w:w="0" w:type="dxa"/>
            <w:right w:w="108" w:type="dxa"/>
          </w:tblCellMar>
        </w:tblPrEx>
        <w:trPr>
          <w:jc w:val="center"/>
        </w:trPr>
        <w:tc>
          <w:tcPr>
            <w:tcW w:w="1601" w:type="dxa"/>
            <w:noWrap w:val="0"/>
            <w:vAlign w:val="bottom"/>
          </w:tcPr>
          <w:p w14:paraId="257E4EF8">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188B5440">
            <w:pPr>
              <w:jc w:val="left"/>
              <w:rPr>
                <w:rFonts w:ascii="宋体" w:hAnsi="宋体" w:cs="宋体"/>
                <w:color w:val="auto"/>
                <w:sz w:val="24"/>
                <w:highlight w:val="none"/>
              </w:rPr>
            </w:pPr>
          </w:p>
        </w:tc>
      </w:tr>
    </w:tbl>
    <w:p w14:paraId="6115580C">
      <w:pPr>
        <w:ind w:firstLine="4200" w:firstLineChars="1750"/>
        <w:rPr>
          <w:rFonts w:hint="eastAsia" w:ascii="宋体" w:hAnsi="宋体" w:cs="宋体"/>
          <w:color w:val="auto"/>
          <w:sz w:val="24"/>
          <w:highlight w:val="none"/>
        </w:rPr>
      </w:pPr>
    </w:p>
    <w:p w14:paraId="169EE0C6">
      <w:pPr>
        <w:ind w:firstLine="4200" w:firstLineChars="1750"/>
        <w:rPr>
          <w:rFonts w:hint="eastAsia" w:ascii="宋体" w:hAnsi="宋体" w:cs="宋体"/>
          <w:color w:val="auto"/>
          <w:sz w:val="24"/>
          <w:highlight w:val="none"/>
        </w:rPr>
      </w:pPr>
    </w:p>
    <w:p w14:paraId="026EC1B0">
      <w:pPr>
        <w:ind w:firstLine="4200" w:firstLineChars="1750"/>
        <w:rPr>
          <w:rFonts w:hint="eastAsia" w:ascii="宋体" w:hAnsi="宋体" w:cs="宋体"/>
          <w:color w:val="auto"/>
          <w:sz w:val="24"/>
          <w:highlight w:val="none"/>
        </w:rPr>
      </w:pPr>
    </w:p>
    <w:p w14:paraId="72CC4299">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722B382E">
      <w:pPr>
        <w:ind w:firstLine="6480" w:firstLineChars="2700"/>
        <w:rPr>
          <w:rFonts w:ascii="宋体" w:hAnsi="宋体" w:cs="宋体"/>
          <w:color w:val="auto"/>
          <w:sz w:val="24"/>
          <w:highlight w:val="none"/>
        </w:rPr>
        <w:sectPr>
          <w:headerReference r:id="rId10" w:type="default"/>
          <w:footerReference r:id="rId11" w:type="default"/>
          <w:pgSz w:w="11911" w:h="16838"/>
          <w:pgMar w:top="1134" w:right="1134" w:bottom="1134" w:left="1134" w:header="720" w:footer="720" w:gutter="0"/>
          <w:cols w:space="720" w:num="1"/>
          <w:titlePg/>
          <w:docGrid w:linePitch="285" w:charSpace="0"/>
        </w:sectPr>
      </w:pPr>
      <w:r>
        <w:rPr>
          <w:rFonts w:hint="eastAsia" w:ascii="宋体" w:hAnsi="宋体" w:cs="宋体"/>
          <w:color w:val="auto"/>
          <w:sz w:val="24"/>
          <w:highlight w:val="none"/>
        </w:rPr>
        <w:t>年   月   日</w:t>
      </w:r>
    </w:p>
    <w:p w14:paraId="2DC459E9">
      <w:pPr>
        <w:jc w:val="center"/>
        <w:outlineLvl w:val="1"/>
        <w:rPr>
          <w:rFonts w:hint="eastAsia" w:ascii="宋体" w:hAnsi="宋体"/>
          <w:b/>
          <w:bCs/>
          <w:color w:val="auto"/>
          <w:sz w:val="28"/>
          <w:szCs w:val="28"/>
          <w:highlight w:val="none"/>
        </w:rPr>
      </w:pPr>
      <w:bookmarkStart w:id="266" w:name="_Toc16225"/>
      <w:r>
        <w:rPr>
          <w:rFonts w:hint="eastAsia" w:ascii="宋体" w:hAnsi="宋体"/>
          <w:b/>
          <w:bCs/>
          <w:color w:val="auto"/>
          <w:sz w:val="28"/>
          <w:szCs w:val="28"/>
          <w:highlight w:val="none"/>
        </w:rPr>
        <w:t>第二节 资格证明文件格式</w:t>
      </w:r>
      <w:bookmarkEnd w:id="266"/>
    </w:p>
    <w:p w14:paraId="59EE6CAF">
      <w:pPr>
        <w:spacing w:line="360" w:lineRule="auto"/>
        <w:ind w:firstLine="420"/>
        <w:rPr>
          <w:rFonts w:hint="eastAsia" w:ascii="宋体" w:hAnsi="宋体"/>
          <w:color w:val="auto"/>
          <w:sz w:val="30"/>
          <w:szCs w:val="20"/>
          <w:highlight w:val="none"/>
        </w:rPr>
      </w:pPr>
    </w:p>
    <w:p w14:paraId="34CD555D">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CABB75D">
      <w:pPr>
        <w:snapToGrid w:val="0"/>
        <w:spacing w:before="120" w:beforeLines="50" w:after="50"/>
        <w:rPr>
          <w:rFonts w:hint="eastAsia" w:ascii="宋体" w:hAnsi="宋体"/>
          <w:color w:val="auto"/>
          <w:sz w:val="24"/>
          <w:szCs w:val="20"/>
          <w:highlight w:val="none"/>
        </w:rPr>
      </w:pPr>
    </w:p>
    <w:p w14:paraId="48BE7C9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3C273774">
      <w:pPr>
        <w:snapToGrid w:val="0"/>
        <w:spacing w:before="120" w:beforeLines="50" w:after="50"/>
        <w:rPr>
          <w:rFonts w:ascii="宋体" w:hAnsi="宋体"/>
          <w:bCs/>
          <w:color w:val="auto"/>
          <w:sz w:val="24"/>
          <w:szCs w:val="20"/>
          <w:highlight w:val="none"/>
        </w:rPr>
      </w:pPr>
    </w:p>
    <w:p w14:paraId="56C01BC7">
      <w:pPr>
        <w:snapToGrid w:val="0"/>
        <w:spacing w:before="120" w:beforeLines="50" w:after="50"/>
        <w:rPr>
          <w:rFonts w:ascii="宋体" w:hAnsi="宋体"/>
          <w:bCs/>
          <w:color w:val="auto"/>
          <w:sz w:val="24"/>
          <w:szCs w:val="20"/>
          <w:highlight w:val="none"/>
        </w:rPr>
      </w:pPr>
    </w:p>
    <w:p w14:paraId="396ED82B">
      <w:pPr>
        <w:snapToGrid w:val="0"/>
        <w:spacing w:before="120" w:beforeLines="50" w:after="50"/>
        <w:rPr>
          <w:rFonts w:ascii="宋体" w:hAnsi="宋体"/>
          <w:bCs/>
          <w:color w:val="auto"/>
          <w:sz w:val="24"/>
          <w:szCs w:val="20"/>
          <w:highlight w:val="none"/>
        </w:rPr>
      </w:pPr>
    </w:p>
    <w:p w14:paraId="6C966196">
      <w:pPr>
        <w:snapToGrid w:val="0"/>
        <w:spacing w:before="120" w:beforeLines="50" w:after="50"/>
        <w:rPr>
          <w:rFonts w:ascii="宋体" w:hAnsi="宋体"/>
          <w:bCs/>
          <w:color w:val="auto"/>
          <w:sz w:val="24"/>
          <w:szCs w:val="20"/>
          <w:highlight w:val="none"/>
        </w:rPr>
      </w:pPr>
    </w:p>
    <w:p w14:paraId="48E8DD5D">
      <w:pPr>
        <w:snapToGrid w:val="0"/>
        <w:spacing w:before="120" w:beforeLines="50" w:after="50"/>
        <w:rPr>
          <w:rFonts w:ascii="宋体" w:hAnsi="宋体"/>
          <w:bCs/>
          <w:color w:val="auto"/>
          <w:sz w:val="24"/>
          <w:szCs w:val="20"/>
          <w:highlight w:val="none"/>
        </w:rPr>
      </w:pPr>
    </w:p>
    <w:p w14:paraId="79317931">
      <w:pPr>
        <w:snapToGrid w:val="0"/>
        <w:spacing w:before="120" w:beforeLines="50" w:after="50"/>
        <w:rPr>
          <w:rFonts w:ascii="宋体" w:hAnsi="宋体"/>
          <w:bCs/>
          <w:color w:val="auto"/>
          <w:sz w:val="24"/>
          <w:szCs w:val="20"/>
          <w:highlight w:val="none"/>
        </w:rPr>
      </w:pPr>
    </w:p>
    <w:p w14:paraId="43B57FEC">
      <w:pPr>
        <w:snapToGrid w:val="0"/>
        <w:spacing w:before="120" w:beforeLines="50" w:after="50"/>
        <w:rPr>
          <w:rFonts w:hint="eastAsia" w:ascii="宋体" w:hAnsi="宋体"/>
          <w:bCs/>
          <w:color w:val="auto"/>
          <w:sz w:val="24"/>
          <w:szCs w:val="20"/>
          <w:highlight w:val="none"/>
        </w:rPr>
      </w:pPr>
    </w:p>
    <w:p w14:paraId="65152F8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1F5CC5A9">
      <w:pPr>
        <w:snapToGrid w:val="0"/>
        <w:spacing w:before="120" w:beforeLines="50" w:after="50"/>
        <w:ind w:firstLine="540" w:firstLineChars="225"/>
        <w:rPr>
          <w:rFonts w:hint="eastAsia" w:ascii="宋体" w:hAnsi="宋体"/>
          <w:bCs/>
          <w:color w:val="auto"/>
          <w:sz w:val="24"/>
          <w:szCs w:val="20"/>
          <w:highlight w:val="none"/>
        </w:rPr>
      </w:pPr>
    </w:p>
    <w:p w14:paraId="4323AC8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DE7AA7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21F1A1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696A6B7">
      <w:pPr>
        <w:snapToGrid w:val="0"/>
        <w:spacing w:before="50" w:after="50"/>
        <w:ind w:firstLine="540" w:firstLineChars="225"/>
        <w:rPr>
          <w:rFonts w:hint="eastAsia" w:ascii="宋体" w:hAnsi="宋体"/>
          <w:bCs/>
          <w:color w:val="auto"/>
          <w:sz w:val="24"/>
          <w:highlight w:val="none"/>
        </w:rPr>
      </w:pPr>
    </w:p>
    <w:p w14:paraId="5CFE207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7EDD7E47">
      <w:pPr>
        <w:snapToGrid w:val="0"/>
        <w:spacing w:before="50" w:after="50"/>
        <w:ind w:firstLine="540" w:firstLineChars="225"/>
        <w:rPr>
          <w:rFonts w:hint="eastAsia" w:ascii="宋体" w:hAnsi="宋体"/>
          <w:bCs/>
          <w:color w:val="auto"/>
          <w:sz w:val="24"/>
          <w:highlight w:val="none"/>
        </w:rPr>
      </w:pPr>
    </w:p>
    <w:p w14:paraId="36B89C35">
      <w:pPr>
        <w:snapToGrid w:val="0"/>
        <w:spacing w:before="50" w:after="50"/>
        <w:ind w:firstLine="960" w:firstLineChars="400"/>
        <w:rPr>
          <w:rFonts w:hint="eastAsia" w:ascii="宋体" w:hAnsi="宋体"/>
          <w:bCs/>
          <w:color w:val="auto"/>
          <w:sz w:val="24"/>
          <w:highlight w:val="none"/>
        </w:rPr>
      </w:pPr>
    </w:p>
    <w:p w14:paraId="08490EC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817883">
      <w:pPr>
        <w:spacing w:line="360" w:lineRule="auto"/>
        <w:ind w:firstLine="420"/>
        <w:rPr>
          <w:rFonts w:hAnsi="宋体"/>
          <w:color w:val="auto"/>
          <w:sz w:val="30"/>
          <w:highlight w:val="none"/>
        </w:rPr>
        <w:sectPr>
          <w:pgSz w:w="11911" w:h="16838"/>
          <w:pgMar w:top="1134" w:right="1134" w:bottom="1134" w:left="1134" w:header="720" w:footer="720" w:gutter="0"/>
          <w:cols w:space="720" w:num="1"/>
          <w:titlePg/>
          <w:docGrid w:linePitch="331" w:charSpace="0"/>
        </w:sectPr>
      </w:pPr>
    </w:p>
    <w:p w14:paraId="5BA1695D">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81FCCBF">
      <w:pPr>
        <w:snapToGrid w:val="0"/>
        <w:spacing w:line="360" w:lineRule="auto"/>
        <w:rPr>
          <w:rFonts w:hint="eastAsia" w:ascii="仿宋_GB2312" w:hAnsi="仿宋" w:eastAsia="仿宋_GB2312" w:cs="仿宋_GB2312"/>
          <w:color w:val="auto"/>
          <w:kern w:val="0"/>
          <w:sz w:val="24"/>
          <w:highlight w:val="none"/>
        </w:rPr>
      </w:pPr>
    </w:p>
    <w:p w14:paraId="7A522F6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营业执照(或者事业单位法人证书或者执业许可证等)复印件（投标人为自然人的，须提供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5C55991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二、投标人依法缴纳税收的相关材料…………………………………………………（页码）</w:t>
      </w:r>
    </w:p>
    <w:p w14:paraId="4EFE768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三、投标人依法缴纳社会保障资金的相关材料………………………………………（页码）</w:t>
      </w:r>
    </w:p>
    <w:p w14:paraId="4658BE3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kern w:val="0"/>
          <w:sz w:val="24"/>
          <w:highlight w:val="none"/>
        </w:rPr>
        <w:t>、投标人财务状况报告………………………………………………………………（页码）</w:t>
      </w:r>
    </w:p>
    <w:p w14:paraId="296570A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五、投标人直接控股股东信息表</w:t>
      </w:r>
      <w:r>
        <w:rPr>
          <w:rFonts w:hint="eastAsia" w:ascii="仿宋_GB2312" w:hAnsi="仿宋" w:eastAsia="仿宋_GB2312" w:cs="仿宋_GB2312"/>
          <w:color w:val="auto"/>
          <w:kern w:val="0"/>
          <w:sz w:val="24"/>
          <w:highlight w:val="none"/>
        </w:rPr>
        <w:t>………………………………………………………（页码）</w:t>
      </w:r>
    </w:p>
    <w:p w14:paraId="4A5E4D6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w:t>
      </w:r>
      <w:r>
        <w:rPr>
          <w:rFonts w:hint="eastAsia" w:ascii="仿宋_GB2312" w:hAnsi="仿宋" w:eastAsia="仿宋_GB2312" w:cs="仿宋_GB2312"/>
          <w:color w:val="auto"/>
          <w:sz w:val="24"/>
          <w:highlight w:val="none"/>
        </w:rPr>
        <w:t>、投标人直接管理关系信息表</w:t>
      </w:r>
      <w:r>
        <w:rPr>
          <w:rFonts w:hint="eastAsia" w:ascii="仿宋_GB2312" w:hAnsi="仿宋" w:eastAsia="仿宋_GB2312" w:cs="仿宋_GB2312"/>
          <w:color w:val="auto"/>
          <w:kern w:val="0"/>
          <w:sz w:val="24"/>
          <w:highlight w:val="none"/>
        </w:rPr>
        <w:t>………………………………………………………（页码）</w:t>
      </w:r>
    </w:p>
    <w:p w14:paraId="02BF1DA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七、投标声明函…………………………………………………………………………（页码）</w:t>
      </w:r>
    </w:p>
    <w:p w14:paraId="33857757">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八、中小企业声明函</w:t>
      </w:r>
      <w:r>
        <w:rPr>
          <w:rFonts w:hint="eastAsia" w:ascii="仿宋_GB2312" w:hAnsi="仿宋" w:eastAsia="仿宋_GB2312" w:cs="仿宋_GB2312"/>
          <w:color w:val="auto"/>
          <w:kern w:val="0"/>
          <w:sz w:val="24"/>
          <w:highlight w:val="none"/>
        </w:rPr>
        <w:t>……………………………………………………………………（页码）</w:t>
      </w:r>
    </w:p>
    <w:p w14:paraId="4CFE3A1F">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九、联合体协议书（以联合体形式投标的，提供联合体协议；本项目不接受联合体投标或者投标人不以联合体形式投标的，则不需要提供）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2C281FA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十、投标人认为需要提供的其他证明材料……………………………………………（页码）</w:t>
      </w:r>
    </w:p>
    <w:p w14:paraId="601AD0D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注：以上目录是基本格式要求，各投标人可根据招标文件的要求及自身情况进一步增加内容或细化。</w:t>
      </w:r>
    </w:p>
    <w:p w14:paraId="54CD3E95">
      <w:pPr>
        <w:spacing w:line="360" w:lineRule="auto"/>
        <w:ind w:firstLine="420"/>
        <w:rPr>
          <w:rFonts w:hAnsi="宋体"/>
          <w:color w:val="auto"/>
          <w:sz w:val="30"/>
          <w:highlight w:val="none"/>
        </w:rPr>
        <w:sectPr>
          <w:pgSz w:w="11911" w:h="16838"/>
          <w:pgMar w:top="1134" w:right="1134" w:bottom="1134" w:left="1134" w:header="720" w:footer="720" w:gutter="0"/>
          <w:cols w:space="720" w:num="1"/>
          <w:titlePg/>
          <w:docGrid w:linePitch="331" w:charSpace="0"/>
        </w:sectPr>
      </w:pPr>
    </w:p>
    <w:p w14:paraId="3292EFBF">
      <w:pPr>
        <w:snapToGrid w:val="0"/>
        <w:spacing w:line="360" w:lineRule="auto"/>
        <w:rPr>
          <w:rFonts w:hint="eastAsia" w:ascii="仿宋_GB2312" w:hAnsi="仿宋" w:eastAsia="仿宋_GB2312" w:cs="仿宋_GB2312"/>
          <w:b/>
          <w:color w:val="auto"/>
          <w:kern w:val="0"/>
          <w:sz w:val="32"/>
          <w:szCs w:val="32"/>
          <w:highlight w:val="none"/>
          <w:lang w:val="zh-CN"/>
        </w:rPr>
      </w:pPr>
    </w:p>
    <w:p w14:paraId="7E654318">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营业执照(或者事业单位法人证书或者执业许可证等)复印件（投标人为自然人的，须提供自然人的身份证明）</w:t>
      </w:r>
    </w:p>
    <w:p w14:paraId="1288515F">
      <w:pPr>
        <w:spacing w:line="360" w:lineRule="auto"/>
        <w:rPr>
          <w:rFonts w:hint="eastAsia" w:ascii="仿宋_GB2312" w:hAnsi="仿宋" w:eastAsia="仿宋_GB2312" w:cs="仿宋_GB2312"/>
          <w:b/>
          <w:color w:val="auto"/>
          <w:sz w:val="30"/>
          <w:szCs w:val="30"/>
          <w:highlight w:val="none"/>
        </w:rPr>
      </w:pPr>
    </w:p>
    <w:p w14:paraId="2F0D62D4">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224222D7">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3DB8320F">
      <w:pPr>
        <w:spacing w:line="360" w:lineRule="auto"/>
        <w:jc w:val="center"/>
        <w:rPr>
          <w:rFonts w:hint="eastAsia" w:ascii="仿宋_GB2312" w:hAnsi="仿宋" w:eastAsia="仿宋_GB2312" w:cs="仿宋_GB2312"/>
          <w:b/>
          <w:color w:val="auto"/>
          <w:sz w:val="30"/>
          <w:szCs w:val="30"/>
          <w:highlight w:val="none"/>
        </w:rPr>
      </w:pPr>
    </w:p>
    <w:p w14:paraId="4B828899">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投标人依法缴纳税收的相关材料</w:t>
      </w:r>
    </w:p>
    <w:p w14:paraId="3871F34E">
      <w:pPr>
        <w:snapToGrid w:val="0"/>
        <w:spacing w:line="360" w:lineRule="auto"/>
        <w:ind w:firstLine="480" w:firstLineChars="200"/>
        <w:rPr>
          <w:rFonts w:hint="eastAsia" w:ascii="仿宋_GB2312" w:hAnsi="仿宋" w:eastAsia="仿宋_GB2312" w:cs="仿宋_GB2312"/>
          <w:color w:val="auto"/>
          <w:sz w:val="24"/>
          <w:highlight w:val="none"/>
        </w:rPr>
      </w:pPr>
    </w:p>
    <w:p w14:paraId="5FA9F959">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7E4072A">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3576476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CF398D8">
      <w:pPr>
        <w:spacing w:after="120"/>
        <w:rPr>
          <w:rFonts w:hint="eastAsia"/>
          <w:color w:val="auto"/>
          <w:highlight w:val="none"/>
          <w:lang w:val="zh-CN"/>
        </w:rPr>
      </w:pPr>
    </w:p>
    <w:p w14:paraId="3B94FFE6">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投标人依法缴纳社会保障资金的相关材料</w:t>
      </w:r>
    </w:p>
    <w:p w14:paraId="5EFF78FD">
      <w:pPr>
        <w:snapToGrid w:val="0"/>
        <w:spacing w:line="360" w:lineRule="auto"/>
        <w:ind w:firstLine="480" w:firstLineChars="200"/>
        <w:rPr>
          <w:rFonts w:hint="eastAsia" w:ascii="仿宋_GB2312" w:hAnsi="仿宋" w:eastAsia="仿宋_GB2312" w:cs="仿宋_GB2312"/>
          <w:color w:val="auto"/>
          <w:sz w:val="24"/>
          <w:highlight w:val="none"/>
        </w:rPr>
      </w:pPr>
    </w:p>
    <w:p w14:paraId="7B72B997">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5F1F4EC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DCB5F4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B36218">
      <w:pPr>
        <w:spacing w:after="120"/>
        <w:rPr>
          <w:rFonts w:hint="eastAsia"/>
          <w:color w:val="auto"/>
          <w:highlight w:val="none"/>
          <w:lang w:val="zh-CN"/>
        </w:rPr>
      </w:pPr>
    </w:p>
    <w:p w14:paraId="6A2A2353">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四、</w:t>
      </w:r>
      <w:r>
        <w:rPr>
          <w:rFonts w:hint="eastAsia" w:ascii="仿宋_GB2312" w:hAnsi="仿宋" w:eastAsia="仿宋_GB2312" w:cs="仿宋_GB2312"/>
          <w:b/>
          <w:color w:val="auto"/>
          <w:kern w:val="0"/>
          <w:sz w:val="32"/>
          <w:szCs w:val="32"/>
          <w:highlight w:val="none"/>
        </w:rPr>
        <w:t>投标人财务状况报告</w:t>
      </w:r>
    </w:p>
    <w:p w14:paraId="454742B1">
      <w:pPr>
        <w:snapToGrid w:val="0"/>
        <w:spacing w:line="360" w:lineRule="auto"/>
        <w:ind w:firstLine="480" w:firstLineChars="200"/>
        <w:rPr>
          <w:rFonts w:hint="eastAsia" w:ascii="仿宋_GB2312" w:hAnsi="仿宋" w:eastAsia="仿宋_GB2312" w:cs="仿宋_GB2312"/>
          <w:color w:val="auto"/>
          <w:sz w:val="24"/>
          <w:highlight w:val="none"/>
        </w:rPr>
      </w:pPr>
    </w:p>
    <w:p w14:paraId="4106EFAB">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DAACAB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0992AE1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E521CF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DFC4BF5">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08F478AF">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9226578">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五、投标人直接控股股东信息表</w:t>
      </w:r>
    </w:p>
    <w:tbl>
      <w:tblPr>
        <w:tblStyle w:val="1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CAEFFA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DB3C8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D55A2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8C0B6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E764E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E94CE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C4082A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4751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797EE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D5723A">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00DEB1">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B2AD14">
            <w:pPr>
              <w:spacing w:line="360" w:lineRule="auto"/>
              <w:jc w:val="center"/>
              <w:rPr>
                <w:rFonts w:hint="eastAsia" w:ascii="宋体" w:hAnsi="宋体" w:cs="宋体"/>
                <w:color w:val="auto"/>
                <w:kern w:val="0"/>
                <w:sz w:val="24"/>
                <w:highlight w:val="none"/>
              </w:rPr>
            </w:pPr>
          </w:p>
        </w:tc>
      </w:tr>
      <w:tr w14:paraId="34C323D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CC44D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54C1F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C62E3">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C77C2C">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587573">
            <w:pPr>
              <w:spacing w:line="360" w:lineRule="auto"/>
              <w:jc w:val="center"/>
              <w:rPr>
                <w:rFonts w:hint="eastAsia" w:ascii="宋体" w:hAnsi="宋体" w:cs="宋体"/>
                <w:color w:val="auto"/>
                <w:kern w:val="0"/>
                <w:sz w:val="24"/>
                <w:highlight w:val="none"/>
              </w:rPr>
            </w:pPr>
          </w:p>
        </w:tc>
      </w:tr>
      <w:tr w14:paraId="197A14A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0CBB1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6D6D3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F4759E">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0FB2A9">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9EF6D">
            <w:pPr>
              <w:spacing w:line="360" w:lineRule="auto"/>
              <w:jc w:val="center"/>
              <w:rPr>
                <w:rFonts w:hint="eastAsia" w:ascii="宋体" w:hAnsi="宋体" w:cs="宋体"/>
                <w:color w:val="auto"/>
                <w:kern w:val="0"/>
                <w:sz w:val="24"/>
                <w:highlight w:val="none"/>
              </w:rPr>
            </w:pPr>
          </w:p>
        </w:tc>
      </w:tr>
      <w:tr w14:paraId="3ADB382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F2DD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45447">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D0FDB4">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A97FE">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853DEE">
            <w:pPr>
              <w:spacing w:line="360" w:lineRule="auto"/>
              <w:jc w:val="center"/>
              <w:rPr>
                <w:rFonts w:hint="eastAsia" w:ascii="宋体" w:hAnsi="宋体" w:cs="宋体"/>
                <w:color w:val="auto"/>
                <w:kern w:val="0"/>
                <w:sz w:val="24"/>
                <w:highlight w:val="none"/>
              </w:rPr>
            </w:pPr>
          </w:p>
        </w:tc>
      </w:tr>
    </w:tbl>
    <w:p w14:paraId="67083EF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E2968D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E5AC4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6E4BDE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7D7DA8DC">
      <w:pPr>
        <w:snapToGrid w:val="0"/>
        <w:spacing w:line="360" w:lineRule="auto"/>
        <w:jc w:val="left"/>
        <w:rPr>
          <w:rFonts w:hint="eastAsia" w:ascii="宋体" w:hAnsi="宋体"/>
          <w:color w:val="auto"/>
          <w:sz w:val="24"/>
          <w:highlight w:val="none"/>
        </w:rPr>
      </w:pPr>
    </w:p>
    <w:p w14:paraId="778307A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164C53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548C7A">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FC21CF1">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六、投标人直接管理关系信息表</w:t>
      </w:r>
    </w:p>
    <w:tbl>
      <w:tblPr>
        <w:tblStyle w:val="1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E9032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EAC5A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2B5F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6C358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90988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ABFF1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028CD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5DE74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4C98E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947A3">
            <w:pPr>
              <w:spacing w:line="360" w:lineRule="auto"/>
              <w:jc w:val="center"/>
              <w:rPr>
                <w:rFonts w:hint="eastAsia" w:ascii="宋体" w:hAnsi="宋体" w:cs="宋体"/>
                <w:color w:val="auto"/>
                <w:kern w:val="0"/>
                <w:sz w:val="24"/>
                <w:highlight w:val="none"/>
              </w:rPr>
            </w:pPr>
          </w:p>
        </w:tc>
      </w:tr>
      <w:tr w14:paraId="49B2282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7BD93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A55E8F">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9C9A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561DA2">
            <w:pPr>
              <w:spacing w:line="360" w:lineRule="auto"/>
              <w:jc w:val="center"/>
              <w:rPr>
                <w:rFonts w:hint="eastAsia" w:ascii="宋体" w:hAnsi="宋体" w:cs="宋体"/>
                <w:color w:val="auto"/>
                <w:kern w:val="0"/>
                <w:sz w:val="24"/>
                <w:highlight w:val="none"/>
              </w:rPr>
            </w:pPr>
          </w:p>
        </w:tc>
      </w:tr>
      <w:tr w14:paraId="58F0237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477DD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80E5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B57C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22AF3E">
            <w:pPr>
              <w:spacing w:line="360" w:lineRule="auto"/>
              <w:jc w:val="center"/>
              <w:rPr>
                <w:rFonts w:hint="eastAsia" w:ascii="宋体" w:hAnsi="宋体" w:cs="宋体"/>
                <w:color w:val="auto"/>
                <w:kern w:val="0"/>
                <w:sz w:val="24"/>
                <w:highlight w:val="none"/>
              </w:rPr>
            </w:pPr>
          </w:p>
        </w:tc>
      </w:tr>
      <w:tr w14:paraId="4D2C2B1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D234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1AF98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5EB5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0C2443">
            <w:pPr>
              <w:spacing w:line="360" w:lineRule="auto"/>
              <w:jc w:val="center"/>
              <w:rPr>
                <w:rFonts w:hint="eastAsia" w:ascii="宋体" w:hAnsi="宋体" w:cs="宋体"/>
                <w:color w:val="auto"/>
                <w:kern w:val="0"/>
                <w:sz w:val="24"/>
                <w:highlight w:val="none"/>
              </w:rPr>
            </w:pPr>
          </w:p>
        </w:tc>
      </w:tr>
    </w:tbl>
    <w:p w14:paraId="3766E59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61B16A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2117F8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306F6E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48D791A1">
      <w:pPr>
        <w:snapToGrid w:val="0"/>
        <w:spacing w:line="360" w:lineRule="auto"/>
        <w:jc w:val="left"/>
        <w:rPr>
          <w:color w:val="auto"/>
          <w:sz w:val="24"/>
          <w:highlight w:val="none"/>
        </w:rPr>
      </w:pPr>
    </w:p>
    <w:p w14:paraId="046890B4">
      <w:pPr>
        <w:snapToGrid w:val="0"/>
        <w:spacing w:line="360" w:lineRule="auto"/>
        <w:ind w:left="-2" w:leftChars="-1" w:right="-817" w:rightChars="-389" w:firstLine="4320" w:firstLineChars="1800"/>
        <w:rPr>
          <w:rFonts w:hint="eastAsia" w:ascii="宋体" w:hAnsi="宋体"/>
          <w:color w:val="auto"/>
          <w:sz w:val="24"/>
          <w:highlight w:val="none"/>
        </w:rPr>
      </w:pPr>
      <w:r>
        <w:rPr>
          <w:color w:val="auto"/>
          <w:sz w:val="24"/>
          <w:highlight w:val="none"/>
        </w:rPr>
        <w:t xml:space="preserve"> </w:t>
      </w:r>
    </w:p>
    <w:p w14:paraId="0703254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25F7EE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C4E20E">
      <w:pPr>
        <w:snapToGrid w:val="0"/>
        <w:spacing w:before="120" w:beforeLines="50" w:after="50"/>
        <w:jc w:val="left"/>
        <w:rPr>
          <w:rFonts w:hint="eastAsia" w:ascii="宋体" w:hAnsi="宋体"/>
          <w:color w:val="auto"/>
          <w:highlight w:val="none"/>
        </w:rPr>
      </w:pPr>
      <w:r>
        <w:rPr>
          <w:rFonts w:hint="eastAsia" w:ascii="宋体" w:hAnsi="宋体"/>
          <w:b/>
          <w:color w:val="auto"/>
          <w:sz w:val="24"/>
          <w:szCs w:val="20"/>
          <w:highlight w:val="none"/>
        </w:rPr>
        <w:br w:type="page"/>
      </w:r>
    </w:p>
    <w:p w14:paraId="7B519C37">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七、投标声明函</w:t>
      </w:r>
    </w:p>
    <w:p w14:paraId="50EA05AA">
      <w:pPr>
        <w:tabs>
          <w:tab w:val="left" w:pos="7200"/>
        </w:tabs>
        <w:spacing w:line="360" w:lineRule="auto"/>
        <w:rPr>
          <w:rFonts w:hint="eastAsia" w:ascii="宋体" w:hAnsi="宋体"/>
          <w:color w:val="auto"/>
          <w:szCs w:val="21"/>
          <w:highlight w:val="none"/>
        </w:rPr>
      </w:pPr>
    </w:p>
    <w:p w14:paraId="00586FCB">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（采购代理机构名称）</w:t>
      </w:r>
    </w:p>
    <w:p w14:paraId="4D94877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ascii="宋体" w:hAnsi="宋体"/>
          <w:color w:val="auto"/>
          <w:szCs w:val="21"/>
          <w:highlight w:val="none"/>
          <w:u w:val="single"/>
        </w:rPr>
        <w:t xml:space="preserve"> (</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）项目的投标，为便于贵方公正、择优地确定中标供应商，我方就本次投标有关事项郑重声明如下：</w:t>
      </w:r>
    </w:p>
    <w:p w14:paraId="0CEFD5B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B7A1F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2.经查询，在“信用中国”和“中国政府采购网”网站我方未被列入失信被执行人、重大税收违法案件当事人名单（重大税收违法失信主体）、政府采购严重违法失信行为记录名单。</w:t>
      </w:r>
    </w:p>
    <w:p w14:paraId="50FBDF3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3.以上事项如有虚假或隐瞒，我方愿意承担一切后果，并不再寻求任何旨在减轻或免除法律责任的辩解。 </w:t>
      </w:r>
    </w:p>
    <w:p w14:paraId="1A798AB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说明：</w:t>
      </w:r>
    </w:p>
    <w:p w14:paraId="46364B2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重大税收违法失信主体）、政府采购严重违法失信行为记录名单的投标人，</w:t>
      </w:r>
      <w:r>
        <w:rPr>
          <w:rFonts w:hint="eastAsia" w:ascii="宋体" w:hAnsi="宋体"/>
          <w:b/>
          <w:bCs/>
          <w:color w:val="auto"/>
          <w:szCs w:val="21"/>
          <w:highlight w:val="none"/>
        </w:rPr>
        <w:t>将被拒绝参与本项目政府采购活动</w:t>
      </w:r>
      <w:r>
        <w:rPr>
          <w:rFonts w:hint="eastAsia" w:ascii="宋体" w:hAnsi="宋体"/>
          <w:color w:val="auto"/>
          <w:szCs w:val="21"/>
          <w:highlight w:val="none"/>
        </w:rPr>
        <w:t>。</w:t>
      </w:r>
    </w:p>
    <w:p w14:paraId="38DEEB4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ECB5D9">
      <w:pPr>
        <w:snapToGrid w:val="0"/>
        <w:spacing w:line="360" w:lineRule="auto"/>
        <w:ind w:right="-817" w:rightChars="-389"/>
        <w:rPr>
          <w:rFonts w:hint="eastAsia" w:ascii="宋体" w:hAnsi="宋体"/>
          <w:b/>
          <w:bCs/>
          <w:color w:val="auto"/>
          <w:sz w:val="24"/>
          <w:highlight w:val="none"/>
        </w:rPr>
      </w:pPr>
      <w:r>
        <w:rPr>
          <w:rFonts w:hint="eastAsia" w:ascii="宋体" w:hAnsi="宋体"/>
          <w:color w:val="auto"/>
          <w:szCs w:val="21"/>
          <w:highlight w:val="none"/>
        </w:rPr>
        <w:t>3.如为联合体投标，盖章处须加盖联合体各方公章并由联合体各方法定代表人分别签署，</w:t>
      </w:r>
      <w:r>
        <w:rPr>
          <w:rFonts w:hint="eastAsia" w:ascii="宋体" w:hAnsi="宋体"/>
          <w:b/>
          <w:bCs/>
          <w:color w:val="auto"/>
          <w:szCs w:val="21"/>
          <w:highlight w:val="none"/>
        </w:rPr>
        <w:t>否则投标无效。</w:t>
      </w:r>
      <w:r>
        <w:rPr>
          <w:rFonts w:hint="eastAsia" w:ascii="宋体" w:hAnsi="宋体"/>
          <w:b/>
          <w:bCs/>
          <w:color w:val="auto"/>
          <w:sz w:val="24"/>
          <w:highlight w:val="none"/>
        </w:rPr>
        <w:t xml:space="preserve">                               </w:t>
      </w:r>
    </w:p>
    <w:p w14:paraId="71317472">
      <w:pPr>
        <w:snapToGrid w:val="0"/>
        <w:spacing w:line="360" w:lineRule="auto"/>
        <w:ind w:right="-817" w:rightChars="-389"/>
        <w:rPr>
          <w:rFonts w:hint="eastAsia" w:ascii="宋体" w:hAnsi="宋体"/>
          <w:b/>
          <w:bCs/>
          <w:color w:val="auto"/>
          <w:sz w:val="24"/>
          <w:highlight w:val="none"/>
        </w:rPr>
      </w:pPr>
    </w:p>
    <w:p w14:paraId="477FB714">
      <w:pPr>
        <w:snapToGrid w:val="0"/>
        <w:spacing w:line="360" w:lineRule="auto"/>
        <w:ind w:right="-817" w:rightChars="-389"/>
        <w:jc w:val="center"/>
        <w:rPr>
          <w:rFonts w:hint="eastAsia" w:ascii="宋体" w:hAnsi="宋体"/>
          <w:b/>
          <w:bCs/>
          <w:color w:val="auto"/>
          <w:sz w:val="24"/>
          <w:highlight w:val="none"/>
        </w:rPr>
      </w:pPr>
      <w:r>
        <w:rPr>
          <w:rFonts w:hint="eastAsia" w:ascii="仿宋_GB2312" w:hAnsi="仿宋" w:eastAsia="仿宋_GB2312" w:cs="仿宋_GB2312"/>
          <w:color w:val="auto"/>
          <w:kern w:val="0"/>
          <w:sz w:val="24"/>
          <w:highlight w:val="none"/>
        </w:rPr>
        <w:t xml:space="preserve">   </w:t>
      </w:r>
    </w:p>
    <w:p w14:paraId="1BD97603">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E08038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004134">
      <w:pPr>
        <w:snapToGrid w:val="0"/>
        <w:spacing w:before="50" w:after="240" w:afterLines="100" w:line="360" w:lineRule="auto"/>
        <w:ind w:left="7426" w:leftChars="2565" w:hanging="2040" w:hangingChars="850"/>
        <w:jc w:val="left"/>
        <w:rPr>
          <w:rFonts w:hint="eastAsia" w:ascii="仿宋_GB2312" w:hAnsi="仿宋" w:eastAsia="仿宋_GB2312" w:cs="仿宋_GB2312"/>
          <w:color w:val="auto"/>
          <w:kern w:val="0"/>
          <w:sz w:val="24"/>
          <w:highlight w:val="none"/>
          <w:lang w:val="zh-CN"/>
        </w:rPr>
      </w:pPr>
    </w:p>
    <w:p w14:paraId="710C84D7">
      <w:pPr>
        <w:jc w:val="center"/>
        <w:rPr>
          <w:rFonts w:hint="eastAsia"/>
          <w:b/>
          <w:bCs/>
          <w:color w:val="auto"/>
          <w:sz w:val="30"/>
          <w:szCs w:val="30"/>
          <w:highlight w:val="none"/>
        </w:rPr>
      </w:pPr>
      <w:r>
        <w:rPr>
          <w:rFonts w:hint="eastAsia"/>
          <w:b/>
          <w:bCs/>
          <w:color w:val="auto"/>
          <w:sz w:val="30"/>
          <w:szCs w:val="30"/>
          <w:highlight w:val="none"/>
        </w:rPr>
        <w:br w:type="page"/>
      </w:r>
    </w:p>
    <w:p w14:paraId="5583571E">
      <w:pPr>
        <w:jc w:val="center"/>
        <w:rPr>
          <w:b/>
          <w:color w:val="auto"/>
          <w:sz w:val="30"/>
          <w:szCs w:val="30"/>
          <w:highlight w:val="none"/>
        </w:rPr>
      </w:pPr>
      <w:r>
        <w:rPr>
          <w:rFonts w:hint="eastAsia"/>
          <w:b/>
          <w:bCs/>
          <w:color w:val="auto"/>
          <w:sz w:val="30"/>
          <w:szCs w:val="30"/>
          <w:highlight w:val="none"/>
        </w:rPr>
        <w:t>八、</w:t>
      </w:r>
      <w:r>
        <w:rPr>
          <w:rFonts w:hint="eastAsia"/>
          <w:b/>
          <w:color w:val="auto"/>
          <w:sz w:val="30"/>
          <w:szCs w:val="30"/>
          <w:highlight w:val="none"/>
        </w:rPr>
        <w:t>中小企业声明函</w:t>
      </w:r>
    </w:p>
    <w:p w14:paraId="271F2124">
      <w:pPr>
        <w:rPr>
          <w:rFonts w:hint="eastAsia" w:hAnsi="宋体"/>
          <w:color w:val="auto"/>
          <w:spacing w:val="-4"/>
          <w:szCs w:val="21"/>
          <w:highlight w:val="none"/>
        </w:rPr>
      </w:pPr>
    </w:p>
    <w:p w14:paraId="135A6089">
      <w:pPr>
        <w:rPr>
          <w:rFonts w:hint="eastAsia" w:ascii="宋体" w:hAnsi="宋体" w:cs="宋体"/>
          <w:color w:val="auto"/>
          <w:spacing w:val="-4"/>
          <w:szCs w:val="21"/>
          <w:highlight w:val="none"/>
        </w:rPr>
      </w:pPr>
      <w:r>
        <w:rPr>
          <w:rFonts w:hint="eastAsia" w:ascii="宋体" w:hAnsi="宋体" w:cs="宋体"/>
          <w:color w:val="auto"/>
          <w:spacing w:val="-4"/>
          <w:szCs w:val="21"/>
          <w:highlight w:val="none"/>
        </w:rPr>
        <w:t>说明：</w:t>
      </w:r>
    </w:p>
    <w:p w14:paraId="09FC3E20">
      <w:pPr>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1、本声明函主要供参加政府采购活动的中小企业填写，非中小企业无需填写。</w:t>
      </w:r>
    </w:p>
    <w:p w14:paraId="001710B8">
      <w:pPr>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2、小型、微型企业提供中型企业提供的服务的，视同为中型企业。</w:t>
      </w:r>
    </w:p>
    <w:p w14:paraId="1000B1EA">
      <w:pPr>
        <w:ind w:firstLine="404" w:firstLineChars="200"/>
        <w:rPr>
          <w:rFonts w:hint="eastAsia" w:ascii="宋体" w:hAnsi="宋体" w:cs="宋体"/>
          <w:color w:val="auto"/>
          <w:spacing w:val="-4"/>
          <w:szCs w:val="21"/>
          <w:highlight w:val="none"/>
        </w:rPr>
      </w:pPr>
    </w:p>
    <w:p w14:paraId="3BBFCEDB">
      <w:pPr>
        <w:adjustRightInd w:val="0"/>
        <w:spacing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单位名称</w:t>
      </w:r>
      <w:r>
        <w:rPr>
          <w:rFonts w:hint="eastAsia" w:ascii="宋体" w:hAnsi="宋体" w:cs="宋体"/>
          <w:color w:val="auto"/>
          <w:szCs w:val="21"/>
          <w:highlight w:val="none"/>
          <w:u w:val="single"/>
        </w:rPr>
        <w:t>）</w:t>
      </w:r>
      <w:r>
        <w:rPr>
          <w:rFonts w:hint="eastAsia" w:ascii="宋体" w:hAnsi="宋体" w:cs="宋体"/>
          <w:color w:val="auto"/>
          <w:szCs w:val="21"/>
          <w:highlight w:val="none"/>
        </w:rPr>
        <w:t>的</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83ED846">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u w:val="single"/>
        </w:rPr>
        <w:t>）</w:t>
      </w:r>
      <w:r>
        <w:rPr>
          <w:rFonts w:hint="eastAsia" w:ascii="宋体" w:hAnsi="宋体" w:cs="宋体"/>
          <w:color w:val="auto"/>
          <w:szCs w:val="21"/>
          <w:highlight w:val="none"/>
        </w:rPr>
        <w:t>，属于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u w:val="single"/>
        </w:rPr>
        <w:t>）</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u w:val="single"/>
        </w:rPr>
        <w:t>）</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7B9A7DA">
      <w:pPr>
        <w:tabs>
          <w:tab w:val="left" w:pos="1065"/>
          <w:tab w:val="left" w:pos="4262"/>
          <w:tab w:val="left" w:pos="6477"/>
        </w:tabs>
        <w:spacing w:before="20" w:line="500" w:lineRule="exact"/>
        <w:ind w:right="84"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u w:val="single"/>
        </w:rPr>
        <w:t>）</w:t>
      </w:r>
      <w:r>
        <w:rPr>
          <w:rFonts w:hint="eastAsia" w:ascii="宋体" w:hAnsi="宋体" w:cs="宋体"/>
          <w:color w:val="auto"/>
          <w:szCs w:val="21"/>
          <w:highlight w:val="none"/>
        </w:rPr>
        <w:t>，属于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u w:val="single"/>
        </w:rPr>
        <w:t>）</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u w:val="single"/>
        </w:rPr>
        <w:t>）</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9A6B148">
      <w:pPr>
        <w:adjustRightInd w:val="0"/>
        <w:spacing w:before="34" w:after="120" w:line="500" w:lineRule="exact"/>
        <w:ind w:left="765" w:right="142" w:hanging="5"/>
        <w:textAlignment w:val="baseline"/>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CDBEA10">
      <w:pPr>
        <w:adjustRightInd w:val="0"/>
        <w:spacing w:before="34"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528B877">
      <w:pPr>
        <w:adjustRightInd w:val="0"/>
        <w:spacing w:before="34"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1F7154B">
      <w:pPr>
        <w:spacing w:line="360" w:lineRule="auto"/>
        <w:ind w:firstLine="420" w:firstLineChars="200"/>
        <w:rPr>
          <w:rFonts w:hint="eastAsia" w:ascii="宋体" w:hAnsi="宋体" w:cs="宋体"/>
          <w:color w:val="auto"/>
          <w:szCs w:val="21"/>
          <w:highlight w:val="none"/>
        </w:rPr>
      </w:pPr>
    </w:p>
    <w:p w14:paraId="2B6A450E">
      <w:pPr>
        <w:spacing w:line="360" w:lineRule="auto"/>
        <w:ind w:firstLine="420" w:firstLineChars="200"/>
        <w:rPr>
          <w:rFonts w:hint="eastAsia" w:ascii="宋体" w:hAnsi="宋体" w:cs="宋体"/>
          <w:color w:val="auto"/>
          <w:szCs w:val="21"/>
          <w:highlight w:val="none"/>
        </w:rPr>
      </w:pPr>
    </w:p>
    <w:p w14:paraId="0824B474">
      <w:pPr>
        <w:snapToGrid w:val="0"/>
        <w:spacing w:line="360" w:lineRule="auto"/>
        <w:ind w:right="-817" w:rightChars="-389"/>
        <w:jc w:val="cente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F4C2415">
      <w:pPr>
        <w:snapToGrid w:val="0"/>
        <w:spacing w:line="360" w:lineRule="auto"/>
        <w:ind w:right="-817" w:rightChars="-389"/>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429D9C">
      <w:pPr>
        <w:spacing w:line="360" w:lineRule="auto"/>
        <w:ind w:firstLine="420" w:firstLineChars="200"/>
        <w:rPr>
          <w:rFonts w:hint="eastAsia" w:ascii="宋体" w:hAnsi="宋体" w:cs="宋体"/>
          <w:color w:val="auto"/>
          <w:szCs w:val="21"/>
          <w:highlight w:val="none"/>
        </w:rPr>
      </w:pPr>
    </w:p>
    <w:p w14:paraId="0E7B32CA">
      <w:pPr>
        <w:snapToGrid w:val="0"/>
        <w:spacing w:before="50" w:after="120"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F6D96DF">
      <w:pPr>
        <w:snapToGrid w:val="0"/>
        <w:spacing w:before="50" w:after="120" w:after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1A09C976">
      <w:pPr>
        <w:snapToGrid w:val="0"/>
        <w:spacing w:before="50" w:after="120" w:after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42BD3270">
      <w:pPr>
        <w:snapToGrid w:val="0"/>
        <w:spacing w:before="50" w:after="120" w:afterLines="50" w:line="360" w:lineRule="auto"/>
        <w:ind w:firstLine="420" w:firstLineChars="200"/>
        <w:jc w:val="left"/>
        <w:rPr>
          <w:rFonts w:hint="eastAsia"/>
          <w:b/>
          <w:bCs/>
          <w:color w:val="auto"/>
          <w:sz w:val="30"/>
          <w:szCs w:val="30"/>
          <w:highlight w:val="none"/>
        </w:rPr>
      </w:pPr>
      <w:r>
        <w:rPr>
          <w:rFonts w:hint="eastAsia" w:ascii="宋体" w:hAnsi="宋体" w:cs="宋体"/>
          <w:color w:val="auto"/>
          <w:szCs w:val="21"/>
          <w:highlight w:val="none"/>
        </w:rPr>
        <w:t>3、属于</w:t>
      </w:r>
      <w:r>
        <w:rPr>
          <w:rFonts w:hint="eastAsia" w:ascii="宋体" w:hAnsi="宋体" w:cs="宋体"/>
          <w:color w:val="auto"/>
          <w:szCs w:val="21"/>
          <w:highlight w:val="none"/>
          <w:lang w:val="zh-CN"/>
        </w:rPr>
        <w:t>残疾人福利性单位</w:t>
      </w:r>
      <w:r>
        <w:rPr>
          <w:rFonts w:hint="eastAsia" w:ascii="宋体" w:hAnsi="宋体" w:cs="宋体"/>
          <w:color w:val="auto"/>
          <w:szCs w:val="21"/>
          <w:highlight w:val="none"/>
        </w:rPr>
        <w:t>或监狱企业的，提供相关证明文件，等同于小微企业。</w:t>
      </w:r>
    </w:p>
    <w:p w14:paraId="4F845BE7">
      <w:pPr>
        <w:jc w:val="center"/>
        <w:rPr>
          <w:rFonts w:hint="eastAsia"/>
          <w:b/>
          <w:bCs/>
          <w:color w:val="auto"/>
          <w:sz w:val="30"/>
          <w:szCs w:val="30"/>
          <w:highlight w:val="none"/>
        </w:rPr>
      </w:pPr>
      <w:r>
        <w:rPr>
          <w:rFonts w:hint="eastAsia"/>
          <w:b/>
          <w:bCs/>
          <w:color w:val="auto"/>
          <w:sz w:val="30"/>
          <w:szCs w:val="30"/>
          <w:highlight w:val="none"/>
        </w:rPr>
        <w:br w:type="page"/>
      </w:r>
    </w:p>
    <w:p w14:paraId="6E2475B6">
      <w:pPr>
        <w:jc w:val="center"/>
        <w:rPr>
          <w:rFonts w:hint="eastAsia"/>
          <w:b/>
          <w:bCs/>
          <w:color w:val="auto"/>
          <w:sz w:val="30"/>
          <w:szCs w:val="30"/>
          <w:highlight w:val="none"/>
        </w:rPr>
      </w:pPr>
      <w:r>
        <w:rPr>
          <w:rFonts w:hint="eastAsia"/>
          <w:b/>
          <w:bCs/>
          <w:color w:val="auto"/>
          <w:sz w:val="30"/>
          <w:szCs w:val="30"/>
          <w:highlight w:val="none"/>
        </w:rPr>
        <w:t>九、联合体协议书</w:t>
      </w:r>
    </w:p>
    <w:p w14:paraId="2CD3106C">
      <w:pPr>
        <w:pStyle w:val="2"/>
        <w:overflowPunct w:val="0"/>
        <w:spacing w:line="360" w:lineRule="auto"/>
        <w:contextualSpacing/>
        <w:rPr>
          <w:color w:val="auto"/>
          <w:sz w:val="24"/>
          <w:highlight w:val="none"/>
          <w:u w:val="single"/>
        </w:rPr>
      </w:pPr>
    </w:p>
    <w:p w14:paraId="79CE4D78">
      <w:pPr>
        <w:pStyle w:val="2"/>
        <w:overflowPunct w:val="0"/>
        <w:spacing w:line="360" w:lineRule="auto"/>
        <w:contextualSpacing/>
        <w:rPr>
          <w:color w:val="auto"/>
          <w:sz w:val="24"/>
          <w:highlight w:val="none"/>
        </w:rPr>
      </w:pPr>
      <w:r>
        <w:rPr>
          <w:color w:val="auto"/>
          <w:sz w:val="24"/>
          <w:highlight w:val="none"/>
          <w:u w:val="single"/>
        </w:rPr>
        <w:t xml:space="preserve"> </w:t>
      </w:r>
      <w:r>
        <w:rPr>
          <w:color w:val="auto"/>
          <w:sz w:val="24"/>
          <w:highlight w:val="none"/>
          <w:u w:val="single"/>
        </w:rPr>
        <w:tab/>
      </w:r>
      <w:r>
        <w:rPr>
          <w:rFonts w:hint="eastAsia"/>
          <w:color w:val="auto"/>
          <w:sz w:val="24"/>
          <w:highlight w:val="none"/>
          <w:u w:val="single"/>
        </w:rPr>
        <w:t xml:space="preserve">  </w:t>
      </w:r>
      <w:r>
        <w:rPr>
          <w:color w:val="auto"/>
          <w:sz w:val="24"/>
          <w:highlight w:val="none"/>
        </w:rPr>
        <w:t>（所有成员单位名称）自愿组成</w:t>
      </w:r>
      <w:r>
        <w:rPr>
          <w:color w:val="auto"/>
          <w:sz w:val="24"/>
          <w:highlight w:val="none"/>
          <w:u w:val="single"/>
        </w:rPr>
        <w:t xml:space="preserve"> </w:t>
      </w:r>
      <w:r>
        <w:rPr>
          <w:color w:val="auto"/>
          <w:sz w:val="24"/>
          <w:highlight w:val="none"/>
          <w:u w:val="single"/>
        </w:rPr>
        <w:tab/>
      </w:r>
      <w:r>
        <w:rPr>
          <w:color w:val="auto"/>
          <w:sz w:val="24"/>
          <w:highlight w:val="none"/>
        </w:rPr>
        <w:t>（联合体名称）联合体，共同参加</w:t>
      </w:r>
      <w:r>
        <w:rPr>
          <w:color w:val="auto"/>
          <w:sz w:val="24"/>
          <w:highlight w:val="none"/>
          <w:u w:val="single"/>
        </w:rPr>
        <w:t xml:space="preserve"> </w:t>
      </w:r>
      <w:r>
        <w:rPr>
          <w:color w:val="auto"/>
          <w:sz w:val="24"/>
          <w:highlight w:val="none"/>
          <w:u w:val="single"/>
        </w:rPr>
        <w:tab/>
      </w:r>
      <w:r>
        <w:rPr>
          <w:color w:val="auto"/>
          <w:sz w:val="24"/>
          <w:highlight w:val="none"/>
          <w:u w:val="single"/>
        </w:rPr>
        <w:t>（项目名称</w:t>
      </w:r>
      <w:r>
        <w:rPr>
          <w:rFonts w:hint="eastAsia"/>
          <w:color w:val="auto"/>
          <w:sz w:val="24"/>
          <w:highlight w:val="none"/>
          <w:u w:val="single"/>
        </w:rPr>
        <w:t>、项目编号</w:t>
      </w:r>
      <w:r>
        <w:rPr>
          <w:color w:val="auto"/>
          <w:sz w:val="24"/>
          <w:highlight w:val="none"/>
          <w:u w:val="single"/>
        </w:rPr>
        <w:t>）</w:t>
      </w:r>
      <w:r>
        <w:rPr>
          <w:color w:val="auto"/>
          <w:sz w:val="24"/>
          <w:highlight w:val="none"/>
        </w:rPr>
        <w:t>采购招标项目投标。现就联合体投标事宜订立如下协议。</w:t>
      </w:r>
    </w:p>
    <w:p w14:paraId="1FB56A49">
      <w:pPr>
        <w:pStyle w:val="2"/>
        <w:overflowPunct w:val="0"/>
        <w:spacing w:line="360" w:lineRule="auto"/>
        <w:contextualSpacing/>
        <w:rPr>
          <w:color w:val="auto"/>
          <w:sz w:val="24"/>
          <w:highlight w:val="none"/>
        </w:rPr>
      </w:pPr>
    </w:p>
    <w:p w14:paraId="4DD37345">
      <w:pPr>
        <w:pStyle w:val="2"/>
        <w:overflowPunct w:val="0"/>
        <w:spacing w:line="360" w:lineRule="auto"/>
        <w:ind w:firstLineChars="175"/>
        <w:contextualSpacing/>
        <w:rPr>
          <w:color w:val="auto"/>
          <w:sz w:val="24"/>
          <w:highlight w:val="none"/>
        </w:rPr>
      </w:pPr>
      <w:r>
        <w:rPr>
          <w:color w:val="auto"/>
          <w:sz w:val="24"/>
          <w:highlight w:val="none"/>
        </w:rPr>
        <w:t xml:space="preserve">1.  </w:t>
      </w:r>
      <w:r>
        <w:rPr>
          <w:color w:val="auto"/>
          <w:sz w:val="24"/>
          <w:highlight w:val="none"/>
          <w:u w:val="single"/>
        </w:rPr>
        <w:t xml:space="preserve"> </w:t>
      </w:r>
      <w:r>
        <w:rPr>
          <w:color w:val="auto"/>
          <w:sz w:val="24"/>
          <w:highlight w:val="none"/>
          <w:u w:val="single"/>
        </w:rPr>
        <w:tab/>
      </w:r>
      <w:r>
        <w:rPr>
          <w:color w:val="auto"/>
          <w:sz w:val="24"/>
          <w:highlight w:val="none"/>
        </w:rPr>
        <w:t>（某成员单位名称）为</w:t>
      </w:r>
      <w:r>
        <w:rPr>
          <w:color w:val="auto"/>
          <w:sz w:val="24"/>
          <w:highlight w:val="none"/>
          <w:u w:val="single"/>
        </w:rPr>
        <w:t xml:space="preserve"> </w:t>
      </w:r>
      <w:r>
        <w:rPr>
          <w:color w:val="auto"/>
          <w:sz w:val="24"/>
          <w:highlight w:val="none"/>
          <w:u w:val="single"/>
        </w:rPr>
        <w:tab/>
      </w:r>
      <w:r>
        <w:rPr>
          <w:color w:val="auto"/>
          <w:sz w:val="24"/>
          <w:highlight w:val="none"/>
        </w:rPr>
        <w:t>（联合体名称）牵头人。</w:t>
      </w:r>
    </w:p>
    <w:p w14:paraId="284A6C10">
      <w:pPr>
        <w:pStyle w:val="2"/>
        <w:overflowPunct w:val="0"/>
        <w:spacing w:line="360" w:lineRule="auto"/>
        <w:ind w:firstLineChars="175"/>
        <w:contextualSpacing/>
        <w:rPr>
          <w:color w:val="auto"/>
          <w:sz w:val="24"/>
          <w:highlight w:val="none"/>
        </w:rPr>
      </w:pPr>
      <w:r>
        <w:rPr>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C292977">
      <w:pPr>
        <w:pStyle w:val="2"/>
        <w:overflowPunct w:val="0"/>
        <w:spacing w:line="360" w:lineRule="auto"/>
        <w:ind w:firstLineChars="175"/>
        <w:contextualSpacing/>
        <w:rPr>
          <w:color w:val="auto"/>
          <w:sz w:val="24"/>
          <w:highlight w:val="none"/>
        </w:rPr>
      </w:pPr>
      <w:r>
        <w:rPr>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5D0D0AE7">
      <w:pPr>
        <w:pStyle w:val="2"/>
        <w:overflowPunct w:val="0"/>
        <w:spacing w:line="360" w:lineRule="auto"/>
        <w:ind w:firstLineChars="175"/>
        <w:contextualSpacing/>
        <w:rPr>
          <w:color w:val="auto"/>
          <w:sz w:val="24"/>
          <w:highlight w:val="none"/>
        </w:rPr>
      </w:pPr>
      <w:r>
        <w:rPr>
          <w:color w:val="auto"/>
          <w:sz w:val="24"/>
          <w:highlight w:val="none"/>
        </w:rPr>
        <w:t>4.联合体各成员单位内部的职责分工如下：</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rPr>
        <w:t>。</w:t>
      </w:r>
    </w:p>
    <w:p w14:paraId="417F1697">
      <w:pPr>
        <w:pStyle w:val="2"/>
        <w:overflowPunct w:val="0"/>
        <w:spacing w:line="360" w:lineRule="auto"/>
        <w:ind w:firstLineChars="175"/>
        <w:contextualSpacing/>
        <w:rPr>
          <w:color w:val="auto"/>
          <w:sz w:val="24"/>
          <w:highlight w:val="none"/>
        </w:rPr>
      </w:pPr>
      <w:r>
        <w:rPr>
          <w:rFonts w:hint="eastAsia"/>
          <w:color w:val="auto"/>
          <w:sz w:val="24"/>
          <w:highlight w:val="none"/>
        </w:rPr>
        <w:t>5.本联合体中，</w:t>
      </w:r>
      <w:r>
        <w:rPr>
          <w:rFonts w:hint="eastAsia"/>
          <w:color w:val="auto"/>
          <w:sz w:val="24"/>
          <w:highlight w:val="none"/>
          <w:u w:val="single"/>
        </w:rPr>
        <w:t xml:space="preserve">    （某成员单位名称）为    </w:t>
      </w:r>
      <w:r>
        <w:rPr>
          <w:rFonts w:hint="eastAsia"/>
          <w:color w:val="auto"/>
          <w:sz w:val="24"/>
          <w:highlight w:val="none"/>
        </w:rPr>
        <w:t>（请填写：中型、小型、微型）企业，其协议合同金额占联合体协议合同总金额的</w:t>
      </w:r>
      <w:r>
        <w:rPr>
          <w:rFonts w:hint="eastAsia"/>
          <w:color w:val="auto"/>
          <w:sz w:val="24"/>
          <w:highlight w:val="none"/>
          <w:u w:val="single"/>
        </w:rPr>
        <w:t xml:space="preserve">    </w:t>
      </w:r>
      <w:r>
        <w:rPr>
          <w:rFonts w:hint="eastAsia"/>
          <w:color w:val="auto"/>
          <w:sz w:val="24"/>
          <w:highlight w:val="none"/>
        </w:rPr>
        <w:t>%。【如联合体成员中有小型、微型企业的，请填写此条，否则无需填写；如联合体成员中有多个小型、微型企业的，请逐一列出。】</w:t>
      </w:r>
    </w:p>
    <w:p w14:paraId="32E08F9E">
      <w:pPr>
        <w:pStyle w:val="2"/>
        <w:overflowPunct w:val="0"/>
        <w:spacing w:line="360" w:lineRule="auto"/>
        <w:ind w:firstLineChars="175"/>
        <w:contextualSpacing/>
        <w:rPr>
          <w:color w:val="auto"/>
          <w:sz w:val="24"/>
          <w:highlight w:val="none"/>
        </w:rPr>
      </w:pPr>
      <w:r>
        <w:rPr>
          <w:rFonts w:hint="eastAsia"/>
          <w:color w:val="auto"/>
          <w:sz w:val="24"/>
          <w:highlight w:val="none"/>
        </w:rPr>
        <w:t>6</w:t>
      </w:r>
      <w:r>
        <w:rPr>
          <w:color w:val="auto"/>
          <w:sz w:val="24"/>
          <w:highlight w:val="none"/>
        </w:rPr>
        <w:t>.本协议书自所有成员单位法定代表人或者其委托代理人签字或者</w:t>
      </w:r>
      <w:r>
        <w:rPr>
          <w:rFonts w:hint="eastAsia"/>
          <w:color w:val="auto"/>
          <w:sz w:val="24"/>
          <w:highlight w:val="none"/>
        </w:rPr>
        <w:t>加</w:t>
      </w:r>
      <w:r>
        <w:rPr>
          <w:color w:val="auto"/>
          <w:sz w:val="24"/>
          <w:highlight w:val="none"/>
        </w:rPr>
        <w:t>盖公章之日起生效，合同履行完毕后自动失效。</w:t>
      </w:r>
    </w:p>
    <w:p w14:paraId="67C20005">
      <w:pPr>
        <w:pStyle w:val="2"/>
        <w:overflowPunct w:val="0"/>
        <w:spacing w:line="360" w:lineRule="auto"/>
        <w:ind w:firstLineChars="175"/>
        <w:contextualSpacing/>
        <w:rPr>
          <w:color w:val="auto"/>
          <w:sz w:val="24"/>
          <w:highlight w:val="none"/>
        </w:rPr>
      </w:pPr>
      <w:r>
        <w:rPr>
          <w:rFonts w:hint="eastAsia"/>
          <w:color w:val="auto"/>
          <w:sz w:val="24"/>
          <w:highlight w:val="none"/>
        </w:rPr>
        <w:t>7</w:t>
      </w:r>
      <w:r>
        <w:rPr>
          <w:color w:val="auto"/>
          <w:sz w:val="24"/>
          <w:highlight w:val="none"/>
        </w:rPr>
        <w:t>.本协议书一式</w:t>
      </w:r>
      <w:r>
        <w:rPr>
          <w:color w:val="auto"/>
          <w:sz w:val="24"/>
          <w:highlight w:val="none"/>
          <w:u w:val="single"/>
        </w:rPr>
        <w:t xml:space="preserve"> </w:t>
      </w:r>
      <w:r>
        <w:rPr>
          <w:color w:val="auto"/>
          <w:sz w:val="24"/>
          <w:highlight w:val="none"/>
          <w:u w:val="single"/>
        </w:rPr>
        <w:tab/>
      </w:r>
      <w:r>
        <w:rPr>
          <w:color w:val="auto"/>
          <w:sz w:val="24"/>
          <w:highlight w:val="none"/>
        </w:rPr>
        <w:t>份，联合体成员和招标人各执一份。</w:t>
      </w:r>
    </w:p>
    <w:p w14:paraId="06A68CBF">
      <w:pPr>
        <w:pStyle w:val="2"/>
        <w:overflowPunct w:val="0"/>
        <w:spacing w:line="360" w:lineRule="auto"/>
        <w:ind w:firstLineChars="175"/>
        <w:contextualSpacing/>
        <w:rPr>
          <w:color w:val="auto"/>
          <w:sz w:val="24"/>
          <w:highlight w:val="none"/>
        </w:rPr>
      </w:pPr>
      <w:r>
        <w:rPr>
          <w:color w:val="auto"/>
          <w:sz w:val="24"/>
          <w:highlight w:val="none"/>
        </w:rPr>
        <w:t>注：本协议书由法定代表人签字的，应附法定代表人身份证明；由委托代理人签字的，应附授权委托书。</w:t>
      </w:r>
    </w:p>
    <w:p w14:paraId="1DA92B7C">
      <w:pPr>
        <w:pStyle w:val="2"/>
        <w:overflowPunct w:val="0"/>
        <w:spacing w:line="360" w:lineRule="auto"/>
        <w:ind w:firstLineChars="175"/>
        <w:contextualSpacing/>
        <w:rPr>
          <w:color w:val="auto"/>
          <w:sz w:val="24"/>
          <w:highlight w:val="none"/>
        </w:rPr>
      </w:pPr>
    </w:p>
    <w:p w14:paraId="6ACF884C">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联合体牵头人名称（</w:t>
      </w:r>
      <w:r>
        <w:rPr>
          <w:rFonts w:hint="eastAsia" w:ascii="仿宋" w:hAnsi="仿宋" w:eastAsia="仿宋" w:cs="仿宋"/>
          <w:color w:val="auto"/>
          <w:sz w:val="24"/>
          <w:highlight w:val="none"/>
          <w:lang w:val="en-US" w:eastAsia="zh-CN"/>
        </w:rPr>
        <w:t>公章/</w:t>
      </w:r>
      <w:r>
        <w:rPr>
          <w:rFonts w:hint="eastAsia" w:ascii="仿宋" w:hAnsi="仿宋" w:eastAsia="仿宋" w:cs="仿宋"/>
          <w:color w:val="auto"/>
          <w:sz w:val="24"/>
          <w:highlight w:val="none"/>
        </w:rPr>
        <w:t>电子签章）：</w:t>
      </w:r>
    </w:p>
    <w:p w14:paraId="2A839ECC">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（签字/电子签名）</w:t>
      </w:r>
    </w:p>
    <w:p w14:paraId="2F3C7627">
      <w:pPr>
        <w:pStyle w:val="2"/>
        <w:overflowPunct w:val="0"/>
        <w:spacing w:line="360" w:lineRule="auto"/>
        <w:ind w:firstLine="0"/>
        <w:contextualSpacing/>
        <w:rPr>
          <w:rFonts w:hint="eastAsia" w:ascii="仿宋" w:hAnsi="仿宋" w:eastAsia="仿宋" w:cs="仿宋"/>
          <w:color w:val="auto"/>
          <w:sz w:val="24"/>
          <w:highlight w:val="none"/>
        </w:rPr>
      </w:pPr>
    </w:p>
    <w:p w14:paraId="464D8A40">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color w:val="auto"/>
          <w:sz w:val="24"/>
          <w:highlight w:val="none"/>
          <w:lang w:val="en-US" w:eastAsia="zh-CN"/>
        </w:rPr>
        <w:t>公章/</w:t>
      </w:r>
      <w:r>
        <w:rPr>
          <w:rFonts w:hint="eastAsia" w:ascii="仿宋" w:hAnsi="仿宋" w:eastAsia="仿宋" w:cs="仿宋"/>
          <w:color w:val="auto"/>
          <w:sz w:val="24"/>
          <w:highlight w:val="none"/>
        </w:rPr>
        <w:t>电子签章）：</w:t>
      </w:r>
    </w:p>
    <w:p w14:paraId="5DC956C7">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（签字/电子签名）</w:t>
      </w:r>
    </w:p>
    <w:p w14:paraId="258F4017">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BF9C7A1">
      <w:pPr>
        <w:pStyle w:val="2"/>
        <w:overflowPunct w:val="0"/>
        <w:spacing w:line="360" w:lineRule="auto"/>
        <w:ind w:firstLineChars="175"/>
        <w:contextualSpacing/>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年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p w14:paraId="7883960A">
      <w:pPr>
        <w:snapToGrid w:val="0"/>
        <w:spacing w:line="360" w:lineRule="auto"/>
        <w:rPr>
          <w:rFonts w:hint="eastAsia"/>
          <w:b/>
          <w:bCs/>
          <w:color w:val="auto"/>
          <w:sz w:val="30"/>
          <w:szCs w:val="30"/>
          <w:highlight w:val="none"/>
        </w:rPr>
      </w:pPr>
      <w:r>
        <w:rPr>
          <w:rFonts w:hint="eastAsia" w:ascii="宋体" w:hAnsi="宋体" w:cs="宋体"/>
          <w:b/>
          <w:bCs/>
          <w:color w:val="auto"/>
          <w:sz w:val="32"/>
          <w:szCs w:val="32"/>
          <w:highlight w:val="none"/>
        </w:rPr>
        <w:br w:type="page"/>
      </w:r>
    </w:p>
    <w:p w14:paraId="191A678C">
      <w:pPr>
        <w:spacing w:line="600" w:lineRule="exact"/>
        <w:jc w:val="center"/>
        <w:rPr>
          <w:rFonts w:hint="eastAsia"/>
          <w:b/>
          <w:bCs/>
          <w:color w:val="auto"/>
          <w:sz w:val="30"/>
          <w:szCs w:val="30"/>
          <w:highlight w:val="none"/>
        </w:rPr>
      </w:pPr>
      <w:r>
        <w:rPr>
          <w:rFonts w:hint="eastAsia"/>
          <w:b/>
          <w:bCs/>
          <w:color w:val="auto"/>
          <w:sz w:val="30"/>
          <w:szCs w:val="30"/>
          <w:highlight w:val="none"/>
        </w:rPr>
        <w:t>十、投标人认为需要提供的其他证明材料</w:t>
      </w:r>
    </w:p>
    <w:p w14:paraId="5AFBF8F1">
      <w:pPr>
        <w:spacing w:line="600" w:lineRule="exact"/>
        <w:jc w:val="center"/>
        <w:rPr>
          <w:rFonts w:hint="eastAsia"/>
          <w:b/>
          <w:bCs/>
          <w:color w:val="auto"/>
          <w:sz w:val="30"/>
          <w:szCs w:val="30"/>
          <w:highlight w:val="none"/>
        </w:rPr>
      </w:pPr>
    </w:p>
    <w:p w14:paraId="15126F6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67043FE">
      <w:pPr>
        <w:snapToGrid w:val="0"/>
        <w:spacing w:line="360" w:lineRule="auto"/>
        <w:ind w:firstLine="5160" w:firstLineChars="2150"/>
        <w:rPr>
          <w:rFonts w:hint="eastAsia"/>
          <w:color w:val="auto"/>
          <w:szCs w:val="20"/>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8198BE2">
      <w:pPr>
        <w:autoSpaceDE w:val="0"/>
        <w:autoSpaceDN w:val="0"/>
        <w:adjustRightInd w:val="0"/>
        <w:spacing w:line="360" w:lineRule="auto"/>
        <w:jc w:val="left"/>
        <w:rPr>
          <w:rFonts w:hAnsi="宋体"/>
          <w:color w:val="auto"/>
          <w:szCs w:val="21"/>
          <w:highlight w:val="none"/>
        </w:rPr>
        <w:sectPr>
          <w:pgSz w:w="11911" w:h="16838"/>
          <w:pgMar w:top="1134" w:right="1134" w:bottom="1134" w:left="1134" w:header="720" w:footer="720" w:gutter="0"/>
          <w:cols w:space="720" w:num="1"/>
          <w:titlePg/>
          <w:docGrid w:linePitch="331" w:charSpace="0"/>
        </w:sectPr>
      </w:pPr>
    </w:p>
    <w:p w14:paraId="2B29954E">
      <w:pPr>
        <w:rPr>
          <w:color w:val="auto"/>
          <w:highlight w:val="none"/>
        </w:rPr>
      </w:pPr>
    </w:p>
    <w:p w14:paraId="6170A74D">
      <w:pPr>
        <w:jc w:val="center"/>
        <w:outlineLvl w:val="1"/>
        <w:rPr>
          <w:rFonts w:hint="eastAsia" w:ascii="宋体" w:hAnsi="宋体"/>
          <w:b/>
          <w:bCs/>
          <w:color w:val="auto"/>
          <w:sz w:val="28"/>
          <w:szCs w:val="28"/>
          <w:highlight w:val="none"/>
        </w:rPr>
      </w:pPr>
      <w:bookmarkStart w:id="267" w:name="_Toc6239"/>
      <w:bookmarkStart w:id="268" w:name="_Toc19686838"/>
      <w:r>
        <w:rPr>
          <w:rFonts w:hint="eastAsia" w:ascii="宋体" w:hAnsi="宋体"/>
          <w:b/>
          <w:bCs/>
          <w:color w:val="auto"/>
          <w:sz w:val="28"/>
          <w:szCs w:val="28"/>
          <w:highlight w:val="none"/>
        </w:rPr>
        <w:t>第三节 商务文件格式</w:t>
      </w:r>
      <w:bookmarkEnd w:id="267"/>
      <w:bookmarkEnd w:id="268"/>
    </w:p>
    <w:p w14:paraId="20DC9FAC">
      <w:pPr>
        <w:snapToGrid w:val="0"/>
        <w:spacing w:before="120" w:beforeLines="50" w:after="50"/>
        <w:rPr>
          <w:rFonts w:hint="eastAsia" w:ascii="宋体" w:hAnsi="宋体"/>
          <w:color w:val="auto"/>
          <w:sz w:val="30"/>
          <w:szCs w:val="20"/>
          <w:highlight w:val="none"/>
        </w:rPr>
      </w:pPr>
    </w:p>
    <w:p w14:paraId="200B0F5A">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C9D8AEC">
      <w:pPr>
        <w:snapToGrid w:val="0"/>
        <w:spacing w:before="120" w:beforeLines="50" w:after="50"/>
        <w:rPr>
          <w:rFonts w:hint="eastAsia" w:ascii="宋体" w:hAnsi="宋体"/>
          <w:color w:val="auto"/>
          <w:sz w:val="24"/>
          <w:szCs w:val="20"/>
          <w:highlight w:val="none"/>
        </w:rPr>
      </w:pPr>
    </w:p>
    <w:p w14:paraId="21A37331">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1FDABD34">
      <w:pPr>
        <w:snapToGrid w:val="0"/>
        <w:spacing w:before="120" w:beforeLines="50" w:after="50"/>
        <w:rPr>
          <w:rFonts w:hint="eastAsia" w:ascii="宋体" w:hAnsi="宋体"/>
          <w:bCs/>
          <w:color w:val="auto"/>
          <w:sz w:val="24"/>
          <w:szCs w:val="20"/>
          <w:highlight w:val="none"/>
        </w:rPr>
      </w:pPr>
    </w:p>
    <w:p w14:paraId="0F2C721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B8183AC">
      <w:pPr>
        <w:snapToGrid w:val="0"/>
        <w:spacing w:before="120" w:beforeLines="50" w:after="50"/>
        <w:ind w:firstLine="540" w:firstLineChars="225"/>
        <w:rPr>
          <w:rFonts w:hint="eastAsia" w:ascii="宋体" w:hAnsi="宋体"/>
          <w:bCs/>
          <w:color w:val="auto"/>
          <w:sz w:val="24"/>
          <w:szCs w:val="20"/>
          <w:highlight w:val="none"/>
        </w:rPr>
      </w:pPr>
    </w:p>
    <w:p w14:paraId="272E39F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49BDA7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221691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2D0263F">
      <w:pPr>
        <w:snapToGrid w:val="0"/>
        <w:spacing w:before="120" w:beforeLines="50" w:after="50"/>
        <w:ind w:firstLine="540" w:firstLineChars="225"/>
        <w:rPr>
          <w:rFonts w:hint="eastAsia" w:ascii="宋体" w:hAnsi="宋体"/>
          <w:bCs/>
          <w:color w:val="auto"/>
          <w:sz w:val="24"/>
          <w:szCs w:val="20"/>
          <w:highlight w:val="none"/>
        </w:rPr>
      </w:pPr>
    </w:p>
    <w:p w14:paraId="05043A14">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58CC22AC">
      <w:pPr>
        <w:snapToGrid w:val="0"/>
        <w:spacing w:before="50" w:after="50"/>
        <w:ind w:firstLine="540" w:firstLineChars="225"/>
        <w:rPr>
          <w:rFonts w:hint="eastAsia" w:ascii="宋体" w:hAnsi="宋体"/>
          <w:bCs/>
          <w:color w:val="auto"/>
          <w:sz w:val="24"/>
          <w:highlight w:val="none"/>
        </w:rPr>
      </w:pPr>
    </w:p>
    <w:p w14:paraId="2DC8EBC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5685B90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8647D5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0E690FA">
      <w:pPr>
        <w:snapToGrid w:val="0"/>
        <w:spacing w:before="120" w:beforeLines="50" w:after="50"/>
        <w:ind w:firstLine="645"/>
        <w:rPr>
          <w:rFonts w:ascii="宋体" w:hAnsi="宋体"/>
          <w:color w:val="auto"/>
          <w:sz w:val="24"/>
          <w:highlight w:val="none"/>
        </w:rPr>
      </w:pPr>
    </w:p>
    <w:p w14:paraId="1F97BB45">
      <w:pPr>
        <w:spacing w:line="360" w:lineRule="auto"/>
        <w:ind w:right="420"/>
        <w:rPr>
          <w:rFonts w:hint="eastAsia" w:ascii="仿宋_GB2312" w:hAnsi="仿宋" w:eastAsia="仿宋_GB2312" w:cs="仿宋_GB2312"/>
          <w:b/>
          <w:color w:val="auto"/>
          <w:kern w:val="0"/>
          <w:sz w:val="36"/>
          <w:szCs w:val="36"/>
          <w:highlight w:val="none"/>
        </w:rPr>
      </w:pPr>
      <w:r>
        <w:rPr>
          <w:rFonts w:ascii="宋体" w:hAnsi="宋体"/>
          <w:color w:val="auto"/>
          <w:sz w:val="24"/>
          <w:szCs w:val="20"/>
          <w:highlight w:val="none"/>
        </w:rPr>
        <w:t xml:space="preserve"> </w:t>
      </w:r>
      <w:r>
        <w:rPr>
          <w:rFonts w:hint="eastAsia" w:ascii="仿宋_GB2312" w:hAnsi="仿宋" w:eastAsia="仿宋_GB2312" w:cs="仿宋_GB2312"/>
          <w:b/>
          <w:color w:val="auto"/>
          <w:kern w:val="0"/>
          <w:sz w:val="36"/>
          <w:szCs w:val="36"/>
          <w:highlight w:val="none"/>
        </w:rPr>
        <w:t xml:space="preserve"> </w:t>
      </w:r>
    </w:p>
    <w:p w14:paraId="4BC7073E">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2109A63B">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58E351A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一、无串通投标行为的承诺函………………………………………………………（页码）</w:t>
      </w:r>
    </w:p>
    <w:p w14:paraId="56C0D956">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63D0859F">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28ECA42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2FC7FE86">
      <w:pPr>
        <w:adjustRightInd w:val="0"/>
        <w:spacing w:line="360" w:lineRule="auto"/>
        <w:ind w:left="2" w:firstLine="480" w:firstLineChars="200"/>
        <w:rPr>
          <w:rFonts w:hint="eastAsia" w:ascii="仿宋_GB2312" w:hAnsi="仿宋" w:eastAsia="仿宋_GB2312" w:cs="仿宋_GB2312"/>
          <w:color w:val="auto"/>
          <w:sz w:val="24"/>
          <w:highlight w:val="none"/>
        </w:rPr>
      </w:pPr>
      <w:bookmarkStart w:id="269" w:name="OLE_LINK7"/>
      <w:bookmarkStart w:id="270" w:name="OLE_LINK6"/>
      <w:bookmarkStart w:id="271" w:name="OLE_LINK5"/>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8DBD26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六、除招标文件规定必须提供以外，投标人认为需要提供的其他证明材料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bookmarkEnd w:id="269"/>
      <w:bookmarkEnd w:id="270"/>
    </w:p>
    <w:bookmarkEnd w:id="271"/>
    <w:p w14:paraId="7CA77A34">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注：以上目录是基本格式要求，各投标人可根据招标文件的要求及自身情况进一步增加内容或细化。</w:t>
      </w:r>
    </w:p>
    <w:p w14:paraId="10589CBA">
      <w:pPr>
        <w:snapToGrid w:val="0"/>
        <w:spacing w:line="360" w:lineRule="auto"/>
        <w:ind w:firstLine="420" w:firstLineChars="200"/>
        <w:jc w:val="left"/>
        <w:rPr>
          <w:rFonts w:ascii="宋体" w:hAnsi="宋体"/>
          <w:color w:val="auto"/>
          <w:highlight w:val="none"/>
        </w:rPr>
        <w:sectPr>
          <w:pgSz w:w="11911" w:h="16838"/>
          <w:pgMar w:top="1134" w:right="1134" w:bottom="1134" w:left="1134" w:header="720" w:footer="720" w:gutter="0"/>
          <w:cols w:space="720" w:num="1"/>
          <w:titlePg/>
          <w:docGrid w:linePitch="331" w:charSpace="0"/>
        </w:sectPr>
      </w:pPr>
    </w:p>
    <w:p w14:paraId="62254503">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一、无串通投标行为的承诺函</w:t>
      </w:r>
    </w:p>
    <w:p w14:paraId="5E271269">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投标人参加本项目无串通投标行为的承诺函</w:t>
      </w:r>
    </w:p>
    <w:p w14:paraId="7FCEA977">
      <w:pPr>
        <w:snapToGrid w:val="0"/>
        <w:spacing w:before="120" w:beforeLines="50" w:after="50"/>
        <w:rPr>
          <w:rFonts w:ascii="宋体" w:hAnsi="宋体"/>
          <w:b/>
          <w:color w:val="auto"/>
          <w:szCs w:val="21"/>
          <w:highlight w:val="none"/>
        </w:rPr>
      </w:pPr>
    </w:p>
    <w:p w14:paraId="091F5E53">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29AB8F3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3ABBFCD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FBFDAE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14DC47F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E2E2B4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46254AE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33D524F">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211089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1.投标人直接或者间接从采购人或者采购代理机构处获得其他投标人的相关信息并修改其投标文件或者响应文件；</w:t>
      </w:r>
    </w:p>
    <w:p w14:paraId="001D15D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2.投标人按照采购人或者采购代理机构的授意撤换、修改投标文件或者响应文件；</w:t>
      </w:r>
    </w:p>
    <w:p w14:paraId="023CBD0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3.投标人之间协商报价、技术方案等投标文件或者响应文件的实质性内容；</w:t>
      </w:r>
    </w:p>
    <w:p w14:paraId="7AE5BE3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CFA647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5FA20F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65B839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2AFBFCC8">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0758FD27">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62F1C78D">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53B818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D1E2405">
      <w:pPr>
        <w:snapToGrid w:val="0"/>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r>
      <w:r>
        <w:rPr>
          <w:rFonts w:hint="eastAsia" w:ascii="宋体" w:hAnsi="宋体"/>
          <w:b/>
          <w:color w:val="auto"/>
          <w:sz w:val="24"/>
          <w:szCs w:val="20"/>
          <w:highlight w:val="none"/>
        </w:rPr>
        <w:t>二、</w:t>
      </w:r>
      <w:r>
        <w:rPr>
          <w:rFonts w:hint="eastAsia"/>
          <w:b/>
          <w:bCs/>
          <w:color w:val="auto"/>
          <w:sz w:val="30"/>
          <w:szCs w:val="30"/>
          <w:highlight w:val="none"/>
        </w:rPr>
        <w:t>法定代表人身份证明</w:t>
      </w:r>
    </w:p>
    <w:p w14:paraId="6E6F2479">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2E475C6A">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64D9D75">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9BA9529">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8A66D73">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2C574E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3EA4D1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6B67F32">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1518ED0">
      <w:pPr>
        <w:spacing w:line="500" w:lineRule="exact"/>
        <w:ind w:left="540"/>
        <w:rPr>
          <w:rFonts w:hint="eastAsia" w:ascii="宋体" w:hAnsi="宋体"/>
          <w:color w:val="auto"/>
          <w:sz w:val="24"/>
          <w:highlight w:val="none"/>
        </w:rPr>
      </w:pPr>
    </w:p>
    <w:p w14:paraId="6F07D11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b/>
          <w:bCs/>
          <w:color w:val="auto"/>
          <w:sz w:val="24"/>
          <w:highlight w:val="none"/>
        </w:rPr>
        <w:t>法定代表人有效身份证正反面复印件</w:t>
      </w:r>
      <w:r>
        <w:rPr>
          <w:rFonts w:hint="eastAsia" w:ascii="宋体" w:hAnsi="Calibri"/>
          <w:b/>
          <w:color w:val="auto"/>
          <w:sz w:val="24"/>
          <w:highlight w:val="none"/>
        </w:rPr>
        <w:t>(电子签章)</w:t>
      </w:r>
    </w:p>
    <w:p w14:paraId="12AF487A">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363A6B7C">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C3403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8D474AE">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6CEF9CB6">
      <w:pPr>
        <w:snapToGrid w:val="0"/>
        <w:spacing w:before="295" w:after="295" w:line="360" w:lineRule="auto"/>
        <w:rPr>
          <w:rFonts w:hint="eastAsia" w:ascii="宋体" w:hAnsi="宋体"/>
          <w:b/>
          <w:color w:val="auto"/>
          <w:sz w:val="24"/>
          <w:szCs w:val="20"/>
          <w:highlight w:val="none"/>
        </w:rPr>
      </w:pPr>
    </w:p>
    <w:p w14:paraId="1A458976">
      <w:pPr>
        <w:snapToGrid w:val="0"/>
        <w:spacing w:before="295" w:after="295" w:line="360" w:lineRule="auto"/>
        <w:rPr>
          <w:rFonts w:hint="eastAsia" w:ascii="宋体" w:hAnsi="宋体"/>
          <w:b/>
          <w:color w:val="auto"/>
          <w:sz w:val="24"/>
          <w:szCs w:val="20"/>
          <w:highlight w:val="none"/>
        </w:rPr>
      </w:pPr>
    </w:p>
    <w:p w14:paraId="2091C3FB">
      <w:pPr>
        <w:snapToGrid w:val="0"/>
        <w:spacing w:before="295" w:after="295" w:line="360" w:lineRule="auto"/>
        <w:rPr>
          <w:rFonts w:hint="eastAsia" w:ascii="宋体" w:hAnsi="宋体"/>
          <w:b/>
          <w:color w:val="auto"/>
          <w:sz w:val="24"/>
          <w:szCs w:val="20"/>
          <w:highlight w:val="none"/>
        </w:rPr>
      </w:pPr>
      <w:r>
        <w:rPr>
          <w:rFonts w:hint="eastAsia" w:ascii="宋体" w:hAnsi="宋体"/>
          <w:b/>
          <w:color w:val="auto"/>
          <w:sz w:val="24"/>
          <w:szCs w:val="20"/>
          <w:highlight w:val="none"/>
        </w:rPr>
        <w:t>附件：法定代表人有效身份证正反面复印件(电子签章)</w:t>
      </w:r>
    </w:p>
    <w:p w14:paraId="0CA9F26D">
      <w:pPr>
        <w:snapToGrid w:val="0"/>
        <w:spacing w:before="295" w:after="295" w:line="360" w:lineRule="auto"/>
        <w:rPr>
          <w:rFonts w:hint="eastAsia" w:ascii="宋体" w:hAnsi="宋体"/>
          <w:b/>
          <w:color w:val="auto"/>
          <w:sz w:val="24"/>
          <w:szCs w:val="20"/>
          <w:highlight w:val="none"/>
        </w:rPr>
      </w:pPr>
    </w:p>
    <w:p w14:paraId="0F10DA00">
      <w:pPr>
        <w:snapToGrid w:val="0"/>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r>
      <w:r>
        <w:rPr>
          <w:rFonts w:hint="eastAsia" w:ascii="宋体" w:hAnsi="宋体"/>
          <w:b/>
          <w:color w:val="auto"/>
          <w:sz w:val="24"/>
          <w:szCs w:val="20"/>
          <w:highlight w:val="none"/>
        </w:rPr>
        <w:t>三、</w:t>
      </w:r>
      <w:r>
        <w:rPr>
          <w:rFonts w:hint="eastAsia"/>
          <w:b/>
          <w:bCs/>
          <w:color w:val="auto"/>
          <w:sz w:val="30"/>
          <w:szCs w:val="30"/>
          <w:highlight w:val="none"/>
        </w:rPr>
        <w:t>法定代表人授权委托书（如有委托时）</w:t>
      </w:r>
    </w:p>
    <w:p w14:paraId="5F5C0B75">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2E6BF5FD">
      <w:pPr>
        <w:snapToGrid w:val="0"/>
        <w:spacing w:before="120" w:beforeLines="50" w:after="50"/>
        <w:jc w:val="center"/>
        <w:rPr>
          <w:rFonts w:hint="eastAsia" w:ascii="宋体" w:hAnsi="宋体"/>
          <w:b/>
          <w:color w:val="auto"/>
          <w:sz w:val="32"/>
          <w:szCs w:val="32"/>
          <w:highlight w:val="none"/>
        </w:rPr>
      </w:pPr>
    </w:p>
    <w:p w14:paraId="512FD0FE">
      <w:pPr>
        <w:snapToGrid w:val="0"/>
        <w:spacing w:before="120" w:beforeLines="50" w:after="50"/>
        <w:jc w:val="center"/>
        <w:rPr>
          <w:rFonts w:hint="eastAsia" w:ascii="宋体" w:hAnsi="宋体"/>
          <w:b/>
          <w:color w:val="auto"/>
          <w:sz w:val="24"/>
          <w:highlight w:val="none"/>
        </w:rPr>
      </w:pPr>
    </w:p>
    <w:p w14:paraId="126435DD">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77BB3C7C">
      <w:pPr>
        <w:spacing w:line="440" w:lineRule="exact"/>
        <w:ind w:firstLine="420" w:firstLineChars="20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u w:val="single"/>
        </w:rPr>
        <w:t>（投标人名称）</w:t>
      </w:r>
      <w:r>
        <w:rPr>
          <w:rFonts w:hint="eastAsia"/>
          <w:color w:val="auto"/>
          <w:szCs w:val="20"/>
          <w:highlight w:val="none"/>
        </w:rPr>
        <w:t>的法定代表人，现授权我单位在职正式员工</w:t>
      </w:r>
      <w:r>
        <w:rPr>
          <w:color w:val="auto"/>
          <w:szCs w:val="20"/>
          <w:highlight w:val="none"/>
          <w:u w:val="single"/>
        </w:rPr>
        <w:t xml:space="preserve">    </w:t>
      </w:r>
      <w:r>
        <w:rPr>
          <w:rFonts w:hint="eastAsia"/>
          <w:color w:val="auto"/>
          <w:szCs w:val="20"/>
          <w:highlight w:val="none"/>
          <w:u w:val="single"/>
        </w:rPr>
        <w:t xml:space="preserve">     </w:t>
      </w:r>
      <w:r>
        <w:rPr>
          <w:color w:val="auto"/>
          <w:szCs w:val="20"/>
          <w:highlight w:val="none"/>
          <w:u w:val="single"/>
        </w:rPr>
        <w:t xml:space="preserve">    </w:t>
      </w:r>
      <w:r>
        <w:rPr>
          <w:rFonts w:hint="eastAsia"/>
          <w:color w:val="auto"/>
          <w:szCs w:val="20"/>
          <w:highlight w:val="none"/>
          <w:u w:val="single"/>
        </w:rPr>
        <w:t>（姓名和职务）</w:t>
      </w:r>
      <w:r>
        <w:rPr>
          <w:rFonts w:hint="eastAsia"/>
          <w:color w:val="auto"/>
          <w:szCs w:val="20"/>
          <w:highlight w:val="none"/>
        </w:rPr>
        <w:t>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3EBA1E3A">
      <w:pPr>
        <w:spacing w:line="440" w:lineRule="exact"/>
        <w:ind w:firstLine="420" w:firstLineChars="20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433237AD">
      <w:pPr>
        <w:spacing w:line="360" w:lineRule="auto"/>
        <w:ind w:firstLine="420"/>
        <w:rPr>
          <w:color w:val="auto"/>
          <w:szCs w:val="20"/>
          <w:highlight w:val="none"/>
        </w:rPr>
      </w:pPr>
      <w:r>
        <w:rPr>
          <w:rFonts w:hint="eastAsia"/>
          <w:color w:val="auto"/>
          <w:szCs w:val="20"/>
          <w:highlight w:val="none"/>
        </w:rPr>
        <w:t>代理人无转委托权。</w:t>
      </w:r>
    </w:p>
    <w:p w14:paraId="490FB8B2">
      <w:pPr>
        <w:spacing w:line="360" w:lineRule="auto"/>
        <w:ind w:firstLine="420"/>
        <w:rPr>
          <w:color w:val="auto"/>
          <w:szCs w:val="20"/>
          <w:highlight w:val="none"/>
        </w:rPr>
      </w:pPr>
    </w:p>
    <w:p w14:paraId="119EA3BA">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kern w:val="0"/>
          <w:szCs w:val="21"/>
          <w:highlight w:val="none"/>
        </w:rPr>
        <w:t>牵头人名称</w:t>
      </w:r>
      <w:r>
        <w:rPr>
          <w:rFonts w:hint="eastAsia"/>
          <w:color w:val="auto"/>
          <w:szCs w:val="20"/>
          <w:highlight w:val="none"/>
        </w:rPr>
        <w:t>）（盖单位公章/电子签章）：</w:t>
      </w:r>
      <w:r>
        <w:rPr>
          <w:color w:val="auto"/>
          <w:szCs w:val="20"/>
          <w:highlight w:val="none"/>
          <w:u w:val="single"/>
        </w:rPr>
        <w:t xml:space="preserve">                        </w:t>
      </w:r>
    </w:p>
    <w:p w14:paraId="6D7E7292">
      <w:pPr>
        <w:spacing w:line="360" w:lineRule="auto"/>
        <w:ind w:firstLine="420"/>
        <w:rPr>
          <w:color w:val="auto"/>
          <w:szCs w:val="20"/>
          <w:highlight w:val="none"/>
          <w:u w:val="single"/>
        </w:rPr>
      </w:pPr>
      <w:r>
        <w:rPr>
          <w:rFonts w:hint="eastAsia"/>
          <w:color w:val="auto"/>
          <w:szCs w:val="20"/>
          <w:highlight w:val="none"/>
        </w:rPr>
        <w:t>法定代表人（签名/电子签名）：</w:t>
      </w:r>
      <w:r>
        <w:rPr>
          <w:color w:val="auto"/>
          <w:szCs w:val="20"/>
          <w:highlight w:val="none"/>
          <w:u w:val="single"/>
        </w:rPr>
        <w:t xml:space="preserve">                            </w:t>
      </w:r>
    </w:p>
    <w:p w14:paraId="4BC8F23A">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331EB918">
      <w:pPr>
        <w:spacing w:line="360" w:lineRule="auto"/>
        <w:ind w:firstLine="420" w:firstLineChars="200"/>
        <w:rPr>
          <w:color w:val="auto"/>
          <w:szCs w:val="20"/>
          <w:highlight w:val="none"/>
        </w:rPr>
      </w:pPr>
      <w:r>
        <w:rPr>
          <w:rFonts w:hint="eastAsia"/>
          <w:color w:val="auto"/>
          <w:szCs w:val="20"/>
          <w:highlight w:val="none"/>
        </w:rPr>
        <w:t>委托代理人（签名/电子签名）：</w:t>
      </w:r>
      <w:r>
        <w:rPr>
          <w:color w:val="auto"/>
          <w:szCs w:val="20"/>
          <w:highlight w:val="none"/>
          <w:u w:val="single"/>
        </w:rPr>
        <w:t xml:space="preserve">                            </w:t>
      </w:r>
    </w:p>
    <w:p w14:paraId="5725797C">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2836574F">
      <w:pPr>
        <w:spacing w:line="360" w:lineRule="auto"/>
        <w:ind w:firstLine="420"/>
        <w:rPr>
          <w:rFonts w:hint="eastAsia"/>
          <w:color w:val="auto"/>
          <w:szCs w:val="20"/>
          <w:highlight w:val="none"/>
        </w:rPr>
      </w:pPr>
    </w:p>
    <w:p w14:paraId="396E37C1">
      <w:pPr>
        <w:spacing w:line="360" w:lineRule="auto"/>
        <w:ind w:firstLine="420"/>
        <w:rPr>
          <w:rFonts w:hint="eastAsia"/>
          <w:color w:val="auto"/>
          <w:szCs w:val="20"/>
          <w:highlight w:val="none"/>
        </w:rPr>
      </w:pPr>
      <w:r>
        <w:rPr>
          <w:rFonts w:hint="eastAsia"/>
          <w:color w:val="auto"/>
          <w:szCs w:val="20"/>
          <w:highlight w:val="none"/>
        </w:rPr>
        <w:t>成员一名称：（盖单位公章/电子签章）：</w:t>
      </w:r>
      <w:r>
        <w:rPr>
          <w:color w:val="auto"/>
          <w:szCs w:val="20"/>
          <w:highlight w:val="none"/>
          <w:u w:val="single"/>
        </w:rPr>
        <w:t xml:space="preserve">                        </w:t>
      </w:r>
      <w:r>
        <w:rPr>
          <w:color w:val="auto"/>
          <w:szCs w:val="20"/>
          <w:highlight w:val="none"/>
        </w:rPr>
        <w:t xml:space="preserve"> </w:t>
      </w:r>
    </w:p>
    <w:p w14:paraId="53746D27">
      <w:pPr>
        <w:spacing w:line="360" w:lineRule="auto"/>
        <w:ind w:firstLine="420"/>
        <w:rPr>
          <w:rFonts w:hint="eastAsia"/>
          <w:color w:val="auto"/>
          <w:szCs w:val="20"/>
          <w:highlight w:val="none"/>
        </w:rPr>
      </w:pPr>
      <w:r>
        <w:rPr>
          <w:rFonts w:hint="eastAsia"/>
          <w:color w:val="auto"/>
          <w:szCs w:val="20"/>
          <w:highlight w:val="none"/>
        </w:rPr>
        <w:t>法定代表人（签名/电子签名）：</w:t>
      </w:r>
      <w:r>
        <w:rPr>
          <w:color w:val="auto"/>
          <w:szCs w:val="20"/>
          <w:highlight w:val="none"/>
        </w:rPr>
        <w:t xml:space="preserve"> </w:t>
      </w:r>
      <w:r>
        <w:rPr>
          <w:color w:val="auto"/>
          <w:szCs w:val="20"/>
          <w:highlight w:val="none"/>
          <w:u w:val="single"/>
        </w:rPr>
        <w:t xml:space="preserve">                        </w:t>
      </w:r>
    </w:p>
    <w:p w14:paraId="5E51D297">
      <w:pPr>
        <w:spacing w:line="360" w:lineRule="auto"/>
        <w:ind w:firstLine="420"/>
        <w:rPr>
          <w:rFonts w:hint="eastAsia"/>
          <w:color w:val="auto"/>
          <w:szCs w:val="20"/>
          <w:highlight w:val="none"/>
        </w:rPr>
      </w:pPr>
      <w:r>
        <w:rPr>
          <w:rFonts w:hint="eastAsia"/>
          <w:color w:val="auto"/>
          <w:szCs w:val="20"/>
          <w:highlight w:val="none"/>
        </w:rPr>
        <w:t>成员二名称：</w:t>
      </w:r>
      <w:r>
        <w:rPr>
          <w:color w:val="auto"/>
          <w:szCs w:val="20"/>
          <w:highlight w:val="none"/>
          <w:u w:val="single"/>
        </w:rPr>
        <w:t xml:space="preserve">                        </w:t>
      </w:r>
      <w:r>
        <w:rPr>
          <w:rFonts w:hint="eastAsia"/>
          <w:color w:val="auto"/>
          <w:szCs w:val="20"/>
          <w:highlight w:val="none"/>
        </w:rPr>
        <w:t xml:space="preserve">（盖单位公章/电子签章） </w:t>
      </w:r>
    </w:p>
    <w:p w14:paraId="2A67F9CC">
      <w:pPr>
        <w:spacing w:line="360" w:lineRule="auto"/>
        <w:ind w:firstLine="420"/>
        <w:rPr>
          <w:rFonts w:hint="eastAsia"/>
          <w:color w:val="auto"/>
          <w:szCs w:val="20"/>
          <w:highlight w:val="none"/>
        </w:rPr>
      </w:pPr>
      <w:r>
        <w:rPr>
          <w:rFonts w:hint="eastAsia"/>
          <w:color w:val="auto"/>
          <w:szCs w:val="20"/>
          <w:highlight w:val="none"/>
        </w:rPr>
        <w:t>法定代表人或其委托代理人：</w:t>
      </w:r>
      <w:r>
        <w:rPr>
          <w:color w:val="auto"/>
          <w:szCs w:val="20"/>
          <w:highlight w:val="none"/>
          <w:u w:val="single"/>
        </w:rPr>
        <w:t xml:space="preserve">                        </w:t>
      </w:r>
      <w:r>
        <w:rPr>
          <w:rFonts w:hint="eastAsia"/>
          <w:color w:val="auto"/>
          <w:szCs w:val="20"/>
          <w:highlight w:val="none"/>
        </w:rPr>
        <w:t xml:space="preserve">（签名/电子签名） </w:t>
      </w:r>
    </w:p>
    <w:p w14:paraId="61D28729">
      <w:pPr>
        <w:spacing w:line="360" w:lineRule="auto"/>
        <w:ind w:firstLine="420"/>
        <w:rPr>
          <w:rFonts w:hint="eastAsia" w:ascii="宋体" w:hAnsi="Courier New" w:cs="宋体"/>
          <w:color w:val="auto"/>
          <w:kern w:val="0"/>
          <w:szCs w:val="21"/>
          <w:highlight w:val="none"/>
        </w:rPr>
      </w:pPr>
      <w:r>
        <w:rPr>
          <w:rFonts w:hint="eastAsia"/>
          <w:color w:val="auto"/>
          <w:szCs w:val="20"/>
          <w:highlight w:val="none"/>
        </w:rPr>
        <w:t>......</w:t>
      </w:r>
    </w:p>
    <w:p w14:paraId="3B04A7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08191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1.法定代表人和委托代理人必须在授权委托书上亲笔签名或电子签名，不得使用印章、签名章或者其他电子制版签名代替（不包括广西政府采购云平台认可的CA认证的电子签章、电子签名），</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D67D5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25FF77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94CB8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E5314D1">
      <w:pPr>
        <w:spacing w:line="360" w:lineRule="auto"/>
        <w:rPr>
          <w:rFonts w:hint="eastAsia" w:ascii="宋体" w:hAnsi="宋体" w:cs="宋体"/>
          <w:color w:val="auto"/>
          <w:szCs w:val="21"/>
          <w:highlight w:val="none"/>
        </w:rPr>
      </w:pPr>
      <w:r>
        <w:rPr>
          <w:rFonts w:hint="eastAsia" w:ascii="宋体" w:hAnsi="宋体"/>
          <w:b/>
          <w:color w:val="auto"/>
          <w:sz w:val="24"/>
          <w:szCs w:val="20"/>
          <w:highlight w:val="none"/>
        </w:rPr>
        <w:t>附件：</w:t>
      </w:r>
      <w:r>
        <w:rPr>
          <w:rFonts w:hint="eastAsia" w:ascii="宋体"/>
          <w:b/>
          <w:color w:val="auto"/>
          <w:sz w:val="24"/>
          <w:highlight w:val="none"/>
        </w:rPr>
        <w:t>全权代表</w:t>
      </w:r>
      <w:r>
        <w:rPr>
          <w:rFonts w:hint="eastAsia" w:ascii="宋体" w:hAnsi="宋体"/>
          <w:b/>
          <w:color w:val="auto"/>
          <w:sz w:val="24"/>
          <w:szCs w:val="20"/>
          <w:highlight w:val="none"/>
        </w:rPr>
        <w:t>有效身份证正反面复印件(电子签章)</w:t>
      </w:r>
    </w:p>
    <w:p w14:paraId="51F56E3F">
      <w:pPr>
        <w:snapToGrid w:val="0"/>
        <w:spacing w:before="120" w:beforeLines="50" w:after="50"/>
        <w:rPr>
          <w:rFonts w:ascii="宋体" w:hAnsi="宋体"/>
          <w:color w:val="auto"/>
          <w:highlight w:val="none"/>
        </w:rPr>
      </w:pPr>
      <w:r>
        <w:rPr>
          <w:rFonts w:ascii="宋体" w:hAnsi="宋体"/>
          <w:color w:val="auto"/>
          <w:sz w:val="24"/>
          <w:highlight w:val="none"/>
        </w:rPr>
        <w:br w:type="page"/>
      </w:r>
    </w:p>
    <w:p w14:paraId="7A6EC35D">
      <w:pPr>
        <w:jc w:val="center"/>
        <w:rPr>
          <w:rFonts w:hint="eastAsia"/>
          <w:b/>
          <w:bCs/>
          <w:color w:val="auto"/>
          <w:sz w:val="30"/>
          <w:szCs w:val="30"/>
          <w:highlight w:val="none"/>
        </w:rPr>
      </w:pPr>
      <w:r>
        <w:rPr>
          <w:rFonts w:hint="eastAsia"/>
          <w:b/>
          <w:bCs/>
          <w:color w:val="auto"/>
          <w:sz w:val="30"/>
          <w:szCs w:val="30"/>
          <w:highlight w:val="none"/>
        </w:rPr>
        <w:t>四、商务条款偏离表</w:t>
      </w:r>
    </w:p>
    <w:p w14:paraId="6CBD2662">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305B7FF9">
      <w:pPr>
        <w:snapToGrid w:val="0"/>
        <w:spacing w:before="50"/>
        <w:jc w:val="left"/>
        <w:rPr>
          <w:rFonts w:hint="eastAsia" w:ascii="宋体" w:hAnsi="宋体"/>
          <w:color w:val="auto"/>
          <w:sz w:val="24"/>
          <w:highlight w:val="none"/>
        </w:rPr>
      </w:pPr>
    </w:p>
    <w:p w14:paraId="537F2249">
      <w:pPr>
        <w:spacing w:line="360" w:lineRule="auto"/>
        <w:ind w:left="-4" w:firstLine="426"/>
        <w:rPr>
          <w:rFonts w:hint="eastAsia" w:ascii="宋体" w:hAnsi="宋体"/>
          <w:color w:val="auto"/>
          <w:sz w:val="24"/>
          <w:highlight w:val="none"/>
        </w:rPr>
      </w:pPr>
      <w:r>
        <w:rPr>
          <w:rFonts w:hint="eastAsia"/>
          <w:color w:val="auto"/>
          <w:szCs w:val="20"/>
          <w:highlight w:val="none"/>
        </w:rPr>
        <w:t>请逐条对应本项目招标文件第二章“采购需求”中“商务条款”的要求，详细填写相应的具体内容。“偏离说明”一栏应当选择“正偏离”、“负偏离”或“无偏离”进行填写。</w:t>
      </w:r>
    </w:p>
    <w:tbl>
      <w:tblPr>
        <w:tblStyle w:val="1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B4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A5F78C7">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F00997C">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3B82EBA">
            <w:pPr>
              <w:spacing w:line="340" w:lineRule="exact"/>
              <w:jc w:val="center"/>
              <w:rPr>
                <w:rFonts w:ascii="宋体" w:hAnsi="宋体"/>
                <w:color w:val="auto"/>
                <w:szCs w:val="21"/>
                <w:highlight w:val="none"/>
              </w:rPr>
            </w:pPr>
            <w:r>
              <w:rPr>
                <w:rFonts w:hint="eastAsia" w:ascii="宋体" w:hAnsi="宋体"/>
                <w:color w:val="auto"/>
                <w:szCs w:val="21"/>
                <w:highlight w:val="none"/>
              </w:rPr>
              <w:t>投标文件响应的商务条款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D7E661">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5611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F67C73">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BC0E628">
            <w:pPr>
              <w:spacing w:line="340" w:lineRule="exact"/>
              <w:rPr>
                <w:rFonts w:ascii="宋体" w:hAnsi="宋体"/>
                <w:color w:val="auto"/>
                <w:szCs w:val="21"/>
                <w:highlight w:val="none"/>
              </w:rPr>
            </w:pPr>
            <w:r>
              <w:rPr>
                <w:rFonts w:hint="eastAsia" w:ascii="宋体" w:hAnsi="宋体"/>
                <w:color w:val="auto"/>
                <w:szCs w:val="21"/>
                <w:highlight w:val="none"/>
              </w:rPr>
              <w:t>1  ……</w:t>
            </w:r>
          </w:p>
          <w:p w14:paraId="6036615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620A68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B63D1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44B40C">
            <w:pPr>
              <w:spacing w:line="340" w:lineRule="exact"/>
              <w:rPr>
                <w:rFonts w:ascii="宋体" w:hAnsi="宋体"/>
                <w:color w:val="auto"/>
                <w:szCs w:val="21"/>
                <w:highlight w:val="none"/>
              </w:rPr>
            </w:pPr>
            <w:r>
              <w:rPr>
                <w:rFonts w:hint="eastAsia" w:ascii="宋体" w:hAnsi="宋体"/>
                <w:color w:val="auto"/>
                <w:szCs w:val="21"/>
                <w:highlight w:val="none"/>
              </w:rPr>
              <w:t>1  ……</w:t>
            </w:r>
          </w:p>
          <w:p w14:paraId="2DC508C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B2CF83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872074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F25EA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2A8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358E890">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098FC23">
            <w:pPr>
              <w:spacing w:line="340" w:lineRule="exact"/>
              <w:rPr>
                <w:rFonts w:ascii="宋体" w:hAnsi="宋体"/>
                <w:color w:val="auto"/>
                <w:szCs w:val="21"/>
                <w:highlight w:val="none"/>
              </w:rPr>
            </w:pPr>
            <w:r>
              <w:rPr>
                <w:rFonts w:hint="eastAsia" w:ascii="宋体" w:hAnsi="宋体"/>
                <w:color w:val="auto"/>
                <w:szCs w:val="21"/>
                <w:highlight w:val="none"/>
              </w:rPr>
              <w:t>1  ……</w:t>
            </w:r>
          </w:p>
          <w:p w14:paraId="7B9417D4">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858553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CF99C9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CDF2AE9">
            <w:pPr>
              <w:spacing w:line="340" w:lineRule="exact"/>
              <w:rPr>
                <w:rFonts w:ascii="宋体" w:hAnsi="宋体"/>
                <w:color w:val="auto"/>
                <w:szCs w:val="21"/>
                <w:highlight w:val="none"/>
              </w:rPr>
            </w:pPr>
            <w:r>
              <w:rPr>
                <w:rFonts w:hint="eastAsia" w:ascii="宋体" w:hAnsi="宋体"/>
                <w:color w:val="auto"/>
                <w:szCs w:val="21"/>
                <w:highlight w:val="none"/>
              </w:rPr>
              <w:t>1  ……</w:t>
            </w:r>
          </w:p>
          <w:p w14:paraId="18F0FA3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9EF36B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9B398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56E50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9A0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A15EA8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8B1BBC">
            <w:pPr>
              <w:spacing w:line="340" w:lineRule="exact"/>
              <w:rPr>
                <w:rFonts w:ascii="宋体" w:hAnsi="宋体"/>
                <w:color w:val="auto"/>
                <w:szCs w:val="21"/>
                <w:highlight w:val="none"/>
              </w:rPr>
            </w:pPr>
            <w:r>
              <w:rPr>
                <w:rFonts w:hint="eastAsia" w:ascii="宋体" w:hAnsi="宋体"/>
                <w:color w:val="auto"/>
                <w:szCs w:val="21"/>
                <w:highlight w:val="none"/>
              </w:rPr>
              <w:t>1  ……</w:t>
            </w:r>
          </w:p>
          <w:p w14:paraId="0E240A2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CADB3E0">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6AB668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8733025">
            <w:pPr>
              <w:spacing w:line="340" w:lineRule="exact"/>
              <w:rPr>
                <w:rFonts w:ascii="宋体" w:hAnsi="宋体"/>
                <w:color w:val="auto"/>
                <w:szCs w:val="21"/>
                <w:highlight w:val="none"/>
              </w:rPr>
            </w:pPr>
            <w:r>
              <w:rPr>
                <w:rFonts w:hint="eastAsia" w:ascii="宋体" w:hAnsi="宋体"/>
                <w:color w:val="auto"/>
                <w:szCs w:val="21"/>
                <w:highlight w:val="none"/>
              </w:rPr>
              <w:t>1  ……</w:t>
            </w:r>
          </w:p>
          <w:p w14:paraId="44C6A8D1">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7FC419D">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615282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9171A2A">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606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14:paraId="54ABB5AF">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332D0928">
      <w:pPr>
        <w:spacing w:line="360" w:lineRule="auto"/>
        <w:ind w:left="-708" w:leftChars="-337"/>
        <w:rPr>
          <w:rFonts w:hint="eastAsia"/>
          <w:color w:val="auto"/>
          <w:szCs w:val="20"/>
          <w:highlight w:val="none"/>
        </w:rPr>
      </w:pPr>
    </w:p>
    <w:p w14:paraId="6E94C93F">
      <w:pPr>
        <w:spacing w:line="360" w:lineRule="auto"/>
        <w:rPr>
          <w:rFonts w:hint="eastAsia"/>
          <w:color w:val="auto"/>
          <w:szCs w:val="20"/>
          <w:highlight w:val="none"/>
        </w:rPr>
      </w:pPr>
      <w:r>
        <w:rPr>
          <w:rFonts w:hint="eastAsia"/>
          <w:color w:val="auto"/>
          <w:szCs w:val="20"/>
          <w:highlight w:val="none"/>
        </w:rPr>
        <w:t>注：</w:t>
      </w:r>
    </w:p>
    <w:p w14:paraId="1B154D25">
      <w:pPr>
        <w:spacing w:line="360" w:lineRule="auto"/>
        <w:rPr>
          <w:rFonts w:hint="eastAsia"/>
          <w:color w:val="auto"/>
          <w:szCs w:val="20"/>
          <w:highlight w:val="none"/>
        </w:rPr>
      </w:pPr>
      <w:r>
        <w:rPr>
          <w:rFonts w:hint="eastAsia"/>
          <w:color w:val="auto"/>
          <w:szCs w:val="20"/>
          <w:highlight w:val="none"/>
        </w:rPr>
        <w:t>1.表格内容均需按要求填写并盖投标人公章，不得留“空”，</w:t>
      </w:r>
      <w:r>
        <w:rPr>
          <w:rFonts w:hint="eastAsia"/>
          <w:b/>
          <w:bCs/>
          <w:color w:val="auto"/>
          <w:szCs w:val="20"/>
          <w:highlight w:val="none"/>
        </w:rPr>
        <w:t>否则按投标无效处理。</w:t>
      </w:r>
    </w:p>
    <w:p w14:paraId="0D30DD11">
      <w:pPr>
        <w:spacing w:line="360" w:lineRule="auto"/>
        <w:rPr>
          <w:rFonts w:hint="eastAsia"/>
          <w:b/>
          <w:bCs/>
          <w:color w:val="auto"/>
          <w:szCs w:val="20"/>
          <w:highlight w:val="none"/>
        </w:rPr>
      </w:pPr>
      <w:r>
        <w:rPr>
          <w:rFonts w:hint="eastAsia"/>
          <w:color w:val="auto"/>
          <w:szCs w:val="20"/>
          <w:highlight w:val="none"/>
        </w:rPr>
        <w:t>2.</w:t>
      </w:r>
      <w:r>
        <w:rPr>
          <w:rFonts w:hint="eastAsia" w:ascii="宋体" w:hAnsi="宋体" w:cs="宋体"/>
          <w:color w:val="auto"/>
          <w:szCs w:val="21"/>
          <w:highlight w:val="none"/>
        </w:rPr>
        <w:t>投标文件响应的内容需按招标文件的要求填写，不得直接简单复制招标文件需求的内容，投标文件承诺内容应当写明投标服务具体参数或商务响应承诺的具体数值，</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39223C82">
      <w:pPr>
        <w:spacing w:line="360" w:lineRule="auto"/>
        <w:rPr>
          <w:rFonts w:hint="eastAsia"/>
          <w:color w:val="auto"/>
          <w:szCs w:val="20"/>
          <w:highlight w:val="none"/>
        </w:rPr>
      </w:pPr>
      <w:r>
        <w:rPr>
          <w:rFonts w:hint="eastAsia"/>
          <w:color w:val="auto"/>
          <w:szCs w:val="20"/>
          <w:highlight w:val="none"/>
        </w:rPr>
        <w:t>3.当投标文件的承诺内容低于招标文件要求时，投标人应当如实写明“负偏离”，</w:t>
      </w:r>
      <w:r>
        <w:rPr>
          <w:rFonts w:hint="eastAsia"/>
          <w:b/>
          <w:bCs/>
          <w:color w:val="auto"/>
          <w:szCs w:val="20"/>
          <w:highlight w:val="none"/>
        </w:rPr>
        <w:t>否则视为虚假应标。</w:t>
      </w:r>
    </w:p>
    <w:p w14:paraId="193B3AEB">
      <w:pPr>
        <w:spacing w:line="360" w:lineRule="auto"/>
        <w:rPr>
          <w:rFonts w:hint="eastAsia"/>
          <w:color w:val="auto"/>
          <w:szCs w:val="20"/>
          <w:highlight w:val="none"/>
        </w:rPr>
      </w:pPr>
      <w:r>
        <w:rPr>
          <w:rFonts w:hint="eastAsia" w:ascii="宋体" w:hAnsi="宋体" w:cs="宋体"/>
          <w:color w:val="auto"/>
          <w:szCs w:val="21"/>
          <w:highlight w:val="none"/>
        </w:rPr>
        <w:t>4.采购需求中带“▲”及“</w:t>
      </w:r>
      <w:r>
        <w:rPr>
          <w:rFonts w:hint="eastAsia"/>
          <w:color w:val="auto"/>
          <w:szCs w:val="20"/>
          <w:highlight w:val="none"/>
        </w:rPr>
        <w:t>◆</w:t>
      </w:r>
      <w:r>
        <w:rPr>
          <w:rFonts w:hint="eastAsia" w:ascii="宋体" w:hAnsi="宋体" w:cs="宋体"/>
          <w:color w:val="auto"/>
          <w:szCs w:val="21"/>
          <w:highlight w:val="none"/>
        </w:rPr>
        <w:t>”的条款，也要分别在本表“</w:t>
      </w:r>
      <w:r>
        <w:rPr>
          <w:rFonts w:hint="eastAsia" w:ascii="宋体" w:hAnsi="宋体"/>
          <w:color w:val="auto"/>
          <w:szCs w:val="21"/>
          <w:highlight w:val="none"/>
        </w:rPr>
        <w:t>招标文件的商务需求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96F3F18">
      <w:pPr>
        <w:snapToGrid w:val="0"/>
        <w:spacing w:before="50" w:after="50"/>
        <w:rPr>
          <w:rFonts w:ascii="宋体" w:hAnsi="宋体"/>
          <w:color w:val="auto"/>
          <w:sz w:val="24"/>
          <w:highlight w:val="none"/>
        </w:rPr>
      </w:pPr>
    </w:p>
    <w:p w14:paraId="07662601">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F15191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4548F88">
      <w:pPr>
        <w:snapToGrid w:val="0"/>
        <w:spacing w:before="120" w:beforeLines="50" w:after="50"/>
        <w:ind w:firstLine="3150" w:firstLineChars="1500"/>
        <w:jc w:val="left"/>
        <w:rPr>
          <w:rFonts w:ascii="宋体" w:hAnsi="宋体"/>
          <w:color w:val="auto"/>
          <w:szCs w:val="21"/>
          <w:highlight w:val="none"/>
        </w:rPr>
        <w:sectPr>
          <w:footerReference r:id="rId14" w:type="first"/>
          <w:footerReference r:id="rId12" w:type="default"/>
          <w:footerReference r:id="rId13" w:type="even"/>
          <w:pgSz w:w="11911" w:h="16838"/>
          <w:pgMar w:top="1134" w:right="1134" w:bottom="1134" w:left="1134" w:header="720" w:footer="720" w:gutter="0"/>
          <w:cols w:space="720" w:num="1"/>
          <w:titlePg/>
          <w:docGrid w:linePitch="312" w:charSpace="0"/>
        </w:sectPr>
      </w:pPr>
    </w:p>
    <w:p w14:paraId="0E4114FB">
      <w:pPr>
        <w:snapToGrid w:val="0"/>
        <w:spacing w:before="120" w:beforeLines="50" w:after="50"/>
        <w:ind w:firstLine="602" w:firstLineChars="200"/>
        <w:jc w:val="center"/>
        <w:rPr>
          <w:rFonts w:hint="eastAsia"/>
          <w:b/>
          <w:bCs/>
          <w:color w:val="auto"/>
          <w:sz w:val="30"/>
          <w:szCs w:val="30"/>
          <w:highlight w:val="none"/>
        </w:rPr>
      </w:pPr>
      <w:bookmarkStart w:id="272" w:name="_Toc19686839"/>
    </w:p>
    <w:p w14:paraId="7ABB79D1">
      <w:pPr>
        <w:snapToGrid w:val="0"/>
        <w:spacing w:before="120"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4868D981">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150C9E71">
      <w:pPr>
        <w:snapToGrid w:val="0"/>
        <w:spacing w:line="360" w:lineRule="auto"/>
        <w:ind w:firstLine="4935" w:firstLineChars="2350"/>
        <w:rPr>
          <w:rFonts w:hint="eastAsia" w:hAnsi="宋体"/>
          <w:color w:val="auto"/>
          <w:szCs w:val="21"/>
          <w:highlight w:val="none"/>
        </w:rPr>
      </w:pPr>
    </w:p>
    <w:p w14:paraId="115A3062">
      <w:pPr>
        <w:snapToGrid w:val="0"/>
        <w:spacing w:line="360" w:lineRule="auto"/>
        <w:ind w:firstLine="4935" w:firstLineChars="2350"/>
        <w:rPr>
          <w:rFonts w:hAnsi="宋体"/>
          <w:color w:val="auto"/>
          <w:szCs w:val="21"/>
          <w:highlight w:val="none"/>
        </w:rPr>
      </w:pPr>
    </w:p>
    <w:p w14:paraId="449BE128">
      <w:pPr>
        <w:snapToGrid w:val="0"/>
        <w:spacing w:line="360" w:lineRule="auto"/>
        <w:ind w:firstLine="4935" w:firstLineChars="2350"/>
        <w:rPr>
          <w:rFonts w:hAnsi="宋体"/>
          <w:color w:val="auto"/>
          <w:szCs w:val="21"/>
          <w:highlight w:val="none"/>
        </w:rPr>
      </w:pPr>
    </w:p>
    <w:p w14:paraId="2FD8E9AC">
      <w:pPr>
        <w:snapToGrid w:val="0"/>
        <w:spacing w:line="360" w:lineRule="auto"/>
        <w:ind w:firstLine="4935" w:firstLineChars="2350"/>
        <w:rPr>
          <w:rFonts w:hAnsi="宋体"/>
          <w:color w:val="auto"/>
          <w:szCs w:val="21"/>
          <w:highlight w:val="none"/>
        </w:rPr>
      </w:pPr>
    </w:p>
    <w:p w14:paraId="4AD909A7">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09D487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7D677FA">
      <w:pPr>
        <w:snapToGrid w:val="0"/>
        <w:spacing w:before="120" w:beforeLines="50" w:after="50"/>
        <w:ind w:firstLine="602" w:firstLineChars="200"/>
        <w:jc w:val="center"/>
        <w:rPr>
          <w:rFonts w:hint="eastAsia"/>
          <w:b/>
          <w:bCs/>
          <w:color w:val="auto"/>
          <w:sz w:val="30"/>
          <w:szCs w:val="30"/>
          <w:highlight w:val="none"/>
        </w:rPr>
      </w:pPr>
    </w:p>
    <w:p w14:paraId="3869BC13">
      <w:pPr>
        <w:spacing w:after="120"/>
        <w:rPr>
          <w:rFonts w:hint="eastAsia"/>
          <w:b/>
          <w:bCs/>
          <w:color w:val="auto"/>
          <w:sz w:val="30"/>
          <w:szCs w:val="30"/>
          <w:highlight w:val="none"/>
        </w:rPr>
      </w:pPr>
    </w:p>
    <w:p w14:paraId="1E566B7F">
      <w:pPr>
        <w:rPr>
          <w:rFonts w:hint="eastAsia"/>
          <w:b/>
          <w:bCs/>
          <w:color w:val="auto"/>
          <w:sz w:val="30"/>
          <w:szCs w:val="30"/>
          <w:highlight w:val="none"/>
        </w:rPr>
      </w:pPr>
    </w:p>
    <w:p w14:paraId="4AD5A73C">
      <w:pPr>
        <w:spacing w:after="120"/>
        <w:rPr>
          <w:rFonts w:hint="eastAsia"/>
          <w:color w:val="auto"/>
          <w:highlight w:val="none"/>
        </w:rPr>
      </w:pPr>
    </w:p>
    <w:p w14:paraId="28675C8E">
      <w:pPr>
        <w:snapToGrid w:val="0"/>
        <w:spacing w:before="120"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六、除招标文件规定必须提供以外，投标人认为需要提供的其他证明材料</w:t>
      </w:r>
    </w:p>
    <w:p w14:paraId="6DA89CC8">
      <w:pPr>
        <w:snapToGrid w:val="0"/>
        <w:spacing w:line="360" w:lineRule="auto"/>
        <w:ind w:firstLine="4935" w:firstLineChars="2350"/>
        <w:rPr>
          <w:rFonts w:hint="eastAsia" w:hAnsi="宋体"/>
          <w:color w:val="auto"/>
          <w:szCs w:val="21"/>
          <w:highlight w:val="none"/>
        </w:rPr>
      </w:pPr>
    </w:p>
    <w:p w14:paraId="1335AE76">
      <w:pPr>
        <w:snapToGrid w:val="0"/>
        <w:spacing w:line="360" w:lineRule="auto"/>
        <w:ind w:firstLine="4935" w:firstLineChars="2350"/>
        <w:rPr>
          <w:rFonts w:hAnsi="宋体"/>
          <w:color w:val="auto"/>
          <w:szCs w:val="21"/>
          <w:highlight w:val="none"/>
        </w:rPr>
      </w:pPr>
    </w:p>
    <w:p w14:paraId="0C7E6C08">
      <w:pPr>
        <w:snapToGrid w:val="0"/>
        <w:spacing w:line="360" w:lineRule="auto"/>
        <w:ind w:firstLine="4935" w:firstLineChars="2350"/>
        <w:rPr>
          <w:rFonts w:hAnsi="宋体"/>
          <w:color w:val="auto"/>
          <w:szCs w:val="21"/>
          <w:highlight w:val="none"/>
        </w:rPr>
      </w:pPr>
    </w:p>
    <w:p w14:paraId="06513116">
      <w:pPr>
        <w:snapToGrid w:val="0"/>
        <w:spacing w:line="360" w:lineRule="auto"/>
        <w:ind w:firstLine="4935" w:firstLineChars="2350"/>
        <w:rPr>
          <w:rFonts w:hAnsi="宋体"/>
          <w:color w:val="auto"/>
          <w:szCs w:val="21"/>
          <w:highlight w:val="none"/>
        </w:rPr>
      </w:pPr>
    </w:p>
    <w:p w14:paraId="69204EA4">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771DCC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8FD2921">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0E7F0E18">
      <w:pPr>
        <w:rPr>
          <w:rFonts w:hint="eastAsia"/>
          <w:color w:val="auto"/>
          <w:highlight w:val="none"/>
        </w:rPr>
      </w:pPr>
    </w:p>
    <w:p w14:paraId="5FFA6C45">
      <w:pPr>
        <w:jc w:val="center"/>
        <w:outlineLvl w:val="1"/>
        <w:rPr>
          <w:rFonts w:hint="eastAsia" w:ascii="宋体" w:hAnsi="宋体"/>
          <w:b/>
          <w:bCs/>
          <w:color w:val="auto"/>
          <w:sz w:val="28"/>
          <w:szCs w:val="28"/>
          <w:highlight w:val="none"/>
        </w:rPr>
      </w:pPr>
      <w:bookmarkStart w:id="273" w:name="_Toc15013"/>
      <w:r>
        <w:rPr>
          <w:rFonts w:hint="eastAsia" w:ascii="宋体" w:hAnsi="宋体"/>
          <w:b/>
          <w:bCs/>
          <w:color w:val="auto"/>
          <w:sz w:val="28"/>
          <w:szCs w:val="28"/>
          <w:highlight w:val="none"/>
        </w:rPr>
        <w:t>第四节 技术文件格式</w:t>
      </w:r>
      <w:bookmarkEnd w:id="272"/>
      <w:bookmarkEnd w:id="273"/>
    </w:p>
    <w:p w14:paraId="244DA77A">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A76A374">
      <w:pPr>
        <w:snapToGrid w:val="0"/>
        <w:spacing w:before="120" w:beforeLines="50" w:after="50"/>
        <w:rPr>
          <w:rFonts w:hint="eastAsia" w:ascii="宋体" w:hAnsi="宋体"/>
          <w:color w:val="auto"/>
          <w:sz w:val="24"/>
          <w:szCs w:val="20"/>
          <w:highlight w:val="none"/>
        </w:rPr>
      </w:pPr>
    </w:p>
    <w:p w14:paraId="220C88E8">
      <w:pPr>
        <w:snapToGrid w:val="0"/>
        <w:spacing w:before="120" w:beforeLines="50" w:after="50"/>
        <w:jc w:val="center"/>
        <w:rPr>
          <w:rFonts w:hint="eastAsia" w:ascii="宋体" w:hAnsi="宋体"/>
          <w:b/>
          <w:bCs/>
          <w:color w:val="auto"/>
          <w:sz w:val="32"/>
          <w:szCs w:val="32"/>
          <w:highlight w:val="none"/>
        </w:rPr>
      </w:pPr>
    </w:p>
    <w:p w14:paraId="42E10B90">
      <w:pPr>
        <w:snapToGrid w:val="0"/>
        <w:spacing w:before="120" w:beforeLines="50" w:after="50"/>
        <w:jc w:val="center"/>
        <w:rPr>
          <w:rFonts w:hint="eastAsia" w:ascii="宋体" w:hAnsi="宋体"/>
          <w:b/>
          <w:bCs/>
          <w:color w:val="auto"/>
          <w:sz w:val="32"/>
          <w:szCs w:val="32"/>
          <w:highlight w:val="none"/>
        </w:rPr>
      </w:pPr>
    </w:p>
    <w:p w14:paraId="52612C00">
      <w:pPr>
        <w:snapToGrid w:val="0"/>
        <w:spacing w:before="120" w:beforeLines="50" w:after="50"/>
        <w:jc w:val="center"/>
        <w:rPr>
          <w:rFonts w:hint="eastAsia" w:ascii="宋体" w:hAnsi="宋体"/>
          <w:b/>
          <w:bCs/>
          <w:color w:val="auto"/>
          <w:sz w:val="32"/>
          <w:szCs w:val="32"/>
          <w:highlight w:val="none"/>
        </w:rPr>
      </w:pPr>
    </w:p>
    <w:p w14:paraId="651560F8">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01B97B12">
      <w:pPr>
        <w:snapToGrid w:val="0"/>
        <w:spacing w:before="120" w:beforeLines="50" w:after="50"/>
        <w:rPr>
          <w:rFonts w:hint="eastAsia" w:ascii="宋体" w:hAnsi="宋体"/>
          <w:bCs/>
          <w:color w:val="auto"/>
          <w:sz w:val="24"/>
          <w:szCs w:val="20"/>
          <w:highlight w:val="none"/>
        </w:rPr>
      </w:pPr>
    </w:p>
    <w:p w14:paraId="5E87A478">
      <w:pPr>
        <w:snapToGrid w:val="0"/>
        <w:spacing w:before="120"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7A54BF6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9C7F21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53EAC95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D3CCBA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295A5FC">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p>
    <w:p w14:paraId="19E7E99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327E38A">
      <w:pPr>
        <w:snapToGrid w:val="0"/>
        <w:spacing w:before="120" w:beforeLines="50" w:after="50"/>
        <w:ind w:firstLine="645"/>
        <w:jc w:val="center"/>
        <w:rPr>
          <w:rFonts w:hint="eastAsia" w:ascii="宋体" w:hAnsi="宋体"/>
          <w:color w:val="auto"/>
          <w:sz w:val="24"/>
          <w:highlight w:val="none"/>
        </w:rPr>
      </w:pPr>
    </w:p>
    <w:p w14:paraId="279F9C6C">
      <w:pPr>
        <w:snapToGrid w:val="0"/>
        <w:spacing w:before="120" w:beforeLines="50" w:after="50"/>
        <w:ind w:firstLine="645"/>
        <w:jc w:val="center"/>
        <w:rPr>
          <w:rFonts w:hint="eastAsia" w:ascii="宋体" w:hAnsi="宋体"/>
          <w:color w:val="auto"/>
          <w:sz w:val="24"/>
          <w:szCs w:val="20"/>
          <w:highlight w:val="none"/>
        </w:rPr>
      </w:pPr>
    </w:p>
    <w:p w14:paraId="768D3843">
      <w:pPr>
        <w:jc w:val="center"/>
        <w:rPr>
          <w:rFonts w:ascii="宋体" w:hAnsi="宋体"/>
          <w:b/>
          <w:bCs/>
          <w:color w:val="auto"/>
          <w:sz w:val="24"/>
          <w:highlight w:val="none"/>
        </w:rPr>
      </w:pPr>
      <w:r>
        <w:rPr>
          <w:rFonts w:ascii="宋体" w:hAnsi="宋体"/>
          <w:b/>
          <w:bCs/>
          <w:color w:val="auto"/>
          <w:sz w:val="24"/>
          <w:highlight w:val="none"/>
        </w:rPr>
        <w:br w:type="page"/>
      </w:r>
    </w:p>
    <w:p w14:paraId="22FF8D54">
      <w:pPr>
        <w:jc w:val="center"/>
        <w:rPr>
          <w:rFonts w:ascii="宋体" w:hAnsi="宋体"/>
          <w:b/>
          <w:bCs/>
          <w:color w:val="auto"/>
          <w:sz w:val="24"/>
          <w:highlight w:val="none"/>
        </w:rPr>
      </w:pPr>
    </w:p>
    <w:p w14:paraId="526DF928">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技术文件目录</w:t>
      </w:r>
    </w:p>
    <w:p w14:paraId="732F6ADB">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一、服务参数偏离表………………………………………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72DDEC0">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6A2B5DA">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三、除招标文件规定必须提供以外，投标人需要说明的其他文件和说明</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E3CE655">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注：以上目录是基本格式要求，各投标人可根据招标文件要求及自身情况进一步增加内容或细化。</w:t>
      </w:r>
    </w:p>
    <w:p w14:paraId="5441C63C">
      <w:pPr>
        <w:snapToGrid w:val="0"/>
        <w:spacing w:before="120" w:beforeLines="50" w:after="50"/>
        <w:jc w:val="left"/>
        <w:rPr>
          <w:rFonts w:ascii="宋体" w:hAnsi="宋体"/>
          <w:b/>
          <w:color w:val="auto"/>
          <w:sz w:val="24"/>
          <w:highlight w:val="none"/>
        </w:rPr>
      </w:pPr>
    </w:p>
    <w:p w14:paraId="453D580C">
      <w:pPr>
        <w:snapToGrid w:val="0"/>
        <w:spacing w:before="120" w:beforeLines="50" w:after="50"/>
        <w:ind w:left="143" w:leftChars="68" w:firstLine="472" w:firstLineChars="196"/>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 </w:t>
      </w:r>
    </w:p>
    <w:p w14:paraId="1240B9E7">
      <w:pPr>
        <w:spacing w:line="500" w:lineRule="exact"/>
        <w:jc w:val="center"/>
        <w:rPr>
          <w:b/>
          <w:bCs/>
          <w:color w:val="auto"/>
          <w:sz w:val="30"/>
          <w:szCs w:val="30"/>
          <w:highlight w:val="none"/>
        </w:rPr>
      </w:pPr>
      <w:r>
        <w:rPr>
          <w:rFonts w:hint="eastAsia"/>
          <w:b/>
          <w:bCs/>
          <w:color w:val="auto"/>
          <w:sz w:val="30"/>
          <w:szCs w:val="30"/>
          <w:highlight w:val="none"/>
        </w:rPr>
        <w:t>一、服务参数偏离表</w:t>
      </w:r>
    </w:p>
    <w:p w14:paraId="0587EFE3">
      <w:pPr>
        <w:spacing w:line="440" w:lineRule="exact"/>
        <w:ind w:firstLine="420" w:firstLineChars="200"/>
        <w:rPr>
          <w:rFonts w:hint="eastAsia" w:ascii="宋体" w:hAnsi="Courier New"/>
          <w:color w:val="auto"/>
          <w:szCs w:val="20"/>
          <w:highlight w:val="none"/>
        </w:rPr>
      </w:pPr>
    </w:p>
    <w:p w14:paraId="57F0CB58">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请根据所投服务的实际技术参数，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中的</w:t>
      </w:r>
      <w:r>
        <w:rPr>
          <w:rFonts w:hint="eastAsia" w:ascii="宋体" w:hAnsi="宋体"/>
          <w:b/>
          <w:color w:val="auto"/>
          <w:sz w:val="28"/>
          <w:szCs w:val="28"/>
          <w:highlight w:val="none"/>
        </w:rPr>
        <w:t>采购清单及服务参数</w:t>
      </w:r>
      <w:r>
        <w:rPr>
          <w:rFonts w:hint="eastAsia" w:ascii="宋体" w:hAnsi="宋体"/>
          <w:color w:val="auto"/>
          <w:sz w:val="24"/>
          <w:highlight w:val="none"/>
        </w:rPr>
        <w:t>详细填写相应的具体内容。</w:t>
      </w:r>
      <w:r>
        <w:rPr>
          <w:rFonts w:ascii="宋体" w:hAnsi="宋体"/>
          <w:color w:val="auto"/>
          <w:sz w:val="24"/>
          <w:highlight w:val="none"/>
        </w:rPr>
        <w:t>“</w:t>
      </w:r>
      <w:r>
        <w:rPr>
          <w:rFonts w:hint="eastAsia" w:ascii="宋体" w:hAnsi="宋体"/>
          <w:color w:val="auto"/>
          <w:sz w:val="24"/>
          <w:highlight w:val="none"/>
        </w:rPr>
        <w:t>偏离说明</w:t>
      </w:r>
      <w:r>
        <w:rPr>
          <w:rFonts w:ascii="宋体" w:hAnsi="宋体"/>
          <w:color w:val="auto"/>
          <w:sz w:val="24"/>
          <w:highlight w:val="none"/>
        </w:rPr>
        <w:t>”</w:t>
      </w:r>
      <w:r>
        <w:rPr>
          <w:rFonts w:hint="eastAsia" w:ascii="宋体" w:hAnsi="宋体"/>
          <w:color w:val="auto"/>
          <w:sz w:val="24"/>
          <w:highlight w:val="none"/>
        </w:rPr>
        <w:t>一栏应当选择</w:t>
      </w:r>
      <w:r>
        <w:rPr>
          <w:rFonts w:ascii="宋体" w:hAnsi="宋体"/>
          <w:color w:val="auto"/>
          <w:sz w:val="24"/>
          <w:highlight w:val="none"/>
        </w:rPr>
        <w:t>“</w:t>
      </w:r>
      <w:r>
        <w:rPr>
          <w:rFonts w:hint="eastAsia" w:ascii="宋体" w:hAnsi="宋体"/>
          <w:color w:val="auto"/>
          <w:sz w:val="24"/>
          <w:highlight w:val="none"/>
        </w:rPr>
        <w:t>正偏离</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负偏离</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无偏离</w:t>
      </w:r>
      <w:r>
        <w:rPr>
          <w:rFonts w:ascii="宋体" w:hAnsi="宋体"/>
          <w:color w:val="auto"/>
          <w:sz w:val="24"/>
          <w:highlight w:val="none"/>
        </w:rPr>
        <w:t>”</w:t>
      </w:r>
      <w:r>
        <w:rPr>
          <w:rFonts w:hint="eastAsia" w:ascii="宋体" w:hAnsi="宋体"/>
          <w:color w:val="auto"/>
          <w:sz w:val="24"/>
          <w:highlight w:val="none"/>
        </w:rPr>
        <w:t>进行填写。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2670"/>
        <w:gridCol w:w="1142"/>
      </w:tblGrid>
      <w:tr w14:paraId="707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391149B">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52B6F6E5">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186" w:type="dxa"/>
            <w:gridSpan w:val="2"/>
            <w:tcBorders>
              <w:top w:val="single" w:color="auto" w:sz="4" w:space="0"/>
              <w:left w:val="single" w:color="auto" w:sz="4" w:space="0"/>
              <w:bottom w:val="single" w:color="auto" w:sz="4" w:space="0"/>
              <w:right w:val="single" w:color="auto" w:sz="4" w:space="0"/>
            </w:tcBorders>
            <w:noWrap w:val="0"/>
            <w:vAlign w:val="center"/>
          </w:tcPr>
          <w:p w14:paraId="33872B67">
            <w:pPr>
              <w:jc w:val="center"/>
              <w:rPr>
                <w:rFonts w:hint="eastAsia" w:ascii="宋体" w:hAnsi="宋体"/>
                <w:color w:val="auto"/>
                <w:szCs w:val="21"/>
                <w:highlight w:val="none"/>
              </w:rPr>
            </w:pPr>
            <w:r>
              <w:rPr>
                <w:rFonts w:hint="eastAsia" w:ascii="宋体" w:hAnsi="宋体"/>
                <w:color w:val="auto"/>
                <w:szCs w:val="21"/>
                <w:highlight w:val="none"/>
              </w:rPr>
              <w:t>投标文件响应</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56430FCF">
            <w:pPr>
              <w:rPr>
                <w:rFonts w:ascii="宋体" w:hAnsi="宋体"/>
                <w:color w:val="auto"/>
                <w:szCs w:val="21"/>
                <w:highlight w:val="none"/>
              </w:rPr>
            </w:pPr>
            <w:r>
              <w:rPr>
                <w:rFonts w:hint="eastAsia" w:ascii="宋体" w:hAnsi="宋体"/>
                <w:color w:val="auto"/>
                <w:szCs w:val="21"/>
                <w:highlight w:val="none"/>
              </w:rPr>
              <w:t>偏离说明</w:t>
            </w:r>
          </w:p>
        </w:tc>
      </w:tr>
      <w:tr w14:paraId="2031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FE3DD5D">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ECC215">
            <w:pPr>
              <w:jc w:val="center"/>
              <w:rPr>
                <w:rFonts w:ascii="宋体" w:hAnsi="宋体"/>
                <w:color w:val="auto"/>
                <w:szCs w:val="21"/>
                <w:highlight w:val="none"/>
              </w:rPr>
            </w:pPr>
            <w:r>
              <w:rPr>
                <w:rFonts w:hint="eastAsia" w:ascii="宋体" w:hAnsi="宋体"/>
                <w:color w:val="auto"/>
                <w:szCs w:val="21"/>
                <w:highlight w:val="none"/>
              </w:rPr>
              <w:t>标的名称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73DBB32">
            <w:pPr>
              <w:jc w:val="center"/>
              <w:rPr>
                <w:rFonts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B13525">
            <w:pPr>
              <w:jc w:val="center"/>
              <w:rPr>
                <w:rFonts w:ascii="宋体" w:hAnsi="宋体"/>
                <w:color w:val="auto"/>
                <w:szCs w:val="21"/>
                <w:highlight w:val="none"/>
              </w:rPr>
            </w:pPr>
            <w:r>
              <w:rPr>
                <w:rFonts w:hint="eastAsia" w:ascii="宋体" w:hAnsi="宋体"/>
                <w:color w:val="auto"/>
                <w:szCs w:val="21"/>
                <w:highlight w:val="none"/>
              </w:rPr>
              <w:t>标的名称</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544F1A5">
            <w:pPr>
              <w:jc w:val="center"/>
              <w:rPr>
                <w:rFonts w:ascii="宋体" w:hAnsi="宋体"/>
                <w:color w:val="auto"/>
                <w:szCs w:val="21"/>
                <w:highlight w:val="none"/>
              </w:rPr>
            </w:pPr>
            <w:r>
              <w:rPr>
                <w:rFonts w:hint="eastAsia" w:ascii="宋体" w:hAnsi="宋体"/>
                <w:color w:val="auto"/>
                <w:szCs w:val="21"/>
                <w:highlight w:val="none"/>
              </w:rPr>
              <w:t>所提供的服务参数</w:t>
            </w: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08703250">
            <w:pPr>
              <w:widowControl/>
              <w:jc w:val="left"/>
              <w:rPr>
                <w:rFonts w:ascii="宋体" w:hAnsi="宋体"/>
                <w:color w:val="auto"/>
                <w:szCs w:val="21"/>
                <w:highlight w:val="none"/>
              </w:rPr>
            </w:pPr>
          </w:p>
        </w:tc>
      </w:tr>
      <w:tr w14:paraId="2BCF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4DC6377">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2644EE">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891504">
            <w:pPr>
              <w:rPr>
                <w:rFonts w:ascii="宋体" w:hAnsi="宋体"/>
                <w:color w:val="auto"/>
                <w:szCs w:val="21"/>
                <w:highlight w:val="none"/>
              </w:rPr>
            </w:pPr>
            <w:r>
              <w:rPr>
                <w:rFonts w:ascii="宋体" w:hAnsi="宋体"/>
                <w:color w:val="auto"/>
                <w:szCs w:val="21"/>
                <w:highlight w:val="none"/>
              </w:rPr>
              <w:t>1  ……</w:t>
            </w:r>
          </w:p>
          <w:p w14:paraId="3C1C1039">
            <w:pPr>
              <w:rPr>
                <w:rFonts w:ascii="宋体" w:hAnsi="宋体"/>
                <w:color w:val="auto"/>
                <w:szCs w:val="21"/>
                <w:highlight w:val="none"/>
              </w:rPr>
            </w:pPr>
            <w:r>
              <w:rPr>
                <w:rFonts w:ascii="宋体" w:hAnsi="宋体"/>
                <w:color w:val="auto"/>
                <w:szCs w:val="21"/>
                <w:highlight w:val="none"/>
              </w:rPr>
              <w:t>2  ……</w:t>
            </w:r>
          </w:p>
          <w:p w14:paraId="52CE4CC1">
            <w:pPr>
              <w:rPr>
                <w:rFonts w:ascii="宋体" w:hAnsi="宋体"/>
                <w:color w:val="auto"/>
                <w:szCs w:val="21"/>
                <w:highlight w:val="none"/>
              </w:rPr>
            </w:pPr>
            <w:r>
              <w:rPr>
                <w:rFonts w:ascii="宋体" w:hAnsi="宋体"/>
                <w:color w:val="auto"/>
                <w:szCs w:val="21"/>
                <w:highlight w:val="none"/>
              </w:rPr>
              <w:t>3  ……</w:t>
            </w:r>
          </w:p>
          <w:p w14:paraId="4FE90725">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7CD615">
            <w:pPr>
              <w:rPr>
                <w:rFonts w:ascii="宋体" w:hAnsi="宋体"/>
                <w:color w:val="auto"/>
                <w:szCs w:val="21"/>
                <w:highlight w:val="none"/>
              </w:rPr>
            </w:pPr>
            <w:r>
              <w:rPr>
                <w:rFonts w:ascii="宋体" w:hAnsi="宋体"/>
                <w:color w:val="auto"/>
                <w:szCs w:val="21"/>
                <w:highlight w:val="none"/>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575F219">
            <w:pPr>
              <w:rPr>
                <w:rFonts w:ascii="宋体" w:hAnsi="宋体"/>
                <w:color w:val="auto"/>
                <w:szCs w:val="21"/>
                <w:highlight w:val="none"/>
              </w:rPr>
            </w:pPr>
            <w:r>
              <w:rPr>
                <w:rFonts w:ascii="宋体" w:hAnsi="宋体"/>
                <w:color w:val="auto"/>
                <w:szCs w:val="21"/>
                <w:highlight w:val="none"/>
              </w:rPr>
              <w:t>1  ……</w:t>
            </w:r>
          </w:p>
          <w:p w14:paraId="3E30C60B">
            <w:pPr>
              <w:rPr>
                <w:rFonts w:ascii="宋体" w:hAnsi="宋体"/>
                <w:color w:val="auto"/>
                <w:szCs w:val="21"/>
                <w:highlight w:val="none"/>
              </w:rPr>
            </w:pPr>
            <w:r>
              <w:rPr>
                <w:rFonts w:ascii="宋体" w:hAnsi="宋体"/>
                <w:color w:val="auto"/>
                <w:szCs w:val="21"/>
                <w:highlight w:val="none"/>
              </w:rPr>
              <w:t>2  ……</w:t>
            </w:r>
          </w:p>
          <w:p w14:paraId="07BAC3CB">
            <w:pPr>
              <w:rPr>
                <w:rFonts w:ascii="宋体" w:hAnsi="宋体"/>
                <w:color w:val="auto"/>
                <w:szCs w:val="21"/>
                <w:highlight w:val="none"/>
              </w:rPr>
            </w:pPr>
            <w:r>
              <w:rPr>
                <w:rFonts w:ascii="宋体" w:hAnsi="宋体"/>
                <w:color w:val="auto"/>
                <w:szCs w:val="21"/>
                <w:highlight w:val="none"/>
              </w:rPr>
              <w:t>3  ……</w:t>
            </w:r>
          </w:p>
          <w:p w14:paraId="74B00569">
            <w:pPr>
              <w:rPr>
                <w:rFonts w:ascii="宋体" w:hAnsi="宋体"/>
                <w:color w:val="auto"/>
                <w:szCs w:val="21"/>
                <w:highlight w:val="none"/>
              </w:rPr>
            </w:pPr>
            <w:r>
              <w:rPr>
                <w:rFonts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DF9E6F">
            <w:pPr>
              <w:rPr>
                <w:rFonts w:ascii="宋体" w:hAnsi="宋体"/>
                <w:color w:val="auto"/>
                <w:szCs w:val="21"/>
                <w:highlight w:val="none"/>
              </w:rPr>
            </w:pPr>
            <w:r>
              <w:rPr>
                <w:rFonts w:hint="eastAsia" w:ascii="宋体" w:hAnsi="宋体"/>
                <w:color w:val="auto"/>
                <w:szCs w:val="21"/>
                <w:highlight w:val="none"/>
              </w:rPr>
              <w:t>正偏离（负偏离或无偏离）</w:t>
            </w:r>
          </w:p>
        </w:tc>
      </w:tr>
      <w:tr w14:paraId="02E4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7646530">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6CFEEC">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4F35FBB">
            <w:pPr>
              <w:rPr>
                <w:rFonts w:ascii="宋体" w:hAnsi="宋体"/>
                <w:color w:val="auto"/>
                <w:szCs w:val="21"/>
                <w:highlight w:val="none"/>
              </w:rPr>
            </w:pPr>
            <w:r>
              <w:rPr>
                <w:rFonts w:ascii="宋体" w:hAnsi="宋体"/>
                <w:color w:val="auto"/>
                <w:szCs w:val="21"/>
                <w:highlight w:val="none"/>
              </w:rPr>
              <w:t>1  ……</w:t>
            </w:r>
          </w:p>
          <w:p w14:paraId="611F1897">
            <w:pPr>
              <w:rPr>
                <w:rFonts w:ascii="宋体" w:hAnsi="宋体"/>
                <w:color w:val="auto"/>
                <w:szCs w:val="21"/>
                <w:highlight w:val="none"/>
              </w:rPr>
            </w:pPr>
            <w:r>
              <w:rPr>
                <w:rFonts w:ascii="宋体" w:hAnsi="宋体"/>
                <w:color w:val="auto"/>
                <w:szCs w:val="21"/>
                <w:highlight w:val="none"/>
              </w:rPr>
              <w:t>2  ……</w:t>
            </w:r>
          </w:p>
          <w:p w14:paraId="326D9EAB">
            <w:pPr>
              <w:rPr>
                <w:rFonts w:ascii="宋体" w:hAnsi="宋体"/>
                <w:color w:val="auto"/>
                <w:szCs w:val="21"/>
                <w:highlight w:val="none"/>
              </w:rPr>
            </w:pPr>
            <w:r>
              <w:rPr>
                <w:rFonts w:ascii="宋体" w:hAnsi="宋体"/>
                <w:color w:val="auto"/>
                <w:szCs w:val="21"/>
                <w:highlight w:val="none"/>
              </w:rPr>
              <w:t>3  ……</w:t>
            </w:r>
          </w:p>
          <w:p w14:paraId="4451ADE4">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7D0FE1">
            <w:pPr>
              <w:rPr>
                <w:rFonts w:ascii="宋体" w:hAnsi="宋体"/>
                <w:color w:val="auto"/>
                <w:szCs w:val="21"/>
                <w:highlight w:val="none"/>
              </w:rPr>
            </w:pPr>
            <w:r>
              <w:rPr>
                <w:rFonts w:ascii="宋体" w:hAnsi="宋体"/>
                <w:color w:val="auto"/>
                <w:szCs w:val="21"/>
                <w:highlight w:val="none"/>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36E2BEA7">
            <w:pPr>
              <w:rPr>
                <w:rFonts w:ascii="宋体" w:hAnsi="宋体"/>
                <w:color w:val="auto"/>
                <w:szCs w:val="21"/>
                <w:highlight w:val="none"/>
              </w:rPr>
            </w:pPr>
            <w:r>
              <w:rPr>
                <w:rFonts w:ascii="宋体" w:hAnsi="宋体"/>
                <w:color w:val="auto"/>
                <w:szCs w:val="21"/>
                <w:highlight w:val="none"/>
              </w:rPr>
              <w:t>1  ……</w:t>
            </w:r>
          </w:p>
          <w:p w14:paraId="0136983B">
            <w:pPr>
              <w:rPr>
                <w:rFonts w:ascii="宋体" w:hAnsi="宋体"/>
                <w:color w:val="auto"/>
                <w:szCs w:val="21"/>
                <w:highlight w:val="none"/>
              </w:rPr>
            </w:pPr>
            <w:r>
              <w:rPr>
                <w:rFonts w:ascii="宋体" w:hAnsi="宋体"/>
                <w:color w:val="auto"/>
                <w:szCs w:val="21"/>
                <w:highlight w:val="none"/>
              </w:rPr>
              <w:t>2  ……</w:t>
            </w:r>
          </w:p>
          <w:p w14:paraId="7DC6EAB2">
            <w:pPr>
              <w:rPr>
                <w:rFonts w:ascii="宋体" w:hAnsi="宋体"/>
                <w:color w:val="auto"/>
                <w:szCs w:val="21"/>
                <w:highlight w:val="none"/>
              </w:rPr>
            </w:pPr>
            <w:r>
              <w:rPr>
                <w:rFonts w:ascii="宋体" w:hAnsi="宋体"/>
                <w:color w:val="auto"/>
                <w:szCs w:val="21"/>
                <w:highlight w:val="none"/>
              </w:rPr>
              <w:t>3  ……</w:t>
            </w:r>
          </w:p>
          <w:p w14:paraId="3C3835E5">
            <w:pPr>
              <w:rPr>
                <w:rFonts w:ascii="宋体" w:hAnsi="宋体"/>
                <w:color w:val="auto"/>
                <w:szCs w:val="21"/>
                <w:highlight w:val="none"/>
              </w:rPr>
            </w:pPr>
            <w:r>
              <w:rPr>
                <w:rFonts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A5BAEED">
            <w:pPr>
              <w:rPr>
                <w:rFonts w:ascii="宋体" w:hAnsi="宋体"/>
                <w:color w:val="auto"/>
                <w:szCs w:val="21"/>
                <w:highlight w:val="none"/>
              </w:rPr>
            </w:pPr>
            <w:r>
              <w:rPr>
                <w:rFonts w:hint="eastAsia" w:ascii="宋体" w:hAnsi="宋体"/>
                <w:color w:val="auto"/>
                <w:szCs w:val="21"/>
                <w:highlight w:val="none"/>
              </w:rPr>
              <w:t>正偏离（负偏离或无偏离）</w:t>
            </w:r>
          </w:p>
        </w:tc>
      </w:tr>
      <w:tr w14:paraId="073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2E55B55">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CE2384">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36DA4D9">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9D2DC6F">
            <w:pPr>
              <w:rPr>
                <w:rFonts w:ascii="宋体" w:hAnsi="宋体"/>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14:paraId="0A8E287E">
            <w:pPr>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4D5919">
            <w:pPr>
              <w:rPr>
                <w:rFonts w:ascii="宋体" w:hAnsi="宋体"/>
                <w:color w:val="auto"/>
                <w:szCs w:val="21"/>
                <w:highlight w:val="none"/>
              </w:rPr>
            </w:pPr>
          </w:p>
        </w:tc>
      </w:tr>
      <w:tr w14:paraId="046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2" w:type="dxa"/>
            <w:gridSpan w:val="6"/>
            <w:tcBorders>
              <w:top w:val="single" w:color="auto" w:sz="4" w:space="0"/>
              <w:left w:val="single" w:color="auto" w:sz="4" w:space="0"/>
              <w:bottom w:val="single" w:color="auto" w:sz="4" w:space="0"/>
              <w:right w:val="single" w:color="auto" w:sz="4" w:space="0"/>
            </w:tcBorders>
            <w:noWrap w:val="0"/>
            <w:vAlign w:val="center"/>
          </w:tcPr>
          <w:p w14:paraId="24167A9D">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02E19F38">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033C30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1.表格内容均需按要求填写并盖章，不得留空，</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28844A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2.投标文件响应的内容需按招标文件的要求填写，不得直接简单复制招标文件需求的内容，投标文件承诺内容应当写明投标服务具体参数或商务响应承诺的具体数值，</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01685A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3.当投标文件的服务内容低于招标文件要求时，投标人应当如实写明“负偏离”，</w:t>
      </w:r>
      <w:r>
        <w:rPr>
          <w:rFonts w:hint="eastAsia" w:ascii="宋体" w:hAnsi="宋体" w:cs="宋体"/>
          <w:b/>
          <w:bCs/>
          <w:color w:val="auto"/>
          <w:szCs w:val="21"/>
          <w:highlight w:val="none"/>
        </w:rPr>
        <w:t>否则视为虚假应标</w:t>
      </w:r>
      <w:r>
        <w:rPr>
          <w:rFonts w:hint="eastAsia" w:ascii="宋体" w:hAnsi="宋体" w:cs="宋体"/>
          <w:color w:val="auto"/>
          <w:szCs w:val="21"/>
          <w:highlight w:val="none"/>
        </w:rPr>
        <w:t>。</w:t>
      </w:r>
    </w:p>
    <w:p w14:paraId="32C5DA90">
      <w:pPr>
        <w:spacing w:line="360" w:lineRule="auto"/>
        <w:rPr>
          <w:rFonts w:hint="eastAsia" w:ascii="宋体" w:hAnsi="Courier New"/>
          <w:color w:val="auto"/>
          <w:szCs w:val="20"/>
          <w:highlight w:val="none"/>
        </w:rPr>
      </w:pPr>
      <w:r>
        <w:rPr>
          <w:rFonts w:hint="eastAsia" w:ascii="宋体" w:hAnsi="宋体" w:cs="宋体"/>
          <w:color w:val="auto"/>
          <w:szCs w:val="21"/>
          <w:highlight w:val="none"/>
        </w:rPr>
        <w:t>4.采购需求中带“▲”及“◆”的条款，也要分别在本表“服务参数”、“所提供服务的内容”中标记。</w:t>
      </w:r>
    </w:p>
    <w:p w14:paraId="6A1D3FE4">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31DA3A0A">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507DE27">
      <w:pP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5DC594">
      <w:pPr>
        <w:snapToGrid w:val="0"/>
        <w:spacing w:before="120" w:beforeLines="50" w:after="50"/>
        <w:ind w:left="143" w:leftChars="68" w:firstLine="600" w:firstLineChars="200"/>
        <w:jc w:val="left"/>
        <w:rPr>
          <w:rFonts w:ascii="宋体" w:hAnsi="宋体"/>
          <w:color w:val="auto"/>
          <w:sz w:val="30"/>
          <w:szCs w:val="20"/>
          <w:highlight w:val="none"/>
        </w:rPr>
        <w:sectPr>
          <w:footerReference r:id="rId18" w:type="first"/>
          <w:headerReference r:id="rId15" w:type="default"/>
          <w:footerReference r:id="rId16" w:type="default"/>
          <w:footerReference r:id="rId17" w:type="even"/>
          <w:pgSz w:w="11911" w:h="16838"/>
          <w:pgMar w:top="1134" w:right="1134" w:bottom="1134" w:left="1134" w:header="720" w:footer="720" w:gutter="0"/>
          <w:cols w:space="720" w:num="1"/>
          <w:titlePg/>
          <w:docGrid w:linePitch="331" w:charSpace="0"/>
        </w:sectPr>
      </w:pPr>
    </w:p>
    <w:p w14:paraId="55DC2092">
      <w:pPr>
        <w:snapToGrid w:val="0"/>
        <w:spacing w:before="120" w:beforeLines="50" w:after="50"/>
        <w:jc w:val="center"/>
        <w:rPr>
          <w:rFonts w:hint="eastAsia"/>
          <w:b/>
          <w:bCs/>
          <w:color w:val="auto"/>
          <w:sz w:val="30"/>
          <w:szCs w:val="30"/>
          <w:highlight w:val="none"/>
        </w:rPr>
      </w:pPr>
      <w:r>
        <w:rPr>
          <w:rFonts w:hint="eastAsia"/>
          <w:b/>
          <w:bCs/>
          <w:color w:val="auto"/>
          <w:sz w:val="30"/>
          <w:szCs w:val="30"/>
          <w:highlight w:val="none"/>
        </w:rPr>
        <w:t>二、服务方案</w:t>
      </w:r>
    </w:p>
    <w:p w14:paraId="6E4A0D2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747766BD">
      <w:pPr>
        <w:rPr>
          <w:rFonts w:hint="eastAsia" w:ascii="仿宋_GB2312" w:hAnsi="仿宋" w:eastAsia="仿宋_GB2312" w:cs="仿宋_GB2312"/>
          <w:b/>
          <w:bCs/>
          <w:color w:val="auto"/>
          <w:kern w:val="0"/>
          <w:sz w:val="24"/>
          <w:highlight w:val="none"/>
          <w:lang w:val="zh-CN"/>
        </w:rPr>
      </w:pPr>
    </w:p>
    <w:p w14:paraId="150AA55D">
      <w:pPr>
        <w:snapToGrid w:val="0"/>
        <w:spacing w:before="120" w:beforeLines="50" w:line="360" w:lineRule="auto"/>
        <w:ind w:right="480"/>
        <w:rPr>
          <w:rFonts w:hint="eastAsia" w:ascii="宋体" w:hAnsi="宋体"/>
          <w:color w:val="auto"/>
          <w:sz w:val="24"/>
          <w:highlight w:val="none"/>
        </w:rPr>
      </w:pPr>
    </w:p>
    <w:p w14:paraId="2A4DAA26">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E75300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98C1E3D">
      <w:pPr>
        <w:rPr>
          <w:rFonts w:hint="eastAsia" w:ascii="仿宋_GB2312" w:hAnsi="仿宋" w:eastAsia="仿宋_GB2312" w:cs="仿宋_GB2312"/>
          <w:b/>
          <w:bCs/>
          <w:color w:val="auto"/>
          <w:kern w:val="0"/>
          <w:sz w:val="24"/>
          <w:highlight w:val="none"/>
          <w:lang w:val="zh-CN"/>
        </w:rPr>
      </w:pPr>
    </w:p>
    <w:p w14:paraId="231C62C9">
      <w:pPr>
        <w:pStyle w:val="3"/>
        <w:rPr>
          <w:rFonts w:hint="eastAsia" w:ascii="仿宋_GB2312" w:hAnsi="仿宋" w:eastAsia="仿宋_GB2312" w:cs="仿宋_GB2312"/>
          <w:b/>
          <w:bCs/>
          <w:color w:val="auto"/>
          <w:kern w:val="0"/>
          <w:sz w:val="24"/>
          <w:highlight w:val="none"/>
          <w:lang w:val="zh-CN"/>
        </w:rPr>
      </w:pPr>
    </w:p>
    <w:p w14:paraId="629018C4">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三、除招标文件规定必须提供以外，投标人需要说明的其他文件和说明</w:t>
      </w:r>
    </w:p>
    <w:p w14:paraId="0901CA63">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8D85CEB">
      <w:pPr>
        <w:snapToGrid w:val="0"/>
        <w:spacing w:before="120" w:beforeLines="50" w:after="50"/>
        <w:ind w:left="142"/>
        <w:jc w:val="center"/>
        <w:rPr>
          <w:rFonts w:hint="eastAsia" w:ascii="宋体" w:hAnsi="宋体"/>
          <w:b/>
          <w:color w:val="auto"/>
          <w:sz w:val="32"/>
          <w:szCs w:val="32"/>
          <w:highlight w:val="none"/>
        </w:rPr>
      </w:pPr>
    </w:p>
    <w:p w14:paraId="3691933E">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F2C4558">
      <w:pPr>
        <w:snapToGrid w:val="0"/>
        <w:spacing w:line="360" w:lineRule="auto"/>
        <w:ind w:firstLine="5160" w:firstLineChars="2150"/>
        <w:rPr>
          <w:rFonts w:hint="eastAsia" w:ascii="宋体" w:hAnsi="宋体"/>
          <w:b/>
          <w:color w:val="auto"/>
          <w:sz w:val="32"/>
          <w:szCs w:val="32"/>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D3C5C34">
      <w:pPr>
        <w:snapToGrid w:val="0"/>
        <w:spacing w:before="120" w:beforeLines="50" w:after="50"/>
        <w:jc w:val="center"/>
        <w:outlineLvl w:val="1"/>
        <w:rPr>
          <w:rFonts w:hint="eastAsia" w:ascii="宋体" w:hAnsi="宋体" w:cs="宋体"/>
          <w:color w:val="auto"/>
          <w:highlight w:val="none"/>
        </w:rPr>
        <w:sectPr>
          <w:pgSz w:w="11911" w:h="16838"/>
          <w:pgMar w:top="1134" w:right="1134" w:bottom="1134" w:left="1134" w:header="720" w:footer="720" w:gutter="0"/>
          <w:cols w:space="720" w:num="1"/>
          <w:titlePg/>
          <w:docGrid w:linePitch="331" w:charSpace="0"/>
        </w:sectPr>
      </w:pPr>
    </w:p>
    <w:p w14:paraId="76164BB9">
      <w:pPr>
        <w:jc w:val="center"/>
        <w:outlineLvl w:val="1"/>
        <w:rPr>
          <w:rFonts w:hint="eastAsia" w:ascii="宋体" w:hAnsi="宋体"/>
          <w:b/>
          <w:bCs/>
          <w:color w:val="auto"/>
          <w:sz w:val="28"/>
          <w:szCs w:val="28"/>
          <w:highlight w:val="none"/>
        </w:rPr>
      </w:pPr>
      <w:bookmarkStart w:id="274" w:name="_Toc5443"/>
      <w:r>
        <w:rPr>
          <w:rFonts w:hint="eastAsia" w:ascii="宋体" w:hAnsi="宋体"/>
          <w:b/>
          <w:bCs/>
          <w:color w:val="auto"/>
          <w:sz w:val="28"/>
          <w:szCs w:val="28"/>
          <w:highlight w:val="none"/>
        </w:rPr>
        <w:t>第五节 报价文件格式</w:t>
      </w:r>
      <w:bookmarkEnd w:id="274"/>
    </w:p>
    <w:p w14:paraId="7888A4F8">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9046E6A">
      <w:pPr>
        <w:snapToGrid w:val="0"/>
        <w:spacing w:before="120" w:beforeLines="50" w:after="50" w:line="400" w:lineRule="exact"/>
        <w:jc w:val="center"/>
        <w:rPr>
          <w:rFonts w:hint="eastAsia" w:ascii="宋体" w:hAnsi="宋体"/>
          <w:bCs/>
          <w:color w:val="auto"/>
          <w:sz w:val="24"/>
          <w:szCs w:val="20"/>
          <w:highlight w:val="none"/>
        </w:rPr>
      </w:pPr>
    </w:p>
    <w:p w14:paraId="0BAD241F">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3BCA78B4">
      <w:pPr>
        <w:snapToGrid w:val="0"/>
        <w:spacing w:before="120" w:beforeLines="50" w:after="50" w:line="400" w:lineRule="exact"/>
        <w:rPr>
          <w:rFonts w:hint="eastAsia" w:ascii="宋体" w:hAnsi="宋体"/>
          <w:bCs/>
          <w:color w:val="auto"/>
          <w:sz w:val="24"/>
          <w:szCs w:val="20"/>
          <w:highlight w:val="none"/>
        </w:rPr>
      </w:pPr>
    </w:p>
    <w:p w14:paraId="21880505">
      <w:pPr>
        <w:snapToGrid w:val="0"/>
        <w:spacing w:before="120" w:beforeLines="50" w:after="50" w:line="400" w:lineRule="exact"/>
        <w:rPr>
          <w:rFonts w:hint="eastAsia" w:ascii="宋体" w:hAnsi="宋体"/>
          <w:bCs/>
          <w:color w:val="auto"/>
          <w:sz w:val="24"/>
          <w:szCs w:val="20"/>
          <w:highlight w:val="none"/>
        </w:rPr>
      </w:pPr>
    </w:p>
    <w:p w14:paraId="1C903CB7">
      <w:pPr>
        <w:snapToGrid w:val="0"/>
        <w:spacing w:before="120" w:beforeLines="50" w:after="50" w:line="400" w:lineRule="exact"/>
        <w:rPr>
          <w:rFonts w:hint="eastAsia" w:ascii="宋体" w:hAnsi="宋体"/>
          <w:bCs/>
          <w:color w:val="auto"/>
          <w:sz w:val="24"/>
          <w:szCs w:val="20"/>
          <w:highlight w:val="none"/>
        </w:rPr>
      </w:pPr>
    </w:p>
    <w:p w14:paraId="15ABA212">
      <w:pPr>
        <w:snapToGrid w:val="0"/>
        <w:spacing w:before="120" w:beforeLines="50" w:after="50" w:line="400" w:lineRule="exact"/>
        <w:rPr>
          <w:rFonts w:hint="eastAsia" w:ascii="宋体" w:hAnsi="宋体"/>
          <w:bCs/>
          <w:color w:val="auto"/>
          <w:sz w:val="24"/>
          <w:szCs w:val="20"/>
          <w:highlight w:val="none"/>
        </w:rPr>
      </w:pPr>
    </w:p>
    <w:p w14:paraId="06FD0C8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E5E5CFD">
      <w:pPr>
        <w:snapToGrid w:val="0"/>
        <w:spacing w:before="120" w:beforeLines="50" w:after="50" w:line="400" w:lineRule="exact"/>
        <w:ind w:firstLine="360" w:firstLineChars="150"/>
        <w:rPr>
          <w:rFonts w:hint="eastAsia" w:ascii="宋体" w:hAnsi="宋体"/>
          <w:bCs/>
          <w:color w:val="auto"/>
          <w:sz w:val="24"/>
          <w:highlight w:val="none"/>
        </w:rPr>
      </w:pPr>
    </w:p>
    <w:p w14:paraId="5FE6330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E5243FD">
      <w:pPr>
        <w:snapToGrid w:val="0"/>
        <w:spacing w:before="120" w:beforeLines="50" w:after="50" w:line="400" w:lineRule="exact"/>
        <w:ind w:firstLine="360" w:firstLineChars="150"/>
        <w:rPr>
          <w:rFonts w:hint="eastAsia" w:ascii="宋体" w:hAnsi="宋体"/>
          <w:bCs/>
          <w:color w:val="auto"/>
          <w:sz w:val="24"/>
          <w:highlight w:val="none"/>
        </w:rPr>
      </w:pPr>
    </w:p>
    <w:p w14:paraId="6B24B39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0912F68">
      <w:pPr>
        <w:snapToGrid w:val="0"/>
        <w:spacing w:before="120" w:beforeLines="50" w:after="50" w:line="400" w:lineRule="exact"/>
        <w:ind w:firstLine="360" w:firstLineChars="150"/>
        <w:rPr>
          <w:rFonts w:hint="eastAsia" w:ascii="宋体" w:hAnsi="宋体"/>
          <w:bCs/>
          <w:color w:val="auto"/>
          <w:sz w:val="24"/>
          <w:highlight w:val="none"/>
        </w:rPr>
      </w:pPr>
    </w:p>
    <w:p w14:paraId="355A3DC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92E9982">
      <w:pPr>
        <w:snapToGrid w:val="0"/>
        <w:spacing w:before="120" w:beforeLines="50" w:after="50" w:line="400" w:lineRule="exact"/>
        <w:ind w:firstLine="360" w:firstLineChars="150"/>
        <w:rPr>
          <w:rFonts w:hint="eastAsia" w:ascii="宋体" w:hAnsi="宋体"/>
          <w:bCs/>
          <w:color w:val="auto"/>
          <w:sz w:val="24"/>
          <w:highlight w:val="none"/>
        </w:rPr>
      </w:pPr>
    </w:p>
    <w:p w14:paraId="012727B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2326A78">
      <w:pPr>
        <w:snapToGrid w:val="0"/>
        <w:spacing w:before="50" w:after="50" w:line="400" w:lineRule="exact"/>
        <w:ind w:firstLine="960" w:firstLineChars="400"/>
        <w:rPr>
          <w:rFonts w:hint="eastAsia" w:ascii="宋体" w:hAnsi="宋体"/>
          <w:bCs/>
          <w:color w:val="auto"/>
          <w:sz w:val="24"/>
          <w:highlight w:val="none"/>
        </w:rPr>
      </w:pPr>
    </w:p>
    <w:p w14:paraId="4CB075A9">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p>
    <w:p w14:paraId="3554E54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B9C50B">
      <w:pPr>
        <w:snapToGrid w:val="0"/>
        <w:spacing w:before="120" w:beforeLines="50" w:after="50" w:line="400" w:lineRule="exact"/>
        <w:rPr>
          <w:rFonts w:ascii="宋体" w:hAnsi="宋体"/>
          <w:color w:val="auto"/>
          <w:sz w:val="24"/>
          <w:highlight w:val="none"/>
        </w:rPr>
        <w:sectPr>
          <w:pgSz w:w="11911" w:h="16838"/>
          <w:pgMar w:top="1134" w:right="1134" w:bottom="1134" w:left="1134" w:header="720" w:footer="720" w:gutter="0"/>
          <w:cols w:space="720" w:num="1"/>
          <w:titlePg/>
          <w:docGrid w:linePitch="331" w:charSpace="0"/>
        </w:sectPr>
      </w:pPr>
    </w:p>
    <w:p w14:paraId="05164623">
      <w:pPr>
        <w:rPr>
          <w:rFonts w:hint="eastAsia" w:ascii="宋体" w:hAnsi="宋体" w:cs="宋体"/>
          <w:color w:val="auto"/>
          <w:highlight w:val="none"/>
        </w:rPr>
      </w:pPr>
    </w:p>
    <w:p w14:paraId="289520A3">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7E9E4E39">
      <w:pPr>
        <w:rPr>
          <w:rFonts w:hint="eastAsia" w:ascii="宋体" w:hAnsi="宋体" w:cs="宋体"/>
          <w:color w:val="auto"/>
          <w:highlight w:val="none"/>
        </w:rPr>
      </w:pPr>
    </w:p>
    <w:p w14:paraId="2C5AA7FE">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13550B0E">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5AB14EA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三、分项报价明细表；………………………………………………………………（页码）</w:t>
      </w:r>
    </w:p>
    <w:p w14:paraId="75379EBD">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四、投标人认为需要提供的其他文件和说明………………………………………（页码）</w:t>
      </w:r>
    </w:p>
    <w:p w14:paraId="736F9BBD">
      <w:pPr>
        <w:snapToGrid w:val="0"/>
        <w:spacing w:before="120" w:beforeLines="50" w:after="50" w:line="400" w:lineRule="exact"/>
        <w:ind w:firstLine="300" w:firstLineChars="100"/>
        <w:rPr>
          <w:rFonts w:ascii="宋体" w:hAnsi="宋体"/>
          <w:color w:val="auto"/>
          <w:sz w:val="30"/>
          <w:szCs w:val="20"/>
          <w:highlight w:val="none"/>
        </w:rPr>
        <w:sectPr>
          <w:pgSz w:w="11911" w:h="16838"/>
          <w:pgMar w:top="1134" w:right="1134" w:bottom="1134" w:left="1134" w:header="720" w:footer="720" w:gutter="0"/>
          <w:cols w:space="720" w:num="1"/>
          <w:titlePg/>
          <w:docGrid w:linePitch="331" w:charSpace="0"/>
        </w:sectPr>
      </w:pPr>
    </w:p>
    <w:p w14:paraId="1FD88A90">
      <w:pPr>
        <w:spacing w:line="500" w:lineRule="exact"/>
        <w:jc w:val="center"/>
        <w:rPr>
          <w:b/>
          <w:bCs/>
          <w:color w:val="auto"/>
          <w:sz w:val="30"/>
          <w:szCs w:val="30"/>
          <w:highlight w:val="none"/>
        </w:rPr>
      </w:pPr>
      <w:r>
        <w:rPr>
          <w:rFonts w:hint="eastAsia"/>
          <w:b/>
          <w:bCs/>
          <w:color w:val="auto"/>
          <w:sz w:val="30"/>
          <w:szCs w:val="30"/>
          <w:highlight w:val="none"/>
        </w:rPr>
        <w:t>一、投标函</w:t>
      </w:r>
    </w:p>
    <w:p w14:paraId="06D3451D">
      <w:pPr>
        <w:spacing w:line="440" w:lineRule="exact"/>
        <w:ind w:firstLine="420" w:firstLineChars="200"/>
        <w:rPr>
          <w:rFonts w:hint="eastAsia"/>
          <w:color w:val="auto"/>
          <w:szCs w:val="20"/>
          <w:highlight w:val="none"/>
        </w:rPr>
      </w:pPr>
    </w:p>
    <w:p w14:paraId="2FE5122D">
      <w:pPr>
        <w:spacing w:line="440" w:lineRule="exact"/>
        <w:ind w:firstLine="420" w:firstLineChars="200"/>
        <w:rPr>
          <w:rFonts w:hint="eastAsia" w:ascii="宋体" w:hAnsi="Courier New"/>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76BB2323">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Courier New"/>
          <w:color w:val="auto"/>
          <w:szCs w:val="20"/>
          <w:highlight w:val="none"/>
          <w:u w:val="single"/>
        </w:rPr>
        <w:t xml:space="preserve">             </w:t>
      </w:r>
      <w:r>
        <w:rPr>
          <w:rFonts w:hint="eastAsia" w:ascii="宋体" w:hAnsi="Courier New"/>
          <w:color w:val="auto"/>
          <w:szCs w:val="20"/>
          <w:highlight w:val="none"/>
        </w:rPr>
        <w:t>）的招标文件的全部内容，授权</w:t>
      </w:r>
      <w:r>
        <w:rPr>
          <w:color w:val="auto"/>
          <w:szCs w:val="20"/>
          <w:highlight w:val="none"/>
          <w:u w:val="single"/>
        </w:rPr>
        <w:t xml:space="preserve">                      </w:t>
      </w:r>
      <w:r>
        <w:rPr>
          <w:rFonts w:hint="eastAsia" w:ascii="宋体" w:hAnsi="Courier New"/>
          <w:color w:val="auto"/>
          <w:szCs w:val="20"/>
          <w:highlight w:val="none"/>
        </w:rPr>
        <w:t>(全权代表姓名)</w:t>
      </w:r>
      <w:r>
        <w:rPr>
          <w:color w:val="auto"/>
          <w:szCs w:val="20"/>
          <w:highlight w:val="none"/>
          <w:u w:val="single"/>
        </w:rPr>
        <w:t xml:space="preserve">          </w:t>
      </w:r>
      <w:r>
        <w:rPr>
          <w:rFonts w:hint="eastAsia" w:ascii="宋体" w:hAnsi="Courier New"/>
          <w:color w:val="auto"/>
          <w:szCs w:val="20"/>
          <w:highlight w:val="none"/>
        </w:rPr>
        <w:t xml:space="preserve"> (职务、职称)为全权代表，现正式递交下述文件参加贵方组织的本次政府采购活动： </w:t>
      </w:r>
    </w:p>
    <w:p w14:paraId="09E2349F">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一、报价文件电子版（包含按投标人须知前附表要求提交的全部文件）；</w:t>
      </w:r>
    </w:p>
    <w:p w14:paraId="27B16204">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二、资格文件电子版（包含按投标人须知前附表要求提交的全部文件）；</w:t>
      </w:r>
    </w:p>
    <w:p w14:paraId="432D33D7">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三、</w:t>
      </w:r>
      <w:r>
        <w:rPr>
          <w:rFonts w:hint="eastAsia" w:ascii="宋体" w:hAnsi="宋体"/>
          <w:color w:val="auto"/>
          <w:szCs w:val="20"/>
          <w:highlight w:val="none"/>
        </w:rPr>
        <w:t>技术</w:t>
      </w:r>
      <w:r>
        <w:rPr>
          <w:rFonts w:hint="eastAsia" w:ascii="宋体" w:hAnsi="Courier New"/>
          <w:color w:val="auto"/>
          <w:szCs w:val="20"/>
          <w:highlight w:val="none"/>
        </w:rPr>
        <w:t>文件电子版（包含按投标人须知前附表要求提交的全部文件）；</w:t>
      </w:r>
    </w:p>
    <w:p w14:paraId="37A92089">
      <w:pPr>
        <w:spacing w:line="440" w:lineRule="exact"/>
        <w:ind w:firstLine="482"/>
        <w:rPr>
          <w:rFonts w:hint="eastAsia" w:ascii="宋体" w:hAnsi="Courier New"/>
          <w:color w:val="auto"/>
          <w:szCs w:val="20"/>
          <w:highlight w:val="none"/>
        </w:rPr>
      </w:pPr>
      <w:r>
        <w:rPr>
          <w:rFonts w:hint="eastAsia" w:ascii="宋体" w:hAnsi="宋体"/>
          <w:color w:val="auto"/>
          <w:szCs w:val="20"/>
          <w:highlight w:val="none"/>
        </w:rPr>
        <w:t>四、</w:t>
      </w:r>
      <w:r>
        <w:rPr>
          <w:rFonts w:hint="eastAsia" w:ascii="宋体" w:hAnsi="Courier New"/>
          <w:color w:val="auto"/>
          <w:szCs w:val="20"/>
          <w:highlight w:val="none"/>
        </w:rPr>
        <w:t>商务</w:t>
      </w:r>
      <w:r>
        <w:rPr>
          <w:rFonts w:hint="eastAsia" w:ascii="宋体" w:hAnsi="宋体"/>
          <w:color w:val="auto"/>
          <w:szCs w:val="20"/>
          <w:highlight w:val="none"/>
        </w:rPr>
        <w:t>文件</w:t>
      </w:r>
      <w:r>
        <w:rPr>
          <w:rFonts w:hint="eastAsia" w:ascii="宋体" w:hAnsi="Courier New"/>
          <w:color w:val="auto"/>
          <w:szCs w:val="20"/>
          <w:highlight w:val="none"/>
        </w:rPr>
        <w:t>电子版（包含按投标人须知前附表要求提交的全部文件）；</w:t>
      </w:r>
    </w:p>
    <w:p w14:paraId="7C99DABE">
      <w:pPr>
        <w:spacing w:line="440" w:lineRule="exact"/>
        <w:ind w:firstLine="482"/>
        <w:rPr>
          <w:color w:val="auto"/>
          <w:szCs w:val="20"/>
          <w:highlight w:val="none"/>
        </w:rPr>
      </w:pPr>
      <w:r>
        <w:rPr>
          <w:rFonts w:hint="eastAsia" w:ascii="宋体" w:hAnsi="Courier New"/>
          <w:color w:val="auto"/>
          <w:szCs w:val="20"/>
          <w:highlight w:val="none"/>
        </w:rPr>
        <w:t>据此函，我方兹宣布：</w:t>
      </w:r>
    </w:p>
    <w:p w14:paraId="3C99E0A0">
      <w:pPr>
        <w:spacing w:line="440" w:lineRule="exact"/>
        <w:ind w:firstLine="420" w:firstLineChars="200"/>
        <w:rPr>
          <w:color w:val="auto"/>
          <w:szCs w:val="20"/>
          <w:highlight w:val="none"/>
        </w:rPr>
      </w:pPr>
      <w:r>
        <w:rPr>
          <w:rFonts w:hint="eastAsia" w:ascii="宋体" w:hAnsi="Courier New"/>
          <w:color w:val="auto"/>
          <w:szCs w:val="20"/>
          <w:highlight w:val="none"/>
        </w:rPr>
        <w:t>1、我方愿意以（大写）人民币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元)的投标总报价，</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（无分标时填写）</w:t>
      </w:r>
      <w:r>
        <w:rPr>
          <w:rFonts w:hint="eastAsia" w:ascii="宋体" w:hAnsi="Courier New"/>
          <w:color w:val="auto"/>
          <w:szCs w:val="20"/>
          <w:highlight w:val="none"/>
          <w:u w:val="single"/>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“采购需求”中的相应的采购内容。</w:t>
      </w:r>
    </w:p>
    <w:p w14:paraId="701C07B4">
      <w:pPr>
        <w:spacing w:line="440" w:lineRule="exact"/>
        <w:ind w:firstLine="420" w:firstLineChars="200"/>
        <w:rPr>
          <w:color w:val="auto"/>
          <w:szCs w:val="20"/>
          <w:highlight w:val="none"/>
        </w:rPr>
      </w:pPr>
      <w:r>
        <w:rPr>
          <w:rFonts w:hint="eastAsia" w:ascii="宋体" w:hAnsi="Courier New"/>
          <w:color w:val="auto"/>
          <w:szCs w:val="20"/>
          <w:highlight w:val="none"/>
        </w:rPr>
        <w:t>其中（有分标时填写）：</w:t>
      </w:r>
    </w:p>
    <w:p w14:paraId="74197975">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0D521A6A">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73B26906">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w:t>
      </w:r>
    </w:p>
    <w:p w14:paraId="34C28F58">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第21.1项规定的投标截止时间（开标时间）起遵循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14:paraId="7FB66DCE">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14:paraId="2A28BBCB">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4、</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14:paraId="462A3C0A">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5、如我方中标，我方承诺在收到中标通知书后，在中标通知书规定的期限内，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根据招标文件、我方的投标文件及有关澄清承诺书的要求按第五章“拟签订的合同文本”与采购人订立书面合同，并按照合同约定</w:t>
      </w:r>
      <w:r>
        <w:rPr>
          <w:rFonts w:hint="eastAsia" w:ascii="宋体" w:hAnsi="Courier New"/>
          <w:color w:val="auto"/>
          <w:szCs w:val="20"/>
          <w:highlight w:val="none"/>
        </w:rPr>
        <w:t>承担完成合同的责任和义务。</w:t>
      </w:r>
    </w:p>
    <w:p w14:paraId="1108D051">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6、我方已详细审核招标文件，我方知道必须放弃提出含糊不清或误解问题的权利。</w:t>
      </w:r>
    </w:p>
    <w:p w14:paraId="72E633EE">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7、我方同意应贵方要求提供与本投标有关的任何数据或资料。若贵方需要，我方愿意提供我方作出的一切承诺的证明材料。</w:t>
      </w:r>
    </w:p>
    <w:p w14:paraId="51F44157">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8、我方完全理解贵方不一定接受投标报价最低的投标人为中标供应商的行为。</w:t>
      </w:r>
    </w:p>
    <w:p w14:paraId="1046B005">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9、我方将严格遵守《中华人民共和国政府采购法》第七十七条的规定，即供应商有下列情形之一的，处以采购金额千分之五以上千分之十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84AB7F8">
      <w:pPr>
        <w:numPr>
          <w:ilvl w:val="0"/>
          <w:numId w:val="5"/>
        </w:numPr>
        <w:spacing w:line="440" w:lineRule="exact"/>
        <w:rPr>
          <w:rFonts w:hint="eastAsia" w:ascii="宋体" w:hAnsi="宋体"/>
          <w:color w:val="auto"/>
          <w:szCs w:val="20"/>
          <w:highlight w:val="none"/>
        </w:rPr>
      </w:pPr>
      <w:r>
        <w:rPr>
          <w:rFonts w:hint="eastAsia" w:ascii="宋体" w:hAnsi="宋体"/>
          <w:color w:val="auto"/>
          <w:szCs w:val="20"/>
          <w:highlight w:val="none"/>
        </w:rPr>
        <w:t>提供虚假材料谋取中标、成交的；</w:t>
      </w:r>
    </w:p>
    <w:p w14:paraId="127B3BD2">
      <w:pPr>
        <w:numPr>
          <w:ilvl w:val="0"/>
          <w:numId w:val="5"/>
        </w:numPr>
        <w:spacing w:line="440" w:lineRule="exact"/>
        <w:rPr>
          <w:rFonts w:hint="eastAsia" w:ascii="宋体" w:hAnsi="宋体"/>
          <w:color w:val="auto"/>
          <w:szCs w:val="20"/>
          <w:highlight w:val="none"/>
        </w:rPr>
      </w:pPr>
      <w:r>
        <w:rPr>
          <w:rFonts w:hint="eastAsia" w:ascii="宋体" w:hAnsi="宋体"/>
          <w:color w:val="auto"/>
          <w:szCs w:val="20"/>
          <w:highlight w:val="none"/>
        </w:rPr>
        <w:t>采取不正当手段诋毁、排挤其他供应商的；</w:t>
      </w:r>
    </w:p>
    <w:p w14:paraId="79B1F72C">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与采购人、其他供应商或者采购代理机构恶意串通的；</w:t>
      </w:r>
    </w:p>
    <w:p w14:paraId="6E8AEBFF">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向采购人、采购代理机构行贿或者提供其他不正当利益的；</w:t>
      </w:r>
    </w:p>
    <w:p w14:paraId="36A957F3">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在招标采购过程中与采购人进行协商谈判的；</w:t>
      </w:r>
    </w:p>
    <w:p w14:paraId="5AD7DB51">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拒绝有关部门监督检查或提供虚假情况的。</w:t>
      </w:r>
    </w:p>
    <w:p w14:paraId="3FC21DFF">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rPr>
        <w:t>10、我方及由本人担任法定代表人的其他机构最近三年内被处罚的违法行为有：</w:t>
      </w:r>
      <w:r>
        <w:rPr>
          <w:rFonts w:hint="eastAsia" w:ascii="宋体" w:hAnsi="Courier New"/>
          <w:color w:val="auto"/>
          <w:szCs w:val="20"/>
          <w:highlight w:val="none"/>
          <w:u w:val="single"/>
        </w:rPr>
        <w:t xml:space="preserve">                  </w:t>
      </w:r>
    </w:p>
    <w:p w14:paraId="21DEFEDB">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u w:val="single"/>
        </w:rPr>
        <w:t xml:space="preserve">                                                                                        </w:t>
      </w:r>
    </w:p>
    <w:p w14:paraId="5818E43A">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11、以上事项如有虚假或隐瞒，我方愿意承担一切后果，并不再寻求任何旨在减轻或免除法律责任的辩解。</w:t>
      </w:r>
    </w:p>
    <w:p w14:paraId="7081E293">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12、与本投标有关的一切正式往来信函请寄：</w:t>
      </w:r>
    </w:p>
    <w:p w14:paraId="38D6B494">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地址：</w:t>
      </w:r>
      <w:r>
        <w:rPr>
          <w:rFonts w:hint="eastAsia" w:ascii="宋体" w:hAnsi="Courier New"/>
          <w:color w:val="auto"/>
          <w:szCs w:val="20"/>
          <w:highlight w:val="none"/>
          <w:u w:val="single"/>
        </w:rPr>
        <w:t xml:space="preserve">                                                        </w:t>
      </w:r>
      <w:r>
        <w:rPr>
          <w:rFonts w:hint="eastAsia" w:ascii="宋体" w:hAnsi="Courier New"/>
          <w:color w:val="auto"/>
          <w:szCs w:val="20"/>
          <w:highlight w:val="none"/>
        </w:rPr>
        <w:t xml:space="preserve"> </w:t>
      </w:r>
    </w:p>
    <w:p w14:paraId="5A1B2519">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14:paraId="1748E3B0">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14:paraId="3491C82E">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邮政编码：</w:t>
      </w:r>
      <w:r>
        <w:rPr>
          <w:rFonts w:hint="eastAsia" w:ascii="宋体" w:hAnsi="Courier New"/>
          <w:color w:val="auto"/>
          <w:szCs w:val="20"/>
          <w:highlight w:val="none"/>
          <w:u w:val="single"/>
        </w:rPr>
        <w:t xml:space="preserve">                                                    </w:t>
      </w:r>
    </w:p>
    <w:p w14:paraId="59DB1B8E">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开户名称：</w:t>
      </w:r>
      <w:r>
        <w:rPr>
          <w:rFonts w:hint="eastAsia" w:ascii="宋体" w:hAnsi="Courier New"/>
          <w:color w:val="auto"/>
          <w:szCs w:val="20"/>
          <w:highlight w:val="none"/>
          <w:u w:val="single"/>
        </w:rPr>
        <w:t xml:space="preserve">                                                    </w:t>
      </w:r>
    </w:p>
    <w:p w14:paraId="13038171">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开户银行：</w:t>
      </w:r>
      <w:r>
        <w:rPr>
          <w:rFonts w:hint="eastAsia" w:ascii="宋体" w:hAnsi="Courier New"/>
          <w:color w:val="auto"/>
          <w:szCs w:val="20"/>
          <w:highlight w:val="none"/>
          <w:u w:val="single"/>
        </w:rPr>
        <w:t xml:space="preserve">                                                    </w:t>
      </w:r>
    </w:p>
    <w:p w14:paraId="5C3CB493">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银行账号：</w:t>
      </w:r>
      <w:r>
        <w:rPr>
          <w:rFonts w:hint="eastAsia" w:ascii="宋体" w:hAnsi="Courier New"/>
          <w:color w:val="auto"/>
          <w:szCs w:val="20"/>
          <w:highlight w:val="none"/>
          <w:u w:val="single"/>
        </w:rPr>
        <w:t xml:space="preserve">                                                    </w:t>
      </w:r>
    </w:p>
    <w:p w14:paraId="2C027E7D">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1A0A8CF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6466C7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0F25C0">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11" w:h="16838"/>
          <w:pgMar w:top="1134" w:right="1134" w:bottom="1134" w:left="1134" w:header="720" w:footer="720" w:gutter="0"/>
          <w:cols w:space="720" w:num="1"/>
          <w:titlePg/>
          <w:docGrid w:linePitch="331" w:charSpace="0"/>
        </w:sectPr>
      </w:pPr>
    </w:p>
    <w:p w14:paraId="15D38286">
      <w:pPr>
        <w:spacing w:line="360" w:lineRule="auto"/>
        <w:jc w:val="center"/>
        <w:rPr>
          <w:rFonts w:hint="eastAsia"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72A8B2F5">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B5FF0F4">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B9B9D2F">
      <w:pPr>
        <w:spacing w:line="360" w:lineRule="auto"/>
        <w:rPr>
          <w:rFonts w:hint="eastAsia" w:ascii="宋体" w:hAnsi="Courier New"/>
          <w:b/>
          <w:color w:val="auto"/>
          <w:sz w:val="32"/>
          <w:szCs w:val="20"/>
          <w:highlight w:val="non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14:paraId="06F2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EB1AD93">
            <w:pPr>
              <w:rPr>
                <w:rFonts w:hint="eastAsia" w:ascii="宋体" w:hAnsi="宋体"/>
                <w:color w:val="auto"/>
                <w:szCs w:val="22"/>
                <w:highlight w:val="none"/>
              </w:rPr>
            </w:pPr>
            <w:r>
              <w:rPr>
                <w:rFonts w:hint="eastAsia" w:ascii="宋体" w:hAnsi="宋体"/>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C3677EE">
            <w:pPr>
              <w:rPr>
                <w:rFonts w:hint="eastAsia" w:ascii="宋体" w:hAnsi="宋体"/>
                <w:color w:val="auto"/>
                <w:szCs w:val="22"/>
                <w:highlight w:val="none"/>
              </w:rPr>
            </w:pPr>
            <w:r>
              <w:rPr>
                <w:rFonts w:hint="eastAsia" w:ascii="宋体" w:hAnsi="宋体"/>
                <w:color w:val="auto"/>
                <w:szCs w:val="22"/>
                <w:highlight w:val="none"/>
              </w:rPr>
              <w:t>标的名称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744144CB">
            <w:pPr>
              <w:jc w:val="center"/>
              <w:rPr>
                <w:rFonts w:hint="eastAsia" w:ascii="宋体" w:hAnsi="宋体"/>
                <w:color w:val="auto"/>
                <w:szCs w:val="22"/>
                <w:highlight w:val="none"/>
              </w:rPr>
            </w:pPr>
            <w:r>
              <w:rPr>
                <w:rFonts w:hint="eastAsia" w:ascii="宋体" w:hAnsi="宋体"/>
                <w:color w:val="auto"/>
                <w:szCs w:val="22"/>
                <w:highlight w:val="none"/>
                <w:lang w:val="zh-CN"/>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2E803A">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671131">
            <w:pPr>
              <w:jc w:val="center"/>
              <w:rPr>
                <w:rFonts w:hint="eastAsia" w:ascii="宋体" w:hAnsi="宋体"/>
                <w:color w:val="auto"/>
                <w:szCs w:val="22"/>
                <w:highlight w:val="none"/>
              </w:rPr>
            </w:pPr>
            <w:r>
              <w:rPr>
                <w:rFonts w:hint="eastAsia" w:ascii="宋体" w:hAnsi="宋体"/>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4881758">
            <w:pPr>
              <w:jc w:val="center"/>
              <w:rPr>
                <w:rFonts w:hint="eastAsia" w:ascii="宋体" w:hAnsi="宋体"/>
                <w:color w:val="auto"/>
                <w:szCs w:val="22"/>
                <w:highlight w:val="none"/>
              </w:rPr>
            </w:pPr>
            <w:r>
              <w:rPr>
                <w:rFonts w:hint="eastAsia" w:ascii="宋体" w:hAnsi="宋体"/>
                <w:color w:val="auto"/>
                <w:szCs w:val="22"/>
                <w:highlight w:val="none"/>
              </w:rPr>
              <w:t>单项合价（元）</w:t>
            </w:r>
          </w:p>
          <w:p w14:paraId="31456CAA">
            <w:pPr>
              <w:spacing w:line="360" w:lineRule="auto"/>
              <w:jc w:val="center"/>
              <w:rPr>
                <w:rFonts w:hint="eastAsia" w:ascii="宋体" w:hAnsi="宋体"/>
                <w:color w:val="auto"/>
                <w:szCs w:val="22"/>
                <w:highlight w:val="none"/>
              </w:rPr>
            </w:pPr>
            <w:r>
              <w:rPr>
                <w:rFonts w:hint="eastAsia" w:ascii="宋体" w:hAnsi="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563387E">
            <w:pPr>
              <w:rPr>
                <w:rFonts w:hint="eastAsia" w:ascii="宋体" w:hAnsi="宋体"/>
                <w:color w:val="auto"/>
                <w:szCs w:val="22"/>
                <w:highlight w:val="none"/>
              </w:rPr>
            </w:pPr>
            <w:r>
              <w:rPr>
                <w:rFonts w:hint="eastAsia" w:ascii="宋体" w:hAnsi="宋体"/>
                <w:color w:val="auto"/>
                <w:szCs w:val="22"/>
                <w:highlight w:val="none"/>
              </w:rPr>
              <w:t>备注</w:t>
            </w:r>
          </w:p>
        </w:tc>
      </w:tr>
      <w:tr w14:paraId="49C3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F81F5B0">
            <w:pPr>
              <w:rPr>
                <w:rFonts w:hint="eastAsia" w:ascii="宋体" w:hAnsi="宋体"/>
                <w:color w:val="auto"/>
                <w:szCs w:val="22"/>
                <w:highlight w:val="none"/>
              </w:rPr>
            </w:pPr>
            <w:r>
              <w:rPr>
                <w:rFonts w:hint="eastAsia" w:ascii="宋体" w:hAnsi="宋体"/>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FBF569D">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62E0755">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C4EF46">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215098">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443432A">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6ABFBE1">
            <w:pPr>
              <w:rPr>
                <w:rFonts w:hint="eastAsia" w:ascii="宋体" w:hAnsi="宋体"/>
                <w:color w:val="auto"/>
                <w:szCs w:val="22"/>
                <w:highlight w:val="none"/>
              </w:rPr>
            </w:pPr>
          </w:p>
        </w:tc>
      </w:tr>
      <w:tr w14:paraId="5CB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3539E8">
            <w:pPr>
              <w:rPr>
                <w:rFonts w:hint="eastAsia" w:ascii="宋体" w:hAnsi="宋体"/>
                <w:color w:val="auto"/>
                <w:szCs w:val="22"/>
                <w:highlight w:val="none"/>
              </w:rPr>
            </w:pPr>
            <w:r>
              <w:rPr>
                <w:rFonts w:hint="eastAsia" w:ascii="宋体" w:hAnsi="宋体"/>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4F4DF5">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E3BFF7C">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A4ECD2">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4D4B1D">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8E78CC0">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9C756CD">
            <w:pPr>
              <w:rPr>
                <w:rFonts w:hint="eastAsia" w:ascii="宋体" w:hAnsi="宋体"/>
                <w:color w:val="auto"/>
                <w:szCs w:val="22"/>
                <w:highlight w:val="none"/>
              </w:rPr>
            </w:pPr>
          </w:p>
        </w:tc>
      </w:tr>
      <w:tr w14:paraId="3686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0997586">
            <w:pPr>
              <w:rPr>
                <w:rFonts w:hint="eastAsia" w:ascii="宋体" w:hAnsi="宋体"/>
                <w:color w:val="auto"/>
                <w:szCs w:val="22"/>
                <w:highlight w:val="none"/>
              </w:rPr>
            </w:pPr>
            <w:r>
              <w:rPr>
                <w:rFonts w:hint="eastAsia" w:ascii="宋体" w:hAnsi="宋体"/>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B44D2C">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33FF807">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9A4785">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966891">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E8CBF64">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A7D5E50">
            <w:pPr>
              <w:rPr>
                <w:rFonts w:hint="eastAsia" w:ascii="宋体" w:hAnsi="宋体"/>
                <w:color w:val="auto"/>
                <w:szCs w:val="22"/>
                <w:highlight w:val="none"/>
              </w:rPr>
            </w:pPr>
          </w:p>
        </w:tc>
      </w:tr>
      <w:tr w14:paraId="274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9EC9DE">
            <w:pPr>
              <w:jc w:val="left"/>
              <w:rPr>
                <w:rFonts w:hint="eastAsia" w:ascii="宋体" w:hAnsi="宋体"/>
                <w:color w:val="auto"/>
                <w:szCs w:val="22"/>
                <w:highlight w:val="none"/>
              </w:rPr>
            </w:pPr>
            <w:r>
              <w:rPr>
                <w:rFonts w:hint="eastAsia" w:ascii="宋体" w:hAnsi="宋体"/>
                <w:color w:val="auto"/>
                <w:szCs w:val="21"/>
                <w:highlight w:val="none"/>
              </w:rPr>
              <w:t>报价合计（包含税费等所有费用）：（大写）人民币                          （¥            元）</w:t>
            </w:r>
          </w:p>
        </w:tc>
      </w:tr>
      <w:tr w14:paraId="07E1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3D59E225">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20729D43">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196635A">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7A92F22F">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719F892A">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277478BB">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否则其投标作无效标处理。</w:t>
      </w:r>
    </w:p>
    <w:p w14:paraId="6702B035">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37E6FA2">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E8B5311">
      <w:pPr>
        <w:snapToGrid w:val="0"/>
        <w:spacing w:line="360" w:lineRule="auto"/>
        <w:ind w:firstLine="480" w:firstLineChars="200"/>
        <w:jc w:val="left"/>
        <w:rPr>
          <w:rFonts w:ascii="仿宋_GB2312" w:hAnsi="仿宋" w:eastAsia="仿宋_GB2312" w:cs="仿宋_GB2312"/>
          <w:color w:val="auto"/>
          <w:kern w:val="0"/>
          <w:sz w:val="24"/>
          <w:highlight w:val="none"/>
          <w:lang w:val="zh-CN"/>
        </w:rPr>
      </w:pPr>
    </w:p>
    <w:p w14:paraId="28DEDDED">
      <w:pPr>
        <w:ind w:firstLine="420"/>
        <w:rPr>
          <w:rFonts w:hint="eastAsia" w:ascii="Calibri" w:hAnsi="Calibri"/>
          <w:color w:val="auto"/>
          <w:szCs w:val="20"/>
          <w:highlight w:val="none"/>
          <w:lang w:val="zh-CN"/>
        </w:rPr>
      </w:pPr>
    </w:p>
    <w:p w14:paraId="2E09D25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A4D076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0677141">
      <w:pPr>
        <w:ind w:firstLine="420"/>
        <w:rPr>
          <w:rFonts w:hint="eastAsia" w:ascii="Calibri" w:hAnsi="Calibri"/>
          <w:color w:val="auto"/>
          <w:szCs w:val="20"/>
          <w:highlight w:val="none"/>
          <w:lang w:val="zh-CN"/>
        </w:rPr>
      </w:pPr>
      <w:r>
        <w:rPr>
          <w:rFonts w:hint="eastAsia" w:ascii="仿宋_GB2312" w:hAnsi="仿宋" w:eastAsia="仿宋_GB2312" w:cs="仿宋_GB2312"/>
          <w:color w:val="auto"/>
          <w:kern w:val="0"/>
          <w:sz w:val="24"/>
          <w:highlight w:val="none"/>
          <w:lang w:val="zh-CN"/>
        </w:rPr>
        <w:br w:type="page"/>
      </w:r>
    </w:p>
    <w:p w14:paraId="6662531D">
      <w:pPr>
        <w:spacing w:line="360" w:lineRule="auto"/>
        <w:jc w:val="center"/>
        <w:rPr>
          <w:rFonts w:hint="eastAsia" w:ascii="宋体"/>
          <w:color w:val="auto"/>
          <w:szCs w:val="21"/>
          <w:highlight w:val="none"/>
        </w:rPr>
      </w:pPr>
      <w:r>
        <w:rPr>
          <w:rFonts w:hint="eastAsia"/>
          <w:b/>
          <w:bCs/>
          <w:color w:val="auto"/>
          <w:sz w:val="30"/>
          <w:szCs w:val="30"/>
          <w:highlight w:val="none"/>
        </w:rPr>
        <w:t>三、</w:t>
      </w:r>
      <w:r>
        <w:rPr>
          <w:rFonts w:hint="eastAsia" w:ascii="宋体" w:hAnsi="Courier New"/>
          <w:b/>
          <w:color w:val="auto"/>
          <w:sz w:val="30"/>
          <w:szCs w:val="30"/>
          <w:highlight w:val="none"/>
        </w:rPr>
        <w:t>分项报价明细表</w:t>
      </w:r>
    </w:p>
    <w:p w14:paraId="169A3C0A">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2B2282">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0A2D8FAA">
      <w:pPr>
        <w:spacing w:line="360" w:lineRule="auto"/>
        <w:rPr>
          <w:rFonts w:hint="eastAsia" w:ascii="宋体" w:hAnsi="宋体"/>
          <w:color w:val="auto"/>
          <w:sz w:val="24"/>
          <w:szCs w:val="20"/>
          <w:highlight w:val="none"/>
          <w:u w:val="singl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p>
    <w:p w14:paraId="51830B88">
      <w:pPr>
        <w:snapToGrid w:val="0"/>
        <w:spacing w:before="295" w:after="295" w:line="360" w:lineRule="exact"/>
        <w:ind w:firstLine="7140" w:firstLineChars="3400"/>
        <w:rPr>
          <w:rFonts w:hint="eastAsia" w:ascii="宋体" w:cs="宋体"/>
          <w:color w:val="auto"/>
          <w:kern w:val="0"/>
          <w:szCs w:val="21"/>
          <w:highlight w:val="none"/>
        </w:rPr>
      </w:pPr>
      <w:r>
        <w:rPr>
          <w:rFonts w:hint="eastAsia" w:ascii="宋体" w:cs="宋体"/>
          <w:color w:val="auto"/>
          <w:kern w:val="0"/>
          <w:szCs w:val="21"/>
          <w:highlight w:val="none"/>
        </w:rPr>
        <w:t>金额单位：人民币（元）</w:t>
      </w:r>
    </w:p>
    <w:tbl>
      <w:tblPr>
        <w:tblStyle w:val="13"/>
        <w:tblW w:w="1098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260"/>
        <w:gridCol w:w="1080"/>
        <w:gridCol w:w="1080"/>
        <w:gridCol w:w="810"/>
        <w:gridCol w:w="36"/>
        <w:gridCol w:w="424"/>
        <w:gridCol w:w="350"/>
        <w:gridCol w:w="900"/>
        <w:gridCol w:w="1620"/>
      </w:tblGrid>
      <w:tr w14:paraId="45AD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80" w:type="dxa"/>
            <w:gridSpan w:val="12"/>
            <w:tcBorders>
              <w:top w:val="single" w:color="auto" w:sz="4" w:space="0"/>
              <w:left w:val="single" w:color="auto" w:sz="4" w:space="0"/>
              <w:bottom w:val="single" w:color="auto" w:sz="4" w:space="0"/>
              <w:right w:val="single" w:color="auto" w:sz="4" w:space="0"/>
            </w:tcBorders>
            <w:noWrap w:val="0"/>
            <w:vAlign w:val="center"/>
          </w:tcPr>
          <w:p w14:paraId="66A67EDE">
            <w:pPr>
              <w:snapToGrid w:val="0"/>
              <w:spacing w:before="50" w:after="50" w:line="360" w:lineRule="exact"/>
              <w:rPr>
                <w:rFonts w:ascii="宋体"/>
                <w:color w:val="auto"/>
                <w:szCs w:val="21"/>
                <w:highlight w:val="none"/>
              </w:rPr>
            </w:pPr>
            <w:r>
              <w:rPr>
                <w:rFonts w:hint="eastAsia" w:ascii="宋体"/>
                <w:color w:val="auto"/>
                <w:szCs w:val="21"/>
                <w:highlight w:val="none"/>
              </w:rPr>
              <w:t>建设总面积不少于4450亩沃柑种植基地升级智能水肥一体化系统</w:t>
            </w:r>
          </w:p>
        </w:tc>
      </w:tr>
      <w:tr w14:paraId="0FB8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3471076F">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B6D68C">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CEFE54">
            <w:pPr>
              <w:tabs>
                <w:tab w:val="left" w:pos="1418"/>
              </w:tabs>
              <w:snapToGrid w:val="0"/>
              <w:spacing w:before="50" w:after="50" w:line="360" w:lineRule="exact"/>
              <w:jc w:val="center"/>
              <w:rPr>
                <w:rFonts w:hint="eastAsia" w:ascii="宋体"/>
                <w:color w:val="auto"/>
                <w:szCs w:val="21"/>
                <w:highlight w:val="none"/>
              </w:rPr>
            </w:pPr>
            <w:r>
              <w:rPr>
                <w:rFonts w:hint="eastAsia" w:ascii="宋体" w:hAnsi="宋体" w:cs="宋体"/>
                <w:color w:val="auto"/>
                <w:szCs w:val="21"/>
                <w:highlight w:val="none"/>
              </w:rPr>
              <w:t>性能及指标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8BD311">
            <w:pPr>
              <w:snapToGrid w:val="0"/>
              <w:spacing w:line="320" w:lineRule="exact"/>
              <w:jc w:val="center"/>
              <w:rPr>
                <w:rFonts w:ascii="宋体"/>
                <w:b/>
                <w:color w:val="auto"/>
                <w:szCs w:val="21"/>
                <w:highlight w:val="none"/>
              </w:rPr>
            </w:pPr>
            <w:r>
              <w:rPr>
                <w:rFonts w:hint="eastAsia" w:ascii="宋体"/>
                <w:bCs/>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3C65FD">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DC95BD">
            <w:pPr>
              <w:tabs>
                <w:tab w:val="left" w:pos="1418"/>
              </w:tabs>
              <w:snapToGrid w:val="0"/>
              <w:spacing w:before="50" w:after="50" w:line="260" w:lineRule="exact"/>
              <w:jc w:val="center"/>
              <w:rPr>
                <w:rFonts w:ascii="宋体"/>
                <w:color w:val="auto"/>
                <w:szCs w:val="21"/>
                <w:highlight w:val="none"/>
              </w:rPr>
            </w:pPr>
            <w:r>
              <w:rPr>
                <w:rFonts w:hint="eastAsia" w:ascii="宋体"/>
                <w:color w:val="auto"/>
                <w:szCs w:val="21"/>
                <w:highlight w:val="none"/>
              </w:rPr>
              <w:t>生产厂家及产地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ABAB200">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数量</w:t>
            </w:r>
            <w:r>
              <w:rPr>
                <w:rFonts w:hint="eastAsia" w:ascii="宋体" w:hAnsi="宋体" w:cs="宋体"/>
                <w:color w:val="auto"/>
                <w:szCs w:val="21"/>
                <w:highlight w:val="none"/>
              </w:rPr>
              <w:t>①</w:t>
            </w:r>
          </w:p>
        </w:tc>
        <w:tc>
          <w:tcPr>
            <w:tcW w:w="810" w:type="dxa"/>
            <w:gridSpan w:val="3"/>
            <w:tcBorders>
              <w:top w:val="single" w:color="auto" w:sz="4" w:space="0"/>
              <w:left w:val="single" w:color="auto" w:sz="4" w:space="0"/>
              <w:bottom w:val="single" w:color="auto" w:sz="4" w:space="0"/>
              <w:right w:val="single" w:color="auto" w:sz="4" w:space="0"/>
            </w:tcBorders>
            <w:noWrap w:val="0"/>
            <w:vAlign w:val="center"/>
          </w:tcPr>
          <w:p w14:paraId="32829221">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BE6A8D">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单价</w:t>
            </w:r>
            <w:r>
              <w:rPr>
                <w:rFonts w:hint="eastAsia" w:ascii="宋体" w:hAnsi="宋体" w:cs="宋体"/>
                <w:color w:val="auto"/>
                <w:szCs w:val="21"/>
                <w:highlight w:val="none"/>
              </w:rPr>
              <w:t>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741028">
            <w:pPr>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金额</w:t>
            </w:r>
            <w:r>
              <w:rPr>
                <w:rFonts w:hint="eastAsia" w:ascii="宋体" w:hAnsi="宋体" w:cs="宋体"/>
                <w:color w:val="auto"/>
                <w:szCs w:val="21"/>
                <w:highlight w:val="none"/>
              </w:rPr>
              <w:t xml:space="preserve">③=①×② </w:t>
            </w:r>
          </w:p>
        </w:tc>
      </w:tr>
      <w:tr w14:paraId="6579D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4521644">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pacing w:val="20"/>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1DB7AAC">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93976E">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60037B2">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9DE85D">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32441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38B04C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1B0C0CF5">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711D80">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53CCAFC">
            <w:pPr>
              <w:tabs>
                <w:tab w:val="left" w:pos="1418"/>
              </w:tabs>
              <w:snapToGrid w:val="0"/>
              <w:spacing w:before="50" w:after="50" w:line="360" w:lineRule="exact"/>
              <w:jc w:val="center"/>
              <w:rPr>
                <w:rFonts w:hint="eastAsia" w:ascii="宋体"/>
                <w:color w:val="auto"/>
                <w:spacing w:val="20"/>
                <w:szCs w:val="21"/>
                <w:highlight w:val="none"/>
              </w:rPr>
            </w:pPr>
          </w:p>
        </w:tc>
      </w:tr>
      <w:tr w14:paraId="4A1FC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7FF2BD5">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pacing w:val="20"/>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E8FC748">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FC331E">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662C32B">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376019">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720CC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BA77D81">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72E8CD8C">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1EF05E">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07DD876">
            <w:pPr>
              <w:tabs>
                <w:tab w:val="left" w:pos="1418"/>
              </w:tabs>
              <w:snapToGrid w:val="0"/>
              <w:spacing w:before="50" w:after="50" w:line="360" w:lineRule="exact"/>
              <w:jc w:val="center"/>
              <w:rPr>
                <w:rFonts w:hint="eastAsia" w:ascii="宋体"/>
                <w:color w:val="auto"/>
                <w:spacing w:val="20"/>
                <w:szCs w:val="21"/>
                <w:highlight w:val="none"/>
              </w:rPr>
            </w:pPr>
          </w:p>
        </w:tc>
      </w:tr>
      <w:tr w14:paraId="6D2B4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4AAF844">
            <w:pPr>
              <w:tabs>
                <w:tab w:val="left" w:pos="1418"/>
              </w:tabs>
              <w:snapToGrid w:val="0"/>
              <w:spacing w:before="50" w:after="50" w:line="360" w:lineRule="exact"/>
              <w:jc w:val="center"/>
              <w:rPr>
                <w:rFonts w:ascii="宋体"/>
                <w:color w:val="auto"/>
                <w:spacing w:val="20"/>
                <w:szCs w:val="21"/>
                <w:highlight w:val="none"/>
              </w:rPr>
            </w:pPr>
            <w:r>
              <w:rPr>
                <w:rFonts w:hint="eastAsia" w:asci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21410E0">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EBEFD9">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8F23E8">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AE453D">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6E1077">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C2FBEC8">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05874B0F">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7F3291A">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605356C">
            <w:pPr>
              <w:tabs>
                <w:tab w:val="left" w:pos="1418"/>
              </w:tabs>
              <w:snapToGrid w:val="0"/>
              <w:spacing w:before="50" w:after="50" w:line="360" w:lineRule="exact"/>
              <w:jc w:val="center"/>
              <w:rPr>
                <w:rFonts w:hint="eastAsia" w:ascii="宋体"/>
                <w:color w:val="auto"/>
                <w:spacing w:val="20"/>
                <w:szCs w:val="21"/>
                <w:highlight w:val="none"/>
              </w:rPr>
            </w:pPr>
          </w:p>
        </w:tc>
      </w:tr>
      <w:tr w14:paraId="6AFCA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10" w:type="dxa"/>
            <w:gridSpan w:val="9"/>
            <w:tcBorders>
              <w:top w:val="single" w:color="auto" w:sz="4" w:space="0"/>
              <w:left w:val="single" w:color="auto" w:sz="4" w:space="0"/>
              <w:bottom w:val="single" w:color="auto" w:sz="4" w:space="0"/>
              <w:right w:val="single" w:color="auto" w:sz="4" w:space="0"/>
            </w:tcBorders>
            <w:noWrap w:val="0"/>
            <w:vAlign w:val="top"/>
          </w:tcPr>
          <w:p w14:paraId="6E52A56C">
            <w:pPr>
              <w:tabs>
                <w:tab w:val="left" w:pos="1418"/>
              </w:tabs>
              <w:snapToGrid w:val="0"/>
              <w:spacing w:before="50" w:after="50" w:line="360" w:lineRule="exact"/>
              <w:rPr>
                <w:rFonts w:hint="eastAsia" w:ascii="宋体"/>
                <w:color w:val="auto"/>
                <w:spacing w:val="20"/>
                <w:szCs w:val="21"/>
                <w:highlight w:val="none"/>
              </w:rPr>
            </w:pPr>
            <w:r>
              <w:rPr>
                <w:rFonts w:hint="eastAsia"/>
                <w:color w:val="auto"/>
                <w:szCs w:val="21"/>
                <w:highlight w:val="none"/>
              </w:rPr>
              <w:t>本项</w:t>
            </w:r>
            <w:r>
              <w:rPr>
                <w:rFonts w:hint="eastAsia" w:ascii="宋体"/>
                <w:color w:val="auto"/>
                <w:szCs w:val="21"/>
                <w:highlight w:val="none"/>
              </w:rPr>
              <w:t xml:space="preserve">合计金额大写：                                             </w:t>
            </w:r>
          </w:p>
        </w:tc>
        <w:tc>
          <w:tcPr>
            <w:tcW w:w="1250" w:type="dxa"/>
            <w:gridSpan w:val="2"/>
            <w:tcBorders>
              <w:top w:val="single" w:color="auto" w:sz="4" w:space="0"/>
              <w:left w:val="single" w:color="auto" w:sz="4" w:space="0"/>
              <w:bottom w:val="single" w:color="auto" w:sz="4" w:space="0"/>
              <w:right w:val="single" w:color="auto" w:sz="4" w:space="0"/>
            </w:tcBorders>
            <w:noWrap w:val="0"/>
            <w:vAlign w:val="top"/>
          </w:tcPr>
          <w:p w14:paraId="3680FF96">
            <w:pPr>
              <w:tabs>
                <w:tab w:val="left" w:pos="1418"/>
              </w:tabs>
              <w:snapToGrid w:val="0"/>
              <w:spacing w:before="50" w:after="50" w:line="360" w:lineRule="exact"/>
              <w:rPr>
                <w:rFonts w:hint="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7C69518">
            <w:pPr>
              <w:tabs>
                <w:tab w:val="left" w:pos="1418"/>
              </w:tabs>
              <w:snapToGrid w:val="0"/>
              <w:spacing w:before="50" w:after="50" w:line="360" w:lineRule="exact"/>
              <w:rPr>
                <w:rFonts w:hint="eastAsia" w:ascii="宋体"/>
                <w:color w:val="auto"/>
                <w:spacing w:val="20"/>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r w14:paraId="5C74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80" w:type="dxa"/>
            <w:gridSpan w:val="12"/>
            <w:tcBorders>
              <w:top w:val="single" w:color="auto" w:sz="4" w:space="0"/>
              <w:left w:val="single" w:color="auto" w:sz="4" w:space="0"/>
              <w:bottom w:val="single" w:color="auto" w:sz="4" w:space="0"/>
              <w:right w:val="single" w:color="auto" w:sz="4" w:space="0"/>
            </w:tcBorders>
            <w:noWrap w:val="0"/>
            <w:vAlign w:val="top"/>
          </w:tcPr>
          <w:p w14:paraId="6FF5D3EB">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建设一个面积50亩的高标准智能水肥一体化种植基地</w:t>
            </w:r>
          </w:p>
        </w:tc>
      </w:tr>
      <w:tr w14:paraId="52155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3CEB18BE">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E9ADC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850905">
            <w:pPr>
              <w:tabs>
                <w:tab w:val="left" w:pos="1418"/>
              </w:tabs>
              <w:snapToGrid w:val="0"/>
              <w:spacing w:before="50" w:after="50" w:line="360" w:lineRule="exact"/>
              <w:jc w:val="center"/>
              <w:rPr>
                <w:rFonts w:hint="eastAsia" w:ascii="宋体"/>
                <w:color w:val="auto"/>
                <w:szCs w:val="21"/>
                <w:highlight w:val="none"/>
              </w:rPr>
            </w:pPr>
            <w:r>
              <w:rPr>
                <w:rFonts w:hint="eastAsia" w:ascii="宋体" w:hAnsi="宋体" w:cs="宋体"/>
                <w:color w:val="auto"/>
                <w:szCs w:val="21"/>
                <w:highlight w:val="none"/>
              </w:rPr>
              <w:t>性能及指标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12B93F">
            <w:pPr>
              <w:snapToGrid w:val="0"/>
              <w:spacing w:line="320" w:lineRule="exact"/>
              <w:jc w:val="center"/>
              <w:rPr>
                <w:rFonts w:hint="eastAsia" w:ascii="宋体"/>
                <w:color w:val="auto"/>
                <w:szCs w:val="21"/>
                <w:highlight w:val="none"/>
              </w:rPr>
            </w:pPr>
            <w:r>
              <w:rPr>
                <w:rFonts w:hint="eastAsia" w:ascii="宋体"/>
                <w:bCs/>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72D64">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2689C0">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生产厂家及产地</w:t>
            </w:r>
          </w:p>
        </w:tc>
        <w:tc>
          <w:tcPr>
            <w:tcW w:w="846" w:type="dxa"/>
            <w:gridSpan w:val="2"/>
            <w:tcBorders>
              <w:top w:val="single" w:color="auto" w:sz="4" w:space="0"/>
              <w:left w:val="single" w:color="auto" w:sz="4" w:space="0"/>
              <w:bottom w:val="single" w:color="auto" w:sz="4" w:space="0"/>
              <w:right w:val="single" w:color="auto" w:sz="4" w:space="0"/>
            </w:tcBorders>
            <w:noWrap w:val="0"/>
            <w:vAlign w:val="center"/>
          </w:tcPr>
          <w:p w14:paraId="790861BC">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数量</w:t>
            </w:r>
            <w:r>
              <w:rPr>
                <w:rFonts w:hint="eastAsia" w:ascii="宋体" w:hAnsi="宋体" w:cs="宋体"/>
                <w:color w:val="auto"/>
                <w:szCs w:val="21"/>
                <w:highlight w:val="none"/>
              </w:rPr>
              <w:t>①</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334713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94CA6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单价</w:t>
            </w:r>
            <w:r>
              <w:rPr>
                <w:rFonts w:hint="eastAsia" w:ascii="宋体" w:hAnsi="宋体" w:cs="宋体"/>
                <w:color w:val="auto"/>
                <w:szCs w:val="21"/>
                <w:highlight w:val="none"/>
              </w:rPr>
              <w:t>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D1A0D6">
            <w:pPr>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金额</w:t>
            </w:r>
            <w:r>
              <w:rPr>
                <w:rFonts w:hint="eastAsia" w:ascii="宋体" w:hAnsi="宋体" w:cs="宋体"/>
                <w:color w:val="auto"/>
                <w:szCs w:val="21"/>
                <w:highlight w:val="none"/>
              </w:rPr>
              <w:t xml:space="preserve">③=①×② </w:t>
            </w:r>
          </w:p>
        </w:tc>
      </w:tr>
      <w:tr w14:paraId="36DE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4671E886">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EDEDDC8">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0728AF4">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1DC2C49">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B710102">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4BA224">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76F969E5">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3D80E674">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D6C18C9">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0E06DC">
            <w:pPr>
              <w:tabs>
                <w:tab w:val="left" w:pos="1418"/>
              </w:tabs>
              <w:snapToGrid w:val="0"/>
              <w:spacing w:before="50" w:after="50" w:line="360" w:lineRule="exact"/>
              <w:rPr>
                <w:rFonts w:hint="eastAsia" w:ascii="宋体"/>
                <w:color w:val="auto"/>
                <w:szCs w:val="21"/>
                <w:highlight w:val="none"/>
              </w:rPr>
            </w:pPr>
          </w:p>
        </w:tc>
      </w:tr>
      <w:tr w14:paraId="1D77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370F89AA">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E33E48A">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0246A4">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A4274D">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AC35D8">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269DD2">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08E9CB2F">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65974A84">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063EE7">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4BBD6D">
            <w:pPr>
              <w:tabs>
                <w:tab w:val="left" w:pos="1418"/>
              </w:tabs>
              <w:snapToGrid w:val="0"/>
              <w:spacing w:before="50" w:after="50" w:line="360" w:lineRule="exact"/>
              <w:rPr>
                <w:rFonts w:hint="eastAsia" w:ascii="宋体"/>
                <w:color w:val="auto"/>
                <w:szCs w:val="21"/>
                <w:highlight w:val="none"/>
              </w:rPr>
            </w:pPr>
          </w:p>
        </w:tc>
      </w:tr>
      <w:tr w14:paraId="5D28D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0B75845E">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9D2AB02">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B07E531">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F25C0B">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2344E0">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B9EF88">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3563A8FF">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7FE1F763">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F4EB769">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A28486">
            <w:pPr>
              <w:tabs>
                <w:tab w:val="left" w:pos="1418"/>
              </w:tabs>
              <w:snapToGrid w:val="0"/>
              <w:spacing w:before="50" w:after="50" w:line="360" w:lineRule="exact"/>
              <w:rPr>
                <w:rFonts w:hint="eastAsia" w:ascii="宋体"/>
                <w:color w:val="auto"/>
                <w:szCs w:val="21"/>
                <w:highlight w:val="none"/>
              </w:rPr>
            </w:pPr>
          </w:p>
        </w:tc>
      </w:tr>
      <w:tr w14:paraId="61BFB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10" w:type="dxa"/>
            <w:gridSpan w:val="9"/>
            <w:tcBorders>
              <w:top w:val="single" w:color="auto" w:sz="4" w:space="0"/>
              <w:left w:val="single" w:color="auto" w:sz="4" w:space="0"/>
              <w:bottom w:val="single" w:color="auto" w:sz="4" w:space="0"/>
              <w:right w:val="single" w:color="auto" w:sz="4" w:space="0"/>
            </w:tcBorders>
            <w:noWrap w:val="0"/>
            <w:vAlign w:val="top"/>
          </w:tcPr>
          <w:p w14:paraId="71ADC7D7">
            <w:pPr>
              <w:tabs>
                <w:tab w:val="left" w:pos="1418"/>
              </w:tabs>
              <w:snapToGrid w:val="0"/>
              <w:spacing w:before="50" w:after="50" w:line="360" w:lineRule="exact"/>
              <w:rPr>
                <w:rFonts w:hint="eastAsia"/>
                <w:color w:val="auto"/>
                <w:szCs w:val="21"/>
                <w:highlight w:val="none"/>
              </w:rPr>
            </w:pPr>
            <w:r>
              <w:rPr>
                <w:rFonts w:hint="eastAsia"/>
                <w:color w:val="auto"/>
                <w:szCs w:val="21"/>
                <w:highlight w:val="none"/>
              </w:rPr>
              <w:t>本项</w:t>
            </w:r>
            <w:r>
              <w:rPr>
                <w:rFonts w:hint="eastAsia" w:ascii="宋体"/>
                <w:color w:val="auto"/>
                <w:szCs w:val="21"/>
                <w:highlight w:val="none"/>
              </w:rPr>
              <w:t xml:space="preserve">合计金额大写：   </w:t>
            </w:r>
          </w:p>
        </w:tc>
        <w:tc>
          <w:tcPr>
            <w:tcW w:w="1250" w:type="dxa"/>
            <w:gridSpan w:val="2"/>
            <w:tcBorders>
              <w:top w:val="single" w:color="auto" w:sz="4" w:space="0"/>
              <w:left w:val="single" w:color="auto" w:sz="4" w:space="0"/>
              <w:bottom w:val="single" w:color="auto" w:sz="4" w:space="0"/>
              <w:right w:val="single" w:color="auto" w:sz="4" w:space="0"/>
            </w:tcBorders>
            <w:noWrap w:val="0"/>
            <w:vAlign w:val="top"/>
          </w:tcPr>
          <w:p w14:paraId="235B7DC3">
            <w:pPr>
              <w:tabs>
                <w:tab w:val="left" w:pos="1418"/>
              </w:tabs>
              <w:snapToGrid w:val="0"/>
              <w:spacing w:before="50" w:after="50" w:line="360" w:lineRule="exact"/>
              <w:rPr>
                <w:rFonts w:hint="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5B1A92">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r w14:paraId="09CA3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noWrap w:val="0"/>
            <w:vAlign w:val="top"/>
          </w:tcPr>
          <w:p w14:paraId="0492D9DA">
            <w:pPr>
              <w:tabs>
                <w:tab w:val="left" w:pos="1418"/>
              </w:tabs>
              <w:snapToGrid w:val="0"/>
              <w:spacing w:before="50" w:after="50" w:line="360" w:lineRule="exact"/>
              <w:rPr>
                <w:rFonts w:hint="eastAsia"/>
                <w:color w:val="auto"/>
                <w:szCs w:val="21"/>
                <w:highlight w:val="none"/>
              </w:rPr>
            </w:pPr>
            <w:r>
              <w:rPr>
                <w:rFonts w:hint="eastAsia"/>
                <w:color w:val="auto"/>
                <w:szCs w:val="21"/>
                <w:highlight w:val="none"/>
              </w:rPr>
              <w:t>本项目</w:t>
            </w:r>
            <w:r>
              <w:rPr>
                <w:rFonts w:hint="eastAsia" w:ascii="宋体"/>
                <w:color w:val="auto"/>
                <w:szCs w:val="21"/>
                <w:highlight w:val="none"/>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2A53C03">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bl>
    <w:p w14:paraId="0CE8D3EB">
      <w:pPr>
        <w:spacing w:line="360" w:lineRule="auto"/>
        <w:ind w:right="480"/>
        <w:contextualSpacing/>
        <w:rPr>
          <w:rFonts w:hint="eastAsia" w:ascii="宋体" w:hAnsi="宋体" w:cs="宋体"/>
          <w:color w:val="auto"/>
          <w:szCs w:val="21"/>
          <w:highlight w:val="none"/>
        </w:rPr>
      </w:pPr>
    </w:p>
    <w:p w14:paraId="3B311585">
      <w:pPr>
        <w:snapToGrid w:val="0"/>
        <w:spacing w:line="360" w:lineRule="auto"/>
        <w:ind w:firstLine="480" w:firstLineChars="200"/>
        <w:jc w:val="left"/>
        <w:rPr>
          <w:rFonts w:hint="eastAsia" w:ascii="宋体" w:hAnsi="宋体" w:cs="宋体"/>
          <w:color w:val="auto"/>
          <w:szCs w:val="21"/>
          <w:highlight w:val="none"/>
        </w:rPr>
      </w:pPr>
      <w:r>
        <w:rPr>
          <w:rFonts w:hint="eastAsia" w:ascii="仿宋_GB2312" w:hAnsi="仿宋" w:eastAsia="仿宋_GB2312" w:cs="仿宋_GB2312"/>
          <w:color w:val="auto"/>
          <w:kern w:val="0"/>
          <w:sz w:val="24"/>
          <w:highlight w:val="none"/>
          <w:lang w:val="zh-CN"/>
        </w:rPr>
        <w:t>本项目实行总承包报价，包括软件开发、项目方案、运输、设计、安装、调试、验收、培训等各种费用和售后服务、税金及其它所有成本费用的总和。投标人应充分考虑项目实施期间各类人员材料的市场价格变化和可能的国家政策性调整，确定风险系数，对本项目的所有内容范围的开发及安装进行总承包报价；如为联合体投标，“投标人名称”处必须列明联合体各方名称，并标注联合体牵头人名称，且盖章处须加盖联合体各方公章，否则其投标作无效标处理。</w:t>
      </w:r>
    </w:p>
    <w:p w14:paraId="0E2D401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C9DEF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9A99005">
      <w:pPr>
        <w:snapToGrid w:val="0"/>
        <w:spacing w:before="120" w:beforeLines="50" w:after="50"/>
        <w:ind w:firstLine="602" w:firstLineChars="200"/>
        <w:rPr>
          <w:rFonts w:hint="eastAsia" w:ascii="宋体" w:hAnsi="宋体"/>
          <w:b/>
          <w:color w:val="auto"/>
          <w:sz w:val="32"/>
          <w:szCs w:val="32"/>
          <w:highlight w:val="none"/>
        </w:rPr>
      </w:pPr>
      <w:r>
        <w:rPr>
          <w:rFonts w:hint="eastAsia"/>
          <w:b/>
          <w:bCs/>
          <w:color w:val="auto"/>
          <w:sz w:val="30"/>
          <w:szCs w:val="30"/>
          <w:highlight w:val="none"/>
        </w:rPr>
        <w:br w:type="page"/>
      </w:r>
      <w:r>
        <w:rPr>
          <w:rFonts w:hint="eastAsia" w:ascii="宋体" w:hAnsi="宋体"/>
          <w:b/>
          <w:color w:val="auto"/>
          <w:sz w:val="32"/>
          <w:szCs w:val="32"/>
          <w:highlight w:val="none"/>
        </w:rPr>
        <w:t>四、除招标文件规定必须提供以外，投标人需要说明的其他文件和说明</w:t>
      </w:r>
    </w:p>
    <w:p w14:paraId="349B39E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6ADA0D1">
      <w:pPr>
        <w:snapToGrid w:val="0"/>
        <w:spacing w:before="120" w:beforeLines="50" w:after="50"/>
        <w:ind w:left="142"/>
        <w:jc w:val="center"/>
        <w:rPr>
          <w:rFonts w:hint="eastAsia" w:ascii="宋体" w:hAnsi="宋体"/>
          <w:b/>
          <w:color w:val="auto"/>
          <w:sz w:val="32"/>
          <w:szCs w:val="32"/>
          <w:highlight w:val="none"/>
        </w:rPr>
      </w:pPr>
    </w:p>
    <w:p w14:paraId="1C50C28B">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B59A6D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B9289A5">
      <w:pPr>
        <w:ind w:firstLine="420"/>
        <w:rPr>
          <w:rFonts w:hint="eastAsia" w:ascii="Calibri" w:hAnsi="Calibri"/>
          <w:color w:val="auto"/>
          <w:szCs w:val="20"/>
          <w:highlight w:val="none"/>
          <w:lang w:val="zh-CN"/>
        </w:rPr>
      </w:pPr>
    </w:p>
    <w:p w14:paraId="1B3C5785">
      <w:pPr>
        <w:snapToGrid w:val="0"/>
        <w:spacing w:before="120" w:beforeLines="50" w:after="50"/>
        <w:jc w:val="center"/>
        <w:outlineLvl w:val="1"/>
        <w:rPr>
          <w:rFonts w:hint="eastAsia" w:ascii="宋体" w:hAnsi="宋体"/>
          <w:b/>
          <w:bCs/>
          <w:color w:val="auto"/>
          <w:sz w:val="28"/>
          <w:szCs w:val="28"/>
          <w:highlight w:val="none"/>
        </w:rPr>
      </w:pPr>
      <w:bookmarkStart w:id="275" w:name="_Toc19686840"/>
      <w:r>
        <w:rPr>
          <w:rFonts w:hint="eastAsia" w:ascii="宋体" w:hAnsi="宋体"/>
          <w:b/>
          <w:bCs/>
          <w:color w:val="auto"/>
          <w:szCs w:val="28"/>
          <w:highlight w:val="none"/>
        </w:rPr>
        <w:br w:type="page"/>
      </w:r>
      <w:bookmarkStart w:id="276" w:name="_Toc9966"/>
      <w:r>
        <w:rPr>
          <w:rFonts w:hint="eastAsia" w:ascii="宋体" w:hAnsi="宋体"/>
          <w:b/>
          <w:bCs/>
          <w:color w:val="auto"/>
          <w:sz w:val="28"/>
          <w:szCs w:val="28"/>
          <w:highlight w:val="none"/>
        </w:rPr>
        <w:t>第六节 其他文书、文件格式</w:t>
      </w:r>
      <w:bookmarkEnd w:id="275"/>
      <w:bookmarkEnd w:id="276"/>
    </w:p>
    <w:p w14:paraId="61C382DF">
      <w:pPr>
        <w:spacing w:line="360" w:lineRule="auto"/>
        <w:jc w:val="center"/>
        <w:rPr>
          <w:rFonts w:hint="eastAsia" w:ascii="宋体" w:hAnsi="Courier New"/>
          <w:b/>
          <w:color w:val="auto"/>
          <w:sz w:val="30"/>
          <w:szCs w:val="30"/>
          <w:highlight w:val="none"/>
        </w:rPr>
      </w:pPr>
    </w:p>
    <w:p w14:paraId="286D5912">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0DEC832">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57358269">
      <w:pPr>
        <w:spacing w:line="700" w:lineRule="exact"/>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rPr>
        <w:t>项目名称</w:t>
      </w:r>
      <w:r>
        <w:rPr>
          <w:rFonts w:hint="eastAsia" w:ascii="仿宋_GB2312" w:hAnsi="仿宋_GB2312" w:eastAsia="仿宋_GB2312" w:cs="仿宋_GB2312"/>
          <w:color w:val="auto"/>
          <w:sz w:val="30"/>
          <w:szCs w:val="30"/>
          <w:highlight w:val="none"/>
          <w:u w:val="single"/>
        </w:rPr>
        <w:t xml:space="preserve">       （项目编号：           ）</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97AA470">
      <w:pPr>
        <w:snapToGrid w:val="0"/>
        <w:spacing w:line="360" w:lineRule="auto"/>
        <w:ind w:left="5137" w:leftChars="1736" w:hanging="1491" w:hangingChars="825"/>
        <w:rPr>
          <w:rFonts w:hint="eastAsia"/>
          <w:b/>
          <w:color w:val="auto"/>
          <w:sz w:val="18"/>
          <w:szCs w:val="18"/>
          <w:highlight w:val="none"/>
        </w:rPr>
      </w:pPr>
      <w:r>
        <w:rPr>
          <w:rFonts w:hint="eastAsia"/>
          <w:b/>
          <w:color w:val="auto"/>
          <w:sz w:val="18"/>
          <w:szCs w:val="18"/>
          <w:highlight w:val="none"/>
        </w:rPr>
        <w:t xml:space="preserve">           </w:t>
      </w:r>
    </w:p>
    <w:p w14:paraId="61E56E35">
      <w:pPr>
        <w:snapToGrid w:val="0"/>
        <w:spacing w:line="360" w:lineRule="auto"/>
        <w:ind w:left="5137" w:leftChars="1736" w:hanging="1491" w:hangingChars="825"/>
        <w:rPr>
          <w:rFonts w:hint="eastAsia"/>
          <w:b/>
          <w:color w:val="auto"/>
          <w:sz w:val="18"/>
          <w:szCs w:val="18"/>
          <w:highlight w:val="none"/>
        </w:rPr>
      </w:pPr>
    </w:p>
    <w:p w14:paraId="11EA53F7">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AFB0DA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13DAC87">
      <w:pPr>
        <w:rPr>
          <w:rFonts w:hint="eastAsia" w:ascii="宋体" w:hAnsi="Courier New"/>
          <w:b/>
          <w:color w:val="auto"/>
          <w:sz w:val="30"/>
          <w:szCs w:val="30"/>
          <w:highlight w:val="none"/>
        </w:rPr>
      </w:pPr>
      <w:r>
        <w:rPr>
          <w:rFonts w:hint="eastAsia" w:ascii="宋体" w:hAnsi="Courier New"/>
          <w:b/>
          <w:color w:val="auto"/>
          <w:sz w:val="30"/>
          <w:szCs w:val="30"/>
          <w:highlight w:val="none"/>
        </w:rPr>
        <w:br w:type="page"/>
      </w:r>
    </w:p>
    <w:p w14:paraId="655DD848">
      <w:pPr>
        <w:spacing w:line="360" w:lineRule="auto"/>
        <w:jc w:val="center"/>
        <w:rPr>
          <w:rFonts w:hint="eastAsia" w:ascii="宋体" w:hAnsi="Courier New"/>
          <w:b/>
          <w:color w:val="auto"/>
          <w:sz w:val="30"/>
          <w:szCs w:val="30"/>
          <w:highlight w:val="none"/>
        </w:rPr>
      </w:pPr>
      <w:r>
        <w:rPr>
          <w:rFonts w:hint="eastAsia" w:ascii="宋体" w:hAnsi="Courier New"/>
          <w:b/>
          <w:color w:val="auto"/>
          <w:sz w:val="30"/>
          <w:szCs w:val="30"/>
          <w:highlight w:val="none"/>
        </w:rPr>
        <w:t>残疾人福利性单位声明函（格式）</w:t>
      </w:r>
    </w:p>
    <w:p w14:paraId="0EE3EC90">
      <w:pPr>
        <w:spacing w:line="360" w:lineRule="auto"/>
        <w:jc w:val="center"/>
        <w:rPr>
          <w:rFonts w:ascii="宋体" w:hAnsi="Courier New"/>
          <w:b/>
          <w:color w:val="auto"/>
          <w:sz w:val="30"/>
          <w:szCs w:val="30"/>
          <w:highlight w:val="none"/>
        </w:rPr>
      </w:pPr>
    </w:p>
    <w:p w14:paraId="226AD377">
      <w:pPr>
        <w:spacing w:line="360" w:lineRule="auto"/>
        <w:ind w:firstLine="480" w:firstLineChars="200"/>
        <w:jc w:val="lef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olor w:val="auto"/>
          <w:sz w:val="24"/>
          <w:highlight w:val="none"/>
          <w:u w:val="single"/>
        </w:rPr>
        <w:t xml:space="preserve">       （采购人）     </w:t>
      </w:r>
      <w:r>
        <w:rPr>
          <w:rFonts w:hint="eastAsia" w:ascii="仿宋_GB2312" w:hAnsi="Courier New" w:eastAsia="仿宋_GB2312"/>
          <w:color w:val="auto"/>
          <w:sz w:val="24"/>
          <w:highlight w:val="none"/>
        </w:rPr>
        <w:t>单位的</w:t>
      </w:r>
      <w:r>
        <w:rPr>
          <w:rFonts w:hint="eastAsia" w:ascii="仿宋_GB2312" w:hAnsi="Courier New" w:eastAsia="仿宋_GB2312"/>
          <w:color w:val="auto"/>
          <w:sz w:val="24"/>
          <w:highlight w:val="none"/>
          <w:u w:val="single"/>
        </w:rPr>
        <w:t xml:space="preserve">       (项目名称)             </w:t>
      </w:r>
      <w:r>
        <w:rPr>
          <w:rFonts w:hint="eastAsia" w:ascii="仿宋_GB2312" w:hAnsi="Courier New" w:eastAsia="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6F6B901">
      <w:pPr>
        <w:spacing w:line="360" w:lineRule="auto"/>
        <w:ind w:firstLine="480" w:firstLineChars="200"/>
        <w:jc w:val="lef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 xml:space="preserve">  本单位对上述声明的真实性负责。如有虚假，将依法承担相应责任。</w:t>
      </w:r>
    </w:p>
    <w:p w14:paraId="4808F36C">
      <w:pPr>
        <w:spacing w:line="360" w:lineRule="auto"/>
        <w:jc w:val="left"/>
        <w:rPr>
          <w:rFonts w:ascii="宋体" w:hAnsi="Courier New"/>
          <w:b/>
          <w:color w:val="auto"/>
          <w:szCs w:val="21"/>
          <w:highlight w:val="none"/>
        </w:rPr>
      </w:pPr>
    </w:p>
    <w:p w14:paraId="577AA8A4">
      <w:pPr>
        <w:spacing w:line="360" w:lineRule="auto"/>
        <w:jc w:val="left"/>
        <w:rPr>
          <w:rFonts w:ascii="宋体" w:hAnsi="Courier New"/>
          <w:b/>
          <w:color w:val="auto"/>
          <w:szCs w:val="21"/>
          <w:highlight w:val="none"/>
        </w:rPr>
      </w:pPr>
    </w:p>
    <w:p w14:paraId="6B45AF8D">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EC43B0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3CD01EA">
      <w:pPr>
        <w:spacing w:line="360" w:lineRule="auto"/>
        <w:ind w:left="5132" w:leftChars="1979" w:hanging="976" w:hangingChars="488"/>
        <w:rPr>
          <w:rFonts w:hint="eastAsia" w:ascii="宋体" w:hAnsi="Courier New"/>
          <w:color w:val="auto"/>
          <w:sz w:val="20"/>
          <w:szCs w:val="20"/>
          <w:highlight w:val="none"/>
        </w:rPr>
      </w:pPr>
    </w:p>
    <w:p w14:paraId="1174DE0A">
      <w:pPr>
        <w:snapToGrid w:val="0"/>
        <w:spacing w:before="50" w:after="120" w:afterLines="50" w:line="360" w:lineRule="auto"/>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w:t>
      </w:r>
    </w:p>
    <w:p w14:paraId="4675982B">
      <w:pPr>
        <w:spacing w:line="360" w:lineRule="auto"/>
        <w:ind w:right="420" w:firstLine="480" w:firstLineChars="200"/>
        <w:rPr>
          <w:rFonts w:hint="eastAsia" w:ascii="仿宋_GB2312" w:hAnsi="仿宋" w:eastAsia="仿宋_GB2312" w:cs="仿宋_GB2312"/>
          <w:b/>
          <w:bCs/>
          <w:color w:val="auto"/>
          <w:sz w:val="24"/>
          <w:highlight w:val="none"/>
        </w:rPr>
      </w:pPr>
      <w:r>
        <w:rPr>
          <w:rFonts w:hint="eastAsia" w:ascii="仿宋_GB2312" w:hAnsi="Courier New" w:eastAsia="仿宋_GB2312"/>
          <w:color w:val="auto"/>
          <w:sz w:val="24"/>
          <w:highlight w:val="none"/>
        </w:rPr>
        <w:t>根据《财政部 民政部 中国残疾人联合会关于促进残疾人就业政府采购政策的通知》（财库〔2017〕141号）的规定，</w:t>
      </w:r>
      <w:r>
        <w:rPr>
          <w:rFonts w:hint="eastAsia" w:ascii="仿宋_GB2312" w:hAnsi="仿宋" w:eastAsia="仿宋_GB2312" w:cs="仿宋_GB2312"/>
          <w:color w:val="auto"/>
          <w:sz w:val="24"/>
          <w:highlight w:val="none"/>
        </w:rPr>
        <w:t>残疾人福利性单位视同为小型和微型企业，依法享受中小企业扶持政策。请根据自己的真实情况出具《残疾人福利性单位声明函》，采购人或者采购代理机构在公告中标结果时，</w:t>
      </w:r>
      <w:r>
        <w:rPr>
          <w:rFonts w:hint="eastAsia" w:ascii="仿宋_GB2312" w:hAnsi="仿宋" w:eastAsia="仿宋_GB2312" w:cs="仿宋_GB2312"/>
          <w:b/>
          <w:bCs/>
          <w:color w:val="auto"/>
          <w:sz w:val="24"/>
          <w:highlight w:val="none"/>
        </w:rPr>
        <w:t>同时公告其《残疾人福利性单位声明函》，接受社会监督。</w:t>
      </w:r>
    </w:p>
    <w:p w14:paraId="3F7B38F1">
      <w:pPr>
        <w:rPr>
          <w:rFonts w:hint="eastAsia" w:ascii="Calibri" w:hAnsi="Calibri"/>
          <w:color w:val="auto"/>
          <w:szCs w:val="20"/>
          <w:highlight w:val="none"/>
        </w:rPr>
      </w:pPr>
      <w:r>
        <w:rPr>
          <w:rFonts w:hint="eastAsia" w:ascii="仿宋_GB2312" w:hAnsi="仿宋" w:eastAsia="仿宋_GB2312" w:cs="仿宋_GB2312"/>
          <w:b/>
          <w:bCs/>
          <w:color w:val="auto"/>
          <w:sz w:val="24"/>
          <w:highlight w:val="none"/>
        </w:rPr>
        <w:br w:type="page"/>
      </w:r>
    </w:p>
    <w:p w14:paraId="5E4B9091">
      <w:pPr>
        <w:rPr>
          <w:rFonts w:ascii="Calibri" w:hAnsi="Calibri"/>
          <w:color w:val="auto"/>
          <w:szCs w:val="20"/>
          <w:highlight w:val="none"/>
        </w:rPr>
      </w:pPr>
    </w:p>
    <w:p w14:paraId="458F82D0">
      <w:pPr>
        <w:spacing w:line="600" w:lineRule="exact"/>
        <w:jc w:val="center"/>
        <w:rPr>
          <w:rFonts w:ascii="Calibri" w:hAnsi="Calibri"/>
          <w:b/>
          <w:bCs/>
          <w:color w:val="auto"/>
          <w:sz w:val="32"/>
          <w:szCs w:val="32"/>
          <w:highlight w:val="none"/>
        </w:rPr>
      </w:pPr>
      <w:r>
        <w:rPr>
          <w:rFonts w:hint="eastAsia" w:ascii="仿宋_GB2312" w:hAnsi="仿宋" w:eastAsia="仿宋_GB2312" w:cs="仿宋_GB2312"/>
          <w:b/>
          <w:bCs/>
          <w:color w:val="auto"/>
          <w:sz w:val="32"/>
          <w:szCs w:val="32"/>
          <w:highlight w:val="none"/>
        </w:rPr>
        <w:t>属于监狱企业证明文件</w:t>
      </w:r>
    </w:p>
    <w:p w14:paraId="64B3F7D2">
      <w:pPr>
        <w:spacing w:line="600" w:lineRule="exact"/>
        <w:jc w:val="left"/>
        <w:rPr>
          <w:rFonts w:hint="eastAsia" w:ascii="宋体" w:hAnsi="Courier New" w:cs="宋体"/>
          <w:color w:val="auto"/>
          <w:kern w:val="0"/>
          <w:szCs w:val="21"/>
          <w:highlight w:val="none"/>
          <w:lang w:val="zh-CN"/>
        </w:rPr>
      </w:pPr>
    </w:p>
    <w:p w14:paraId="24A48562">
      <w:pPr>
        <w:spacing w:line="360" w:lineRule="auto"/>
        <w:ind w:right="420" w:firstLine="480" w:firstLineChars="20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由省级以上监狱管理局、戒毒管理局（含新疆生产建设兵团）出具的属于监狱企业证明文件复印件</w:t>
      </w:r>
    </w:p>
    <w:p w14:paraId="6D8D485F">
      <w:pPr>
        <w:spacing w:line="360" w:lineRule="auto"/>
        <w:ind w:right="420" w:firstLine="480" w:firstLineChars="200"/>
        <w:rPr>
          <w:rFonts w:hint="eastAsia" w:ascii="仿宋_GB2312" w:hAnsi="仿宋" w:eastAsia="仿宋_GB2312" w:cs="仿宋_GB2312"/>
          <w:color w:val="auto"/>
          <w:sz w:val="24"/>
          <w:highlight w:val="none"/>
          <w:lang w:val="zh-CN"/>
        </w:rPr>
      </w:pPr>
    </w:p>
    <w:p w14:paraId="2BA97914">
      <w:pPr>
        <w:spacing w:line="360" w:lineRule="auto"/>
        <w:ind w:right="420" w:firstLine="480" w:firstLineChars="200"/>
        <w:rPr>
          <w:rFonts w:hint="eastAsia" w:ascii="仿宋_GB2312" w:hAnsi="仿宋" w:eastAsia="仿宋_GB2312" w:cs="仿宋_GB2312"/>
          <w:color w:val="auto"/>
          <w:sz w:val="24"/>
          <w:highlight w:val="none"/>
          <w:lang w:val="zh-CN"/>
        </w:rPr>
      </w:pPr>
    </w:p>
    <w:p w14:paraId="7807F00B">
      <w:pPr>
        <w:snapToGrid w:val="0"/>
        <w:spacing w:line="360" w:lineRule="auto"/>
        <w:ind w:left="5621" w:leftChars="2534" w:hanging="300" w:hangingChars="12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916EE32">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F5F9837">
      <w:pPr>
        <w:spacing w:line="600" w:lineRule="exact"/>
        <w:jc w:val="left"/>
        <w:rPr>
          <w:rFonts w:hint="eastAsia" w:ascii="宋体" w:hAnsi="Courier New" w:cs="宋体"/>
          <w:color w:val="auto"/>
          <w:kern w:val="0"/>
          <w:szCs w:val="21"/>
          <w:highlight w:val="none"/>
        </w:rPr>
      </w:pPr>
    </w:p>
    <w:p w14:paraId="23828A6B">
      <w:pPr>
        <w:spacing w:line="600" w:lineRule="exact"/>
        <w:jc w:val="left"/>
        <w:rPr>
          <w:rFonts w:hint="eastAsia" w:ascii="宋体" w:hAnsi="Courier New" w:cs="宋体"/>
          <w:color w:val="auto"/>
          <w:kern w:val="0"/>
          <w:szCs w:val="21"/>
          <w:highlight w:val="none"/>
        </w:rPr>
      </w:pPr>
    </w:p>
    <w:p w14:paraId="1F55386F">
      <w:pPr>
        <w:spacing w:line="360" w:lineRule="auto"/>
        <w:ind w:right="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注明：</w:t>
      </w:r>
    </w:p>
    <w:p w14:paraId="648031EC">
      <w:pPr>
        <w:spacing w:line="360" w:lineRule="auto"/>
        <w:ind w:right="420" w:firstLine="480" w:firstLineChars="2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根据《关于政府采购支持监狱企业发展有关问题的通知》（财库[2014]68号）的规定，由省级以上监狱管理局、戒毒管理局（含新疆生产建设兵团）出具的属于监狱企业证的，视同为小型和微型企业，依法享受中小企业扶持政策。请根据自己的真实情况提供由省级以上监狱管理局、戒毒管理局（含新疆生产建设兵团）出具的属于监狱企业证的，采购人或者采购代理机构在公告中标结果时，</w:t>
      </w:r>
      <w:r>
        <w:rPr>
          <w:rFonts w:hint="eastAsia" w:ascii="仿宋_GB2312" w:hAnsi="仿宋" w:eastAsia="仿宋_GB2312" w:cs="仿宋_GB2312"/>
          <w:b/>
          <w:bCs/>
          <w:color w:val="auto"/>
          <w:sz w:val="24"/>
          <w:highlight w:val="none"/>
        </w:rPr>
        <w:t>同时公告其监狱企业证明文件，接受社会监督。</w:t>
      </w:r>
    </w:p>
    <w:p w14:paraId="7C7C637C">
      <w:pPr>
        <w:tabs>
          <w:tab w:val="left" w:pos="2472"/>
        </w:tabs>
        <w:spacing w:line="460" w:lineRule="exact"/>
        <w:jc w:val="center"/>
        <w:rPr>
          <w:rFonts w:hint="eastAsia"/>
          <w:b/>
          <w:color w:val="auto"/>
          <w:sz w:val="36"/>
          <w:szCs w:val="20"/>
          <w:highlight w:val="none"/>
        </w:rPr>
      </w:pPr>
    </w:p>
    <w:p w14:paraId="39902FA6">
      <w:pPr>
        <w:tabs>
          <w:tab w:val="left" w:pos="2472"/>
        </w:tabs>
        <w:spacing w:line="460" w:lineRule="exact"/>
        <w:jc w:val="center"/>
        <w:rPr>
          <w:rFonts w:hint="eastAsia"/>
          <w:b/>
          <w:color w:val="auto"/>
          <w:sz w:val="36"/>
          <w:szCs w:val="20"/>
          <w:highlight w:val="none"/>
        </w:rPr>
      </w:pPr>
    </w:p>
    <w:p w14:paraId="7D220EA3">
      <w:pPr>
        <w:rPr>
          <w:rFonts w:hint="eastAsia"/>
          <w:color w:val="auto"/>
          <w:highlight w:val="none"/>
        </w:rPr>
      </w:pPr>
      <w:r>
        <w:rPr>
          <w:rFonts w:hint="eastAsia"/>
          <w:b/>
          <w:color w:val="auto"/>
          <w:sz w:val="36"/>
          <w:szCs w:val="20"/>
          <w:highlight w:val="none"/>
        </w:rPr>
        <w:br w:type="page"/>
      </w:r>
    </w:p>
    <w:p w14:paraId="3165D0F4">
      <w:pPr>
        <w:rPr>
          <w:rFonts w:hint="eastAsia"/>
          <w:color w:val="auto"/>
          <w:highlight w:val="none"/>
        </w:rPr>
      </w:pPr>
    </w:p>
    <w:p w14:paraId="2170D75D">
      <w:pPr>
        <w:rPr>
          <w:rFonts w:hint="eastAsia"/>
          <w:color w:val="auto"/>
          <w:highlight w:val="none"/>
        </w:rPr>
      </w:pPr>
    </w:p>
    <w:p w14:paraId="098E353A">
      <w:pPr>
        <w:rPr>
          <w:rFonts w:hint="eastAsia"/>
          <w:color w:val="auto"/>
          <w:highlight w:val="none"/>
        </w:rPr>
      </w:pPr>
    </w:p>
    <w:p w14:paraId="3E9AB843">
      <w:pPr>
        <w:rPr>
          <w:rFonts w:hint="eastAsia"/>
          <w:color w:val="auto"/>
          <w:highlight w:val="none"/>
        </w:rPr>
      </w:pPr>
    </w:p>
    <w:p w14:paraId="5C0AC65D">
      <w:pPr>
        <w:rPr>
          <w:rFonts w:hint="eastAsia"/>
          <w:color w:val="auto"/>
          <w:highlight w:val="none"/>
        </w:rPr>
      </w:pPr>
    </w:p>
    <w:p w14:paraId="1DDA380F">
      <w:pPr>
        <w:rPr>
          <w:rFonts w:hint="eastAsia"/>
          <w:color w:val="auto"/>
          <w:highlight w:val="none"/>
        </w:rPr>
      </w:pPr>
    </w:p>
    <w:p w14:paraId="5ADC3199">
      <w:pPr>
        <w:rPr>
          <w:rFonts w:hint="eastAsia"/>
          <w:color w:val="auto"/>
          <w:highlight w:val="none"/>
        </w:rPr>
      </w:pPr>
    </w:p>
    <w:p w14:paraId="1433C2E1">
      <w:pPr>
        <w:rPr>
          <w:rFonts w:hint="eastAsia"/>
          <w:color w:val="auto"/>
          <w:highlight w:val="none"/>
        </w:rPr>
      </w:pPr>
    </w:p>
    <w:p w14:paraId="4E9820BB">
      <w:pPr>
        <w:rPr>
          <w:rFonts w:hint="eastAsia"/>
          <w:color w:val="auto"/>
          <w:highlight w:val="none"/>
        </w:rPr>
      </w:pPr>
    </w:p>
    <w:p w14:paraId="2A48864F">
      <w:pPr>
        <w:rPr>
          <w:rFonts w:hint="eastAsia"/>
          <w:color w:val="auto"/>
          <w:highlight w:val="none"/>
        </w:rPr>
      </w:pPr>
    </w:p>
    <w:p w14:paraId="651A3903">
      <w:pPr>
        <w:rPr>
          <w:rFonts w:hint="eastAsia"/>
          <w:color w:val="auto"/>
          <w:highlight w:val="none"/>
        </w:rPr>
      </w:pPr>
    </w:p>
    <w:p w14:paraId="4FB4927C">
      <w:pPr>
        <w:rPr>
          <w:rFonts w:hint="eastAsia"/>
          <w:color w:val="auto"/>
          <w:highlight w:val="none"/>
        </w:rPr>
      </w:pPr>
    </w:p>
    <w:p w14:paraId="2D87975E">
      <w:pPr>
        <w:rPr>
          <w:rFonts w:hint="eastAsia"/>
          <w:color w:val="auto"/>
          <w:highlight w:val="none"/>
        </w:rPr>
      </w:pPr>
    </w:p>
    <w:p w14:paraId="6E14C101">
      <w:pPr>
        <w:rPr>
          <w:rFonts w:hint="eastAsia"/>
          <w:color w:val="auto"/>
          <w:highlight w:val="none"/>
        </w:rPr>
      </w:pPr>
    </w:p>
    <w:p w14:paraId="7C7B5C3B">
      <w:pPr>
        <w:rPr>
          <w:rFonts w:hint="eastAsia"/>
          <w:color w:val="auto"/>
          <w:highlight w:val="none"/>
        </w:rPr>
      </w:pPr>
    </w:p>
    <w:p w14:paraId="6C1E9B10">
      <w:pPr>
        <w:rPr>
          <w:rFonts w:hint="eastAsia"/>
          <w:color w:val="auto"/>
          <w:highlight w:val="none"/>
        </w:rPr>
      </w:pPr>
    </w:p>
    <w:p w14:paraId="40B05142">
      <w:pPr>
        <w:rPr>
          <w:rFonts w:hint="eastAsia"/>
          <w:color w:val="auto"/>
          <w:highlight w:val="none"/>
        </w:rPr>
      </w:pPr>
    </w:p>
    <w:p w14:paraId="39F05C9A">
      <w:pPr>
        <w:rPr>
          <w:rFonts w:hint="eastAsia"/>
          <w:color w:val="auto"/>
          <w:highlight w:val="none"/>
        </w:rPr>
      </w:pPr>
    </w:p>
    <w:p w14:paraId="49E32F84">
      <w:pPr>
        <w:rPr>
          <w:rFonts w:hint="eastAsia"/>
          <w:color w:val="auto"/>
          <w:highlight w:val="none"/>
        </w:rPr>
      </w:pPr>
    </w:p>
    <w:p w14:paraId="1FA75FA5">
      <w:pPr>
        <w:rPr>
          <w:rFonts w:hint="eastAsia"/>
          <w:color w:val="auto"/>
          <w:highlight w:val="none"/>
        </w:rPr>
      </w:pPr>
    </w:p>
    <w:p w14:paraId="47C19919">
      <w:pPr>
        <w:rPr>
          <w:rFonts w:hint="eastAsia"/>
          <w:color w:val="auto"/>
          <w:highlight w:val="none"/>
        </w:rPr>
      </w:pPr>
    </w:p>
    <w:p w14:paraId="3B03AC14">
      <w:pPr>
        <w:rPr>
          <w:rFonts w:hint="eastAsia"/>
          <w:color w:val="auto"/>
          <w:highlight w:val="none"/>
        </w:rPr>
      </w:pPr>
    </w:p>
    <w:p w14:paraId="273B3405">
      <w:pPr>
        <w:rPr>
          <w:rFonts w:hint="eastAsia"/>
          <w:color w:val="auto"/>
          <w:highlight w:val="none"/>
        </w:rPr>
      </w:pPr>
    </w:p>
    <w:p w14:paraId="5203B2D4">
      <w:pPr>
        <w:tabs>
          <w:tab w:val="left" w:pos="2472"/>
        </w:tabs>
        <w:spacing w:line="460" w:lineRule="exact"/>
        <w:jc w:val="center"/>
        <w:outlineLvl w:val="0"/>
        <w:rPr>
          <w:b/>
          <w:color w:val="auto"/>
          <w:sz w:val="36"/>
          <w:szCs w:val="20"/>
          <w:highlight w:val="none"/>
        </w:rPr>
      </w:pPr>
      <w:bookmarkStart w:id="277" w:name="_Toc5112"/>
      <w:r>
        <w:rPr>
          <w:rFonts w:hint="eastAsia"/>
          <w:b/>
          <w:color w:val="auto"/>
          <w:sz w:val="36"/>
          <w:szCs w:val="20"/>
          <w:highlight w:val="none"/>
        </w:rPr>
        <w:t>第七章 质疑、投诉材料格式</w:t>
      </w:r>
      <w:bookmarkEnd w:id="277"/>
    </w:p>
    <w:p w14:paraId="3AE25A20">
      <w:pPr>
        <w:snapToGrid w:val="0"/>
        <w:spacing w:before="50" w:after="120" w:afterLines="50" w:line="360" w:lineRule="auto"/>
        <w:ind w:firstLine="300" w:firstLineChars="150"/>
        <w:jc w:val="left"/>
        <w:rPr>
          <w:color w:val="auto"/>
          <w:sz w:val="20"/>
          <w:highlight w:val="none"/>
        </w:rPr>
        <w:sectPr>
          <w:pgSz w:w="11911" w:h="16838"/>
          <w:pgMar w:top="1134" w:right="1134" w:bottom="1134" w:left="1134" w:header="720" w:footer="720" w:gutter="0"/>
          <w:cols w:space="720" w:num="1"/>
          <w:titlePg/>
          <w:docGrid w:linePitch="331" w:charSpace="0"/>
        </w:sectPr>
      </w:pPr>
    </w:p>
    <w:p w14:paraId="7CEFE5AE">
      <w:pPr>
        <w:widowControl/>
        <w:shd w:val="clear" w:color="auto" w:fill="FFFFFF"/>
        <w:spacing w:line="260" w:lineRule="exact"/>
        <w:jc w:val="left"/>
        <w:rPr>
          <w:rFonts w:hint="eastAsia" w:ascii="宋体" w:hAnsi="宋体"/>
          <w:b/>
          <w:bCs/>
          <w:color w:val="auto"/>
          <w:sz w:val="28"/>
          <w:szCs w:val="28"/>
          <w:highlight w:val="none"/>
        </w:rPr>
      </w:pPr>
    </w:p>
    <w:p w14:paraId="5213D247">
      <w:pPr>
        <w:keepNext/>
        <w:keepLines/>
        <w:spacing w:before="260" w:after="260" w:line="413" w:lineRule="auto"/>
        <w:jc w:val="center"/>
        <w:outlineLvl w:val="1"/>
        <w:rPr>
          <w:rFonts w:hint="eastAsia" w:ascii="宋体" w:hAnsi="宋体" w:eastAsia="黑体"/>
          <w:color w:val="auto"/>
          <w:sz w:val="32"/>
          <w:szCs w:val="32"/>
          <w:highlight w:val="none"/>
        </w:rPr>
      </w:pPr>
      <w:bookmarkStart w:id="278" w:name="_Toc8582"/>
      <w:r>
        <w:rPr>
          <w:rFonts w:hint="eastAsia" w:ascii="宋体" w:hAnsi="宋体" w:eastAsia="黑体"/>
          <w:color w:val="auto"/>
          <w:sz w:val="32"/>
          <w:szCs w:val="32"/>
          <w:highlight w:val="none"/>
        </w:rPr>
        <w:t>第一节 质疑函（格式）</w:t>
      </w:r>
      <w:bookmarkEnd w:id="278"/>
    </w:p>
    <w:p w14:paraId="1E1409EC">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1FCD4A1C">
      <w:pPr>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1C55C1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single"/>
        </w:rPr>
        <w:t xml:space="preserve">                                                </w:t>
      </w:r>
    </w:p>
    <w:p w14:paraId="79FD57F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4AB11D2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2B5EE0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15B99F6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5AF7E81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7CE87A0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BEFD174">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0B7A912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1FCDC73C">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279" w:name="PO_3000001867_PM026_5"/>
      <w:r>
        <w:rPr>
          <w:rFonts w:hint="eastAsia" w:ascii="宋体" w:hAnsi="宋体" w:cs="宋体"/>
          <w:color w:val="auto"/>
          <w:sz w:val="24"/>
          <w:highlight w:val="none"/>
          <w:u w:val="single"/>
        </w:rPr>
        <w:t xml:space="preserve">                        </w:t>
      </w:r>
      <w:bookmarkEnd w:id="279"/>
      <w:r>
        <w:rPr>
          <w:rFonts w:hint="eastAsia" w:ascii="宋体" w:hAnsi="宋体" w:cs="宋体"/>
          <w:color w:val="auto"/>
          <w:sz w:val="24"/>
          <w:highlight w:val="none"/>
          <w:u w:val="single"/>
        </w:rPr>
        <w:t xml:space="preserve">  </w:t>
      </w:r>
    </w:p>
    <w:p w14:paraId="09EAC003">
      <w:pPr>
        <w:adjustRightInd w:val="0"/>
        <w:snapToGrid w:val="0"/>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采购文件获取日期：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416417AA">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质疑事项：□采购文件   □采购过程   □中标结果   </w:t>
      </w:r>
    </w:p>
    <w:p w14:paraId="64ABAC9D">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6F5A1C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4BB72043">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127201B1">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188953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6B04F961">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9ADCE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522EE7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E19CAA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E76B6FC">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0EAA39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83A0AD2">
      <w:pPr>
        <w:spacing w:line="360" w:lineRule="auto"/>
        <w:rPr>
          <w:rFonts w:ascii="宋体" w:hAnsi="宋体" w:cs="宋体"/>
          <w:color w:val="auto"/>
          <w:sz w:val="24"/>
          <w:highlight w:val="none"/>
        </w:rPr>
      </w:pPr>
      <w:r>
        <w:rPr>
          <w:rFonts w:hint="eastAsia" w:ascii="宋体" w:hAnsi="宋体" w:cs="宋体"/>
          <w:color w:val="auto"/>
          <w:sz w:val="24"/>
          <w:highlight w:val="none"/>
        </w:rPr>
        <w:t>日期：</w:t>
      </w:r>
    </w:p>
    <w:p w14:paraId="3E7FD5B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1C5DECE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0BA41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57F7B6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21FD0D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4F82A5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5FDC70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40E59E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873874">
      <w:pPr>
        <w:widowControl/>
        <w:ind w:firstLine="600" w:firstLineChars="200"/>
        <w:jc w:val="left"/>
        <w:rPr>
          <w:rFonts w:ascii="仿宋_GB2312" w:eastAsia="仿宋_GB2312"/>
          <w:color w:val="auto"/>
          <w:sz w:val="30"/>
          <w:szCs w:val="30"/>
          <w:highlight w:val="none"/>
        </w:rPr>
      </w:pPr>
    </w:p>
    <w:p w14:paraId="5D1D65F2">
      <w:pPr>
        <w:snapToGrid w:val="0"/>
        <w:spacing w:before="50" w:after="120" w:afterLines="50" w:line="360" w:lineRule="auto"/>
        <w:ind w:firstLine="480" w:firstLineChars="200"/>
        <w:jc w:val="left"/>
        <w:rPr>
          <w:rFonts w:ascii="ˎ̥" w:hAnsi="ˎ̥" w:cs="宋体"/>
          <w:color w:val="auto"/>
          <w:kern w:val="0"/>
          <w:sz w:val="24"/>
          <w:highlight w:val="none"/>
        </w:rPr>
        <w:sectPr>
          <w:pgSz w:w="11911" w:h="16838"/>
          <w:pgMar w:top="1134" w:right="1134" w:bottom="1134" w:left="1134" w:header="720" w:footer="720" w:gutter="0"/>
          <w:cols w:space="720" w:num="1"/>
          <w:titlePg/>
          <w:docGrid w:linePitch="331" w:charSpace="0"/>
        </w:sectPr>
      </w:pPr>
    </w:p>
    <w:p w14:paraId="73253A56">
      <w:pPr>
        <w:keepNext/>
        <w:keepLines/>
        <w:spacing w:before="260" w:after="260" w:line="413" w:lineRule="auto"/>
        <w:jc w:val="center"/>
        <w:outlineLvl w:val="1"/>
        <w:rPr>
          <w:rFonts w:hint="eastAsia" w:ascii="宋体" w:hAnsi="宋体" w:eastAsia="黑体"/>
          <w:color w:val="auto"/>
          <w:sz w:val="32"/>
          <w:szCs w:val="32"/>
          <w:highlight w:val="none"/>
        </w:rPr>
      </w:pPr>
      <w:bookmarkStart w:id="280" w:name="_Toc16970"/>
      <w:r>
        <w:rPr>
          <w:rFonts w:hint="eastAsia" w:ascii="宋体" w:hAnsi="宋体" w:eastAsia="黑体"/>
          <w:color w:val="auto"/>
          <w:sz w:val="32"/>
          <w:szCs w:val="32"/>
          <w:highlight w:val="none"/>
        </w:rPr>
        <w:t>第二节 投诉书（格式）</w:t>
      </w:r>
      <w:bookmarkEnd w:id="280"/>
    </w:p>
    <w:p w14:paraId="3E57B562">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14:paraId="577651FD">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5E58DF2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single"/>
        </w:rPr>
        <w:t xml:space="preserve">                                               </w:t>
      </w:r>
    </w:p>
    <w:p w14:paraId="453D14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CA4B795">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single"/>
        </w:rPr>
        <w:t xml:space="preserve">                                </w:t>
      </w:r>
    </w:p>
    <w:p w14:paraId="3CC7BF27">
      <w:pPr>
        <w:tabs>
          <w:tab w:val="left" w:pos="651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57C4E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6647071A">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131AC1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single"/>
        </w:rPr>
        <w:t xml:space="preserve">                                           </w:t>
      </w:r>
    </w:p>
    <w:p w14:paraId="071E12D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B79C49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18C34849">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83CA7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36B3E2">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single"/>
        </w:rPr>
        <w:t xml:space="preserve">                                           </w:t>
      </w:r>
    </w:p>
    <w:p w14:paraId="70F3155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1E659F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8861EB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ADF7F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281" w:name="PO_3000001867_PM002_12"/>
      <w:r>
        <w:rPr>
          <w:rFonts w:hint="eastAsia" w:ascii="宋体" w:hAnsi="宋体" w:cs="宋体"/>
          <w:color w:val="auto"/>
          <w:sz w:val="24"/>
          <w:highlight w:val="none"/>
          <w:u w:val="single"/>
        </w:rPr>
        <w:t xml:space="preserve">                                     </w:t>
      </w:r>
      <w:bookmarkEnd w:id="281"/>
      <w:r>
        <w:rPr>
          <w:rFonts w:hint="eastAsia" w:ascii="宋体" w:hAnsi="宋体" w:cs="宋体"/>
          <w:color w:val="auto"/>
          <w:sz w:val="24"/>
          <w:highlight w:val="none"/>
          <w:u w:val="single"/>
        </w:rPr>
        <w:t xml:space="preserve">  </w:t>
      </w:r>
    </w:p>
    <w:p w14:paraId="7830FE7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282" w:name="PO_3000001867_PM001_9"/>
      <w:r>
        <w:rPr>
          <w:rFonts w:hint="eastAsia" w:ascii="宋体" w:hAnsi="宋体" w:cs="宋体"/>
          <w:color w:val="auto"/>
          <w:sz w:val="24"/>
          <w:highlight w:val="none"/>
          <w:u w:val="single"/>
        </w:rPr>
        <w:t xml:space="preserve">                    </w:t>
      </w:r>
      <w:bookmarkEnd w:id="28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35E8D9AF">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283" w:name="PO_3000001867_PM026_6"/>
      <w:r>
        <w:rPr>
          <w:rFonts w:hint="eastAsia" w:ascii="宋体" w:hAnsi="宋体" w:cs="宋体"/>
          <w:color w:val="auto"/>
          <w:sz w:val="24"/>
          <w:highlight w:val="none"/>
          <w:u w:val="single"/>
        </w:rPr>
        <w:t xml:space="preserve">                                       </w:t>
      </w:r>
      <w:bookmarkEnd w:id="283"/>
      <w:r>
        <w:rPr>
          <w:rFonts w:hint="eastAsia" w:ascii="宋体" w:hAnsi="宋体" w:cs="宋体"/>
          <w:color w:val="auto"/>
          <w:sz w:val="24"/>
          <w:highlight w:val="none"/>
          <w:u w:val="single"/>
        </w:rPr>
        <w:t xml:space="preserve">  </w:t>
      </w:r>
    </w:p>
    <w:p w14:paraId="0849A82B">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single"/>
        </w:rPr>
        <w:t xml:space="preserve">                                         </w:t>
      </w:r>
    </w:p>
    <w:p w14:paraId="7F121CA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0C179E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4D4A594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40CB06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投诉人于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single"/>
        </w:rPr>
        <w:t xml:space="preserve">          </w:t>
      </w:r>
    </w:p>
    <w:p w14:paraId="60BA95E8">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8F408F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日,就质疑事项作出了答复/没有在法定期限内作出答复。</w:t>
      </w:r>
    </w:p>
    <w:p w14:paraId="6B3C98B2">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F0C18C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single"/>
        </w:rPr>
        <w:t xml:space="preserve">                                       </w:t>
      </w:r>
    </w:p>
    <w:p w14:paraId="682B761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23ADC3FC">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594B35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283CDBE7">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AD9E70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8299A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35EAD9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290E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026F4ECC">
      <w:pPr>
        <w:spacing w:line="360" w:lineRule="auto"/>
        <w:rPr>
          <w:rFonts w:ascii="宋体" w:hAnsi="宋体" w:cs="宋体"/>
          <w:color w:val="auto"/>
          <w:sz w:val="24"/>
          <w:highlight w:val="none"/>
          <w:u w:val="single"/>
        </w:rPr>
      </w:pPr>
    </w:p>
    <w:p w14:paraId="61F623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DEBFF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A534A4C">
      <w:pPr>
        <w:spacing w:line="360" w:lineRule="auto"/>
        <w:rPr>
          <w:rFonts w:ascii="宋体" w:hAnsi="宋体" w:cs="宋体"/>
          <w:b/>
          <w:color w:val="auto"/>
          <w:sz w:val="24"/>
          <w:highlight w:val="none"/>
        </w:rPr>
      </w:pPr>
    </w:p>
    <w:p w14:paraId="2478D43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C1F816D">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A92650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EFA278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48FDAF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7931F8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406F71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E6C1F4E">
      <w:pPr>
        <w:widowControl/>
        <w:spacing w:line="360" w:lineRule="auto"/>
        <w:ind w:firstLine="480" w:firstLineChars="200"/>
        <w:jc w:val="left"/>
        <w:rPr>
          <w:rFonts w:hint="eastAsia"/>
          <w:color w:val="auto"/>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F82F120">
      <w:pPr>
        <w:rPr>
          <w:rFonts w:hint="eastAsia"/>
          <w:color w:val="auto"/>
          <w:highlight w:val="none"/>
        </w:rPr>
      </w:pPr>
    </w:p>
    <w:p w14:paraId="5BBB330E">
      <w:pPr>
        <w:rPr>
          <w:rFonts w:hint="eastAsia"/>
          <w:color w:val="auto"/>
          <w:highlight w:val="none"/>
        </w:rPr>
      </w:pPr>
    </w:p>
    <w:p w14:paraId="4528BD34">
      <w:pPr>
        <w:rPr>
          <w:rFonts w:hint="eastAsia"/>
          <w:color w:val="auto"/>
          <w:highlight w:val="none"/>
        </w:rPr>
      </w:pPr>
    </w:p>
    <w:p w14:paraId="539C4D5E"/>
    <w:sectPr>
      <w:footerReference r:id="rId21" w:type="first"/>
      <w:footerReference r:id="rId19" w:type="default"/>
      <w:footerReference r:id="rId20"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E89D">
    <w:pPr>
      <w:snapToGrid w:val="0"/>
      <w:jc w:val="center"/>
      <w:rPr>
        <w:rFonts w:hint="eastAsia"/>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F101">
    <w:pPr>
      <w:snapToGrid w:val="0"/>
      <w:jc w:val="center"/>
      <w:rPr>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310D7F">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87</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14:paraId="5F310D7F">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87</w:t>
                    </w:r>
                    <w:r>
                      <w:rPr>
                        <w:rFonts w:hint="eastAsia"/>
                        <w:sz w:val="18"/>
                        <w:szCs w:val="18"/>
                      </w:rPr>
                      <w:fldChar w:fldCharType="end"/>
                    </w:r>
                  </w:p>
                </w:txbxContent>
              </v:textbox>
            </v:shape>
          </w:pict>
        </mc:Fallback>
      </mc:AlternateContent>
    </w:r>
  </w:p>
  <w:p w14:paraId="2B1F3B98">
    <w:pPr>
      <w:snapToGrid w:val="0"/>
      <w:jc w:val="left"/>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2064">
    <w:pPr>
      <w:framePr w:wrap="around" w:vAnchor="text" w:hAnchor="margin" w:xAlign="center" w:y="1"/>
      <w:snapToGrid w:val="0"/>
      <w:jc w:val="left"/>
      <w:rPr>
        <w:rStyle w:val="15"/>
        <w:sz w:val="18"/>
        <w:szCs w:val="18"/>
      </w:rPr>
    </w:pPr>
    <w:r>
      <w:rPr>
        <w:sz w:val="18"/>
        <w:szCs w:val="18"/>
      </w:rPr>
      <w:fldChar w:fldCharType="begin"/>
    </w:r>
    <w:r>
      <w:rPr>
        <w:rStyle w:val="15"/>
        <w:sz w:val="18"/>
        <w:szCs w:val="18"/>
      </w:rPr>
      <w:instrText xml:space="preserve">PAGE  </w:instrText>
    </w:r>
    <w:r>
      <w:rPr>
        <w:sz w:val="18"/>
        <w:szCs w:val="18"/>
      </w:rPr>
      <w:fldChar w:fldCharType="end"/>
    </w:r>
  </w:p>
  <w:p w14:paraId="060B50AE">
    <w:pPr>
      <w:snapToGrid w:val="0"/>
      <w:jc w:val="lef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F88A">
    <w:pPr>
      <w:snapToGrid w:val="0"/>
      <w:ind w:right="360"/>
      <w:rPr>
        <w:rFonts w:hint="eastAsia"/>
        <w:sz w:val="18"/>
        <w:szCs w:val="18"/>
      </w:rPr>
    </w:pP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6880E7">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3B6880E7">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91</w:t>
                    </w:r>
                    <w:r>
                      <w:rPr>
                        <w:rFonts w:hint="eastAsia"/>
                        <w:sz w:val="18"/>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A830">
    <w:pPr>
      <w:pStyle w:val="9"/>
      <w:jc w:val="center"/>
    </w:pPr>
    <w:r>
      <w:fldChar w:fldCharType="begin"/>
    </w:r>
    <w:r>
      <w:instrText xml:space="preserve"> PAGE   \* MERGEFORMAT </w:instrText>
    </w:r>
    <w:r>
      <w:fldChar w:fldCharType="separate"/>
    </w:r>
    <w:r>
      <w:rPr>
        <w:lang w:val="zh-CN"/>
      </w:rPr>
      <w:t>101</w:t>
    </w:r>
    <w:r>
      <w:fldChar w:fldCharType="end"/>
    </w:r>
  </w:p>
  <w:p w14:paraId="692AEBD5">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3771">
    <w:pPr>
      <w:pStyle w:val="9"/>
      <w:framePr w:wrap="around" w:vAnchor="text" w:hAnchor="margin" w:xAlign="center" w:y="1"/>
      <w:rPr>
        <w:rStyle w:val="15"/>
      </w:rPr>
    </w:pPr>
    <w:r>
      <w:fldChar w:fldCharType="begin"/>
    </w:r>
    <w:r>
      <w:rPr>
        <w:rStyle w:val="15"/>
      </w:rPr>
      <w:instrText xml:space="preserve">PAGE  </w:instrText>
    </w:r>
    <w:r>
      <w:fldChar w:fldCharType="end"/>
    </w:r>
  </w:p>
  <w:p w14:paraId="461A091C">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414A">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122</w:t>
    </w:r>
    <w:r>
      <w:fldChar w:fldCharType="end"/>
    </w:r>
  </w:p>
  <w:p w14:paraId="10B98DFA">
    <w:pPr>
      <w:pStyle w:val="9"/>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B7C9">
    <w:pPr>
      <w:snapToGrid w:val="0"/>
      <w:jc w:val="center"/>
      <w:rPr>
        <w:rFonts w:hint="eastAsia"/>
        <w:sz w:val="18"/>
        <w:szCs w:val="18"/>
      </w:rPr>
    </w:pPr>
    <w:r>
      <w:rPr>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1B67F3">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671B67F3">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8B34">
    <w:pPr>
      <w:snapToGrid w:val="0"/>
      <w:jc w:val="left"/>
      <w:rPr>
        <w:sz w:val="18"/>
        <w:szCs w:val="18"/>
      </w:rPr>
    </w:pP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F2C715">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eYQs0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hNecOWHpxc/fv51//Dr//Moo&#10;RgL1ASuqewxUGYe3fqDiOY4UTLyHFmz6EiNGeZL3dJFXDZHJdGm1XK1KSknKzQ7hF0/XA2B8UN6y&#10;ZNQc6P2yrOL4HuNYOpekbs7fa2PyGxr3V4Awx4jKSzDdTkzGiZMVh90w0dv55kTselqEmjvae87M&#10;O0c6p52ZDZiN3WwcAuh9l5cqdcfw5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eYQs0BAACpAwAADgAAAAAAAAABACAAAAAeAQAAZHJzL2Uy&#10;b0RvYy54bWxQSwUGAAAAAAYABgBZAQAAXQUAAAAA&#10;">
              <v:fill on="f" focussize="0,0"/>
              <v:stroke on="f"/>
              <v:imagedata o:title=""/>
              <o:lock v:ext="edit" aspectratio="f"/>
              <v:textbox inset="0mm,0mm,0mm,0mm" style="mso-fit-shape-to-text:t;">
                <w:txbxContent>
                  <w:p w14:paraId="3DF2C715">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753C">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19A764">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A19A764">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51</w:t>
                    </w:r>
                    <w:r>
                      <w:rPr>
                        <w:rFonts w:hint="eastAsia"/>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29C6">
    <w:pPr>
      <w:snapToGrid w:val="0"/>
      <w:jc w:val="center"/>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91456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55</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491456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55</w:t>
                    </w:r>
                    <w:r>
                      <w:rPr>
                        <w:rFonts w:hint="eastAsia"/>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39D1">
    <w:pPr>
      <w:snapToGrid w:val="0"/>
      <w:jc w:val="center"/>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CDBCBE">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79</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5CDBCBE">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79</w:t>
                    </w:r>
                    <w:r>
                      <w:rPr>
                        <w:rFonts w:hint="eastAsia"/>
                        <w:sz w:val="18"/>
                        <w:szCs w:val="18"/>
                      </w:rPr>
                      <w:fldChar w:fldCharType="end"/>
                    </w:r>
                  </w:p>
                </w:txbxContent>
              </v:textbox>
            </v:shape>
          </w:pict>
        </mc:Fallback>
      </mc:AlternateContent>
    </w:r>
  </w:p>
  <w:p w14:paraId="41B80CD5">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E02E">
    <w:pPr>
      <w:snapToGrid w:val="0"/>
      <w:jc w:val="center"/>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B414C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23B414C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81</w:t>
                    </w:r>
                    <w:r>
                      <w:rPr>
                        <w:rFonts w:hint="eastAsia"/>
                        <w:sz w:val="18"/>
                        <w:szCs w:val="18"/>
                      </w:rPr>
                      <w:fldChar w:fldCharType="end"/>
                    </w:r>
                  </w:p>
                </w:txbxContent>
              </v:textbox>
            </v:shape>
          </w:pict>
        </mc:Fallback>
      </mc:AlternateContent>
    </w:r>
  </w:p>
  <w:p w14:paraId="167E6856">
    <w:pPr>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1B7A">
    <w:pPr>
      <w:framePr w:wrap="around" w:vAnchor="text" w:hAnchor="margin" w:xAlign="center" w:y="1"/>
      <w:snapToGrid w:val="0"/>
      <w:jc w:val="left"/>
      <w:rPr>
        <w:rStyle w:val="15"/>
        <w:sz w:val="18"/>
        <w:szCs w:val="18"/>
      </w:rPr>
    </w:pPr>
    <w:r>
      <w:rPr>
        <w:sz w:val="18"/>
        <w:szCs w:val="18"/>
      </w:rPr>
      <w:fldChar w:fldCharType="begin"/>
    </w:r>
    <w:r>
      <w:rPr>
        <w:rStyle w:val="15"/>
        <w:sz w:val="18"/>
        <w:szCs w:val="18"/>
      </w:rPr>
      <w:instrText xml:space="preserve">PAGE  </w:instrText>
    </w:r>
    <w:r>
      <w:rPr>
        <w:sz w:val="18"/>
        <w:szCs w:val="18"/>
      </w:rPr>
      <w:fldChar w:fldCharType="end"/>
    </w:r>
  </w:p>
  <w:p w14:paraId="1F88759B">
    <w:pPr>
      <w:snapToGrid w:val="0"/>
      <w:jc w:val="left"/>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73F1">
    <w:pPr>
      <w:snapToGrid w:val="0"/>
      <w:ind w:right="360"/>
      <w:rPr>
        <w:rFonts w:hint="eastAsia"/>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27C36A">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80</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5927C36A">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80</w:t>
                    </w:r>
                    <w:r>
                      <w:rPr>
                        <w:rFonts w:hint="eastAsia"/>
                        <w:sz w:val="18"/>
                        <w:szCs w:val="18"/>
                      </w:rPr>
                      <w:fldChar w:fldCharType="end"/>
                    </w:r>
                  </w:p>
                </w:txbxContent>
              </v:textbox>
            </v:shape>
          </w:pict>
        </mc:Fallback>
      </mc:AlternateContent>
    </w:r>
    <w:r>
      <w:rPr>
        <w:rFonts w:hint="eastAsia"/>
        <w:sz w:val="18"/>
        <w:szCs w:val="18"/>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1E6">
    <w:pPr>
      <w:pBdr>
        <w:bottom w:val="single" w:color="auto" w:sz="6" w:space="1"/>
      </w:pBdr>
      <w:tabs>
        <w:tab w:val="center" w:pos="0"/>
      </w:tabs>
      <w:snapToGrid w:val="0"/>
      <w:jc w:val="center"/>
      <w:rPr>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1447">
    <w:pPr>
      <w:pBdr>
        <w:bottom w:val="single" w:color="auto" w:sz="6" w:space="1"/>
      </w:pBdr>
      <w:snapToGrid w:val="0"/>
      <w:jc w:val="center"/>
      <w:rPr>
        <w:rFonts w:ascii="Calibri" w:hAnsi="Calibri"/>
        <w:sz w:val="18"/>
        <w:szCs w:val="18"/>
      </w:rPr>
    </w:pPr>
    <w:r>
      <w:rPr>
        <w:rFonts w:hint="eastAsia" w:ascii="Calibri" w:hAnsi="Calibri"/>
        <w:sz w:val="18"/>
        <w:szCs w:val="18"/>
      </w:rPr>
      <w:t>南宁市政府采购公开招标文件（项目编号：</w:t>
    </w:r>
    <w:r>
      <w:rPr>
        <w:rFonts w:hint="eastAsia" w:ascii="Calibri" w:hAnsi="Calibri"/>
        <w:sz w:val="18"/>
        <w:szCs w:val="18"/>
        <w:lang w:eastAsia="zh-CN"/>
      </w:rPr>
      <w:t>NNZC2025-G3-100141-TQGC</w:t>
    </w:r>
    <w:r>
      <w:rPr>
        <w:rFonts w:hint="eastAsia" w:ascii="Calibri" w:hAnsi="Calibri"/>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2F55">
    <w:pPr>
      <w:pBdr>
        <w:bottom w:val="single" w:color="auto" w:sz="6" w:space="1"/>
      </w:pBdr>
      <w:tabs>
        <w:tab w:val="center" w:pos="0"/>
      </w:tabs>
      <w:snapToGrid w:val="0"/>
      <w:jc w:val="center"/>
      <w:rPr>
        <w:rFonts w:hint="eastAsia"/>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19C8">
    <w:pPr>
      <w:pBdr>
        <w:bottom w:val="single" w:color="auto" w:sz="6" w:space="1"/>
      </w:pBdr>
      <w:snapToGrid w:val="0"/>
      <w:jc w:val="center"/>
      <w:rPr>
        <w:rFonts w:hint="eastAsia"/>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C44B472"/>
    <w:multiLevelType w:val="singleLevel"/>
    <w:tmpl w:val="0C44B472"/>
    <w:lvl w:ilvl="0" w:tentative="0">
      <w:start w:val="1"/>
      <w:numFmt w:val="decimal"/>
      <w:lvlText w:val="%1."/>
      <w:lvlJc w:val="left"/>
      <w:pPr>
        <w:tabs>
          <w:tab w:val="left" w:pos="312"/>
        </w:tabs>
      </w:pPr>
    </w:lvl>
  </w:abstractNum>
  <w:abstractNum w:abstractNumId="3">
    <w:nsid w:val="3B7111E1"/>
    <w:multiLevelType w:val="singleLevel"/>
    <w:tmpl w:val="3B7111E1"/>
    <w:lvl w:ilvl="0" w:tentative="0">
      <w:start w:val="1"/>
      <w:numFmt w:val="decimal"/>
      <w:suff w:val="nothing"/>
      <w:lvlText w:val="（%1）"/>
      <w:lvlJc w:val="left"/>
    </w:lvl>
  </w:abstractNum>
  <w:abstractNum w:abstractNumId="4">
    <w:nsid w:val="6D1A026C"/>
    <w:multiLevelType w:val="singleLevel"/>
    <w:tmpl w:val="6D1A026C"/>
    <w:lvl w:ilvl="0" w:tentative="0">
      <w:start w:val="5"/>
      <w:numFmt w:val="decimal"/>
      <w:suff w:val="nothing"/>
      <w:lvlText w:val="（%1）"/>
      <w:lvlJc w:val="left"/>
    </w:lvl>
  </w:abstractNum>
  <w:num w:numId="1">
    <w:abstractNumId w:val="2"/>
  </w:num>
  <w:num w:numId="2">
    <w:abstractNumId w:val="0"/>
    <w:lvlOverride w:ilvl="0">
      <w:startOverride w:val="1"/>
    </w:lvlOverride>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B508D"/>
    <w:rsid w:val="216E6218"/>
    <w:rsid w:val="4CB553E1"/>
    <w:rsid w:val="4D380809"/>
    <w:rsid w:val="515F79A9"/>
    <w:rsid w:val="6DFF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99"/>
    <w:pPr>
      <w:spacing w:after="120"/>
    </w:pPr>
  </w:style>
  <w:style w:type="paragraph" w:styleId="4">
    <w:name w:val="Body Text First Indent"/>
    <w:basedOn w:val="3"/>
    <w:unhideWhenUsed/>
    <w:qFormat/>
    <w:uiPriority w:val="99"/>
    <w:pPr>
      <w:autoSpaceDE/>
      <w:autoSpaceDN/>
      <w:adjustRightInd/>
      <w:spacing w:before="94" w:beforeLines="0" w:after="120" w:afterLines="0" w:line="219" w:lineRule="auto"/>
      <w:ind w:left="459" w:right="0" w:firstLine="210" w:firstLineChars="100"/>
    </w:pPr>
    <w:rPr>
      <w:rFonts w:hint="default" w:ascii="Calibri" w:hAnsi="Times New Roman" w:eastAsia="宋体" w:cs="Times New Roman"/>
      <w:kern w:val="0"/>
      <w:sz w:val="21"/>
      <w:szCs w:val="22"/>
      <w:lang w:val="en-US"/>
    </w:rPr>
  </w:style>
  <w:style w:type="paragraph" w:styleId="5">
    <w:name w:val="Body Text Indent"/>
    <w:basedOn w:val="1"/>
    <w:next w:val="6"/>
    <w:qFormat/>
    <w:uiPriority w:val="0"/>
    <w:pPr>
      <w:spacing w:line="200" w:lineRule="exact"/>
      <w:ind w:firstLine="301"/>
    </w:pPr>
    <w:rPr>
      <w:rFonts w:ascii="宋体" w:hAnsi="Courier New"/>
      <w:spacing w:val="-4"/>
      <w:sz w:val="18"/>
      <w:szCs w:val="20"/>
    </w:rPr>
  </w:style>
  <w:style w:type="paragraph" w:styleId="6">
    <w:name w:val="envelope return"/>
    <w:basedOn w:val="1"/>
    <w:qFormat/>
    <w:uiPriority w:val="0"/>
    <w:pPr>
      <w:snapToGrid w:val="0"/>
    </w:pPr>
    <w:rPr>
      <w:rFonts w:ascii="Arial" w:hAnsi="Arial"/>
    </w:rPr>
  </w:style>
  <w:style w:type="paragraph" w:styleId="7">
    <w:name w:val="toc 3"/>
    <w:basedOn w:val="1"/>
    <w:next w:val="1"/>
    <w:qFormat/>
    <w:uiPriority w:val="0"/>
    <w:pPr>
      <w:jc w:val="left"/>
    </w:pPr>
    <w:rPr>
      <w:rFonts w:ascii="Calibri" w:hAnsi="Calibri"/>
      <w:smallCaps/>
      <w:sz w:val="22"/>
      <w:szCs w:val="22"/>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1"/>
    <w:basedOn w:val="1"/>
    <w:next w:val="1"/>
    <w:qFormat/>
    <w:uiPriority w:val="0"/>
    <w:pPr>
      <w:spacing w:before="360" w:after="360"/>
      <w:jc w:val="left"/>
    </w:pPr>
    <w:rPr>
      <w:rFonts w:ascii="Calibri" w:hAnsi="Calibri"/>
      <w:b/>
      <w:bCs/>
      <w:caps/>
      <w:sz w:val="22"/>
      <w:szCs w:val="22"/>
      <w:u w:val="single"/>
    </w:rPr>
  </w:style>
  <w:style w:type="paragraph" w:styleId="11">
    <w:name w:val="toc 2"/>
    <w:basedOn w:val="1"/>
    <w:next w:val="1"/>
    <w:qFormat/>
    <w:uiPriority w:val="0"/>
    <w:pPr>
      <w:jc w:val="left"/>
    </w:pPr>
    <w:rPr>
      <w:rFonts w:ascii="Calibri" w:hAnsi="Calibri"/>
      <w:b/>
      <w:bCs/>
      <w:smallCaps/>
      <w:sz w:val="22"/>
      <w:szCs w:val="22"/>
    </w:rPr>
  </w:style>
  <w:style w:type="paragraph" w:styleId="12">
    <w:name w:val="Normal (Web)"/>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character" w:styleId="15">
    <w:name w:val="page number"/>
    <w:qFormat/>
    <w:uiPriority w:val="0"/>
  </w:style>
  <w:style w:type="paragraph" w:customStyle="1" w:styleId="16">
    <w:name w:val="Default"/>
    <w:qFormat/>
    <w:uiPriority w:val="0"/>
    <w:pPr>
      <w:widowControl w:val="0"/>
      <w:autoSpaceDE w:val="0"/>
      <w:autoSpaceDN w:val="0"/>
      <w:adjustRightInd w:val="0"/>
    </w:pPr>
    <w:rPr>
      <w:rFonts w:ascii=".a...D.." w:hAnsi="Times New Roman" w:eastAsia=".a...D.." w:cs=".a...D.."/>
      <w:color w:val="000000"/>
      <w:sz w:val="24"/>
      <w:szCs w:val="24"/>
      <w:lang w:val="en-US" w:eastAsia="zh-CN" w:bidi="ar-SA"/>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41"/>
    <w:basedOn w:val="14"/>
    <w:qFormat/>
    <w:uiPriority w:val="0"/>
    <w:rPr>
      <w:rFonts w:hint="eastAsia" w:ascii="宋体" w:hAnsi="宋体" w:eastAsia="宋体" w:cs="宋体"/>
      <w:color w:val="000000"/>
      <w:sz w:val="20"/>
      <w:szCs w:val="20"/>
      <w:u w:val="none"/>
    </w:rPr>
  </w:style>
  <w:style w:type="character" w:customStyle="1" w:styleId="19">
    <w:name w:val="font11"/>
    <w:basedOn w:val="14"/>
    <w:qFormat/>
    <w:uiPriority w:val="0"/>
    <w:rPr>
      <w:rFonts w:hint="eastAsia" w:ascii="宋体" w:hAnsi="宋体" w:eastAsia="宋体" w:cs="宋体"/>
      <w:color w:val="000000"/>
      <w:sz w:val="20"/>
      <w:szCs w:val="20"/>
      <w:u w:val="none"/>
    </w:rPr>
  </w:style>
  <w:style w:type="character" w:customStyle="1" w:styleId="20">
    <w:name w:val="font21"/>
    <w:basedOn w:val="14"/>
    <w:qFormat/>
    <w:uiPriority w:val="0"/>
    <w:rPr>
      <w:rFonts w:hint="default" w:ascii="Segoe UI Symbol" w:hAnsi="Segoe UI Symbol" w:eastAsia="Segoe UI Symbol" w:cs="Segoe UI Symbol"/>
      <w:color w:val="000000"/>
      <w:sz w:val="20"/>
      <w:szCs w:val="20"/>
      <w:u w:val="none"/>
    </w:rPr>
  </w:style>
  <w:style w:type="paragraph" w:customStyle="1" w:styleId="21">
    <w:name w:val="表格文字"/>
    <w:basedOn w:val="5"/>
    <w:next w:val="3"/>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23938</Words>
  <Characters>27742</Characters>
  <Lines>0</Lines>
  <Paragraphs>0</Paragraphs>
  <TotalTime>11</TotalTime>
  <ScaleCrop>false</ScaleCrop>
  <LinksUpToDate>false</LinksUpToDate>
  <CharactersWithSpaces>28042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2025-12-29T07:08:00Z</dcterms:created>
  <dc:creator>MyPC</dc:creator>
  <cp:lastModifiedBy>MyPC</cp:lastModifiedBy>
  <dcterms:modified xsi:type="dcterms:W3CDTF">2025-12-29T08:21:03Z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eyJoZGlkIjoiYzRkNjNjOGYxNTQ5YjkxM2EzZTU2MWY1NjVjYzI2NmUifQ==</vt:lpwstr>
  </property>
  <property fmtid="{D5CDD505-2E9C-101B-9397-08002B2CF9AE}" pid="4" name="ICV">
    <vt:lpwstr>A2A7560E77C3498E9ECEB47B4277632F_12</vt:lpwstr>
  </property>
</Properties>
</file>