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920EC">
      <w:pPr>
        <w:snapToGrid w:val="0"/>
        <w:spacing w:afterAutospacing="0" w:line="360" w:lineRule="auto"/>
        <w:ind w:right="-210" w:rightChars="-100"/>
        <w:jc w:val="both"/>
        <w:rPr>
          <w:rFonts w:hint="eastAsia" w:ascii="宋体" w:hAnsi="宋体" w:eastAsia="宋体" w:cs="宋体"/>
          <w:b/>
          <w:bCs/>
          <w:color w:val="auto"/>
          <w:sz w:val="56"/>
          <w:szCs w:val="56"/>
          <w:highlight w:val="none"/>
          <w:lang w:eastAsia="zh-CN"/>
        </w:rPr>
      </w:pPr>
      <w:bookmarkStart w:id="182" w:name="_GoBack"/>
      <w:r>
        <w:rPr>
          <w:rFonts w:hint="eastAsia" w:ascii="宋体" w:hAnsi="宋体" w:eastAsia="宋体" w:cs="宋体"/>
          <w:b/>
          <w:bCs/>
          <w:color w:val="auto"/>
          <w:sz w:val="56"/>
          <w:szCs w:val="56"/>
          <w:highlight w:val="none"/>
          <w:lang w:eastAsia="zh-CN"/>
        </w:rPr>
        <w:drawing>
          <wp:inline distT="0" distB="0" distL="114300" distR="114300">
            <wp:extent cx="2964815" cy="558165"/>
            <wp:effectExtent l="0" t="0" r="6985" b="13335"/>
            <wp:docPr id="22" name="图片 22" descr="71322044950af28b7aa401cf215f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71322044950af28b7aa401cf215f323"/>
                    <pic:cNvPicPr>
                      <a:picLocks noChangeAspect="1"/>
                    </pic:cNvPicPr>
                  </pic:nvPicPr>
                  <pic:blipFill>
                    <a:blip r:embed="rId21"/>
                    <a:stretch>
                      <a:fillRect/>
                    </a:stretch>
                  </pic:blipFill>
                  <pic:spPr>
                    <a:xfrm>
                      <a:off x="0" y="0"/>
                      <a:ext cx="2964815" cy="558165"/>
                    </a:xfrm>
                    <a:prstGeom prst="rect">
                      <a:avLst/>
                    </a:prstGeom>
                    <a:noFill/>
                    <a:ln>
                      <a:noFill/>
                    </a:ln>
                  </pic:spPr>
                </pic:pic>
              </a:graphicData>
            </a:graphic>
          </wp:inline>
        </w:drawing>
      </w:r>
      <w:r>
        <w:rPr>
          <w:rFonts w:hint="eastAsia" w:ascii="宋体" w:hAnsi="宋体" w:eastAsia="宋体" w:cs="宋体"/>
          <w:b/>
          <w:color w:val="auto"/>
          <w:sz w:val="44"/>
          <w:szCs w:val="44"/>
          <w:highlight w:val="none"/>
        </w:rPr>
        <w:t xml:space="preserve">  </w:t>
      </w:r>
      <w:r>
        <w:rPr>
          <w:rFonts w:hint="eastAsia" w:ascii="宋体" w:hAnsi="宋体" w:eastAsia="宋体" w:cs="宋体"/>
          <w:b/>
          <w:color w:val="auto"/>
          <w:sz w:val="44"/>
          <w:szCs w:val="44"/>
          <w:highlight w:val="none"/>
          <w:lang w:val="en-US" w:eastAsia="zh-CN"/>
        </w:rPr>
        <w:t xml:space="preserve"> </w:t>
      </w:r>
    </w:p>
    <w:p w14:paraId="78D6464C">
      <w:pPr>
        <w:snapToGrid w:val="0"/>
        <w:spacing w:before="162" w:beforeLines="50" w:after="263" w:afterLines="81" w:line="360" w:lineRule="auto"/>
        <w:ind w:right="-210" w:rightChars="-100"/>
        <w:jc w:val="both"/>
        <w:rPr>
          <w:rFonts w:hint="eastAsia" w:ascii="宋体" w:hAnsi="宋体" w:eastAsia="宋体" w:cs="宋体"/>
          <w:b/>
          <w:bCs/>
          <w:color w:val="auto"/>
          <w:sz w:val="48"/>
          <w:szCs w:val="48"/>
          <w:highlight w:val="none"/>
        </w:rPr>
      </w:pPr>
    </w:p>
    <w:p w14:paraId="13B1C5E2">
      <w:pPr>
        <w:snapToGrid w:val="0"/>
        <w:spacing w:before="162" w:beforeLines="50" w:after="263" w:afterLines="81" w:line="360" w:lineRule="auto"/>
        <w:ind w:left="-210" w:leftChars="-100" w:right="-210" w:rightChars="-100"/>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lang w:val="en-US" w:eastAsia="zh-CN"/>
        </w:rPr>
        <w:t xml:space="preserve">竞 争 性 磋 商 </w:t>
      </w:r>
      <w:r>
        <w:rPr>
          <w:rFonts w:hint="eastAsia" w:ascii="宋体" w:hAnsi="宋体" w:eastAsia="宋体" w:cs="宋体"/>
          <w:b/>
          <w:bCs/>
          <w:color w:val="auto"/>
          <w:sz w:val="48"/>
          <w:szCs w:val="48"/>
          <w:highlight w:val="none"/>
        </w:rPr>
        <w:t>文 件</w:t>
      </w:r>
    </w:p>
    <w:p w14:paraId="6B8FF398">
      <w:pPr>
        <w:pStyle w:val="59"/>
        <w:ind w:firstLine="440"/>
        <w:jc w:val="center"/>
        <w:rPr>
          <w:rFonts w:hint="eastAsia" w:ascii="宋体" w:hAnsi="宋体" w:eastAsia="宋体" w:cs="宋体"/>
          <w:color w:val="auto"/>
          <w:sz w:val="44"/>
          <w:szCs w:val="44"/>
          <w:highlight w:val="none"/>
        </w:rPr>
      </w:pPr>
    </w:p>
    <w:p w14:paraId="53BC317D">
      <w:pPr>
        <w:pStyle w:val="59"/>
        <w:ind w:firstLine="440"/>
        <w:jc w:val="center"/>
        <w:rPr>
          <w:rFonts w:hint="eastAsia" w:ascii="宋体" w:hAnsi="宋体" w:eastAsia="宋体" w:cs="宋体"/>
          <w:color w:val="auto"/>
          <w:sz w:val="56"/>
          <w:szCs w:val="56"/>
          <w:highlight w:val="none"/>
        </w:rPr>
      </w:pPr>
      <w:r>
        <w:rPr>
          <w:rFonts w:hint="eastAsia" w:ascii="宋体" w:hAnsi="宋体" w:eastAsia="宋体" w:cs="宋体"/>
          <w:color w:val="auto"/>
          <w:sz w:val="44"/>
          <w:szCs w:val="44"/>
          <w:highlight w:val="none"/>
        </w:rPr>
        <w:t>（</w:t>
      </w:r>
      <w:r>
        <w:rPr>
          <w:rFonts w:hint="eastAsia" w:ascii="宋体" w:hAnsi="宋体" w:eastAsia="宋体" w:cs="宋体"/>
          <w:color w:val="auto"/>
          <w:sz w:val="44"/>
          <w:szCs w:val="44"/>
          <w:highlight w:val="none"/>
          <w:lang w:val="en-US" w:eastAsia="zh-CN"/>
        </w:rPr>
        <w:t>服务</w:t>
      </w:r>
      <w:r>
        <w:rPr>
          <w:rFonts w:hint="eastAsia" w:ascii="宋体" w:hAnsi="宋体" w:eastAsia="宋体" w:cs="宋体"/>
          <w:color w:val="auto"/>
          <w:sz w:val="44"/>
          <w:szCs w:val="44"/>
          <w:highlight w:val="none"/>
        </w:rPr>
        <w:t>类）</w:t>
      </w:r>
    </w:p>
    <w:p w14:paraId="37D096F3">
      <w:pPr>
        <w:pStyle w:val="32"/>
        <w:keepNext w:val="0"/>
        <w:keepLines w:val="0"/>
        <w:pageBreakBefore w:val="0"/>
        <w:widowControl w:val="0"/>
        <w:kinsoku/>
        <w:wordWrap/>
        <w:overflowPunct/>
        <w:topLinePunct w:val="0"/>
        <w:autoSpaceDE/>
        <w:autoSpaceDN/>
        <w:bidi w:val="0"/>
        <w:adjustRightInd/>
        <w:snapToGrid w:val="0"/>
        <w:spacing w:before="120" w:after="120" w:line="480" w:lineRule="auto"/>
        <w:textAlignment w:val="auto"/>
        <w:rPr>
          <w:rFonts w:hint="eastAsia" w:ascii="宋体" w:hAnsi="宋体" w:eastAsia="宋体" w:cs="宋体"/>
          <w:b/>
          <w:bCs/>
          <w:color w:val="auto"/>
          <w:sz w:val="28"/>
          <w:szCs w:val="28"/>
          <w:highlight w:val="none"/>
        </w:rPr>
      </w:pPr>
    </w:p>
    <w:p w14:paraId="534D3C73">
      <w:pPr>
        <w:pStyle w:val="32"/>
        <w:keepNext w:val="0"/>
        <w:keepLines w:val="0"/>
        <w:pageBreakBefore w:val="0"/>
        <w:widowControl w:val="0"/>
        <w:kinsoku/>
        <w:wordWrap/>
        <w:overflowPunct/>
        <w:topLinePunct w:val="0"/>
        <w:autoSpaceDE/>
        <w:autoSpaceDN/>
        <w:bidi w:val="0"/>
        <w:adjustRightInd/>
        <w:snapToGrid w:val="0"/>
        <w:spacing w:before="120" w:after="120" w:line="480" w:lineRule="auto"/>
        <w:ind w:left="0" w:leftChars="0" w:firstLine="562" w:firstLineChars="200"/>
        <w:textAlignment w:val="auto"/>
        <w:rPr>
          <w:rFonts w:hint="eastAsia" w:ascii="宋体" w:hAnsi="宋体" w:eastAsia="宋体" w:cs="宋体"/>
          <w:b/>
          <w:bCs/>
          <w:color w:val="auto"/>
          <w:sz w:val="28"/>
          <w:szCs w:val="28"/>
          <w:highlight w:val="none"/>
        </w:rPr>
      </w:pPr>
    </w:p>
    <w:p w14:paraId="11D80F6D">
      <w:pPr>
        <w:numPr>
          <w:ilvl w:val="0"/>
          <w:numId w:val="0"/>
        </w:numPr>
        <w:tabs>
          <w:tab w:val="left" w:pos="864"/>
          <w:tab w:val="left" w:pos="2140"/>
        </w:tabs>
        <w:ind w:leftChars="0"/>
        <w:outlineLvl w:val="9"/>
        <w:rPr>
          <w:rFonts w:hint="eastAsia" w:ascii="宋体" w:hAnsi="宋体" w:eastAsia="宋体" w:cs="宋体"/>
          <w:color w:val="auto"/>
          <w:highlight w:val="none"/>
        </w:rPr>
      </w:pPr>
    </w:p>
    <w:p w14:paraId="68C9A2D8">
      <w:pPr>
        <w:pStyle w:val="32"/>
        <w:snapToGrid w:val="0"/>
        <w:spacing w:before="120" w:after="120" w:line="480" w:lineRule="auto"/>
        <w:ind w:firstLine="1124" w:firstLineChars="400"/>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项目编号：</w:t>
      </w:r>
      <w:r>
        <w:rPr>
          <w:rFonts w:hint="eastAsia" w:ascii="宋体" w:hAnsi="宋体" w:eastAsia="宋体" w:cs="宋体"/>
          <w:b/>
          <w:bCs/>
          <w:color w:val="auto"/>
          <w:sz w:val="28"/>
          <w:szCs w:val="28"/>
          <w:highlight w:val="none"/>
          <w:u w:val="single"/>
        </w:rPr>
        <w:t xml:space="preserve">       </w:t>
      </w:r>
      <w:r>
        <w:rPr>
          <w:rFonts w:hint="eastAsia" w:hAnsi="宋体" w:cs="宋体"/>
          <w:b/>
          <w:bCs/>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BHZC2026-C3-990038-ZJZX   </w:t>
      </w:r>
      <w:r>
        <w:rPr>
          <w:rFonts w:hint="eastAsia" w:hAnsi="宋体" w:cs="宋体"/>
          <w:b w:val="0"/>
          <w:bCs w:val="0"/>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 xml:space="preserve">        </w:t>
      </w:r>
      <w:r>
        <w:rPr>
          <w:rFonts w:hint="eastAsia" w:ascii="宋体" w:hAnsi="宋体" w:eastAsia="宋体" w:cs="宋体"/>
          <w:color w:val="auto"/>
          <w:sz w:val="28"/>
          <w:szCs w:val="28"/>
          <w:highlight w:val="none"/>
          <w:u w:val="none"/>
        </w:rPr>
        <w:t xml:space="preserve">  </w:t>
      </w:r>
    </w:p>
    <w:p w14:paraId="345B51A2">
      <w:pPr>
        <w:snapToGrid w:val="0"/>
        <w:spacing w:before="162" w:beforeLines="50" w:line="480" w:lineRule="auto"/>
        <w:ind w:firstLine="1124" w:firstLineChars="400"/>
        <w:rPr>
          <w:rFonts w:hint="eastAsia" w:ascii="宋体" w:hAnsi="宋体" w:eastAsia="宋体" w:cs="宋体"/>
          <w:color w:val="auto"/>
          <w:sz w:val="28"/>
          <w:szCs w:val="28"/>
          <w:highlight w:val="none"/>
          <w:u w:val="single"/>
          <w:lang w:eastAsia="zh-CN"/>
        </w:rPr>
      </w:pPr>
      <w:r>
        <w:rPr>
          <w:rFonts w:hint="eastAsia" w:ascii="宋体" w:hAnsi="宋体" w:eastAsia="宋体" w:cs="宋体"/>
          <w:b/>
          <w:bCs/>
          <w:color w:val="auto"/>
          <w:sz w:val="28"/>
          <w:szCs w:val="28"/>
          <w:highlight w:val="none"/>
        </w:rPr>
        <w:t>项目名称：</w:t>
      </w:r>
      <w:r>
        <w:rPr>
          <w:rFonts w:hint="eastAsia" w:ascii="宋体" w:hAnsi="宋体" w:cs="宋体"/>
          <w:color w:val="auto"/>
          <w:sz w:val="28"/>
          <w:szCs w:val="28"/>
          <w:highlight w:val="none"/>
          <w:u w:val="single"/>
          <w:lang w:eastAsia="zh-CN"/>
        </w:rPr>
        <w:t>北海市体育运动学校2026年食堂配送服务采购</w:t>
      </w:r>
    </w:p>
    <w:p w14:paraId="08ACEDBD">
      <w:pPr>
        <w:snapToGrid w:val="0"/>
        <w:spacing w:before="162" w:beforeLines="50" w:line="480" w:lineRule="auto"/>
        <w:ind w:firstLine="1124" w:firstLineChars="40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lang w:val="en-US" w:eastAsia="zh-CN"/>
        </w:rPr>
        <w:t xml:space="preserve">采 购 </w:t>
      </w:r>
      <w:r>
        <w:rPr>
          <w:rFonts w:hint="eastAsia" w:ascii="宋体" w:hAnsi="宋体" w:eastAsia="宋体" w:cs="宋体"/>
          <w:b/>
          <w:color w:val="auto"/>
          <w:sz w:val="28"/>
          <w:szCs w:val="28"/>
          <w:highlight w:val="none"/>
        </w:rPr>
        <w:t>人：</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Cs/>
          <w:color w:val="auto"/>
          <w:sz w:val="28"/>
          <w:szCs w:val="28"/>
          <w:highlight w:val="none"/>
          <w:u w:val="single"/>
        </w:rPr>
        <w:t xml:space="preserve"> </w:t>
      </w:r>
      <w:r>
        <w:rPr>
          <w:rFonts w:hint="eastAsia" w:ascii="宋体" w:hAnsi="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u w:val="single"/>
          <w:lang w:eastAsia="zh-CN"/>
        </w:rPr>
        <w:t>北海市体育运动学校</w:t>
      </w:r>
      <w:r>
        <w:rPr>
          <w:rFonts w:hint="eastAsia" w:ascii="宋体" w:hAnsi="宋体" w:eastAsia="宋体" w:cs="宋体"/>
          <w:bCs/>
          <w:color w:val="auto"/>
          <w:sz w:val="28"/>
          <w:szCs w:val="28"/>
          <w:highlight w:val="none"/>
          <w:u w:val="single"/>
        </w:rPr>
        <w:t xml:space="preserve"> </w:t>
      </w:r>
      <w:r>
        <w:rPr>
          <w:rFonts w:hint="eastAsia" w:ascii="宋体" w:hAnsi="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u w:val="single"/>
        </w:rPr>
        <w:t xml:space="preserve">  </w:t>
      </w:r>
    </w:p>
    <w:p w14:paraId="37F0476D">
      <w:pPr>
        <w:snapToGrid w:val="0"/>
        <w:spacing w:before="162" w:beforeLines="50" w:line="480" w:lineRule="auto"/>
        <w:ind w:firstLine="1124" w:firstLineChars="400"/>
        <w:rPr>
          <w:rFonts w:hint="eastAsia" w:ascii="宋体" w:hAnsi="宋体" w:eastAsia="宋体" w:cs="宋体"/>
          <w:color w:val="auto"/>
          <w:highlight w:val="none"/>
        </w:rPr>
      </w:pPr>
      <w:r>
        <w:rPr>
          <w:rFonts w:hint="eastAsia" w:ascii="宋体" w:hAnsi="宋体" w:eastAsia="宋体" w:cs="宋体"/>
          <w:b/>
          <w:color w:val="auto"/>
          <w:sz w:val="28"/>
          <w:szCs w:val="28"/>
          <w:highlight w:val="none"/>
        </w:rPr>
        <w:t>采购代理机构：</w:t>
      </w:r>
      <w:r>
        <w:rPr>
          <w:rFonts w:hint="eastAsia" w:ascii="宋体" w:hAnsi="宋体" w:eastAsia="宋体" w:cs="宋体"/>
          <w:bCs/>
          <w:color w:val="auto"/>
          <w:sz w:val="28"/>
          <w:szCs w:val="28"/>
          <w:highlight w:val="none"/>
          <w:u w:val="single"/>
        </w:rPr>
        <w:t xml:space="preserve">     </w:t>
      </w:r>
      <w:r>
        <w:rPr>
          <w:rFonts w:hint="eastAsia" w:ascii="宋体" w:hAnsi="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u w:val="single"/>
        </w:rPr>
        <w:t xml:space="preserve">广西政建咨询有限公司 </w:t>
      </w:r>
      <w:r>
        <w:rPr>
          <w:rFonts w:hint="eastAsia" w:ascii="宋体" w:hAnsi="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u w:val="single"/>
        </w:rPr>
        <w:t xml:space="preserve">     </w:t>
      </w:r>
    </w:p>
    <w:p w14:paraId="4DD427EF">
      <w:pPr>
        <w:spacing w:before="325" w:beforeLines="100" w:line="480" w:lineRule="auto"/>
        <w:jc w:val="center"/>
        <w:rPr>
          <w:rFonts w:hint="eastAsia" w:ascii="宋体" w:hAnsi="宋体" w:eastAsia="宋体" w:cs="宋体"/>
          <w:color w:val="auto"/>
          <w:sz w:val="28"/>
          <w:szCs w:val="28"/>
          <w:highlight w:val="none"/>
        </w:rPr>
      </w:pPr>
      <w:bookmarkStart w:id="0" w:name="_Toc12404"/>
      <w:bookmarkStart w:id="1" w:name="_Toc19575"/>
      <w:bookmarkStart w:id="2" w:name="_Toc19754"/>
      <w:bookmarkStart w:id="3" w:name="_Toc11693"/>
      <w:r>
        <w:rPr>
          <w:rFonts w:hint="eastAsia" w:ascii="宋体" w:hAnsi="宋体" w:eastAsia="宋体" w:cs="宋体"/>
          <w:color w:val="auto"/>
          <w:sz w:val="28"/>
          <w:szCs w:val="28"/>
          <w:highlight w:val="none"/>
        </w:rPr>
        <w:t>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t>月</w:t>
      </w:r>
      <w:bookmarkEnd w:id="0"/>
      <w:bookmarkEnd w:id="1"/>
      <w:bookmarkEnd w:id="2"/>
      <w:bookmarkEnd w:id="3"/>
    </w:p>
    <w:p w14:paraId="1A1BF116">
      <w:pPr>
        <w:rPr>
          <w:rFonts w:hint="eastAsia" w:ascii="宋体" w:hAnsi="宋体" w:eastAsia="宋体" w:cs="宋体"/>
          <w:b/>
          <w:color w:val="auto"/>
          <w:sz w:val="48"/>
          <w:szCs w:val="48"/>
          <w:highlight w:val="none"/>
        </w:rPr>
      </w:pPr>
    </w:p>
    <w:p w14:paraId="0259CF16">
      <w:pP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br w:type="page"/>
      </w:r>
    </w:p>
    <w:p w14:paraId="197D6555">
      <w:pPr>
        <w:spacing w:line="36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目  录</w:t>
      </w:r>
    </w:p>
    <w:p w14:paraId="1CF2BCA4">
      <w:pPr>
        <w:spacing w:line="360" w:lineRule="auto"/>
        <w:rPr>
          <w:rFonts w:hint="eastAsia" w:ascii="宋体" w:hAnsi="宋体" w:eastAsia="宋体" w:cs="宋体"/>
          <w:color w:val="auto"/>
          <w:sz w:val="32"/>
          <w:szCs w:val="32"/>
          <w:highlight w:val="none"/>
        </w:rPr>
      </w:pPr>
    </w:p>
    <w:p w14:paraId="54196AFA">
      <w:pPr>
        <w:spacing w:line="480" w:lineRule="auto"/>
        <w:rPr>
          <w:rFonts w:hint="eastAsia" w:ascii="宋体" w:hAnsi="宋体" w:eastAsia="宋体" w:cs="宋体"/>
          <w:color w:val="auto"/>
          <w:sz w:val="72"/>
          <w:szCs w:val="72"/>
          <w:highlight w:val="none"/>
        </w:rPr>
      </w:pPr>
    </w:p>
    <w:p w14:paraId="15C3CFE5">
      <w:pPr>
        <w:pStyle w:val="41"/>
        <w:tabs>
          <w:tab w:val="right" w:leader="dot" w:pos="9638"/>
        </w:tabs>
        <w:spacing w:line="480" w:lineRule="auto"/>
        <w:rPr>
          <w:color w:val="auto"/>
          <w:sz w:val="24"/>
          <w:szCs w:val="32"/>
          <w:highlight w:val="none"/>
        </w:rPr>
      </w:pPr>
      <w:bookmarkStart w:id="4" w:name="_Hlt91233176"/>
      <w:bookmarkEnd w:id="4"/>
      <w:bookmarkStart w:id="5" w:name="_Toc91899869"/>
      <w:r>
        <w:rPr>
          <w:rFonts w:hint="eastAsia" w:ascii="宋体" w:hAnsi="宋体" w:eastAsia="宋体" w:cs="宋体"/>
          <w:color w:val="auto"/>
          <w:sz w:val="112"/>
          <w:szCs w:val="112"/>
          <w:highlight w:val="none"/>
        </w:rPr>
        <w:fldChar w:fldCharType="begin"/>
      </w:r>
      <w:r>
        <w:rPr>
          <w:rFonts w:hint="eastAsia" w:ascii="宋体" w:hAnsi="宋体" w:eastAsia="宋体" w:cs="宋体"/>
          <w:color w:val="auto"/>
          <w:sz w:val="112"/>
          <w:szCs w:val="112"/>
          <w:highlight w:val="none"/>
        </w:rPr>
        <w:instrText xml:space="preserve"> TOC \o "1-1" \h \z \u </w:instrText>
      </w:r>
      <w:r>
        <w:rPr>
          <w:rFonts w:hint="eastAsia" w:ascii="宋体" w:hAnsi="宋体" w:eastAsia="宋体" w:cs="宋体"/>
          <w:color w:val="auto"/>
          <w:sz w:val="112"/>
          <w:szCs w:val="112"/>
          <w:highlight w:val="none"/>
        </w:rPr>
        <w:fldChar w:fldCharType="separate"/>
      </w:r>
      <w:r>
        <w:rPr>
          <w:rFonts w:hint="eastAsia" w:ascii="宋体" w:hAnsi="宋体" w:eastAsia="宋体" w:cs="宋体"/>
          <w:color w:val="auto"/>
          <w:sz w:val="24"/>
          <w:szCs w:val="112"/>
          <w:highlight w:val="none"/>
        </w:rPr>
        <w:fldChar w:fldCharType="begin"/>
      </w:r>
      <w:r>
        <w:rPr>
          <w:rFonts w:hint="eastAsia" w:ascii="宋体" w:hAnsi="宋体" w:eastAsia="宋体" w:cs="宋体"/>
          <w:color w:val="auto"/>
          <w:sz w:val="24"/>
          <w:szCs w:val="112"/>
          <w:highlight w:val="none"/>
        </w:rPr>
        <w:instrText xml:space="preserve"> HYPERLINK \l _Toc25610 </w:instrText>
      </w:r>
      <w:r>
        <w:rPr>
          <w:rFonts w:hint="eastAsia" w:ascii="宋体" w:hAnsi="宋体" w:eastAsia="宋体" w:cs="宋体"/>
          <w:color w:val="auto"/>
          <w:sz w:val="24"/>
          <w:szCs w:val="112"/>
          <w:highlight w:val="none"/>
        </w:rPr>
        <w:fldChar w:fldCharType="separate"/>
      </w:r>
      <w:r>
        <w:rPr>
          <w:rFonts w:hint="eastAsia" w:ascii="宋体" w:hAnsi="宋体" w:eastAsia="宋体" w:cs="宋体"/>
          <w:color w:val="auto"/>
          <w:sz w:val="24"/>
          <w:szCs w:val="22"/>
          <w:highlight w:val="none"/>
        </w:rPr>
        <w:t>第一部分  邀请供应商</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_Toc25610 \h </w:instrText>
      </w:r>
      <w:r>
        <w:rPr>
          <w:color w:val="auto"/>
          <w:sz w:val="24"/>
          <w:szCs w:val="32"/>
          <w:highlight w:val="none"/>
        </w:rPr>
        <w:fldChar w:fldCharType="separate"/>
      </w:r>
      <w:r>
        <w:rPr>
          <w:color w:val="auto"/>
          <w:sz w:val="24"/>
          <w:szCs w:val="32"/>
          <w:highlight w:val="none"/>
        </w:rPr>
        <w:t>1</w:t>
      </w:r>
      <w:r>
        <w:rPr>
          <w:color w:val="auto"/>
          <w:sz w:val="24"/>
          <w:szCs w:val="32"/>
          <w:highlight w:val="none"/>
        </w:rPr>
        <w:fldChar w:fldCharType="end"/>
      </w:r>
      <w:r>
        <w:rPr>
          <w:rFonts w:hint="eastAsia" w:ascii="宋体" w:hAnsi="宋体" w:eastAsia="宋体" w:cs="宋体"/>
          <w:color w:val="auto"/>
          <w:sz w:val="24"/>
          <w:szCs w:val="112"/>
          <w:highlight w:val="none"/>
        </w:rPr>
        <w:fldChar w:fldCharType="end"/>
      </w:r>
    </w:p>
    <w:p w14:paraId="5B921403">
      <w:pPr>
        <w:pStyle w:val="41"/>
        <w:tabs>
          <w:tab w:val="right" w:leader="dot" w:pos="9638"/>
        </w:tabs>
        <w:spacing w:line="480" w:lineRule="auto"/>
        <w:rPr>
          <w:color w:val="auto"/>
          <w:sz w:val="24"/>
          <w:szCs w:val="32"/>
          <w:highlight w:val="none"/>
        </w:rPr>
      </w:pPr>
      <w:r>
        <w:rPr>
          <w:rFonts w:hint="eastAsia" w:ascii="宋体" w:hAnsi="宋体" w:eastAsia="宋体" w:cs="宋体"/>
          <w:color w:val="auto"/>
          <w:sz w:val="24"/>
          <w:szCs w:val="112"/>
          <w:highlight w:val="none"/>
        </w:rPr>
        <w:fldChar w:fldCharType="begin"/>
      </w:r>
      <w:r>
        <w:rPr>
          <w:rFonts w:hint="eastAsia" w:ascii="宋体" w:hAnsi="宋体" w:eastAsia="宋体" w:cs="宋体"/>
          <w:color w:val="auto"/>
          <w:sz w:val="24"/>
          <w:szCs w:val="112"/>
          <w:highlight w:val="none"/>
        </w:rPr>
        <w:instrText xml:space="preserve"> HYPERLINK \l _Toc20258 </w:instrText>
      </w:r>
      <w:r>
        <w:rPr>
          <w:rFonts w:hint="eastAsia" w:ascii="宋体" w:hAnsi="宋体" w:eastAsia="宋体" w:cs="宋体"/>
          <w:color w:val="auto"/>
          <w:sz w:val="24"/>
          <w:szCs w:val="112"/>
          <w:highlight w:val="none"/>
        </w:rPr>
        <w:fldChar w:fldCharType="separate"/>
      </w:r>
      <w:r>
        <w:rPr>
          <w:rFonts w:hint="eastAsia" w:ascii="宋体" w:hAnsi="宋体" w:eastAsia="宋体" w:cs="宋体"/>
          <w:color w:val="auto"/>
          <w:sz w:val="24"/>
          <w:szCs w:val="22"/>
          <w:highlight w:val="none"/>
        </w:rPr>
        <w:t>第二部分  竞争性磋商流程</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_Toc20258 \h </w:instrText>
      </w:r>
      <w:r>
        <w:rPr>
          <w:color w:val="auto"/>
          <w:sz w:val="24"/>
          <w:szCs w:val="32"/>
          <w:highlight w:val="none"/>
        </w:rPr>
        <w:fldChar w:fldCharType="separate"/>
      </w:r>
      <w:r>
        <w:rPr>
          <w:color w:val="auto"/>
          <w:sz w:val="24"/>
          <w:szCs w:val="32"/>
          <w:highlight w:val="none"/>
        </w:rPr>
        <w:t>5</w:t>
      </w:r>
      <w:r>
        <w:rPr>
          <w:color w:val="auto"/>
          <w:sz w:val="24"/>
          <w:szCs w:val="32"/>
          <w:highlight w:val="none"/>
        </w:rPr>
        <w:fldChar w:fldCharType="end"/>
      </w:r>
      <w:r>
        <w:rPr>
          <w:rFonts w:hint="eastAsia" w:ascii="宋体" w:hAnsi="宋体" w:eastAsia="宋体" w:cs="宋体"/>
          <w:color w:val="auto"/>
          <w:sz w:val="24"/>
          <w:szCs w:val="112"/>
          <w:highlight w:val="none"/>
        </w:rPr>
        <w:fldChar w:fldCharType="end"/>
      </w:r>
    </w:p>
    <w:p w14:paraId="65DD3A9B">
      <w:pPr>
        <w:pStyle w:val="41"/>
        <w:tabs>
          <w:tab w:val="right" w:leader="dot" w:pos="9638"/>
        </w:tabs>
        <w:spacing w:line="480" w:lineRule="auto"/>
        <w:rPr>
          <w:color w:val="auto"/>
          <w:sz w:val="24"/>
          <w:szCs w:val="32"/>
          <w:highlight w:val="none"/>
        </w:rPr>
      </w:pPr>
      <w:r>
        <w:rPr>
          <w:rFonts w:hint="eastAsia" w:ascii="宋体" w:hAnsi="宋体" w:eastAsia="宋体" w:cs="宋体"/>
          <w:color w:val="auto"/>
          <w:sz w:val="24"/>
          <w:szCs w:val="112"/>
          <w:highlight w:val="none"/>
        </w:rPr>
        <w:fldChar w:fldCharType="begin"/>
      </w:r>
      <w:r>
        <w:rPr>
          <w:rFonts w:hint="eastAsia" w:ascii="宋体" w:hAnsi="宋体" w:eastAsia="宋体" w:cs="宋体"/>
          <w:color w:val="auto"/>
          <w:sz w:val="24"/>
          <w:szCs w:val="112"/>
          <w:highlight w:val="none"/>
        </w:rPr>
        <w:instrText xml:space="preserve"> HYPERLINK \l _Toc31648 </w:instrText>
      </w:r>
      <w:r>
        <w:rPr>
          <w:rFonts w:hint="eastAsia" w:ascii="宋体" w:hAnsi="宋体" w:eastAsia="宋体" w:cs="宋体"/>
          <w:color w:val="auto"/>
          <w:sz w:val="24"/>
          <w:szCs w:val="112"/>
          <w:highlight w:val="none"/>
        </w:rPr>
        <w:fldChar w:fldCharType="separate"/>
      </w:r>
      <w:r>
        <w:rPr>
          <w:rFonts w:hint="eastAsia" w:ascii="宋体" w:hAnsi="宋体" w:eastAsia="宋体" w:cs="宋体"/>
          <w:color w:val="auto"/>
          <w:sz w:val="24"/>
          <w:szCs w:val="22"/>
          <w:highlight w:val="none"/>
        </w:rPr>
        <w:t>第三部分  供应商须知</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_Toc31648 \h </w:instrText>
      </w:r>
      <w:r>
        <w:rPr>
          <w:color w:val="auto"/>
          <w:sz w:val="24"/>
          <w:szCs w:val="32"/>
          <w:highlight w:val="none"/>
        </w:rPr>
        <w:fldChar w:fldCharType="separate"/>
      </w:r>
      <w:r>
        <w:rPr>
          <w:color w:val="auto"/>
          <w:sz w:val="24"/>
          <w:szCs w:val="32"/>
          <w:highlight w:val="none"/>
        </w:rPr>
        <w:t>9</w:t>
      </w:r>
      <w:r>
        <w:rPr>
          <w:color w:val="auto"/>
          <w:sz w:val="24"/>
          <w:szCs w:val="32"/>
          <w:highlight w:val="none"/>
        </w:rPr>
        <w:fldChar w:fldCharType="end"/>
      </w:r>
      <w:r>
        <w:rPr>
          <w:rFonts w:hint="eastAsia" w:ascii="宋体" w:hAnsi="宋体" w:eastAsia="宋体" w:cs="宋体"/>
          <w:color w:val="auto"/>
          <w:sz w:val="24"/>
          <w:szCs w:val="112"/>
          <w:highlight w:val="none"/>
        </w:rPr>
        <w:fldChar w:fldCharType="end"/>
      </w:r>
    </w:p>
    <w:p w14:paraId="4057F1AC">
      <w:pPr>
        <w:pStyle w:val="41"/>
        <w:tabs>
          <w:tab w:val="right" w:leader="dot" w:pos="9638"/>
        </w:tabs>
        <w:spacing w:line="480" w:lineRule="auto"/>
        <w:rPr>
          <w:color w:val="auto"/>
          <w:sz w:val="24"/>
          <w:szCs w:val="32"/>
          <w:highlight w:val="none"/>
        </w:rPr>
      </w:pPr>
      <w:r>
        <w:rPr>
          <w:rFonts w:hint="eastAsia" w:ascii="宋体" w:hAnsi="宋体" w:eastAsia="宋体" w:cs="宋体"/>
          <w:color w:val="auto"/>
          <w:sz w:val="24"/>
          <w:szCs w:val="112"/>
          <w:highlight w:val="none"/>
        </w:rPr>
        <w:fldChar w:fldCharType="begin"/>
      </w:r>
      <w:r>
        <w:rPr>
          <w:rFonts w:hint="eastAsia" w:ascii="宋体" w:hAnsi="宋体" w:eastAsia="宋体" w:cs="宋体"/>
          <w:color w:val="auto"/>
          <w:sz w:val="24"/>
          <w:szCs w:val="112"/>
          <w:highlight w:val="none"/>
        </w:rPr>
        <w:instrText xml:space="preserve"> HYPERLINK \l _Toc10247 </w:instrText>
      </w:r>
      <w:r>
        <w:rPr>
          <w:rFonts w:hint="eastAsia" w:ascii="宋体" w:hAnsi="宋体" w:eastAsia="宋体" w:cs="宋体"/>
          <w:color w:val="auto"/>
          <w:sz w:val="24"/>
          <w:szCs w:val="112"/>
          <w:highlight w:val="none"/>
        </w:rPr>
        <w:fldChar w:fldCharType="separate"/>
      </w:r>
      <w:r>
        <w:rPr>
          <w:rFonts w:hint="eastAsia" w:ascii="宋体" w:hAnsi="宋体" w:eastAsia="宋体" w:cs="宋体"/>
          <w:color w:val="auto"/>
          <w:sz w:val="24"/>
          <w:szCs w:val="44"/>
          <w:highlight w:val="none"/>
        </w:rPr>
        <w:t>第四部分  采购需求</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_Toc10247 \h </w:instrText>
      </w:r>
      <w:r>
        <w:rPr>
          <w:color w:val="auto"/>
          <w:sz w:val="24"/>
          <w:szCs w:val="32"/>
          <w:highlight w:val="none"/>
        </w:rPr>
        <w:fldChar w:fldCharType="separate"/>
      </w:r>
      <w:r>
        <w:rPr>
          <w:color w:val="auto"/>
          <w:sz w:val="24"/>
          <w:szCs w:val="32"/>
          <w:highlight w:val="none"/>
        </w:rPr>
        <w:t>34</w:t>
      </w:r>
      <w:r>
        <w:rPr>
          <w:color w:val="auto"/>
          <w:sz w:val="24"/>
          <w:szCs w:val="32"/>
          <w:highlight w:val="none"/>
        </w:rPr>
        <w:fldChar w:fldCharType="end"/>
      </w:r>
      <w:r>
        <w:rPr>
          <w:rFonts w:hint="eastAsia" w:ascii="宋体" w:hAnsi="宋体" w:eastAsia="宋体" w:cs="宋体"/>
          <w:color w:val="auto"/>
          <w:sz w:val="24"/>
          <w:szCs w:val="112"/>
          <w:highlight w:val="none"/>
        </w:rPr>
        <w:fldChar w:fldCharType="end"/>
      </w:r>
    </w:p>
    <w:p w14:paraId="51D7AC69">
      <w:pPr>
        <w:pStyle w:val="41"/>
        <w:tabs>
          <w:tab w:val="right" w:leader="dot" w:pos="9638"/>
        </w:tabs>
        <w:spacing w:line="480" w:lineRule="auto"/>
        <w:rPr>
          <w:color w:val="auto"/>
          <w:sz w:val="24"/>
          <w:szCs w:val="32"/>
          <w:highlight w:val="none"/>
        </w:rPr>
      </w:pPr>
      <w:r>
        <w:rPr>
          <w:rFonts w:hint="eastAsia" w:ascii="宋体" w:hAnsi="宋体" w:eastAsia="宋体" w:cs="宋体"/>
          <w:color w:val="auto"/>
          <w:sz w:val="24"/>
          <w:szCs w:val="112"/>
          <w:highlight w:val="none"/>
        </w:rPr>
        <w:fldChar w:fldCharType="begin"/>
      </w:r>
      <w:r>
        <w:rPr>
          <w:rFonts w:hint="eastAsia" w:ascii="宋体" w:hAnsi="宋体" w:eastAsia="宋体" w:cs="宋体"/>
          <w:color w:val="auto"/>
          <w:sz w:val="24"/>
          <w:szCs w:val="112"/>
          <w:highlight w:val="none"/>
        </w:rPr>
        <w:instrText xml:space="preserve"> HYPERLINK \l _Toc23455 </w:instrText>
      </w:r>
      <w:r>
        <w:rPr>
          <w:rFonts w:hint="eastAsia" w:ascii="宋体" w:hAnsi="宋体" w:eastAsia="宋体" w:cs="宋体"/>
          <w:color w:val="auto"/>
          <w:sz w:val="24"/>
          <w:szCs w:val="112"/>
          <w:highlight w:val="none"/>
        </w:rPr>
        <w:fldChar w:fldCharType="separate"/>
      </w:r>
      <w:r>
        <w:rPr>
          <w:rFonts w:hint="eastAsia" w:ascii="宋体" w:hAnsi="宋体" w:eastAsia="宋体" w:cs="宋体"/>
          <w:color w:val="auto"/>
          <w:sz w:val="24"/>
          <w:szCs w:val="44"/>
          <w:highlight w:val="none"/>
        </w:rPr>
        <w:t>第五部分  评审方法及评审标准</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_Toc23455 \h </w:instrText>
      </w:r>
      <w:r>
        <w:rPr>
          <w:color w:val="auto"/>
          <w:sz w:val="24"/>
          <w:szCs w:val="32"/>
          <w:highlight w:val="none"/>
        </w:rPr>
        <w:fldChar w:fldCharType="separate"/>
      </w:r>
      <w:r>
        <w:rPr>
          <w:color w:val="auto"/>
          <w:sz w:val="24"/>
          <w:szCs w:val="32"/>
          <w:highlight w:val="none"/>
        </w:rPr>
        <w:t>48</w:t>
      </w:r>
      <w:r>
        <w:rPr>
          <w:color w:val="auto"/>
          <w:sz w:val="24"/>
          <w:szCs w:val="32"/>
          <w:highlight w:val="none"/>
        </w:rPr>
        <w:fldChar w:fldCharType="end"/>
      </w:r>
      <w:r>
        <w:rPr>
          <w:rFonts w:hint="eastAsia" w:ascii="宋体" w:hAnsi="宋体" w:eastAsia="宋体" w:cs="宋体"/>
          <w:color w:val="auto"/>
          <w:sz w:val="24"/>
          <w:szCs w:val="112"/>
          <w:highlight w:val="none"/>
        </w:rPr>
        <w:fldChar w:fldCharType="end"/>
      </w:r>
    </w:p>
    <w:p w14:paraId="62AC1507">
      <w:pPr>
        <w:pStyle w:val="41"/>
        <w:tabs>
          <w:tab w:val="right" w:leader="dot" w:pos="9638"/>
        </w:tabs>
        <w:spacing w:line="480" w:lineRule="auto"/>
        <w:rPr>
          <w:color w:val="auto"/>
          <w:sz w:val="24"/>
          <w:szCs w:val="32"/>
          <w:highlight w:val="none"/>
        </w:rPr>
      </w:pPr>
      <w:r>
        <w:rPr>
          <w:rFonts w:hint="eastAsia" w:ascii="宋体" w:hAnsi="宋体" w:eastAsia="宋体" w:cs="宋体"/>
          <w:color w:val="auto"/>
          <w:sz w:val="24"/>
          <w:szCs w:val="112"/>
          <w:highlight w:val="none"/>
        </w:rPr>
        <w:fldChar w:fldCharType="begin"/>
      </w:r>
      <w:r>
        <w:rPr>
          <w:rFonts w:hint="eastAsia" w:ascii="宋体" w:hAnsi="宋体" w:eastAsia="宋体" w:cs="宋体"/>
          <w:color w:val="auto"/>
          <w:sz w:val="24"/>
          <w:szCs w:val="112"/>
          <w:highlight w:val="none"/>
        </w:rPr>
        <w:instrText xml:space="preserve"> HYPERLINK \l _Toc27423 </w:instrText>
      </w:r>
      <w:r>
        <w:rPr>
          <w:rFonts w:hint="eastAsia" w:ascii="宋体" w:hAnsi="宋体" w:eastAsia="宋体" w:cs="宋体"/>
          <w:color w:val="auto"/>
          <w:sz w:val="24"/>
          <w:szCs w:val="112"/>
          <w:highlight w:val="none"/>
        </w:rPr>
        <w:fldChar w:fldCharType="separate"/>
      </w:r>
      <w:r>
        <w:rPr>
          <w:rFonts w:hint="eastAsia" w:ascii="宋体" w:hAnsi="宋体" w:eastAsia="宋体" w:cs="宋体"/>
          <w:color w:val="auto"/>
          <w:sz w:val="24"/>
          <w:szCs w:val="44"/>
          <w:highlight w:val="none"/>
        </w:rPr>
        <w:t>第六部分  拟签订的合同文本</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_Toc27423 \h </w:instrText>
      </w:r>
      <w:r>
        <w:rPr>
          <w:color w:val="auto"/>
          <w:sz w:val="24"/>
          <w:szCs w:val="32"/>
          <w:highlight w:val="none"/>
        </w:rPr>
        <w:fldChar w:fldCharType="separate"/>
      </w:r>
      <w:r>
        <w:rPr>
          <w:color w:val="auto"/>
          <w:sz w:val="24"/>
          <w:szCs w:val="32"/>
          <w:highlight w:val="none"/>
        </w:rPr>
        <w:t>59</w:t>
      </w:r>
      <w:r>
        <w:rPr>
          <w:color w:val="auto"/>
          <w:sz w:val="24"/>
          <w:szCs w:val="32"/>
          <w:highlight w:val="none"/>
        </w:rPr>
        <w:fldChar w:fldCharType="end"/>
      </w:r>
      <w:r>
        <w:rPr>
          <w:rFonts w:hint="eastAsia" w:ascii="宋体" w:hAnsi="宋体" w:eastAsia="宋体" w:cs="宋体"/>
          <w:color w:val="auto"/>
          <w:sz w:val="24"/>
          <w:szCs w:val="112"/>
          <w:highlight w:val="none"/>
        </w:rPr>
        <w:fldChar w:fldCharType="end"/>
      </w:r>
    </w:p>
    <w:p w14:paraId="21492159">
      <w:pPr>
        <w:pStyle w:val="41"/>
        <w:tabs>
          <w:tab w:val="right" w:leader="dot" w:pos="9638"/>
        </w:tabs>
        <w:spacing w:line="480" w:lineRule="auto"/>
        <w:rPr>
          <w:color w:val="auto"/>
          <w:sz w:val="24"/>
          <w:szCs w:val="32"/>
          <w:highlight w:val="none"/>
        </w:rPr>
      </w:pPr>
      <w:r>
        <w:rPr>
          <w:rFonts w:hint="eastAsia" w:ascii="宋体" w:hAnsi="宋体" w:eastAsia="宋体" w:cs="宋体"/>
          <w:color w:val="auto"/>
          <w:sz w:val="24"/>
          <w:szCs w:val="112"/>
          <w:highlight w:val="none"/>
        </w:rPr>
        <w:fldChar w:fldCharType="begin"/>
      </w:r>
      <w:r>
        <w:rPr>
          <w:rFonts w:hint="eastAsia" w:ascii="宋体" w:hAnsi="宋体" w:eastAsia="宋体" w:cs="宋体"/>
          <w:color w:val="auto"/>
          <w:sz w:val="24"/>
          <w:szCs w:val="112"/>
          <w:highlight w:val="none"/>
        </w:rPr>
        <w:instrText xml:space="preserve"> HYPERLINK \l _Toc32697 </w:instrText>
      </w:r>
      <w:r>
        <w:rPr>
          <w:rFonts w:hint="eastAsia" w:ascii="宋体" w:hAnsi="宋体" w:eastAsia="宋体" w:cs="宋体"/>
          <w:color w:val="auto"/>
          <w:sz w:val="24"/>
          <w:szCs w:val="112"/>
          <w:highlight w:val="none"/>
        </w:rPr>
        <w:fldChar w:fldCharType="separate"/>
      </w:r>
      <w:r>
        <w:rPr>
          <w:rFonts w:hint="eastAsia" w:ascii="宋体" w:hAnsi="宋体" w:eastAsia="宋体" w:cs="宋体"/>
          <w:color w:val="auto"/>
          <w:sz w:val="24"/>
          <w:szCs w:val="22"/>
          <w:highlight w:val="none"/>
        </w:rPr>
        <w:t>第七部分  应提交的有关格式范例</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_Toc32697 \h </w:instrText>
      </w:r>
      <w:r>
        <w:rPr>
          <w:color w:val="auto"/>
          <w:sz w:val="24"/>
          <w:szCs w:val="32"/>
          <w:highlight w:val="none"/>
        </w:rPr>
        <w:fldChar w:fldCharType="separate"/>
      </w:r>
      <w:r>
        <w:rPr>
          <w:color w:val="auto"/>
          <w:sz w:val="24"/>
          <w:szCs w:val="32"/>
          <w:highlight w:val="none"/>
        </w:rPr>
        <w:t>71</w:t>
      </w:r>
      <w:r>
        <w:rPr>
          <w:color w:val="auto"/>
          <w:sz w:val="24"/>
          <w:szCs w:val="32"/>
          <w:highlight w:val="none"/>
        </w:rPr>
        <w:fldChar w:fldCharType="end"/>
      </w:r>
      <w:r>
        <w:rPr>
          <w:rFonts w:hint="eastAsia" w:ascii="宋体" w:hAnsi="宋体" w:eastAsia="宋体" w:cs="宋体"/>
          <w:color w:val="auto"/>
          <w:sz w:val="24"/>
          <w:szCs w:val="112"/>
          <w:highlight w:val="none"/>
        </w:rPr>
        <w:fldChar w:fldCharType="end"/>
      </w:r>
    </w:p>
    <w:p w14:paraId="44C8F62A">
      <w:pPr>
        <w:pStyle w:val="41"/>
        <w:tabs>
          <w:tab w:val="right" w:leader="dot" w:pos="9638"/>
        </w:tabs>
        <w:spacing w:line="480" w:lineRule="auto"/>
        <w:rPr>
          <w:color w:val="auto"/>
          <w:sz w:val="24"/>
          <w:szCs w:val="32"/>
          <w:highlight w:val="none"/>
        </w:rPr>
      </w:pPr>
      <w:r>
        <w:rPr>
          <w:rFonts w:hint="eastAsia" w:ascii="宋体" w:hAnsi="宋体" w:eastAsia="宋体" w:cs="宋体"/>
          <w:color w:val="auto"/>
          <w:sz w:val="24"/>
          <w:szCs w:val="112"/>
          <w:highlight w:val="none"/>
        </w:rPr>
        <w:fldChar w:fldCharType="begin"/>
      </w:r>
      <w:r>
        <w:rPr>
          <w:rFonts w:hint="eastAsia" w:ascii="宋体" w:hAnsi="宋体" w:eastAsia="宋体" w:cs="宋体"/>
          <w:color w:val="auto"/>
          <w:sz w:val="24"/>
          <w:szCs w:val="112"/>
          <w:highlight w:val="none"/>
        </w:rPr>
        <w:instrText xml:space="preserve"> HYPERLINK \l _Toc29391 </w:instrText>
      </w:r>
      <w:r>
        <w:rPr>
          <w:rFonts w:hint="eastAsia" w:ascii="宋体" w:hAnsi="宋体" w:eastAsia="宋体" w:cs="宋体"/>
          <w:color w:val="auto"/>
          <w:sz w:val="24"/>
          <w:szCs w:val="112"/>
          <w:highlight w:val="none"/>
        </w:rPr>
        <w:fldChar w:fldCharType="separate"/>
      </w:r>
      <w:r>
        <w:rPr>
          <w:rFonts w:hint="eastAsia" w:ascii="宋体" w:hAnsi="宋体" w:eastAsia="宋体" w:cs="宋体"/>
          <w:color w:val="auto"/>
          <w:sz w:val="24"/>
          <w:szCs w:val="44"/>
          <w:highlight w:val="none"/>
        </w:rPr>
        <w:t>第八部分  最后报价格式</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_Toc29391 \h </w:instrText>
      </w:r>
      <w:r>
        <w:rPr>
          <w:color w:val="auto"/>
          <w:sz w:val="24"/>
          <w:szCs w:val="32"/>
          <w:highlight w:val="none"/>
        </w:rPr>
        <w:fldChar w:fldCharType="separate"/>
      </w:r>
      <w:r>
        <w:rPr>
          <w:color w:val="auto"/>
          <w:sz w:val="24"/>
          <w:szCs w:val="32"/>
          <w:highlight w:val="none"/>
        </w:rPr>
        <w:t>92</w:t>
      </w:r>
      <w:r>
        <w:rPr>
          <w:color w:val="auto"/>
          <w:sz w:val="24"/>
          <w:szCs w:val="32"/>
          <w:highlight w:val="none"/>
        </w:rPr>
        <w:fldChar w:fldCharType="end"/>
      </w:r>
      <w:r>
        <w:rPr>
          <w:rFonts w:hint="eastAsia" w:ascii="宋体" w:hAnsi="宋体" w:eastAsia="宋体" w:cs="宋体"/>
          <w:color w:val="auto"/>
          <w:sz w:val="24"/>
          <w:szCs w:val="112"/>
          <w:highlight w:val="none"/>
        </w:rPr>
        <w:fldChar w:fldCharType="end"/>
      </w:r>
    </w:p>
    <w:p w14:paraId="02B23A94">
      <w:pPr>
        <w:keepNext w:val="0"/>
        <w:keepLines w:val="0"/>
        <w:pageBreakBefore w:val="0"/>
        <w:widowControl w:val="0"/>
        <w:kinsoku/>
        <w:wordWrap/>
        <w:overflowPunct/>
        <w:topLinePunct w:val="0"/>
        <w:autoSpaceDE/>
        <w:autoSpaceDN/>
        <w:bidi w:val="0"/>
        <w:adjustRightInd w:val="0"/>
        <w:snapToGrid/>
        <w:spacing w:line="480" w:lineRule="auto"/>
        <w:ind w:firstLine="549" w:firstLineChars="229"/>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112"/>
          <w:highlight w:val="none"/>
        </w:rPr>
        <w:fldChar w:fldCharType="end"/>
      </w:r>
    </w:p>
    <w:p w14:paraId="638635E2">
      <w:pPr>
        <w:spacing w:line="360" w:lineRule="auto"/>
        <w:ind w:firstLine="549" w:firstLineChars="229"/>
        <w:rPr>
          <w:rFonts w:hint="eastAsia" w:ascii="宋体" w:hAnsi="宋体" w:eastAsia="宋体" w:cs="宋体"/>
          <w:color w:val="auto"/>
          <w:sz w:val="24"/>
          <w:highlight w:val="none"/>
        </w:rPr>
      </w:pPr>
    </w:p>
    <w:p w14:paraId="7D726886">
      <w:pPr>
        <w:spacing w:line="360" w:lineRule="auto"/>
        <w:ind w:firstLine="549" w:firstLineChars="229"/>
        <w:rPr>
          <w:rFonts w:hint="eastAsia" w:ascii="宋体" w:hAnsi="宋体" w:eastAsia="宋体" w:cs="宋体"/>
          <w:color w:val="auto"/>
          <w:sz w:val="24"/>
          <w:highlight w:val="none"/>
        </w:rPr>
      </w:pPr>
    </w:p>
    <w:p w14:paraId="59EAAD21">
      <w:pPr>
        <w:spacing w:line="360" w:lineRule="auto"/>
        <w:ind w:firstLine="549" w:firstLineChars="229"/>
        <w:rPr>
          <w:rFonts w:hint="eastAsia" w:ascii="宋体" w:hAnsi="宋体" w:eastAsia="宋体" w:cs="宋体"/>
          <w:color w:val="auto"/>
          <w:sz w:val="24"/>
          <w:highlight w:val="none"/>
        </w:rPr>
      </w:pPr>
    </w:p>
    <w:p w14:paraId="61585F74">
      <w:pPr>
        <w:spacing w:line="360" w:lineRule="auto"/>
        <w:ind w:firstLine="549" w:firstLineChars="229"/>
        <w:rPr>
          <w:rFonts w:hint="eastAsia" w:ascii="宋体" w:hAnsi="宋体" w:eastAsia="宋体" w:cs="宋体"/>
          <w:color w:val="auto"/>
          <w:sz w:val="24"/>
          <w:highlight w:val="none"/>
        </w:rPr>
      </w:pPr>
    </w:p>
    <w:p w14:paraId="4E8AC417">
      <w:pPr>
        <w:spacing w:line="360" w:lineRule="auto"/>
        <w:ind w:firstLine="549" w:firstLineChars="229"/>
        <w:rPr>
          <w:rFonts w:hint="eastAsia" w:ascii="宋体" w:hAnsi="宋体" w:eastAsia="宋体" w:cs="宋体"/>
          <w:color w:val="auto"/>
          <w:sz w:val="24"/>
          <w:highlight w:val="none"/>
        </w:rPr>
      </w:pPr>
    </w:p>
    <w:p w14:paraId="67F151D4">
      <w:pPr>
        <w:spacing w:line="360" w:lineRule="auto"/>
        <w:ind w:firstLine="549" w:firstLineChars="229"/>
        <w:rPr>
          <w:rFonts w:hint="eastAsia" w:ascii="宋体" w:hAnsi="宋体" w:eastAsia="宋体" w:cs="宋体"/>
          <w:color w:val="auto"/>
          <w:sz w:val="24"/>
          <w:highlight w:val="none"/>
        </w:rPr>
      </w:pPr>
    </w:p>
    <w:p w14:paraId="09DBED58">
      <w:pPr>
        <w:spacing w:line="360" w:lineRule="auto"/>
        <w:ind w:firstLine="549" w:firstLineChars="229"/>
        <w:rPr>
          <w:rFonts w:hint="eastAsia" w:ascii="宋体" w:hAnsi="宋体" w:eastAsia="宋体" w:cs="宋体"/>
          <w:color w:val="auto"/>
          <w:sz w:val="24"/>
          <w:highlight w:val="none"/>
        </w:rPr>
      </w:pPr>
    </w:p>
    <w:p w14:paraId="0CCA9E8E">
      <w:pPr>
        <w:spacing w:line="360" w:lineRule="auto"/>
        <w:ind w:firstLine="549" w:firstLineChars="229"/>
        <w:rPr>
          <w:rFonts w:hint="eastAsia" w:ascii="宋体" w:hAnsi="宋体" w:eastAsia="宋体" w:cs="宋体"/>
          <w:color w:val="auto"/>
          <w:sz w:val="24"/>
          <w:highlight w:val="none"/>
        </w:rPr>
      </w:pPr>
    </w:p>
    <w:p w14:paraId="34C423B3">
      <w:pPr>
        <w:spacing w:line="360" w:lineRule="auto"/>
        <w:ind w:firstLine="549" w:firstLineChars="229"/>
        <w:rPr>
          <w:rFonts w:hint="eastAsia" w:ascii="宋体" w:hAnsi="宋体" w:eastAsia="宋体" w:cs="宋体"/>
          <w:color w:val="auto"/>
          <w:sz w:val="24"/>
          <w:highlight w:val="none"/>
        </w:rPr>
      </w:pPr>
    </w:p>
    <w:p w14:paraId="361A6E71">
      <w:pPr>
        <w:spacing w:line="360" w:lineRule="auto"/>
        <w:ind w:firstLine="549" w:firstLineChars="229"/>
        <w:rPr>
          <w:rFonts w:hint="eastAsia" w:ascii="宋体" w:hAnsi="宋体" w:eastAsia="宋体" w:cs="宋体"/>
          <w:color w:val="auto"/>
          <w:sz w:val="24"/>
          <w:highlight w:val="none"/>
        </w:rPr>
      </w:pPr>
    </w:p>
    <w:p w14:paraId="5836E198">
      <w:pPr>
        <w:spacing w:line="360" w:lineRule="auto"/>
        <w:ind w:firstLine="549" w:firstLineChars="229"/>
        <w:rPr>
          <w:rFonts w:hint="eastAsia" w:ascii="宋体" w:hAnsi="宋体" w:eastAsia="宋体" w:cs="宋体"/>
          <w:color w:val="auto"/>
          <w:sz w:val="24"/>
          <w:highlight w:val="none"/>
        </w:rPr>
      </w:pPr>
    </w:p>
    <w:p w14:paraId="60C35CEA">
      <w:pPr>
        <w:spacing w:line="360" w:lineRule="auto"/>
        <w:ind w:firstLine="549" w:firstLineChars="229"/>
        <w:rPr>
          <w:rFonts w:hint="eastAsia" w:ascii="宋体" w:hAnsi="宋体" w:eastAsia="宋体" w:cs="宋体"/>
          <w:color w:val="auto"/>
          <w:sz w:val="24"/>
          <w:highlight w:val="none"/>
        </w:rPr>
      </w:pPr>
    </w:p>
    <w:p w14:paraId="07D6CD9F">
      <w:pPr>
        <w:spacing w:line="360" w:lineRule="auto"/>
        <w:rPr>
          <w:rFonts w:hint="eastAsia" w:ascii="宋体" w:hAnsi="宋体" w:eastAsia="宋体" w:cs="宋体"/>
          <w:color w:val="auto"/>
          <w:sz w:val="24"/>
          <w:highlight w:val="none"/>
        </w:rPr>
      </w:pPr>
    </w:p>
    <w:bookmarkEnd w:id="5"/>
    <w:p w14:paraId="29911F74">
      <w:pPr>
        <w:adjustRightInd/>
        <w:spacing w:line="360" w:lineRule="auto"/>
        <w:jc w:val="center"/>
        <w:outlineLvl w:val="0"/>
        <w:rPr>
          <w:rFonts w:hint="eastAsia" w:ascii="宋体" w:hAnsi="宋体" w:eastAsia="宋体" w:cs="宋体"/>
          <w:b/>
          <w:color w:val="auto"/>
          <w:sz w:val="36"/>
          <w:szCs w:val="20"/>
          <w:highlight w:val="none"/>
        </w:rPr>
        <w:sectPr>
          <w:pgSz w:w="11906" w:h="16838"/>
          <w:pgMar w:top="1440" w:right="1134" w:bottom="1440" w:left="1134" w:header="851" w:footer="992" w:gutter="0"/>
          <w:cols w:space="425" w:num="1"/>
          <w:docGrid w:type="lines" w:linePitch="312" w:charSpace="0"/>
        </w:sectPr>
      </w:pPr>
      <w:bookmarkStart w:id="6" w:name="_Hlt74729822"/>
      <w:bookmarkEnd w:id="6"/>
      <w:bookmarkStart w:id="7" w:name="_Hlt74649545"/>
      <w:bookmarkEnd w:id="7"/>
      <w:bookmarkStart w:id="8" w:name="_Hlt74728647"/>
      <w:bookmarkEnd w:id="8"/>
      <w:bookmarkStart w:id="9" w:name="_Hlt74707423"/>
      <w:bookmarkEnd w:id="9"/>
      <w:bookmarkStart w:id="10" w:name="第二部分"/>
      <w:bookmarkStart w:id="11" w:name="_Toc91899870"/>
      <w:bookmarkStart w:id="12" w:name="_Toc91899871"/>
    </w:p>
    <w:p w14:paraId="60D14F82">
      <w:pPr>
        <w:adjustRightInd/>
        <w:spacing w:line="360" w:lineRule="auto"/>
        <w:jc w:val="center"/>
        <w:outlineLvl w:val="0"/>
        <w:rPr>
          <w:rFonts w:hint="eastAsia" w:ascii="宋体" w:hAnsi="宋体" w:eastAsia="宋体" w:cs="宋体"/>
          <w:b/>
          <w:color w:val="auto"/>
          <w:sz w:val="36"/>
          <w:szCs w:val="20"/>
          <w:highlight w:val="none"/>
        </w:rPr>
      </w:pPr>
      <w:bookmarkStart w:id="13" w:name="_Toc25610"/>
      <w:r>
        <w:rPr>
          <w:rFonts w:hint="eastAsia" w:ascii="宋体" w:hAnsi="宋体" w:eastAsia="宋体" w:cs="宋体"/>
          <w:b/>
          <w:color w:val="auto"/>
          <w:sz w:val="36"/>
          <w:szCs w:val="20"/>
          <w:highlight w:val="none"/>
        </w:rPr>
        <w:t>第一部分  邀请供应商</w:t>
      </w:r>
      <w:bookmarkEnd w:id="13"/>
    </w:p>
    <w:p w14:paraId="18DB2552">
      <w:pPr>
        <w:adjustRightInd/>
        <w:spacing w:line="360" w:lineRule="auto"/>
        <w:jc w:val="center"/>
        <w:rPr>
          <w:rFonts w:hint="eastAsia" w:ascii="宋体" w:hAnsi="宋体" w:eastAsia="宋体" w:cs="宋体"/>
          <w:color w:val="auto"/>
          <w:sz w:val="24"/>
          <w:highlight w:val="none"/>
        </w:rPr>
      </w:pPr>
      <w:r>
        <w:rPr>
          <w:rFonts w:hint="eastAsia" w:ascii="宋体" w:hAnsi="宋体" w:eastAsia="宋体" w:cs="宋体"/>
          <w:b/>
          <w:color w:val="auto"/>
          <w:sz w:val="36"/>
          <w:szCs w:val="20"/>
          <w:highlight w:val="none"/>
        </w:rPr>
        <w:t>竞争性磋商邀请公告</w:t>
      </w:r>
    </w:p>
    <w:p w14:paraId="2DE93D15">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val="0"/>
        <w:snapToGrid/>
        <w:spacing w:line="360" w:lineRule="auto"/>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项目概况</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u w:val="single"/>
          <w:lang w:eastAsia="zh-CN"/>
        </w:rPr>
        <w:t>北海市体育运动学校2026年食堂配送服务采购</w:t>
      </w:r>
      <w:r>
        <w:rPr>
          <w:rFonts w:hint="eastAsia" w:ascii="宋体" w:hAnsi="宋体" w:eastAsia="宋体" w:cs="宋体"/>
          <w:color w:val="auto"/>
          <w:sz w:val="24"/>
          <w:highlight w:val="none"/>
        </w:rPr>
        <w:t>项目的潜在供应商应在广西政府采购云平台（https</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//www.gcy.zfcg.gxzf.gov.cn/）获取采购文件，并于</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bCs/>
          <w:color w:val="auto"/>
          <w:sz w:val="24"/>
          <w:highlight w:val="none"/>
          <w:u w:val="single"/>
        </w:rPr>
        <w:t>年</w:t>
      </w:r>
      <w:r>
        <w:rPr>
          <w:rFonts w:hint="eastAsia" w:ascii="宋体" w:hAnsi="宋体" w:cs="宋体"/>
          <w:bCs/>
          <w:color w:val="auto"/>
          <w:sz w:val="24"/>
          <w:highlight w:val="none"/>
          <w:u w:val="single"/>
          <w:lang w:val="en-US" w:eastAsia="zh-CN"/>
        </w:rPr>
        <w:t>3</w:t>
      </w:r>
      <w:r>
        <w:rPr>
          <w:rFonts w:hint="eastAsia" w:ascii="宋体" w:hAnsi="宋体" w:eastAsia="宋体" w:cs="宋体"/>
          <w:bCs/>
          <w:color w:val="auto"/>
          <w:sz w:val="24"/>
          <w:highlight w:val="none"/>
          <w:u w:val="single"/>
        </w:rPr>
        <w:t>月</w:t>
      </w:r>
      <w:r>
        <w:rPr>
          <w:rFonts w:hint="eastAsia" w:ascii="宋体" w:hAnsi="宋体" w:cs="宋体"/>
          <w:bCs/>
          <w:color w:val="auto"/>
          <w:sz w:val="24"/>
          <w:highlight w:val="none"/>
          <w:u w:val="single"/>
          <w:lang w:val="en-US" w:eastAsia="zh-CN"/>
        </w:rPr>
        <w:t>3</w:t>
      </w:r>
      <w:r>
        <w:rPr>
          <w:rFonts w:hint="eastAsia" w:ascii="宋体" w:hAnsi="宋体" w:eastAsia="宋体" w:cs="宋体"/>
          <w:bCs/>
          <w:color w:val="auto"/>
          <w:sz w:val="24"/>
          <w:highlight w:val="none"/>
          <w:u w:val="single"/>
        </w:rPr>
        <w:t>日</w:t>
      </w:r>
      <w:r>
        <w:rPr>
          <w:rFonts w:hint="eastAsia" w:ascii="宋体" w:hAnsi="宋体" w:eastAsia="宋体" w:cs="宋体"/>
          <w:bCs/>
          <w:color w:val="auto"/>
          <w:sz w:val="24"/>
          <w:highlight w:val="none"/>
          <w:u w:val="single"/>
          <w:lang w:val="en-US" w:eastAsia="zh-CN"/>
        </w:rPr>
        <w:t>09</w:t>
      </w:r>
      <w:r>
        <w:rPr>
          <w:rFonts w:hint="eastAsia" w:ascii="宋体" w:hAnsi="宋体" w:eastAsia="宋体" w:cs="宋体"/>
          <w:bCs/>
          <w:color w:val="auto"/>
          <w:sz w:val="24"/>
          <w:highlight w:val="none"/>
          <w:u w:val="single"/>
        </w:rPr>
        <w:t>点</w:t>
      </w:r>
      <w:r>
        <w:rPr>
          <w:rFonts w:hint="eastAsia" w:ascii="宋体" w:hAnsi="宋体" w:eastAsia="宋体" w:cs="宋体"/>
          <w:bCs/>
          <w:color w:val="auto"/>
          <w:sz w:val="24"/>
          <w:highlight w:val="none"/>
          <w:u w:val="single"/>
          <w:lang w:val="en-US" w:eastAsia="zh-CN"/>
        </w:rPr>
        <w:t>00</w:t>
      </w:r>
      <w:r>
        <w:rPr>
          <w:rFonts w:hint="eastAsia" w:ascii="宋体" w:hAnsi="宋体" w:eastAsia="宋体" w:cs="宋体"/>
          <w:bCs/>
          <w:color w:val="auto"/>
          <w:sz w:val="24"/>
          <w:highlight w:val="none"/>
          <w:u w:val="single"/>
        </w:rPr>
        <w:t>分00秒</w:t>
      </w:r>
      <w:r>
        <w:rPr>
          <w:rFonts w:hint="eastAsia" w:ascii="宋体" w:hAnsi="宋体" w:eastAsia="宋体" w:cs="宋体"/>
          <w:bCs/>
          <w:color w:val="auto"/>
          <w:sz w:val="24"/>
          <w:highlight w:val="none"/>
        </w:rPr>
        <w:t>（北京时间）前提交响应文件</w:t>
      </w:r>
      <w:r>
        <w:rPr>
          <w:rFonts w:hint="eastAsia" w:ascii="宋体" w:hAnsi="宋体" w:eastAsia="宋体" w:cs="宋体"/>
          <w:color w:val="auto"/>
          <w:sz w:val="24"/>
          <w:highlight w:val="none"/>
        </w:rPr>
        <w:t>。</w:t>
      </w:r>
    </w:p>
    <w:p w14:paraId="0F78A6F9">
      <w:pPr>
        <w:spacing w:line="360" w:lineRule="auto"/>
        <w:rPr>
          <w:rFonts w:hint="eastAsia" w:ascii="宋体" w:hAnsi="宋体" w:eastAsia="宋体" w:cs="宋体"/>
          <w:color w:val="auto"/>
          <w:sz w:val="24"/>
          <w:highlight w:val="none"/>
        </w:rPr>
      </w:pPr>
    </w:p>
    <w:p w14:paraId="410D24CE">
      <w:pPr>
        <w:pStyle w:val="633"/>
        <w:ind w:firstLine="0"/>
        <w:rPr>
          <w:rFonts w:hint="eastAsia" w:ascii="宋体" w:hAnsi="宋体" w:eastAsia="宋体" w:cs="宋体"/>
          <w:b/>
          <w:color w:val="auto"/>
          <w:highlight w:val="none"/>
        </w:rPr>
      </w:pPr>
      <w:bookmarkStart w:id="14" w:name="_Toc28359089"/>
      <w:bookmarkStart w:id="15" w:name="_Toc35393798"/>
      <w:bookmarkStart w:id="16" w:name="_Toc35393629"/>
      <w:bookmarkStart w:id="17" w:name="_Toc28359012"/>
      <w:r>
        <w:rPr>
          <w:rFonts w:hint="eastAsia" w:ascii="宋体" w:hAnsi="宋体" w:eastAsia="宋体" w:cs="宋体"/>
          <w:b/>
          <w:color w:val="auto"/>
          <w:highlight w:val="none"/>
        </w:rPr>
        <w:t>一、项目基本情况</w:t>
      </w:r>
      <w:bookmarkEnd w:id="14"/>
      <w:bookmarkEnd w:id="15"/>
      <w:bookmarkEnd w:id="16"/>
      <w:bookmarkEnd w:id="17"/>
    </w:p>
    <w:p w14:paraId="12E063F2">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lang w:eastAsia="zh-CN"/>
        </w:rPr>
        <w:t>：BHZC2026-C3-990038-ZJZX</w:t>
      </w:r>
      <w:r>
        <w:rPr>
          <w:rFonts w:hint="eastAsia" w:ascii="宋体" w:hAnsi="宋体" w:cs="宋体"/>
          <w:color w:val="auto"/>
          <w:sz w:val="24"/>
          <w:highlight w:val="none"/>
          <w:lang w:val="en-US" w:eastAsia="zh-CN"/>
        </w:rPr>
        <w:t xml:space="preserve">  </w:t>
      </w:r>
    </w:p>
    <w:p w14:paraId="137202A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采购计划编号：BHZC2026-C3-00072</w:t>
      </w:r>
    </w:p>
    <w:p w14:paraId="4D374FD3">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eastAsia="zh-CN"/>
        </w:rPr>
        <w:t>北海市体育运动学校2026年食堂配送服务采购</w:t>
      </w:r>
    </w:p>
    <w:p w14:paraId="2104362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采购方式</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竞争性磋商</w:t>
      </w:r>
    </w:p>
    <w:p w14:paraId="4B45816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预算金额</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人民币230万元。</w:t>
      </w:r>
      <w:r>
        <w:rPr>
          <w:rFonts w:hint="eastAsia" w:ascii="宋体" w:hAnsi="宋体" w:eastAsia="宋体" w:cs="宋体"/>
          <w:color w:val="auto"/>
          <w:sz w:val="24"/>
          <w:highlight w:val="none"/>
        </w:rPr>
        <w:t xml:space="preserve"> </w:t>
      </w:r>
    </w:p>
    <w:p w14:paraId="11771CB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最高限价</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人民币230万元。</w:t>
      </w:r>
      <w:r>
        <w:rPr>
          <w:rFonts w:hint="eastAsia" w:ascii="宋体" w:hAnsi="宋体" w:eastAsia="宋体" w:cs="宋体"/>
          <w:color w:val="auto"/>
          <w:sz w:val="24"/>
          <w:highlight w:val="none"/>
        </w:rPr>
        <w:t xml:space="preserve"> </w:t>
      </w:r>
    </w:p>
    <w:p w14:paraId="635E5F61">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采购需求</w:t>
      </w:r>
      <w:r>
        <w:rPr>
          <w:rFonts w:hint="eastAsia" w:ascii="宋体" w:hAnsi="宋体" w:eastAsia="宋体" w:cs="宋体"/>
          <w:color w:val="auto"/>
          <w:sz w:val="24"/>
          <w:highlight w:val="none"/>
          <w:lang w:eastAsia="zh-CN"/>
        </w:rPr>
        <w:t>：</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2062"/>
        <w:gridCol w:w="1541"/>
        <w:gridCol w:w="4246"/>
      </w:tblGrid>
      <w:tr w14:paraId="25798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46" w:type="dxa"/>
            <w:vAlign w:val="center"/>
          </w:tcPr>
          <w:p w14:paraId="50916E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val="en-US" w:eastAsia="zh-CN"/>
              </w:rPr>
              <w:t>序号</w:t>
            </w:r>
          </w:p>
        </w:tc>
        <w:tc>
          <w:tcPr>
            <w:tcW w:w="2062" w:type="dxa"/>
            <w:vAlign w:val="center"/>
          </w:tcPr>
          <w:p w14:paraId="5A46DF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标的名称</w:t>
            </w:r>
          </w:p>
        </w:tc>
        <w:tc>
          <w:tcPr>
            <w:tcW w:w="1541" w:type="dxa"/>
            <w:vAlign w:val="center"/>
          </w:tcPr>
          <w:p w14:paraId="426026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数量及单位</w:t>
            </w:r>
          </w:p>
        </w:tc>
        <w:tc>
          <w:tcPr>
            <w:tcW w:w="4246" w:type="dxa"/>
            <w:vAlign w:val="center"/>
          </w:tcPr>
          <w:p w14:paraId="6A1FBD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简要技术需求或者服务要求</w:t>
            </w:r>
          </w:p>
        </w:tc>
      </w:tr>
      <w:tr w14:paraId="6F19F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646" w:type="dxa"/>
            <w:vAlign w:val="center"/>
          </w:tcPr>
          <w:p w14:paraId="310C8A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62" w:type="dxa"/>
            <w:vAlign w:val="center"/>
          </w:tcPr>
          <w:p w14:paraId="4BC176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eastAsia="zh-CN"/>
              </w:rPr>
              <w:t>北海市体育运动学校2026年食堂配送服务采购</w:t>
            </w:r>
          </w:p>
        </w:tc>
        <w:tc>
          <w:tcPr>
            <w:tcW w:w="1541" w:type="dxa"/>
            <w:vAlign w:val="center"/>
          </w:tcPr>
          <w:p w14:paraId="765E07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1项</w:t>
            </w:r>
          </w:p>
        </w:tc>
        <w:tc>
          <w:tcPr>
            <w:tcW w:w="4246" w:type="dxa"/>
            <w:vAlign w:val="center"/>
          </w:tcPr>
          <w:p w14:paraId="50DA108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eastAsia="zh-CN"/>
              </w:rPr>
              <w:t>北海市体育运动学校2026年食堂配送服务采购</w:t>
            </w:r>
            <w:r>
              <w:rPr>
                <w:rFonts w:hint="eastAsia" w:ascii="宋体" w:hAnsi="宋体" w:eastAsia="宋体" w:cs="宋体"/>
                <w:color w:val="auto"/>
                <w:sz w:val="24"/>
                <w:szCs w:val="24"/>
                <w:highlight w:val="none"/>
                <w:lang w:val="en-US" w:eastAsia="zh-CN"/>
              </w:rPr>
              <w:t>；如需进一步了解详细内容，详见采购项目需求。</w:t>
            </w:r>
            <w:r>
              <w:rPr>
                <w:rFonts w:hint="eastAsia" w:ascii="宋体" w:hAnsi="宋体" w:eastAsia="宋体" w:cs="宋体"/>
                <w:color w:val="auto"/>
                <w:sz w:val="24"/>
                <w:szCs w:val="24"/>
                <w:highlight w:val="none"/>
              </w:rPr>
              <w:t xml:space="preserve">  </w:t>
            </w:r>
          </w:p>
        </w:tc>
      </w:tr>
    </w:tbl>
    <w:p w14:paraId="1E3C33A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合同履行期限</w:t>
      </w:r>
      <w:r>
        <w:rPr>
          <w:rFonts w:hint="eastAsia" w:ascii="宋体" w:hAnsi="宋体" w:eastAsia="宋体" w:cs="宋体"/>
          <w:color w:val="auto"/>
          <w:sz w:val="24"/>
          <w:highlight w:val="none"/>
          <w:lang w:eastAsia="zh-CN"/>
        </w:rPr>
        <w:t>：自合同签订之日起一年，具体以实际签订时间为准。</w:t>
      </w:r>
    </w:p>
    <w:p w14:paraId="49B81DE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本项目是否接受联合体磋商</w:t>
      </w:r>
      <w:r>
        <w:rPr>
          <w:rFonts w:hint="eastAsia" w:ascii="宋体" w:hAnsi="宋体" w:eastAsia="宋体" w:cs="宋体"/>
          <w:color w:val="auto"/>
          <w:sz w:val="24"/>
          <w:highlight w:val="none"/>
          <w:lang w:eastAsia="zh-CN"/>
        </w:rPr>
        <w:t>：</w:t>
      </w:r>
      <w:sdt>
        <w:sdtPr>
          <w:rPr>
            <w:rFonts w:hint="eastAsia" w:ascii="宋体" w:hAnsi="宋体" w:eastAsia="宋体" w:cs="宋体"/>
            <w:color w:val="auto"/>
            <w:sz w:val="24"/>
            <w:highlight w:val="none"/>
          </w:rPr>
          <w:id w:val="2035453831"/>
          <w14:checkbox>
            <w14:checked w14:val="0"/>
            <w14:checkedState w14:val="00FE" w14:font="Wingdings"/>
            <w14:uncheckedState w14:val="2610" w14:font="MS Gothic"/>
          </w14:checkbox>
        </w:sdtPr>
        <w:sdtEndPr>
          <w:rPr>
            <w:rFonts w:hint="eastAsia" w:ascii="宋体" w:hAnsi="宋体" w:eastAsia="宋体" w:cs="宋体"/>
            <w:color w:val="auto"/>
            <w:sz w:val="24"/>
            <w:highlight w:val="none"/>
          </w:rPr>
        </w:sdtEndPr>
        <w:sdtContent>
          <w:r>
            <w:rPr>
              <w:rFonts w:hint="eastAsia" w:ascii="宋体" w:hAnsi="宋体" w:eastAsia="宋体" w:cs="宋体"/>
              <w:color w:val="auto"/>
              <w:sz w:val="24"/>
              <w:highlight w:val="none"/>
            </w:rPr>
            <w:t>☐</w:t>
          </w:r>
        </w:sdtContent>
      </w:sdt>
      <w:r>
        <w:rPr>
          <w:rFonts w:hint="eastAsia" w:ascii="宋体" w:hAnsi="宋体" w:eastAsia="宋体" w:cs="宋体"/>
          <w:color w:val="auto"/>
          <w:sz w:val="24"/>
          <w:highlight w:val="none"/>
        </w:rPr>
        <w:t>是，</w:t>
      </w:r>
      <w:sdt>
        <w:sdtPr>
          <w:rPr>
            <w:rFonts w:hint="eastAsia" w:ascii="宋体" w:hAnsi="宋体" w:eastAsia="宋体" w:cs="宋体"/>
            <w:color w:val="auto"/>
            <w:sz w:val="24"/>
            <w:highlight w:val="none"/>
          </w:rPr>
          <w:id w:val="-1765526721"/>
          <w14:checkbox>
            <w14:checked w14:val="1"/>
            <w14:checkedState w14:val="00FE" w14:font="Wingdings"/>
            <w14:uncheckedState w14:val="2610" w14:font="MS Gothic"/>
          </w14:checkbox>
        </w:sdtPr>
        <w:sdtEndPr>
          <w:rPr>
            <w:rFonts w:hint="eastAsia" w:ascii="宋体" w:hAnsi="宋体" w:eastAsia="宋体" w:cs="宋体"/>
            <w:color w:val="auto"/>
            <w:sz w:val="24"/>
            <w:highlight w:val="none"/>
          </w:rPr>
        </w:sdtEndPr>
        <w:sdtContent>
          <w:r>
            <w:rPr>
              <w:rFonts w:hint="eastAsia" w:ascii="Wingdings" w:hAnsi="Wingdings" w:eastAsia="宋体" w:cs="宋体"/>
              <w:color w:val="auto"/>
              <w:kern w:val="2"/>
              <w:sz w:val="24"/>
              <w:szCs w:val="24"/>
              <w:highlight w:val="none"/>
              <w:lang w:val="en-US" w:eastAsia="zh-CN" w:bidi="ar-SA"/>
            </w:rPr>
            <w:t>þ</w:t>
          </w:r>
        </w:sdtContent>
      </w:sdt>
      <w:r>
        <w:rPr>
          <w:rFonts w:hint="eastAsia" w:ascii="宋体" w:hAnsi="宋体" w:eastAsia="宋体" w:cs="宋体"/>
          <w:color w:val="auto"/>
          <w:sz w:val="24"/>
          <w:highlight w:val="none"/>
        </w:rPr>
        <w:t>否。</w:t>
      </w:r>
    </w:p>
    <w:p w14:paraId="4827C2A0">
      <w:pPr>
        <w:pStyle w:val="633"/>
        <w:ind w:firstLine="0"/>
        <w:rPr>
          <w:rFonts w:hint="eastAsia" w:ascii="宋体" w:hAnsi="宋体" w:eastAsia="宋体" w:cs="宋体"/>
          <w:b/>
          <w:color w:val="auto"/>
          <w:highlight w:val="none"/>
          <w:lang w:eastAsia="zh-CN"/>
        </w:rPr>
      </w:pPr>
      <w:bookmarkStart w:id="18" w:name="_Toc28359013"/>
      <w:bookmarkStart w:id="19" w:name="_Toc35393799"/>
      <w:bookmarkStart w:id="20" w:name="_Toc35393630"/>
      <w:bookmarkStart w:id="21" w:name="_Toc28359090"/>
      <w:r>
        <w:rPr>
          <w:rFonts w:hint="eastAsia" w:ascii="宋体" w:hAnsi="宋体" w:eastAsia="宋体" w:cs="宋体"/>
          <w:b/>
          <w:color w:val="auto"/>
          <w:highlight w:val="none"/>
        </w:rPr>
        <w:t>二、申请人的资格要求</w:t>
      </w:r>
      <w:bookmarkEnd w:id="18"/>
      <w:bookmarkEnd w:id="19"/>
      <w:bookmarkEnd w:id="20"/>
      <w:bookmarkEnd w:id="21"/>
      <w:r>
        <w:rPr>
          <w:rFonts w:hint="eastAsia" w:ascii="宋体" w:hAnsi="宋体" w:eastAsia="宋体" w:cs="宋体"/>
          <w:b/>
          <w:color w:val="auto"/>
          <w:highlight w:val="none"/>
          <w:lang w:eastAsia="zh-CN"/>
        </w:rPr>
        <w:t>：</w:t>
      </w:r>
    </w:p>
    <w:p w14:paraId="426FFA04">
      <w:pPr>
        <w:spacing w:line="360" w:lineRule="auto"/>
        <w:ind w:firstLine="540"/>
        <w:rPr>
          <w:rFonts w:hint="eastAsia" w:ascii="宋体" w:hAnsi="宋体" w:eastAsia="宋体" w:cs="宋体"/>
          <w:color w:val="auto"/>
          <w:sz w:val="24"/>
          <w:highlight w:val="none"/>
        </w:rPr>
      </w:pPr>
      <w:r>
        <w:rPr>
          <w:rFonts w:hint="eastAsia" w:ascii="宋体" w:hAnsi="宋体" w:eastAsia="宋体" w:cs="宋体"/>
          <w:color w:val="auto"/>
          <w:sz w:val="24"/>
          <w:highlight w:val="none"/>
        </w:rPr>
        <w:t>1.满足《中华人民共和国政府采购法》第二十二条规定；</w:t>
      </w:r>
    </w:p>
    <w:p w14:paraId="2974B02C">
      <w:pPr>
        <w:spacing w:line="360" w:lineRule="auto"/>
        <w:ind w:firstLine="54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.落实政府采购政策需满足的资格要求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eastAsia="zh-CN"/>
        </w:rPr>
        <w:t>本项目属于专门面向</w:t>
      </w:r>
      <w:r>
        <w:rPr>
          <w:rFonts w:hint="eastAsia" w:ascii="宋体" w:hAnsi="宋体" w:cs="宋体"/>
          <w:color w:val="auto"/>
          <w:sz w:val="24"/>
          <w:highlight w:val="none"/>
          <w:lang w:val="en-US" w:eastAsia="zh-CN"/>
        </w:rPr>
        <w:t>小微</w:t>
      </w:r>
      <w:r>
        <w:rPr>
          <w:rFonts w:hint="eastAsia" w:ascii="宋体" w:hAnsi="宋体" w:eastAsia="宋体" w:cs="宋体"/>
          <w:color w:val="auto"/>
          <w:sz w:val="24"/>
          <w:highlight w:val="none"/>
          <w:lang w:eastAsia="zh-CN"/>
        </w:rPr>
        <w:t>企业采购的项目</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磋商供应商为</w:t>
      </w:r>
      <w:r>
        <w:rPr>
          <w:rFonts w:hint="eastAsia" w:ascii="宋体" w:hAnsi="宋体" w:cs="宋体"/>
          <w:color w:val="auto"/>
          <w:sz w:val="24"/>
          <w:highlight w:val="none"/>
          <w:lang w:val="en-US" w:eastAsia="zh-CN"/>
        </w:rPr>
        <w:t>小微</w:t>
      </w:r>
      <w:r>
        <w:rPr>
          <w:rFonts w:hint="eastAsia" w:ascii="宋体" w:hAnsi="宋体" w:eastAsia="宋体" w:cs="宋体"/>
          <w:color w:val="auto"/>
          <w:sz w:val="24"/>
          <w:highlight w:val="none"/>
          <w:lang w:eastAsia="zh-CN"/>
        </w:rPr>
        <w:t>企业或残疾人福利性单位或监狱企业；</w:t>
      </w:r>
    </w:p>
    <w:p w14:paraId="25514CE4">
      <w:pPr>
        <w:spacing w:line="360" w:lineRule="auto"/>
        <w:ind w:firstLine="5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.本项目的特定资格要求</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eastAsia="zh-CN"/>
        </w:rPr>
        <w:t>具备食品经营许可证或者食品生产许可证（仅销售自己生产的食品）</w:t>
      </w:r>
      <w:r>
        <w:rPr>
          <w:rFonts w:hint="eastAsia" w:ascii="宋体" w:hAnsi="宋体" w:eastAsia="宋体" w:cs="宋体"/>
          <w:color w:val="auto"/>
          <w:sz w:val="24"/>
          <w:highlight w:val="none"/>
        </w:rPr>
        <w:t>。</w:t>
      </w:r>
    </w:p>
    <w:p w14:paraId="464C12B5">
      <w:pPr>
        <w:pStyle w:val="633"/>
        <w:ind w:firstLine="0"/>
        <w:rPr>
          <w:rFonts w:hint="eastAsia" w:ascii="宋体" w:hAnsi="宋体" w:eastAsia="宋体" w:cs="宋体"/>
          <w:b/>
          <w:color w:val="auto"/>
          <w:highlight w:val="none"/>
        </w:rPr>
      </w:pPr>
      <w:bookmarkStart w:id="22" w:name="_Toc28359091"/>
      <w:bookmarkStart w:id="23" w:name="_Toc35393800"/>
      <w:bookmarkStart w:id="24" w:name="_Toc28359014"/>
      <w:bookmarkStart w:id="25" w:name="_Toc35393631"/>
      <w:r>
        <w:rPr>
          <w:rFonts w:hint="eastAsia" w:ascii="宋体" w:hAnsi="宋体" w:eastAsia="宋体" w:cs="宋体"/>
          <w:b/>
          <w:color w:val="auto"/>
          <w:highlight w:val="none"/>
        </w:rPr>
        <w:t>三、获取（下载）采购文件</w:t>
      </w:r>
      <w:bookmarkEnd w:id="22"/>
      <w:bookmarkEnd w:id="23"/>
      <w:bookmarkEnd w:id="24"/>
      <w:bookmarkEnd w:id="25"/>
    </w:p>
    <w:p w14:paraId="5345320B">
      <w:pPr>
        <w:spacing w:line="360" w:lineRule="auto"/>
        <w:ind w:firstLine="540"/>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日至202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26</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每天上午00</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00至12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00 ，下午12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00至23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59（北京时间，法定节假日除外）；</w:t>
      </w:r>
    </w:p>
    <w:p w14:paraId="619D2836">
      <w:pPr>
        <w:keepNext w:val="0"/>
        <w:keepLines w:val="0"/>
        <w:pageBreakBefore w:val="0"/>
        <w:widowControl w:val="0"/>
        <w:kinsoku/>
        <w:wordWrap w:val="0"/>
        <w:overflowPunct/>
        <w:topLinePunct w:val="0"/>
        <w:autoSpaceDE/>
        <w:autoSpaceDN/>
        <w:bidi w:val="0"/>
        <w:adjustRightInd w:val="0"/>
        <w:snapToGrid/>
        <w:spacing w:line="360" w:lineRule="auto"/>
        <w:ind w:firstLine="539"/>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4"/>
          <w:highlight w:val="none"/>
        </w:rPr>
        <w:t>地点（网址）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广西政府采购云平台（https</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//www.gcy.zfcg.gxzf.gov.cn/）</w:t>
      </w:r>
    </w:p>
    <w:p w14:paraId="78DFC3AE">
      <w:pPr>
        <w:keepNext w:val="0"/>
        <w:keepLines w:val="0"/>
        <w:pageBreakBefore w:val="0"/>
        <w:widowControl w:val="0"/>
        <w:kinsoku/>
        <w:wordWrap w:val="0"/>
        <w:overflowPunct/>
        <w:topLinePunct w:val="0"/>
        <w:autoSpaceDE/>
        <w:autoSpaceDN/>
        <w:bidi w:val="0"/>
        <w:adjustRightInd w:val="0"/>
        <w:snapToGrid/>
        <w:spacing w:line="360" w:lineRule="auto"/>
        <w:ind w:firstLine="539"/>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方式</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供应商登录广西政府采购云平台（https</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//www.gcy.zfcg.gxzf.gov.cn/）在线申请获取采购文件（进入“项目采购”应用，在获取采购文件菜单中选择项目，申请获取采购文件）。</w:t>
      </w:r>
    </w:p>
    <w:p w14:paraId="23BD1FAF">
      <w:pPr>
        <w:spacing w:line="360" w:lineRule="auto"/>
        <w:ind w:firstLine="540"/>
        <w:rPr>
          <w:rFonts w:hint="eastAsia" w:ascii="宋体" w:hAnsi="宋体" w:eastAsia="宋体" w:cs="宋体"/>
          <w:color w:val="auto"/>
          <w:sz w:val="28"/>
          <w:szCs w:val="28"/>
          <w:highlight w:val="none"/>
        </w:rPr>
      </w:pPr>
      <w:r>
        <w:rPr>
          <w:rFonts w:hint="eastAsia" w:ascii="宋体" w:hAnsi="宋体" w:eastAsia="宋体" w:cs="宋体"/>
          <w:b/>
          <w:color w:val="auto"/>
          <w:sz w:val="24"/>
          <w:highlight w:val="none"/>
        </w:rPr>
        <w:t>售价</w:t>
      </w:r>
      <w:r>
        <w:rPr>
          <w:rFonts w:hint="eastAsia" w:ascii="宋体" w:hAnsi="宋体" w:eastAsia="宋体" w:cs="宋体"/>
          <w:b/>
          <w:color w:val="auto"/>
          <w:sz w:val="24"/>
          <w:highlight w:val="none"/>
          <w:lang w:eastAsia="zh-CN"/>
        </w:rPr>
        <w:t>：</w:t>
      </w:r>
      <w:r>
        <w:rPr>
          <w:rFonts w:hint="eastAsia" w:ascii="宋体" w:hAnsi="宋体" w:eastAsia="宋体" w:cs="宋体"/>
          <w:color w:val="auto"/>
          <w:sz w:val="24"/>
          <w:highlight w:val="none"/>
        </w:rPr>
        <w:t>0。</w:t>
      </w:r>
    </w:p>
    <w:p w14:paraId="177A9110">
      <w:pPr>
        <w:pStyle w:val="633"/>
        <w:ind w:firstLine="0"/>
        <w:rPr>
          <w:rFonts w:hint="eastAsia" w:ascii="宋体" w:hAnsi="宋体" w:eastAsia="宋体" w:cs="宋体"/>
          <w:b/>
          <w:color w:val="auto"/>
          <w:highlight w:val="none"/>
        </w:rPr>
      </w:pPr>
      <w:bookmarkStart w:id="26" w:name="_Toc35393632"/>
      <w:bookmarkStart w:id="27" w:name="_Toc28359092"/>
      <w:bookmarkStart w:id="28" w:name="_Toc35393801"/>
      <w:bookmarkStart w:id="29" w:name="_Toc28359015"/>
      <w:r>
        <w:rPr>
          <w:rFonts w:hint="eastAsia" w:ascii="宋体" w:hAnsi="宋体" w:eastAsia="宋体" w:cs="宋体"/>
          <w:b/>
          <w:color w:val="auto"/>
          <w:highlight w:val="none"/>
        </w:rPr>
        <w:t>四、响应文件提交</w:t>
      </w:r>
      <w:bookmarkEnd w:id="26"/>
      <w:bookmarkEnd w:id="27"/>
      <w:bookmarkEnd w:id="28"/>
      <w:bookmarkEnd w:id="29"/>
      <w:r>
        <w:rPr>
          <w:rFonts w:hint="eastAsia" w:ascii="宋体" w:hAnsi="宋体" w:eastAsia="宋体" w:cs="宋体"/>
          <w:b/>
          <w:color w:val="auto"/>
          <w:highlight w:val="none"/>
        </w:rPr>
        <w:t>（上传）</w:t>
      </w:r>
    </w:p>
    <w:p w14:paraId="1811BFBD">
      <w:pPr>
        <w:spacing w:line="360" w:lineRule="auto"/>
        <w:ind w:firstLine="480" w:firstLineChars="200"/>
        <w:rPr>
          <w:rFonts w:hint="eastAsia" w:ascii="宋体" w:hAnsi="宋体" w:eastAsia="宋体" w:cs="宋体"/>
          <w:bCs/>
          <w:color w:val="auto"/>
          <w:sz w:val="24"/>
          <w:highlight w:val="none"/>
          <w:u w:val="single"/>
          <w:lang w:eastAsia="zh-CN"/>
        </w:rPr>
      </w:pPr>
      <w:r>
        <w:rPr>
          <w:rFonts w:hint="eastAsia" w:ascii="宋体" w:hAnsi="宋体" w:eastAsia="宋体" w:cs="宋体"/>
          <w:color w:val="auto"/>
          <w:sz w:val="24"/>
          <w:highlight w:val="none"/>
        </w:rPr>
        <w:t>截止时间</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3</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3</w:t>
      </w:r>
      <w:r>
        <w:rPr>
          <w:rFonts w:hint="eastAsia" w:ascii="宋体" w:hAnsi="宋体" w:eastAsia="宋体" w:cs="宋体"/>
          <w:color w:val="auto"/>
          <w:sz w:val="24"/>
          <w:highlight w:val="none"/>
          <w:u w:val="single"/>
        </w:rPr>
        <w:t>日</w:t>
      </w:r>
      <w:r>
        <w:rPr>
          <w:rFonts w:hint="eastAsia" w:ascii="宋体" w:hAnsi="宋体" w:eastAsia="宋体" w:cs="宋体"/>
          <w:bCs/>
          <w:color w:val="auto"/>
          <w:sz w:val="24"/>
          <w:highlight w:val="none"/>
          <w:u w:val="single"/>
          <w:lang w:val="en-US" w:eastAsia="zh-CN"/>
        </w:rPr>
        <w:t>09</w:t>
      </w:r>
      <w:r>
        <w:rPr>
          <w:rFonts w:hint="eastAsia" w:ascii="宋体" w:hAnsi="宋体" w:eastAsia="宋体" w:cs="宋体"/>
          <w:bCs/>
          <w:color w:val="auto"/>
          <w:sz w:val="24"/>
          <w:highlight w:val="none"/>
          <w:u w:val="single"/>
        </w:rPr>
        <w:t>点</w:t>
      </w:r>
      <w:r>
        <w:rPr>
          <w:rFonts w:hint="eastAsia" w:ascii="宋体" w:hAnsi="宋体" w:eastAsia="宋体" w:cs="宋体"/>
          <w:bCs/>
          <w:color w:val="auto"/>
          <w:sz w:val="24"/>
          <w:highlight w:val="none"/>
          <w:u w:val="single"/>
          <w:lang w:val="en-US" w:eastAsia="zh-CN"/>
        </w:rPr>
        <w:t>00</w:t>
      </w:r>
      <w:r>
        <w:rPr>
          <w:rFonts w:hint="eastAsia" w:ascii="宋体" w:hAnsi="宋体" w:eastAsia="宋体" w:cs="宋体"/>
          <w:bCs/>
          <w:color w:val="auto"/>
          <w:sz w:val="24"/>
          <w:highlight w:val="none"/>
          <w:u w:val="single"/>
        </w:rPr>
        <w:t>分00秒</w:t>
      </w:r>
      <w:r>
        <w:rPr>
          <w:rFonts w:hint="eastAsia" w:ascii="宋体" w:hAnsi="宋体" w:eastAsia="宋体" w:cs="宋体"/>
          <w:bCs/>
          <w:color w:val="auto"/>
          <w:sz w:val="24"/>
          <w:highlight w:val="none"/>
        </w:rPr>
        <w:t>（北京时间）</w:t>
      </w:r>
      <w:r>
        <w:rPr>
          <w:rFonts w:hint="eastAsia" w:ascii="宋体" w:hAnsi="宋体" w:eastAsia="宋体" w:cs="宋体"/>
          <w:bCs/>
          <w:color w:val="auto"/>
          <w:sz w:val="24"/>
          <w:highlight w:val="none"/>
          <w:lang w:eastAsia="zh-CN"/>
        </w:rPr>
        <w:t>。</w:t>
      </w:r>
    </w:p>
    <w:p w14:paraId="0183626C">
      <w:pPr>
        <w:spacing w:line="360" w:lineRule="auto"/>
        <w:ind w:firstLine="480" w:firstLineChars="200"/>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广西政府采购云平台（https</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//www.gcy.zfcg.gxzf.gov.cn/）</w:t>
      </w:r>
      <w:r>
        <w:rPr>
          <w:rFonts w:hint="eastAsia" w:ascii="宋体" w:hAnsi="宋体" w:eastAsia="宋体" w:cs="宋体"/>
          <w:b w:val="0"/>
          <w:bCs/>
          <w:color w:val="auto"/>
          <w:sz w:val="24"/>
          <w:highlight w:val="none"/>
        </w:rPr>
        <w:t>。</w:t>
      </w:r>
    </w:p>
    <w:p w14:paraId="241B4040">
      <w:pPr>
        <w:pStyle w:val="633"/>
        <w:ind w:firstLine="0"/>
        <w:rPr>
          <w:rFonts w:hint="eastAsia" w:ascii="宋体" w:hAnsi="宋体" w:eastAsia="宋体" w:cs="宋体"/>
          <w:b/>
          <w:color w:val="auto"/>
          <w:highlight w:val="none"/>
        </w:rPr>
      </w:pPr>
      <w:bookmarkStart w:id="30" w:name="_Toc28359016"/>
      <w:bookmarkStart w:id="31" w:name="_Toc35393802"/>
      <w:bookmarkStart w:id="32" w:name="_Toc35393633"/>
      <w:bookmarkStart w:id="33" w:name="_Toc28359093"/>
      <w:r>
        <w:rPr>
          <w:rFonts w:hint="eastAsia" w:ascii="宋体" w:hAnsi="宋体" w:eastAsia="宋体" w:cs="宋体"/>
          <w:b/>
          <w:color w:val="auto"/>
          <w:highlight w:val="none"/>
        </w:rPr>
        <w:t>五、响应文件开启</w:t>
      </w:r>
      <w:bookmarkEnd w:id="30"/>
      <w:bookmarkEnd w:id="31"/>
      <w:bookmarkEnd w:id="32"/>
      <w:bookmarkEnd w:id="33"/>
    </w:p>
    <w:p w14:paraId="0453238E">
      <w:pPr>
        <w:spacing w:line="360" w:lineRule="auto"/>
        <w:ind w:firstLine="480" w:firstLineChars="200"/>
        <w:rPr>
          <w:rFonts w:hint="eastAsia" w:ascii="宋体" w:hAnsi="宋体" w:eastAsia="宋体" w:cs="宋体"/>
          <w:bCs/>
          <w:color w:val="auto"/>
          <w:sz w:val="24"/>
          <w:highlight w:val="none"/>
          <w:u w:val="single"/>
          <w:lang w:eastAsia="zh-CN"/>
        </w:rPr>
      </w:pPr>
      <w:r>
        <w:rPr>
          <w:rFonts w:hint="eastAsia" w:ascii="宋体" w:hAnsi="宋体" w:eastAsia="宋体" w:cs="宋体"/>
          <w:color w:val="auto"/>
          <w:sz w:val="24"/>
          <w:highlight w:val="none"/>
        </w:rPr>
        <w:t>时间</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3</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3</w:t>
      </w:r>
      <w:r>
        <w:rPr>
          <w:rFonts w:hint="eastAsia" w:ascii="宋体" w:hAnsi="宋体" w:eastAsia="宋体" w:cs="宋体"/>
          <w:color w:val="auto"/>
          <w:sz w:val="24"/>
          <w:highlight w:val="none"/>
          <w:u w:val="single"/>
        </w:rPr>
        <w:t>日</w:t>
      </w:r>
      <w:r>
        <w:rPr>
          <w:rFonts w:hint="eastAsia" w:ascii="宋体" w:hAnsi="宋体" w:eastAsia="宋体" w:cs="宋体"/>
          <w:bCs/>
          <w:color w:val="auto"/>
          <w:sz w:val="24"/>
          <w:highlight w:val="none"/>
          <w:u w:val="single"/>
          <w:lang w:val="en-US" w:eastAsia="zh-CN"/>
        </w:rPr>
        <w:t>09</w:t>
      </w:r>
      <w:r>
        <w:rPr>
          <w:rFonts w:hint="eastAsia" w:ascii="宋体" w:hAnsi="宋体" w:eastAsia="宋体" w:cs="宋体"/>
          <w:bCs/>
          <w:color w:val="auto"/>
          <w:sz w:val="24"/>
          <w:highlight w:val="none"/>
          <w:u w:val="single"/>
        </w:rPr>
        <w:t>点</w:t>
      </w:r>
      <w:r>
        <w:rPr>
          <w:rFonts w:hint="eastAsia" w:ascii="宋体" w:hAnsi="宋体" w:eastAsia="宋体" w:cs="宋体"/>
          <w:bCs/>
          <w:color w:val="auto"/>
          <w:sz w:val="24"/>
          <w:highlight w:val="none"/>
          <w:u w:val="single"/>
          <w:lang w:val="en-US" w:eastAsia="zh-CN"/>
        </w:rPr>
        <w:t>00</w:t>
      </w:r>
      <w:r>
        <w:rPr>
          <w:rFonts w:hint="eastAsia" w:ascii="宋体" w:hAnsi="宋体" w:eastAsia="宋体" w:cs="宋体"/>
          <w:bCs/>
          <w:color w:val="auto"/>
          <w:sz w:val="24"/>
          <w:highlight w:val="none"/>
          <w:u w:val="single"/>
        </w:rPr>
        <w:t>分00秒</w:t>
      </w:r>
      <w:r>
        <w:rPr>
          <w:rFonts w:hint="eastAsia" w:ascii="宋体" w:hAnsi="宋体" w:eastAsia="宋体" w:cs="宋体"/>
          <w:bCs/>
          <w:color w:val="auto"/>
          <w:sz w:val="24"/>
          <w:highlight w:val="none"/>
        </w:rPr>
        <w:t>（北京时间）</w:t>
      </w:r>
      <w:r>
        <w:rPr>
          <w:rFonts w:hint="eastAsia" w:ascii="宋体" w:hAnsi="宋体" w:eastAsia="宋体" w:cs="宋体"/>
          <w:bCs/>
          <w:color w:val="auto"/>
          <w:sz w:val="24"/>
          <w:highlight w:val="none"/>
          <w:lang w:eastAsia="zh-CN"/>
        </w:rPr>
        <w:t>。</w:t>
      </w:r>
    </w:p>
    <w:p w14:paraId="143ED7F3">
      <w:pPr>
        <w:spacing w:line="360" w:lineRule="auto"/>
        <w:ind w:firstLine="480" w:firstLineChars="200"/>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广西政府采购云平台（https</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//www.gcy.zfcg.gxzf.gov.cn/）。</w:t>
      </w:r>
    </w:p>
    <w:p w14:paraId="7F775017">
      <w:pPr>
        <w:pStyle w:val="633"/>
        <w:ind w:firstLine="0"/>
        <w:rPr>
          <w:rFonts w:hint="eastAsia" w:ascii="宋体" w:hAnsi="宋体" w:eastAsia="宋体" w:cs="宋体"/>
          <w:b/>
          <w:color w:val="auto"/>
          <w:highlight w:val="none"/>
        </w:rPr>
      </w:pPr>
      <w:bookmarkStart w:id="34" w:name="_Toc28359094"/>
      <w:bookmarkStart w:id="35" w:name="_Toc28359017"/>
      <w:bookmarkStart w:id="36" w:name="_Toc35393634"/>
      <w:bookmarkStart w:id="37" w:name="_Toc35393803"/>
      <w:r>
        <w:rPr>
          <w:rFonts w:hint="eastAsia" w:ascii="宋体" w:hAnsi="宋体" w:eastAsia="宋体" w:cs="宋体"/>
          <w:b/>
          <w:color w:val="auto"/>
          <w:highlight w:val="none"/>
        </w:rPr>
        <w:t>六、公告期限</w:t>
      </w:r>
      <w:bookmarkEnd w:id="34"/>
      <w:bookmarkEnd w:id="35"/>
      <w:bookmarkEnd w:id="36"/>
      <w:bookmarkEnd w:id="37"/>
    </w:p>
    <w:p w14:paraId="358808BF">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自本公告发布之日起</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个工作日。</w:t>
      </w:r>
    </w:p>
    <w:p w14:paraId="073CCA1E">
      <w:pPr>
        <w:pStyle w:val="633"/>
        <w:ind w:firstLine="0"/>
        <w:rPr>
          <w:rFonts w:hint="eastAsia" w:ascii="宋体" w:hAnsi="宋体" w:eastAsia="宋体" w:cs="宋体"/>
          <w:b/>
          <w:color w:val="auto"/>
          <w:highlight w:val="none"/>
        </w:rPr>
      </w:pPr>
      <w:bookmarkStart w:id="38" w:name="_Toc35393804"/>
      <w:bookmarkStart w:id="39" w:name="_Toc35393635"/>
      <w:r>
        <w:rPr>
          <w:rFonts w:hint="eastAsia" w:ascii="宋体" w:hAnsi="宋体" w:eastAsia="宋体" w:cs="宋体"/>
          <w:b/>
          <w:color w:val="auto"/>
          <w:highlight w:val="none"/>
        </w:rPr>
        <w:t>七、其他补充事宜</w:t>
      </w:r>
      <w:bookmarkEnd w:id="38"/>
      <w:bookmarkEnd w:id="39"/>
    </w:p>
    <w:p w14:paraId="1919F38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1.磋商保证金</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本项目不收取磋商保证金</w:t>
      </w:r>
      <w:r>
        <w:rPr>
          <w:rFonts w:hint="eastAsia" w:ascii="宋体" w:hAnsi="宋体" w:eastAsia="宋体" w:cs="宋体"/>
          <w:color w:val="auto"/>
          <w:sz w:val="24"/>
          <w:highlight w:val="none"/>
        </w:rPr>
        <w:t>。</w:t>
      </w:r>
    </w:p>
    <w:p w14:paraId="0F09E694">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4B715FD9">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未被“信用中国”（www.creditchina.gov.cn)、中国政府采购网（www.ccgp.gov.cn）列入失信被执行人、重大税收违法案件当事人名单、政府采购严重违法失信行为记录名单</w:t>
      </w:r>
      <w:r>
        <w:rPr>
          <w:rFonts w:hint="eastAsia" w:ascii="宋体" w:hAnsi="宋体" w:eastAsia="宋体" w:cs="宋体"/>
          <w:color w:val="auto"/>
          <w:sz w:val="24"/>
          <w:highlight w:val="none"/>
          <w:lang w:eastAsia="zh-CN"/>
        </w:rPr>
        <w:t>。</w:t>
      </w:r>
    </w:p>
    <w:p w14:paraId="41EC3468">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4.本项目需要落实的政府采购政策：</w:t>
      </w:r>
    </w:p>
    <w:p w14:paraId="01208BA5">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（1）支持采用本国产品：政府采购应当采购本国产品，确需采购进口产品的，实行审核管理。优先采购向我国企业转让技术、与我国企业签订消化吸收再创新方案的供应商的进口产品。</w:t>
      </w:r>
    </w:p>
    <w:p w14:paraId="5803144E">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（2）支持绿色发展：落实强制采购节能产品、鼓励节能政策；鼓励环保政策；推广使用绿色包装；采购绿色建材等。</w:t>
      </w:r>
    </w:p>
    <w:p w14:paraId="50EA9E69">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支持中小企业发展</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采购限额标准以上，200万元以下的货物和服务采购项目、400万元以下的工程采购项目，适宜由中小企业提供的，采购人应当专门面向中小企业采购。超过200万元的货物和服务采购项目、超过400万元的工程采购项目中适宜由中小企业提供的，预留该部分采购项目预算总额的30%以上专门面向中小企业采购，其中预留给小微企业的比例不低于60%。对于未预留份额专门面向中小企业采购的政府采购项目，以及预留份额政府采购项目中的非预留部分标项，对小型和微型企业的磋商报价给予20%的扣除，用扣除后的价格参与评审</w:t>
      </w:r>
      <w:r>
        <w:rPr>
          <w:rFonts w:hint="eastAsia" w:ascii="宋体" w:hAnsi="宋体" w:eastAsia="宋体" w:cs="宋体"/>
          <w:color w:val="auto"/>
          <w:sz w:val="24"/>
          <w:highlight w:val="none"/>
          <w:lang w:val="en-US" w:eastAsia="zh-CN"/>
        </w:rPr>
        <w:t>。</w:t>
      </w:r>
    </w:p>
    <w:p w14:paraId="2932EE8E">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（4）支持监狱企业、残疾人福利性单位发展：监狱企业、残疾人福利性单位视同小型和微型企业。</w:t>
      </w:r>
    </w:p>
    <w:p w14:paraId="6DE91F28">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（5）支持创新发展：优先采购被认定为首台套产品和“制造精品”的自主创新产品。</w:t>
      </w:r>
    </w:p>
    <w:p w14:paraId="643C31FB">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（6）平等对待内外资企业和符合条件的破产重整企业。</w:t>
      </w:r>
    </w:p>
    <w:p w14:paraId="7687AE26">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p w14:paraId="445BE18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6.网上公告媒体查询：广西政府采购网（http：//zfcg.gxzf.gov.cn/）、中国政府采购网（http：//www.ccgp.gov.cn/）</w:t>
      </w:r>
      <w:r>
        <w:rPr>
          <w:rFonts w:hint="eastAsia" w:ascii="宋体" w:hAnsi="宋体" w:cs="宋体"/>
          <w:color w:val="auto"/>
          <w:sz w:val="24"/>
          <w:highlight w:val="none"/>
          <w:lang w:val="en-US" w:eastAsia="zh-CN"/>
        </w:rPr>
        <w:t>、全国公共资源交易平台（广西·北海）（http://ggzy.jgswj.gxzf.gov.cn/bhggzy/）</w:t>
      </w:r>
      <w:r>
        <w:rPr>
          <w:rFonts w:hint="eastAsia" w:ascii="宋体" w:hAnsi="宋体" w:eastAsia="宋体" w:cs="宋体"/>
          <w:color w:val="auto"/>
          <w:sz w:val="24"/>
          <w:highlight w:val="none"/>
          <w:lang w:val="en-US" w:eastAsia="zh-CN"/>
        </w:rPr>
        <w:t>。</w:t>
      </w:r>
    </w:p>
    <w:p w14:paraId="7CD19040">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5085E3DB">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69AFC68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9.本项目采用远程异地评标</w:t>
      </w:r>
      <w:r>
        <w:rPr>
          <w:rFonts w:hint="eastAsia" w:ascii="宋体" w:hAnsi="宋体" w:eastAsia="宋体" w:cs="宋体"/>
          <w:color w:val="auto"/>
          <w:sz w:val="24"/>
          <w:highlight w:val="none"/>
        </w:rPr>
        <w:t>。</w:t>
      </w:r>
    </w:p>
    <w:p w14:paraId="3AEF042D">
      <w:pPr>
        <w:pStyle w:val="633"/>
        <w:ind w:firstLine="0"/>
        <w:rPr>
          <w:rFonts w:hint="eastAsia" w:ascii="宋体" w:hAnsi="宋体" w:eastAsia="宋体" w:cs="宋体"/>
          <w:b/>
          <w:color w:val="auto"/>
          <w:highlight w:val="none"/>
        </w:rPr>
      </w:pPr>
      <w:bookmarkStart w:id="40" w:name="_Toc28359018"/>
      <w:bookmarkStart w:id="41" w:name="_Toc35393805"/>
      <w:bookmarkStart w:id="42" w:name="_Toc35393636"/>
      <w:bookmarkStart w:id="43" w:name="_Toc28359095"/>
      <w:r>
        <w:rPr>
          <w:rFonts w:hint="eastAsia" w:ascii="宋体" w:hAnsi="宋体" w:eastAsia="宋体" w:cs="宋体"/>
          <w:b/>
          <w:color w:val="auto"/>
          <w:highlight w:val="none"/>
        </w:rPr>
        <w:t>八、凡对本次采购提出询问、质疑、投诉，请按以下方式联系</w:t>
      </w:r>
      <w:bookmarkEnd w:id="40"/>
      <w:bookmarkEnd w:id="41"/>
      <w:bookmarkEnd w:id="42"/>
      <w:bookmarkEnd w:id="43"/>
    </w:p>
    <w:p w14:paraId="1B5B169D">
      <w:pPr>
        <w:spacing w:line="360" w:lineRule="auto"/>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1.采购人信息</w:t>
      </w:r>
    </w:p>
    <w:p w14:paraId="19E4CAE0">
      <w:pPr>
        <w:spacing w:line="360" w:lineRule="auto"/>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名    称： 北海市体育运动学校 　</w:t>
      </w:r>
    </w:p>
    <w:p w14:paraId="52F8E82C">
      <w:pPr>
        <w:spacing w:line="360" w:lineRule="auto"/>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    址：北海市银滩大道大冠沙路段</w:t>
      </w:r>
    </w:p>
    <w:p w14:paraId="03067092">
      <w:pPr>
        <w:spacing w:line="360" w:lineRule="auto"/>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项目联系人：李志武  </w:t>
      </w:r>
    </w:p>
    <w:p w14:paraId="4B302F2A">
      <w:pPr>
        <w:spacing w:line="360" w:lineRule="auto"/>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项目联系方式：0779-3188846 </w:t>
      </w:r>
    </w:p>
    <w:p w14:paraId="09BB092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2.采购代理机构信息            </w:t>
      </w:r>
    </w:p>
    <w:p w14:paraId="3F2440B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名    称：广西政建咨询有限公司</w:t>
      </w:r>
    </w:p>
    <w:p w14:paraId="7A59AD8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    址：北海市北海大道20号科技大厦四楼 </w:t>
      </w:r>
    </w:p>
    <w:p w14:paraId="32474A0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项目联系人（询问）： 李工</w:t>
      </w:r>
    </w:p>
    <w:p w14:paraId="5729701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项目联系方式（询问）：0779-2061987</w:t>
      </w:r>
    </w:p>
    <w:p w14:paraId="08F79EB8">
      <w:pPr>
        <w:spacing w:line="360" w:lineRule="auto"/>
        <w:ind w:firstLine="480" w:firstLineChars="200"/>
        <w:rPr>
          <w:rFonts w:hint="eastAsia" w:ascii="宋体" w:hAnsi="宋体" w:eastAsia="宋体" w:cs="宋体"/>
          <w:color w:val="auto"/>
          <w:sz w:val="24"/>
          <w:highlight w:val="none"/>
        </w:rPr>
      </w:pPr>
    </w:p>
    <w:p w14:paraId="4224D7C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若对项目采购电子交易系统操作有疑问，可登录广西政府采购云平台（https</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//www.zcygov.cn/），点击右侧咨询小采，获取采小蜜智能服务管家帮助，或拨打广西政府采购云平台服务热线95763获取热线服务帮助。</w:t>
      </w:r>
    </w:p>
    <w:p w14:paraId="3342459A">
      <w:pPr>
        <w:spacing w:line="360" w:lineRule="auto"/>
        <w:rPr>
          <w:rFonts w:hint="eastAsia" w:ascii="宋体" w:hAnsi="宋体" w:eastAsia="宋体" w:cs="宋体"/>
          <w:color w:val="auto"/>
          <w:sz w:val="24"/>
          <w:highlight w:val="none"/>
        </w:rPr>
      </w:pPr>
    </w:p>
    <w:p w14:paraId="61AB58C1">
      <w:pPr>
        <w:pStyle w:val="32"/>
        <w:spacing w:line="360" w:lineRule="auto"/>
        <w:ind w:firstLine="480" w:firstLineChars="200"/>
        <w:rPr>
          <w:rFonts w:hint="eastAsia" w:ascii="宋体" w:hAnsi="宋体" w:eastAsia="宋体" w:cs="宋体"/>
          <w:color w:val="auto"/>
          <w:sz w:val="24"/>
          <w:szCs w:val="24"/>
          <w:highlight w:val="none"/>
        </w:rPr>
      </w:pPr>
    </w:p>
    <w:p w14:paraId="64DE5D9B">
      <w:pPr>
        <w:adjustRightInd/>
        <w:spacing w:line="360" w:lineRule="auto"/>
        <w:jc w:val="center"/>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br w:type="page"/>
      </w:r>
    </w:p>
    <w:p w14:paraId="72D74D50">
      <w:pPr>
        <w:adjustRightInd/>
        <w:spacing w:line="360" w:lineRule="auto"/>
        <w:jc w:val="center"/>
        <w:outlineLvl w:val="0"/>
        <w:rPr>
          <w:rFonts w:hint="eastAsia" w:ascii="宋体" w:hAnsi="宋体" w:eastAsia="宋体" w:cs="宋体"/>
          <w:b/>
          <w:color w:val="auto"/>
          <w:sz w:val="32"/>
          <w:szCs w:val="20"/>
          <w:highlight w:val="none"/>
        </w:rPr>
      </w:pPr>
      <w:bookmarkStart w:id="44" w:name="_Toc20258"/>
      <w:r>
        <w:rPr>
          <w:rFonts w:hint="eastAsia" w:ascii="宋体" w:hAnsi="宋体" w:eastAsia="宋体" w:cs="宋体"/>
          <w:b/>
          <w:color w:val="auto"/>
          <w:sz w:val="36"/>
          <w:szCs w:val="20"/>
          <w:highlight w:val="none"/>
        </w:rPr>
        <w:t>第二部分  竞争性磋商流程</w:t>
      </w:r>
      <w:bookmarkEnd w:id="44"/>
    </w:p>
    <w:p w14:paraId="6D0CA9AA">
      <w:pPr>
        <w:pStyle w:val="394"/>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szCs w:val="24"/>
          <w:highlight w:val="none"/>
        </w:rPr>
        <w:t>1.征集供应商</w:t>
      </w:r>
    </w:p>
    <w:p w14:paraId="076E74CF">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1.1邀请供应商。</w:t>
      </w:r>
    </w:p>
    <w:p w14:paraId="0261D8CB">
      <w:pPr>
        <w:pStyle w:val="394"/>
        <w:spacing w:before="0"/>
        <w:ind w:firstLine="480"/>
        <w:rPr>
          <w:rFonts w:asciiTheme="minorEastAsia" w:hAnsiTheme="minorEastAsia" w:eastAsiaTheme="minorEastAsia"/>
          <w:color w:val="auto"/>
          <w:szCs w:val="24"/>
          <w:highlight w:val="none"/>
        </w:rPr>
      </w:pPr>
      <w:r>
        <w:rPr>
          <w:rFonts w:hint="eastAsia" w:ascii="宋体" w:hAnsi="宋体" w:cs="宋体"/>
          <w:color w:val="auto"/>
          <w:kern w:val="0"/>
          <w:highlight w:val="none"/>
        </w:rPr>
        <w:sym w:font="Wingdings" w:char="F0FE"/>
      </w:r>
      <w:r>
        <w:rPr>
          <w:rFonts w:hint="eastAsia" w:asciiTheme="minorEastAsia" w:hAnsiTheme="minorEastAsia" w:eastAsiaTheme="minorEastAsia"/>
          <w:b/>
          <w:color w:val="auto"/>
          <w:szCs w:val="24"/>
          <w:highlight w:val="none"/>
        </w:rPr>
        <w:t>采用公告方式邀请供应商的，</w:t>
      </w:r>
      <w:r>
        <w:rPr>
          <w:rFonts w:hint="eastAsia" w:asciiTheme="minorEastAsia" w:hAnsiTheme="minorEastAsia" w:eastAsiaTheme="minorEastAsia"/>
          <w:color w:val="auto"/>
          <w:szCs w:val="24"/>
          <w:highlight w:val="none"/>
        </w:rPr>
        <w:t>由采购人、采购代理机构在省级以上人民政府财政部门指定的政府采购信息发布媒体上发布磋商公告，邀请符合相应资格条件的供应商参与竞争性磋商采购活动。</w:t>
      </w:r>
    </w:p>
    <w:p w14:paraId="20DED52F">
      <w:pPr>
        <w:pStyle w:val="394"/>
        <w:spacing w:before="0"/>
        <w:ind w:firstLine="480"/>
        <w:rPr>
          <w:rFonts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w:t>
      </w:r>
      <w:r>
        <w:rPr>
          <w:rFonts w:hint="eastAsia" w:asciiTheme="minorEastAsia" w:hAnsiTheme="minorEastAsia" w:eastAsiaTheme="minorEastAsia"/>
          <w:b/>
          <w:color w:val="auto"/>
          <w:szCs w:val="24"/>
          <w:highlight w:val="none"/>
        </w:rPr>
        <w:t>采用随机抽取方式邀请供应商的，</w:t>
      </w:r>
      <w:r>
        <w:rPr>
          <w:rFonts w:hint="eastAsia" w:asciiTheme="minorEastAsia" w:hAnsiTheme="minorEastAsia" w:eastAsiaTheme="minorEastAsia"/>
          <w:color w:val="auto"/>
          <w:szCs w:val="24"/>
          <w:highlight w:val="none"/>
        </w:rPr>
        <w:t>由采购人、采购代理机构从省级以上财政部门建立的供应商库中随机抽取不少于3家符合相应资格条件的供应商参与竞争性磋商采购活动。</w:t>
      </w:r>
    </w:p>
    <w:p w14:paraId="0EB6698B">
      <w:pPr>
        <w:pStyle w:val="394"/>
        <w:spacing w:before="0"/>
        <w:ind w:firstLine="480"/>
        <w:rPr>
          <w:rFonts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w:t>
      </w:r>
      <w:r>
        <w:rPr>
          <w:rFonts w:hint="eastAsia" w:asciiTheme="minorEastAsia" w:hAnsiTheme="minorEastAsia" w:eastAsiaTheme="minorEastAsia"/>
          <w:b/>
          <w:color w:val="auto"/>
          <w:szCs w:val="24"/>
          <w:highlight w:val="none"/>
        </w:rPr>
        <w:t>采用书面推荐方式邀请供应商的，</w:t>
      </w:r>
      <w:r>
        <w:rPr>
          <w:rFonts w:hint="eastAsia" w:asciiTheme="minorEastAsia" w:hAnsiTheme="minorEastAsia" w:eastAsiaTheme="minorEastAsia"/>
          <w:color w:val="auto"/>
          <w:szCs w:val="24"/>
          <w:highlight w:val="none"/>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w:t>
      </w:r>
    </w:p>
    <w:p w14:paraId="3A1D4525">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1.2供应商获取磋商文件。</w:t>
      </w:r>
    </w:p>
    <w:p w14:paraId="389A756B">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1.3组织现场考察或召开答疑会（如果有）。</w:t>
      </w:r>
    </w:p>
    <w:p w14:paraId="7E23213F">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1.4发布更正（延期）公告，澄清或修改磋商文件（如果有）。</w:t>
      </w:r>
    </w:p>
    <w:p w14:paraId="4ED8B4F4">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1.5供应商按磋商文件要求编制响应文件。</w:t>
      </w:r>
    </w:p>
    <w:p w14:paraId="48B7CEDF">
      <w:pPr>
        <w:pStyle w:val="394"/>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2.响应文件开启与信用信息查询</w:t>
      </w:r>
    </w:p>
    <w:p w14:paraId="405D1286">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2.1供应商依据“提交响应文件的截止时间与地点”通过广西政府采购云平台在线提交响应文件。供应商在提交响应文件的截止时间</w:t>
      </w:r>
      <w:r>
        <w:rPr>
          <w:rFonts w:hint="eastAsia" w:asciiTheme="minorEastAsia" w:hAnsiTheme="minorEastAsia" w:eastAsiaTheme="minorEastAsia"/>
          <w:color w:val="auto"/>
          <w:szCs w:val="24"/>
          <w:highlight w:val="none"/>
          <w:lang w:val="en-US" w:eastAsia="zh-CN"/>
        </w:rPr>
        <w:t>之</w:t>
      </w:r>
      <w:r>
        <w:rPr>
          <w:rFonts w:hint="eastAsia" w:asciiTheme="minorEastAsia" w:hAnsiTheme="minorEastAsia" w:eastAsiaTheme="minorEastAsia"/>
          <w:color w:val="auto"/>
          <w:szCs w:val="24"/>
          <w:highlight w:val="none"/>
        </w:rPr>
        <w:t>前，可以补充、修改或撤回响应文件。</w:t>
      </w:r>
    </w:p>
    <w:p w14:paraId="5D616D6E">
      <w:pPr>
        <w:pStyle w:val="394"/>
        <w:keepNext w:val="0"/>
        <w:keepLines w:val="0"/>
        <w:pageBreakBefore w:val="0"/>
        <w:widowControl w:val="0"/>
        <w:kinsoku/>
        <w:wordWrap w:val="0"/>
        <w:overflowPunct/>
        <w:topLinePunct w:val="0"/>
        <w:autoSpaceDE/>
        <w:autoSpaceDN/>
        <w:bidi w:val="0"/>
        <w:adjustRightInd w:val="0"/>
        <w:snapToGrid/>
        <w:spacing w:before="0"/>
        <w:ind w:firstLine="480"/>
        <w:textAlignment w:val="auto"/>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2.2</w:t>
      </w:r>
      <w:r>
        <w:rPr>
          <w:rFonts w:hint="eastAsia" w:cs="Arial" w:asciiTheme="minorEastAsia" w:hAnsiTheme="minorEastAsia" w:eastAsiaTheme="minorEastAsia"/>
          <w:color w:val="auto"/>
          <w:kern w:val="0"/>
          <w:szCs w:val="24"/>
          <w:highlight w:val="none"/>
        </w:rPr>
        <w:t>采购人或者采购代理机构将通过“信用中国”网站(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69"/>
          <w:rFonts w:hint="eastAsia" w:asciiTheme="minorEastAsia" w:hAnsiTheme="minorEastAsia" w:eastAsiaTheme="minorEastAsia"/>
          <w:color w:val="auto"/>
          <w:sz w:val="24"/>
          <w:szCs w:val="24"/>
          <w:highlight w:val="none"/>
        </w:rPr>
        <w:t>www.creditchina.gov.cn</w:t>
      </w:r>
      <w:r>
        <w:rPr>
          <w:rStyle w:val="69"/>
          <w:rFonts w:hint="eastAsia" w:asciiTheme="minorEastAsia" w:hAnsiTheme="minorEastAsia" w:eastAsiaTheme="minorEastAsia"/>
          <w:color w:val="auto"/>
          <w:sz w:val="24"/>
          <w:szCs w:val="24"/>
          <w:highlight w:val="none"/>
        </w:rPr>
        <w:fldChar w:fldCharType="end"/>
      </w:r>
      <w:r>
        <w:rPr>
          <w:rFonts w:hint="eastAsia" w:cs="Arial" w:asciiTheme="minorEastAsia" w:hAnsiTheme="minorEastAsia" w:eastAsiaTheme="minorEastAsia"/>
          <w:color w:val="auto"/>
          <w:kern w:val="0"/>
          <w:szCs w:val="24"/>
          <w:highlight w:val="none"/>
        </w:rPr>
        <w:t>)和中国政府采购网(www.ccgp.gov.cn)渠道查询供应商响应截止时间当日的信用记录。</w:t>
      </w:r>
    </w:p>
    <w:p w14:paraId="70F3CA9A">
      <w:pPr>
        <w:pStyle w:val="394"/>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3.磋商与评审</w:t>
      </w:r>
    </w:p>
    <w:p w14:paraId="0ECA32FF">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3.1磋商小组签到。</w:t>
      </w:r>
    </w:p>
    <w:p w14:paraId="71DC0108">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3.2采购代理机构宣布有关纪律以及磋商、评审工作程序。</w:t>
      </w:r>
    </w:p>
    <w:p w14:paraId="5F4C40C7">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3.3磋商小组审查确认磋商文件。磋商文件内容违反国家有关强制性规定的，磋商小组应当停止评审并向采购代理机构说明情况。</w:t>
      </w:r>
    </w:p>
    <w:p w14:paraId="40673F53">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3.4磋商小组对供应商的资格进行审查。</w:t>
      </w:r>
    </w:p>
    <w:p w14:paraId="7CF3D119">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3.5磋商小组审查响应文件。</w:t>
      </w:r>
    </w:p>
    <w:p w14:paraId="484EE98B">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3.6对于未实质性响应磋商文件的响应文件由磋商小组认定响应无效，并告知该供应商。</w:t>
      </w:r>
    </w:p>
    <w:p w14:paraId="75130A89">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3AD74C47">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平台发起磋商邀请，供应商通过广西政府采购云平台“在线评审室”进行远程视频磋商。供应商使用CA数字证书登录广西政府采购云平台——收到视频评审邀请——点击“视频评审”进入“视频评审系统”——开始远程磋商活动。</w:t>
      </w:r>
    </w:p>
    <w:p w14:paraId="080B31C3">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3.9经磋商确定磋商文件的变动情况。对磋商文件作出的实质性变动是磋商文件的有效组成部分，磋商小组应当及时以书面形式同时通知所有参加磋商的供应商。</w:t>
      </w:r>
    </w:p>
    <w:p w14:paraId="6B10FD1E">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3.10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3DA38CF8">
      <w:pPr>
        <w:pStyle w:val="394"/>
        <w:spacing w:before="0"/>
        <w:ind w:firstLine="480"/>
        <w:rPr>
          <w:rFonts w:hint="eastAsia" w:asciiTheme="minorEastAsia" w:hAnsiTheme="minorEastAsia" w:eastAsiaTheme="minorEastAsia"/>
          <w:color w:val="auto"/>
          <w:szCs w:val="24"/>
          <w:highlight w:val="none"/>
          <w:lang w:eastAsia="zh-CN"/>
        </w:rPr>
      </w:pPr>
      <w:r>
        <w:rPr>
          <w:rFonts w:hint="eastAsia" w:asciiTheme="minorEastAsia" w:hAnsiTheme="minorEastAsia" w:eastAsiaTheme="minorEastAsia"/>
          <w:color w:val="auto"/>
          <w:szCs w:val="24"/>
          <w:highlight w:val="none"/>
        </w:rPr>
        <w:t>3.11磋商小组按照下列方式确定提交最后报价的供应商，有特殊规定的从其规定</w:t>
      </w:r>
      <w:r>
        <w:rPr>
          <w:rFonts w:hint="eastAsia" w:asciiTheme="minorEastAsia" w:hAnsiTheme="minorEastAsia" w:eastAsiaTheme="minorEastAsia"/>
          <w:color w:val="auto"/>
          <w:szCs w:val="24"/>
          <w:highlight w:val="none"/>
          <w:lang w:eastAsia="zh-CN"/>
        </w:rPr>
        <w:t>：</w:t>
      </w:r>
    </w:p>
    <w:p w14:paraId="6C4B3549">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磋商文件能够详细列明采购标的的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14:paraId="32821F9E">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5E91C8B8">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3.12确定进入最后报价的供应商在规定时间内提交最后报价。</w:t>
      </w:r>
    </w:p>
    <w:p w14:paraId="4715A1C8">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3.13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1E4A95C3">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3.14磋商小组应当根据综合评分情况，按照评审得分由高到低顺序推荐3名以上成交候选供应商，并编写评审报告。</w:t>
      </w:r>
    </w:p>
    <w:p w14:paraId="0F2703E4">
      <w:pPr>
        <w:pStyle w:val="394"/>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4.成交</w:t>
      </w:r>
    </w:p>
    <w:p w14:paraId="0FE1FBB3">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4.1</w:t>
      </w:r>
      <w:r>
        <w:rPr>
          <w:rFonts w:hint="eastAsia" w:ascii="宋体" w:hAnsi="宋体" w:cs="宋体"/>
          <w:color w:val="auto"/>
          <w:szCs w:val="24"/>
          <w:highlight w:val="none"/>
        </w:rPr>
        <w:t>政府采购项目实行全流程电子化，评审报告送交、采购结果确定和结果公告均在线完成。</w:t>
      </w:r>
      <w:r>
        <w:rPr>
          <w:rFonts w:hint="eastAsia" w:asciiTheme="minorEastAsia" w:hAnsiTheme="minorEastAsia" w:eastAsiaTheme="minorEastAsia"/>
          <w:color w:val="auto"/>
          <w:szCs w:val="24"/>
          <w:highlight w:val="none"/>
        </w:rPr>
        <w:t>采购代理机构应当</w:t>
      </w:r>
      <w:r>
        <w:rPr>
          <w:rFonts w:hint="eastAsia" w:ascii="宋体" w:hAnsi="宋体" w:cs="宋体"/>
          <w:color w:val="auto"/>
          <w:szCs w:val="24"/>
          <w:highlight w:val="none"/>
        </w:rPr>
        <w:t>依法及时</w:t>
      </w:r>
      <w:r>
        <w:rPr>
          <w:rFonts w:hint="eastAsia" w:asciiTheme="minorEastAsia" w:hAnsiTheme="minorEastAsia" w:eastAsiaTheme="minorEastAsia"/>
          <w:color w:val="auto"/>
          <w:szCs w:val="24"/>
          <w:highlight w:val="none"/>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p>
    <w:p w14:paraId="4241D962">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4.2采购代理机构在收到采购人对评审报告的确认意见和对成交供应商的确定结果后，应当在2个工作日内，在中国政府采购网、广西政府采购网上公告成交结果，同时向成交供应商发出成交通知书，并将磋商文件随成交结果同时公告。</w:t>
      </w:r>
    </w:p>
    <w:p w14:paraId="28410E32">
      <w:pPr>
        <w:pStyle w:val="394"/>
        <w:spacing w:before="0"/>
        <w:ind w:firstLine="0" w:firstLineChars="0"/>
        <w:rPr>
          <w:rFonts w:cs="宋体" w:asciiTheme="minorEastAsia" w:hAnsiTheme="minorEastAsia" w:eastAsiaTheme="minorEastAsia"/>
          <w:color w:val="auto"/>
          <w:kern w:val="0"/>
          <w:szCs w:val="21"/>
          <w:highlight w:val="none"/>
        </w:rPr>
      </w:pPr>
      <w:r>
        <w:rPr>
          <w:rFonts w:hint="eastAsia" w:asciiTheme="minorEastAsia" w:hAnsiTheme="minorEastAsia" w:eastAsiaTheme="minorEastAsia"/>
          <w:b/>
          <w:color w:val="auto"/>
          <w:highlight w:val="none"/>
        </w:rPr>
        <w:t>5.合同及履约验收</w:t>
      </w:r>
    </w:p>
    <w:p w14:paraId="174F4430">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078072A7">
      <w:pPr>
        <w:tabs>
          <w:tab w:val="left" w:pos="0"/>
        </w:tabs>
        <w:spacing w:line="360" w:lineRule="auto"/>
        <w:ind w:firstLine="48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5.2成交供应商按照政策要求及合同约定缴纳履约保证金（如有）。</w:t>
      </w:r>
    </w:p>
    <w:p w14:paraId="078F1D8B">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5.3合同履约。</w:t>
      </w:r>
    </w:p>
    <w:p w14:paraId="446D4554">
      <w:pPr>
        <w:pStyle w:val="394"/>
        <w:spacing w:before="0"/>
        <w:ind w:firstLine="480"/>
        <w:rPr>
          <w:rFonts w:hint="eastAsia" w:ascii="宋体" w:hAnsi="宋体" w:eastAsia="宋体" w:cs="宋体"/>
          <w:color w:val="auto"/>
          <w:szCs w:val="24"/>
          <w:highlight w:val="none"/>
        </w:rPr>
      </w:pPr>
      <w:r>
        <w:rPr>
          <w:rFonts w:hint="eastAsia" w:asciiTheme="minorEastAsia" w:hAnsiTheme="minorEastAsia" w:eastAsiaTheme="minorEastAsia"/>
          <w:color w:val="auto"/>
          <w:szCs w:val="24"/>
          <w:highlight w:val="none"/>
        </w:rPr>
        <w:t>5.4采购人组织验收。</w:t>
      </w:r>
    </w:p>
    <w:p w14:paraId="501C6A92">
      <w:pPr>
        <w:widowControl/>
        <w:adjustRightInd/>
        <w:jc w:val="left"/>
        <w:rPr>
          <w:rFonts w:hint="eastAsia" w:ascii="宋体" w:hAnsi="宋体" w:eastAsia="宋体" w:cs="宋体"/>
          <w:b/>
          <w:color w:val="auto"/>
          <w:highlight w:val="none"/>
        </w:rPr>
      </w:pPr>
      <w:r>
        <w:rPr>
          <w:rFonts w:hint="eastAsia" w:ascii="宋体" w:hAnsi="宋体" w:eastAsia="宋体" w:cs="宋体"/>
          <w:b/>
          <w:color w:val="auto"/>
          <w:highlight w:val="none"/>
        </w:rPr>
        <w:t>6.竞争性磋商流程图</w:t>
      </w:r>
    </w:p>
    <w:p w14:paraId="038E75FA">
      <w:pPr>
        <w:pStyle w:val="394"/>
        <w:spacing w:before="0"/>
        <w:ind w:firstLine="0" w:firstLineChars="0"/>
        <w:rPr>
          <w:rFonts w:hint="eastAsia" w:ascii="宋体" w:hAnsi="宋体" w:eastAsia="宋体" w:cs="宋体"/>
          <w:b/>
          <w:color w:val="auto"/>
          <w:highlight w:val="none"/>
        </w:rPr>
      </w:pPr>
    </w:p>
    <w:p w14:paraId="4C6E4FB0">
      <w:pPr>
        <w:widowControl/>
        <w:adjustRightInd/>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227C91F">
      <w:pPr>
        <w:widowControl/>
        <w:adjustRightInd/>
        <w:jc w:val="left"/>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mc:AlternateContent>
          <mc:Choice Requires="wps">
            <w:drawing>
              <wp:anchor distT="0" distB="0" distL="114300" distR="114300" simplePos="0" relativeHeight="251663360"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B14A5A">
                            <w:pPr>
                              <w:rPr>
                                <w:rFonts w:asciiTheme="minorEastAsia" w:hAnsiTheme="minorEastAsia" w:eastAsiaTheme="minorEastAsia"/>
                              </w:rPr>
                            </w:pPr>
                            <w:r>
                              <w:rPr>
                                <w:rFonts w:hint="eastAsia" w:asciiTheme="minorEastAsia" w:hAnsiTheme="minorEastAsia" w:eastAsiaTheme="minorEastAsia"/>
                              </w:rPr>
                              <w:t>验收</w:t>
                            </w:r>
                          </w:p>
                          <w:p w14:paraId="4997F2F9">
                            <w:pPr>
                              <w:rPr>
                                <w:rFonts w:ascii="仿宋_GB2312" w:eastAsia="仿宋_GB2312"/>
                              </w:rPr>
                            </w:pPr>
                            <w:r>
                              <w:rPr>
                                <w:rFonts w:hint="eastAsia" w:ascii="仿宋_GB2312" w:eastAsia="仿宋_GB2312"/>
                              </w:rPr>
                              <w:t>立项</w:t>
                            </w:r>
                          </w:p>
                          <w:p w14:paraId="0A44820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3360;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26B14A5A">
                      <w:pPr>
                        <w:rPr>
                          <w:rFonts w:asciiTheme="minorEastAsia" w:hAnsiTheme="minorEastAsia" w:eastAsiaTheme="minorEastAsia"/>
                        </w:rPr>
                      </w:pPr>
                      <w:r>
                        <w:rPr>
                          <w:rFonts w:hint="eastAsia" w:asciiTheme="minorEastAsia" w:hAnsiTheme="minorEastAsia" w:eastAsiaTheme="minorEastAsia"/>
                        </w:rPr>
                        <w:t>验收</w:t>
                      </w:r>
                    </w:p>
                    <w:p w14:paraId="4997F2F9">
                      <w:pPr>
                        <w:rPr>
                          <w:rFonts w:ascii="仿宋_GB2312" w:eastAsia="仿宋_GB2312"/>
                        </w:rPr>
                      </w:pPr>
                      <w:r>
                        <w:rPr>
                          <w:rFonts w:hint="eastAsia" w:ascii="仿宋_GB2312" w:eastAsia="仿宋_GB2312"/>
                        </w:rPr>
                        <w:t>立项</w:t>
                      </w:r>
                    </w:p>
                    <w:p w14:paraId="0A44820D">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83840"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3840;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4384"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563657">
                            <w:pPr>
                              <w:rPr>
                                <w:rFonts w:asciiTheme="minorEastAsia" w:hAnsiTheme="minorEastAsia" w:eastAsiaTheme="minorEastAsia"/>
                              </w:rPr>
                            </w:pPr>
                            <w:r>
                              <w:rPr>
                                <w:rFonts w:hint="eastAsia" w:asciiTheme="minorEastAsia" w:hAnsiTheme="minorEastAsia" w:eastAsiaTheme="minorEastAsia"/>
                              </w:rPr>
                              <w:t>履约</w:t>
                            </w:r>
                          </w:p>
                          <w:p w14:paraId="253D9D94">
                            <w:pPr>
                              <w:rPr>
                                <w:rFonts w:ascii="仿宋_GB2312" w:eastAsia="仿宋_GB2312"/>
                              </w:rPr>
                            </w:pPr>
                            <w:r>
                              <w:rPr>
                                <w:rFonts w:hint="eastAsia" w:ascii="仿宋_GB2312" w:eastAsia="仿宋_GB2312"/>
                              </w:rPr>
                              <w:t>立项</w:t>
                            </w:r>
                          </w:p>
                          <w:p w14:paraId="7D71F8B2">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4384;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78563657">
                      <w:pPr>
                        <w:rPr>
                          <w:rFonts w:asciiTheme="minorEastAsia" w:hAnsiTheme="minorEastAsia" w:eastAsiaTheme="minorEastAsia"/>
                        </w:rPr>
                      </w:pPr>
                      <w:r>
                        <w:rPr>
                          <w:rFonts w:hint="eastAsia" w:asciiTheme="minorEastAsia" w:hAnsiTheme="minorEastAsia" w:eastAsiaTheme="minorEastAsia"/>
                        </w:rPr>
                        <w:t>履约</w:t>
                      </w:r>
                    </w:p>
                    <w:p w14:paraId="253D9D94">
                      <w:pPr>
                        <w:rPr>
                          <w:rFonts w:ascii="仿宋_GB2312" w:eastAsia="仿宋_GB2312"/>
                        </w:rPr>
                      </w:pPr>
                      <w:r>
                        <w:rPr>
                          <w:rFonts w:hint="eastAsia" w:ascii="仿宋_GB2312" w:eastAsia="仿宋_GB2312"/>
                        </w:rPr>
                        <w:t>立项</w:t>
                      </w:r>
                    </w:p>
                    <w:p w14:paraId="7D71F8B2">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80768"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1902E6">
                            <w:pPr>
                              <w:jc w:val="center"/>
                              <w:rPr>
                                <w:rFonts w:asciiTheme="minorEastAsia" w:hAnsiTheme="minorEastAsia" w:eastAsiaTheme="minorEastAsia"/>
                              </w:rPr>
                            </w:pPr>
                            <w:r>
                              <w:rPr>
                                <w:rFonts w:hint="eastAsia" w:asciiTheme="minorEastAsia" w:hAnsiTheme="minorEastAsia" w:eastAsiaTheme="minorEastAsia"/>
                              </w:rPr>
                              <w:t>签订合同</w:t>
                            </w:r>
                          </w:p>
                          <w:p w14:paraId="4848B879">
                            <w:pPr>
                              <w:rPr>
                                <w:rFonts w:ascii="仿宋_GB2312" w:eastAsia="仿宋_GB2312"/>
                              </w:rPr>
                            </w:pPr>
                            <w:r>
                              <w:rPr>
                                <w:rFonts w:hint="eastAsia" w:ascii="仿宋_GB2312" w:eastAsia="仿宋_GB2312"/>
                              </w:rPr>
                              <w:t>立项</w:t>
                            </w:r>
                          </w:p>
                          <w:p w14:paraId="5442E658">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80768;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081902E6">
                      <w:pPr>
                        <w:jc w:val="center"/>
                        <w:rPr>
                          <w:rFonts w:asciiTheme="minorEastAsia" w:hAnsiTheme="minorEastAsia" w:eastAsiaTheme="minorEastAsia"/>
                        </w:rPr>
                      </w:pPr>
                      <w:r>
                        <w:rPr>
                          <w:rFonts w:hint="eastAsia" w:asciiTheme="minorEastAsia" w:hAnsiTheme="minorEastAsia" w:eastAsiaTheme="minorEastAsia"/>
                        </w:rPr>
                        <w:t>签订合同</w:t>
                      </w:r>
                    </w:p>
                    <w:p w14:paraId="4848B879">
                      <w:pPr>
                        <w:rPr>
                          <w:rFonts w:ascii="仿宋_GB2312" w:eastAsia="仿宋_GB2312"/>
                        </w:rPr>
                      </w:pPr>
                      <w:r>
                        <w:rPr>
                          <w:rFonts w:hint="eastAsia" w:ascii="仿宋_GB2312" w:eastAsia="仿宋_GB2312"/>
                        </w:rPr>
                        <w:t>立项</w:t>
                      </w:r>
                    </w:p>
                    <w:p w14:paraId="5442E658">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7696"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2B123A">
                            <w:pPr>
                              <w:rPr>
                                <w:rFonts w:asciiTheme="minorEastAsia" w:hAnsiTheme="minorEastAsia" w:eastAsiaTheme="minorEastAsia"/>
                              </w:rPr>
                            </w:pPr>
                            <w:r>
                              <w:rPr>
                                <w:rFonts w:hint="eastAsia" w:asciiTheme="minorEastAsia" w:hAnsiTheme="minorEastAsia" w:eastAsiaTheme="minorEastAsia"/>
                              </w:rPr>
                              <w:t>成交公告；成交通知书</w:t>
                            </w:r>
                          </w:p>
                          <w:p w14:paraId="4601E349">
                            <w:pPr>
                              <w:rPr>
                                <w:rFonts w:ascii="仿宋_GB2312" w:eastAsia="仿宋_GB2312"/>
                              </w:rPr>
                            </w:pPr>
                            <w:r>
                              <w:rPr>
                                <w:rFonts w:hint="eastAsia" w:ascii="仿宋_GB2312" w:eastAsia="仿宋_GB2312"/>
                              </w:rPr>
                              <w:t>立项</w:t>
                            </w:r>
                          </w:p>
                          <w:p w14:paraId="128DEDB6">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7696;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612B123A">
                      <w:pPr>
                        <w:rPr>
                          <w:rFonts w:asciiTheme="minorEastAsia" w:hAnsiTheme="minorEastAsia" w:eastAsiaTheme="minorEastAsia"/>
                        </w:rPr>
                      </w:pPr>
                      <w:r>
                        <w:rPr>
                          <w:rFonts w:hint="eastAsia" w:asciiTheme="minorEastAsia" w:hAnsiTheme="minorEastAsia" w:eastAsiaTheme="minorEastAsia"/>
                        </w:rPr>
                        <w:t>成交公告；成交通知书</w:t>
                      </w:r>
                    </w:p>
                    <w:p w14:paraId="4601E349">
                      <w:pPr>
                        <w:rPr>
                          <w:rFonts w:ascii="仿宋_GB2312" w:eastAsia="仿宋_GB2312"/>
                        </w:rPr>
                      </w:pPr>
                      <w:r>
                        <w:rPr>
                          <w:rFonts w:hint="eastAsia" w:ascii="仿宋_GB2312" w:eastAsia="仿宋_GB2312"/>
                        </w:rPr>
                        <w:t>立项</w:t>
                      </w:r>
                    </w:p>
                    <w:p w14:paraId="128DEDB6">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8720"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A8D0C4">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308693D1">
                            <w:pPr>
                              <w:rPr>
                                <w:rFonts w:ascii="仿宋_GB2312" w:eastAsia="仿宋_GB2312"/>
                              </w:rPr>
                            </w:pPr>
                            <w:r>
                              <w:rPr>
                                <w:rFonts w:hint="eastAsia" w:ascii="仿宋_GB2312" w:eastAsia="仿宋_GB2312"/>
                              </w:rPr>
                              <w:t>立项</w:t>
                            </w:r>
                          </w:p>
                          <w:p w14:paraId="566E9DE8">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8720;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1DA8D0C4">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308693D1">
                      <w:pPr>
                        <w:rPr>
                          <w:rFonts w:ascii="仿宋_GB2312" w:eastAsia="仿宋_GB2312"/>
                        </w:rPr>
                      </w:pPr>
                      <w:r>
                        <w:rPr>
                          <w:rFonts w:hint="eastAsia" w:ascii="仿宋_GB2312" w:eastAsia="仿宋_GB2312"/>
                        </w:rPr>
                        <w:t>立项</w:t>
                      </w:r>
                    </w:p>
                    <w:p w14:paraId="566E9DE8">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5408"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0B63EA">
                            <w:pPr>
                              <w:jc w:val="center"/>
                              <w:rPr>
                                <w:rFonts w:asciiTheme="minorEastAsia" w:hAnsiTheme="minorEastAsia" w:eastAsiaTheme="minorEastAsia"/>
                              </w:rPr>
                            </w:pPr>
                            <w:r>
                              <w:rPr>
                                <w:rFonts w:hint="eastAsia" w:asciiTheme="minorEastAsia" w:hAnsiTheme="minorEastAsia" w:eastAsiaTheme="minorEastAsia"/>
                              </w:rPr>
                              <w:t>评审打分</w:t>
                            </w:r>
                          </w:p>
                          <w:p w14:paraId="0DAF8D6F">
                            <w:pPr>
                              <w:rPr>
                                <w:rFonts w:ascii="仿宋_GB2312" w:eastAsia="仿宋_GB2312"/>
                              </w:rPr>
                            </w:pPr>
                            <w:r>
                              <w:rPr>
                                <w:rFonts w:hint="eastAsia" w:ascii="仿宋_GB2312" w:eastAsia="仿宋_GB2312"/>
                              </w:rPr>
                              <w:t>立项</w:t>
                            </w:r>
                          </w:p>
                          <w:p w14:paraId="0D786E92">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5408;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460B63EA">
                      <w:pPr>
                        <w:jc w:val="center"/>
                        <w:rPr>
                          <w:rFonts w:asciiTheme="minorEastAsia" w:hAnsiTheme="minorEastAsia" w:eastAsiaTheme="minorEastAsia"/>
                        </w:rPr>
                      </w:pPr>
                      <w:r>
                        <w:rPr>
                          <w:rFonts w:hint="eastAsia" w:asciiTheme="minorEastAsia" w:hAnsiTheme="minorEastAsia" w:eastAsiaTheme="minorEastAsia"/>
                        </w:rPr>
                        <w:t>评审打分</w:t>
                      </w:r>
                    </w:p>
                    <w:p w14:paraId="0DAF8D6F">
                      <w:pPr>
                        <w:rPr>
                          <w:rFonts w:ascii="仿宋_GB2312" w:eastAsia="仿宋_GB2312"/>
                        </w:rPr>
                      </w:pPr>
                      <w:r>
                        <w:rPr>
                          <w:rFonts w:hint="eastAsia" w:ascii="仿宋_GB2312" w:eastAsia="仿宋_GB2312"/>
                        </w:rPr>
                        <w:t>立项</w:t>
                      </w:r>
                    </w:p>
                    <w:p w14:paraId="0D786E92">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4624"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55D1FF">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1AEDA03D">
                            <w:pPr>
                              <w:rPr>
                                <w:rFonts w:ascii="仿宋_GB2312" w:eastAsia="仿宋_GB2312"/>
                              </w:rPr>
                            </w:pPr>
                            <w:r>
                              <w:rPr>
                                <w:rFonts w:hint="eastAsia" w:ascii="仿宋_GB2312" w:eastAsia="仿宋_GB2312"/>
                              </w:rPr>
                              <w:t>立项</w:t>
                            </w:r>
                          </w:p>
                          <w:p w14:paraId="0633CE28">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4624;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3755D1FF">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1AEDA03D">
                      <w:pPr>
                        <w:rPr>
                          <w:rFonts w:ascii="仿宋_GB2312" w:eastAsia="仿宋_GB2312"/>
                        </w:rPr>
                      </w:pPr>
                      <w:r>
                        <w:rPr>
                          <w:rFonts w:hint="eastAsia" w:ascii="仿宋_GB2312" w:eastAsia="仿宋_GB2312"/>
                        </w:rPr>
                        <w:t>立项</w:t>
                      </w:r>
                    </w:p>
                    <w:p w14:paraId="0633CE28">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3600"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EDB48D">
                            <w:pPr>
                              <w:jc w:val="center"/>
                              <w:rPr>
                                <w:rFonts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3600;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53EDB48D">
                      <w:pPr>
                        <w:jc w:val="center"/>
                        <w:rPr>
                          <w:rFonts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82816"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9F198B">
                            <w:pPr>
                              <w:jc w:val="center"/>
                              <w:rPr>
                                <w:rFonts w:asciiTheme="minorEastAsia" w:hAnsiTheme="minorEastAsia" w:eastAsiaTheme="minorEastAsia"/>
                              </w:rPr>
                            </w:pPr>
                            <w:r>
                              <w:rPr>
                                <w:rFonts w:hint="eastAsia" w:asciiTheme="minorEastAsia" w:hAnsiTheme="minorEastAsia" w:eastAsiaTheme="minorEastAsia"/>
                              </w:rPr>
                              <w:t>资格审查</w:t>
                            </w:r>
                          </w:p>
                          <w:p w14:paraId="0A67FE6F">
                            <w:pPr>
                              <w:jc w:val="center"/>
                              <w:rPr>
                                <w:rFonts w:ascii="仿宋_GB2312" w:eastAsia="仿宋_GB2312"/>
                              </w:rPr>
                            </w:pPr>
                          </w:p>
                          <w:p w14:paraId="75840C21">
                            <w:pPr>
                              <w:rPr>
                                <w:rFonts w:ascii="仿宋_GB2312" w:eastAsia="仿宋_GB2312"/>
                              </w:rPr>
                            </w:pPr>
                            <w:r>
                              <w:rPr>
                                <w:rFonts w:hint="eastAsia" w:ascii="仿宋_GB2312" w:eastAsia="仿宋_GB2312"/>
                              </w:rPr>
                              <w:t>立项</w:t>
                            </w:r>
                          </w:p>
                          <w:p w14:paraId="69DCD643">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2816;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619F198B">
                      <w:pPr>
                        <w:jc w:val="center"/>
                        <w:rPr>
                          <w:rFonts w:asciiTheme="minorEastAsia" w:hAnsiTheme="minorEastAsia" w:eastAsiaTheme="minorEastAsia"/>
                        </w:rPr>
                      </w:pPr>
                      <w:r>
                        <w:rPr>
                          <w:rFonts w:hint="eastAsia" w:asciiTheme="minorEastAsia" w:hAnsiTheme="minorEastAsia" w:eastAsiaTheme="minorEastAsia"/>
                        </w:rPr>
                        <w:t>资格审查</w:t>
                      </w:r>
                    </w:p>
                    <w:p w14:paraId="0A67FE6F">
                      <w:pPr>
                        <w:jc w:val="center"/>
                        <w:rPr>
                          <w:rFonts w:ascii="仿宋_GB2312" w:eastAsia="仿宋_GB2312"/>
                        </w:rPr>
                      </w:pPr>
                    </w:p>
                    <w:p w14:paraId="75840C21">
                      <w:pPr>
                        <w:rPr>
                          <w:rFonts w:ascii="仿宋_GB2312" w:eastAsia="仿宋_GB2312"/>
                        </w:rPr>
                      </w:pPr>
                      <w:r>
                        <w:rPr>
                          <w:rFonts w:hint="eastAsia" w:ascii="仿宋_GB2312" w:eastAsia="仿宋_GB2312"/>
                        </w:rPr>
                        <w:t>立项</w:t>
                      </w:r>
                    </w:p>
                    <w:p w14:paraId="69DCD643">
                      <w:pPr>
                        <w:rPr>
                          <w:rFonts w:ascii="仿宋_GB2312" w:eastAsia="仿宋_GB2312"/>
                        </w:rPr>
                      </w:pPr>
                    </w:p>
                  </w:txbxContent>
                </v:textbox>
              </v:shape>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81792"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1792;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2336;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1312"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6FC10A">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1312;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3F6FC10A">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6432"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7D0B69">
                            <w:pPr>
                              <w:jc w:val="center"/>
                              <w:rPr>
                                <w:rFonts w:asciiTheme="minorEastAsia" w:hAnsiTheme="minorEastAsia" w:eastAsiaTheme="minorEastAsia"/>
                              </w:rPr>
                            </w:pPr>
                            <w:r>
                              <w:rPr>
                                <w:rFonts w:hint="eastAsia" w:asciiTheme="minorEastAsia" w:hAnsiTheme="minorEastAsia" w:eastAsiaTheme="minorEastAsia"/>
                              </w:rPr>
                              <w:t>开启响应文件</w:t>
                            </w:r>
                          </w:p>
                          <w:p w14:paraId="3A8F5122">
                            <w:pPr>
                              <w:rPr>
                                <w:rFonts w:ascii="仿宋_GB2312" w:eastAsia="仿宋_GB2312"/>
                              </w:rPr>
                            </w:pPr>
                            <w:r>
                              <w:rPr>
                                <w:rFonts w:hint="eastAsia" w:ascii="仿宋_GB2312" w:eastAsia="仿宋_GB2312"/>
                              </w:rPr>
                              <w:t>立项</w:t>
                            </w:r>
                          </w:p>
                          <w:p w14:paraId="0A22EC2C">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6432;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1A7D0B69">
                      <w:pPr>
                        <w:jc w:val="center"/>
                        <w:rPr>
                          <w:rFonts w:asciiTheme="minorEastAsia" w:hAnsiTheme="minorEastAsia" w:eastAsiaTheme="minorEastAsia"/>
                        </w:rPr>
                      </w:pPr>
                      <w:r>
                        <w:rPr>
                          <w:rFonts w:hint="eastAsia" w:asciiTheme="minorEastAsia" w:hAnsiTheme="minorEastAsia" w:eastAsiaTheme="minorEastAsia"/>
                        </w:rPr>
                        <w:t>开启响应文件</w:t>
                      </w:r>
                    </w:p>
                    <w:p w14:paraId="3A8F5122">
                      <w:pPr>
                        <w:rPr>
                          <w:rFonts w:ascii="仿宋_GB2312" w:eastAsia="仿宋_GB2312"/>
                        </w:rPr>
                      </w:pPr>
                      <w:r>
                        <w:rPr>
                          <w:rFonts w:hint="eastAsia" w:ascii="仿宋_GB2312" w:eastAsia="仿宋_GB2312"/>
                        </w:rPr>
                        <w:t>立项</w:t>
                      </w:r>
                    </w:p>
                    <w:p w14:paraId="0A22EC2C">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7456"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2D155D">
                            <w:pPr>
                              <w:jc w:val="center"/>
                              <w:rPr>
                                <w:rFonts w:asciiTheme="minorEastAsia" w:hAnsiTheme="minorEastAsia" w:eastAsiaTheme="minorEastAsia"/>
                              </w:rPr>
                            </w:pPr>
                            <w:r>
                              <w:rPr>
                                <w:rFonts w:hint="eastAsia" w:asciiTheme="minorEastAsia" w:hAnsiTheme="minorEastAsia" w:eastAsiaTheme="minorEastAsia"/>
                              </w:rPr>
                              <w:t>邀请供应商</w:t>
                            </w:r>
                          </w:p>
                          <w:p w14:paraId="30B0CCEF">
                            <w:pPr>
                              <w:rPr>
                                <w:rFonts w:ascii="仿宋_GB2312" w:eastAsia="仿宋_GB2312"/>
                              </w:rPr>
                            </w:pPr>
                            <w:r>
                              <w:rPr>
                                <w:rFonts w:hint="eastAsia" w:ascii="仿宋_GB2312" w:eastAsia="仿宋_GB2312"/>
                              </w:rPr>
                              <w:t>立项</w:t>
                            </w:r>
                          </w:p>
                          <w:p w14:paraId="0F2BC4B8">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7456;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102D155D">
                      <w:pPr>
                        <w:jc w:val="center"/>
                        <w:rPr>
                          <w:rFonts w:asciiTheme="minorEastAsia" w:hAnsiTheme="minorEastAsia" w:eastAsiaTheme="minorEastAsia"/>
                        </w:rPr>
                      </w:pPr>
                      <w:r>
                        <w:rPr>
                          <w:rFonts w:hint="eastAsia" w:asciiTheme="minorEastAsia" w:hAnsiTheme="minorEastAsia" w:eastAsiaTheme="minorEastAsia"/>
                        </w:rPr>
                        <w:t>邀请供应商</w:t>
                      </w:r>
                    </w:p>
                    <w:p w14:paraId="30B0CCEF">
                      <w:pPr>
                        <w:rPr>
                          <w:rFonts w:ascii="仿宋_GB2312" w:eastAsia="仿宋_GB2312"/>
                        </w:rPr>
                      </w:pPr>
                      <w:r>
                        <w:rPr>
                          <w:rFonts w:hint="eastAsia" w:ascii="仿宋_GB2312" w:eastAsia="仿宋_GB2312"/>
                        </w:rPr>
                        <w:t>立项</w:t>
                      </w:r>
                    </w:p>
                    <w:p w14:paraId="0F2BC4B8">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8480;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9504"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9504;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70528;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1552;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2576"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2576;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5648;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6672"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6672;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9744"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9744;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w:br w:type="page"/>
      </w:r>
    </w:p>
    <w:p w14:paraId="3AB93B4B">
      <w:pPr>
        <w:adjustRightInd/>
        <w:spacing w:line="360" w:lineRule="auto"/>
        <w:jc w:val="center"/>
        <w:outlineLvl w:val="0"/>
        <w:rPr>
          <w:rFonts w:hint="eastAsia" w:ascii="宋体" w:hAnsi="宋体" w:eastAsia="宋体" w:cs="宋体"/>
          <w:b/>
          <w:color w:val="auto"/>
          <w:sz w:val="36"/>
          <w:szCs w:val="20"/>
          <w:highlight w:val="none"/>
        </w:rPr>
      </w:pPr>
      <w:bookmarkStart w:id="45" w:name="_Toc31648"/>
      <w:r>
        <w:rPr>
          <w:rFonts w:hint="eastAsia" w:ascii="宋体" w:hAnsi="宋体" w:eastAsia="宋体" w:cs="宋体"/>
          <w:b/>
          <w:color w:val="auto"/>
          <w:sz w:val="36"/>
          <w:szCs w:val="20"/>
          <w:highlight w:val="none"/>
        </w:rPr>
        <w:t>第三部分</w:t>
      </w:r>
      <w:bookmarkEnd w:id="10"/>
      <w:r>
        <w:rPr>
          <w:rFonts w:hint="eastAsia" w:ascii="宋体" w:hAnsi="宋体" w:eastAsia="宋体" w:cs="宋体"/>
          <w:b/>
          <w:color w:val="auto"/>
          <w:sz w:val="36"/>
          <w:szCs w:val="20"/>
          <w:highlight w:val="none"/>
        </w:rPr>
        <w:t xml:space="preserve">  供应商须知</w:t>
      </w:r>
      <w:bookmarkEnd w:id="11"/>
      <w:bookmarkEnd w:id="45"/>
    </w:p>
    <w:p w14:paraId="31F74CBA">
      <w:pPr>
        <w:adjustRightInd/>
        <w:spacing w:line="360" w:lineRule="auto"/>
        <w:jc w:val="center"/>
        <w:outlineLvl w:val="9"/>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t>一、前附表</w:t>
      </w:r>
    </w:p>
    <w:tbl>
      <w:tblPr>
        <w:tblStyle w:val="61"/>
        <w:tblW w:w="856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1E8689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66F327BA">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3E5209EA">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6D7AD2CB">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本项目的特别规定</w:t>
            </w:r>
          </w:p>
        </w:tc>
      </w:tr>
      <w:tr w14:paraId="012035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5A32AEE7">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5AC9CC6B">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0B75785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服务类。</w:t>
            </w:r>
          </w:p>
        </w:tc>
      </w:tr>
      <w:tr w14:paraId="3D96B9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442B517E">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4CD0D6B1">
            <w:pPr>
              <w:snapToGrid w:val="0"/>
              <w:spacing w:line="360" w:lineRule="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086C508B">
            <w:pPr>
              <w:snapToGrid w:val="0"/>
              <w:spacing w:line="360" w:lineRule="auto"/>
              <w:rPr>
                <w:rFonts w:hint="eastAsia" w:ascii="宋体" w:hAnsi="宋体" w:eastAsia="宋体" w:cs="宋体"/>
                <w:b w:val="0"/>
                <w:bCs w:val="0"/>
                <w:color w:val="auto"/>
                <w:kern w:val="0"/>
                <w:sz w:val="24"/>
                <w:szCs w:val="24"/>
                <w:highlight w:val="none"/>
                <w:lang w:val="en-US"/>
              </w:rPr>
            </w:pPr>
            <w:r>
              <w:rPr>
                <w:rFonts w:hint="eastAsia" w:ascii="宋体" w:hAnsi="宋体" w:eastAsia="宋体" w:cs="宋体"/>
                <w:color w:val="auto"/>
                <w:kern w:val="0"/>
                <w:sz w:val="24"/>
                <w:highlight w:val="none"/>
              </w:rPr>
              <w:t>标的</w:t>
            </w:r>
            <w:r>
              <w:rPr>
                <w:rFonts w:hint="eastAsia" w:ascii="宋体" w:hAnsi="宋体" w:eastAsia="宋体" w:cs="宋体"/>
                <w:color w:val="auto"/>
                <w:kern w:val="0"/>
                <w:sz w:val="24"/>
                <w:highlight w:val="none"/>
                <w:lang w:eastAsia="zh-CN"/>
              </w:rPr>
              <w:t>：</w:t>
            </w:r>
            <w:r>
              <w:rPr>
                <w:rFonts w:hint="eastAsia" w:ascii="宋体" w:hAnsi="宋体" w:cs="宋体"/>
                <w:color w:val="auto"/>
                <w:kern w:val="0"/>
                <w:sz w:val="24"/>
                <w:highlight w:val="none"/>
                <w:u w:val="single"/>
                <w:lang w:eastAsia="zh-CN"/>
              </w:rPr>
              <w:t>北海市体育运动学校2026年食堂配送服务采购</w:t>
            </w:r>
            <w:r>
              <w:rPr>
                <w:rFonts w:hint="eastAsia" w:ascii="宋体" w:hAnsi="宋体" w:eastAsia="宋体" w:cs="宋体"/>
                <w:color w:val="auto"/>
                <w:kern w:val="0"/>
                <w:sz w:val="24"/>
                <w:highlight w:val="none"/>
              </w:rPr>
              <w:t>，属于</w:t>
            </w:r>
            <w:r>
              <w:rPr>
                <w:rFonts w:hint="eastAsia" w:cs="宋体" w:asciiTheme="minorEastAsia" w:hAnsiTheme="minorEastAsia" w:eastAsiaTheme="minorEastAsia"/>
                <w:color w:val="auto"/>
                <w:kern w:val="0"/>
                <w:sz w:val="24"/>
                <w:highlight w:val="none"/>
                <w:u w:val="single"/>
              </w:rPr>
              <w:t>批发业</w:t>
            </w:r>
            <w:r>
              <w:rPr>
                <w:rFonts w:hint="eastAsia" w:ascii="宋体" w:hAnsi="宋体" w:eastAsia="宋体" w:cs="宋体"/>
                <w:color w:val="auto"/>
                <w:kern w:val="0"/>
                <w:sz w:val="24"/>
                <w:highlight w:val="none"/>
              </w:rPr>
              <w:t>行业；</w:t>
            </w:r>
          </w:p>
        </w:tc>
      </w:tr>
      <w:tr w14:paraId="75DABF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1ED95A59">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54616B90">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271880F2">
            <w:pPr>
              <w:spacing w:line="360" w:lineRule="auto"/>
              <w:rPr>
                <w:rFonts w:hint="eastAsia" w:ascii="宋体" w:hAnsi="宋体" w:eastAsia="宋体" w:cs="宋体"/>
                <w:color w:val="auto"/>
                <w:kern w:val="0"/>
                <w:sz w:val="24"/>
                <w:highlight w:val="none"/>
              </w:rPr>
            </w:pPr>
            <w:sdt>
              <w:sdtPr>
                <w:rPr>
                  <w:rFonts w:hint="eastAsia" w:ascii="宋体" w:hAnsi="宋体" w:eastAsia="宋体" w:cs="宋体"/>
                  <w:color w:val="auto"/>
                  <w:kern w:val="0"/>
                  <w:sz w:val="24"/>
                  <w:highlight w:val="none"/>
                </w:rPr>
                <w:id w:val="-1828425707"/>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kern w:val="0"/>
                <w:sz w:val="24"/>
                <w:highlight w:val="none"/>
              </w:rPr>
              <w:t>本项目不允许采购进口产品。</w:t>
            </w:r>
          </w:p>
          <w:p w14:paraId="1E439E84">
            <w:pPr>
              <w:spacing w:line="360" w:lineRule="auto"/>
              <w:rPr>
                <w:rFonts w:hint="eastAsia" w:ascii="宋体" w:hAnsi="宋体" w:eastAsia="宋体" w:cs="宋体"/>
                <w:color w:val="auto"/>
                <w:highlight w:val="none"/>
              </w:rPr>
            </w:pPr>
            <w:sdt>
              <w:sdtPr>
                <w:rPr>
                  <w:rFonts w:hint="eastAsia" w:ascii="宋体" w:hAnsi="宋体" w:eastAsia="宋体" w:cs="宋体"/>
                  <w:color w:val="auto"/>
                  <w:kern w:val="0"/>
                  <w:sz w:val="24"/>
                  <w:highlight w:val="none"/>
                </w:rPr>
                <w:id w:val="-52852824"/>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szCs w:val="24"/>
                    <w:highlight w:val="none"/>
                    <w:lang w:val="en-US" w:eastAsia="zh-CN" w:bidi="ar-SA"/>
                  </w:rPr>
                  <w:t>☐</w:t>
                </w:r>
              </w:sdtContent>
            </w:sdt>
            <w:r>
              <w:rPr>
                <w:rFonts w:hint="eastAsia" w:ascii="宋体" w:hAnsi="宋体" w:eastAsia="宋体" w:cs="宋体"/>
                <w:color w:val="auto"/>
                <w:kern w:val="0"/>
                <w:sz w:val="24"/>
                <w:highlight w:val="none"/>
              </w:rPr>
              <w:t>可以就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采购进口产品。</w:t>
            </w:r>
          </w:p>
        </w:tc>
      </w:tr>
      <w:tr w14:paraId="1A6CD4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4E60933F">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0769CB7D">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0D3B54B6">
            <w:pPr>
              <w:spacing w:line="360" w:lineRule="auto"/>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147482350"/>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szCs w:val="24"/>
                    <w:highlight w:val="none"/>
                    <w:lang w:val="en-US" w:eastAsia="zh-CN" w:bidi="ar-SA"/>
                  </w:rPr>
                  <w:t>☐</w:t>
                </w:r>
              </w:sdtContent>
            </w:sdt>
            <w:r>
              <w:rPr>
                <w:rFonts w:hint="eastAsia" w:ascii="宋体" w:hAnsi="宋体" w:eastAsia="宋体" w:cs="宋体"/>
                <w:color w:val="auto"/>
                <w:sz w:val="24"/>
                <w:highlight w:val="none"/>
              </w:rPr>
              <w:t>同意将非主体、非关键性的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工作分包。</w:t>
            </w:r>
            <w:sdt>
              <w:sdtPr>
                <w:rPr>
                  <w:rFonts w:hint="eastAsia" w:ascii="宋体" w:hAnsi="宋体" w:eastAsia="宋体" w:cs="宋体"/>
                  <w:color w:val="auto"/>
                  <w:kern w:val="0"/>
                  <w:sz w:val="24"/>
                  <w:highlight w:val="none"/>
                </w:rPr>
                <w:id w:val="147464546"/>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sz w:val="24"/>
                <w:highlight w:val="none"/>
              </w:rPr>
              <w:t>不同意分包。</w:t>
            </w:r>
          </w:p>
          <w:p w14:paraId="3493B40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不得限制大中型企业向小微企业合理分包。</w:t>
            </w:r>
          </w:p>
        </w:tc>
      </w:tr>
      <w:tr w14:paraId="18FCC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14C0DE6B">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40AA43F3">
            <w:pPr>
              <w:snapToGrid w:val="0"/>
              <w:spacing w:line="360" w:lineRule="auto"/>
              <w:jc w:val="center"/>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开标前答疑会</w:t>
            </w:r>
          </w:p>
        </w:tc>
        <w:tc>
          <w:tcPr>
            <w:tcW w:w="6095" w:type="dxa"/>
            <w:tcBorders>
              <w:top w:val="single" w:color="000000" w:sz="8" w:space="0"/>
              <w:left w:val="single" w:color="000000" w:sz="2" w:space="0"/>
              <w:bottom w:val="single" w:color="000000" w:sz="8" w:space="0"/>
              <w:right w:val="single" w:color="000000" w:sz="8" w:space="0"/>
            </w:tcBorders>
            <w:vAlign w:val="center"/>
          </w:tcPr>
          <w:p w14:paraId="3AB3BCA0">
            <w:pPr>
              <w:spacing w:line="360" w:lineRule="auto"/>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212966419"/>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sz w:val="24"/>
                <w:highlight w:val="none"/>
              </w:rPr>
              <w:t>不组织。</w:t>
            </w:r>
          </w:p>
          <w:p w14:paraId="5908905A">
            <w:pPr>
              <w:spacing w:line="360" w:lineRule="auto"/>
              <w:rPr>
                <w:rFonts w:hint="eastAsia" w:ascii="宋体" w:hAnsi="宋体" w:eastAsia="宋体" w:cs="宋体"/>
                <w:color w:val="auto"/>
                <w:sz w:val="24"/>
                <w:szCs w:val="20"/>
                <w:highlight w:val="none"/>
              </w:rPr>
            </w:pPr>
            <w:sdt>
              <w:sdtPr>
                <w:rPr>
                  <w:rFonts w:hint="eastAsia" w:ascii="宋体" w:hAnsi="宋体" w:eastAsia="宋体" w:cs="宋体"/>
                  <w:color w:val="auto"/>
                  <w:kern w:val="0"/>
                  <w:sz w:val="24"/>
                  <w:highlight w:val="none"/>
                </w:rPr>
                <w:id w:val="147479243"/>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szCs w:val="24"/>
                    <w:highlight w:val="none"/>
                    <w:lang w:val="en-US" w:eastAsia="zh-CN" w:bidi="ar-SA"/>
                  </w:rPr>
                  <w:t>☐</w:t>
                </w:r>
              </w:sdtContent>
            </w:sdt>
            <w:r>
              <w:rPr>
                <w:rFonts w:hint="eastAsia" w:ascii="宋体" w:hAnsi="宋体" w:eastAsia="宋体" w:cs="宋体"/>
                <w:color w:val="auto"/>
                <w:kern w:val="0"/>
                <w:sz w:val="24"/>
                <w:highlight w:val="none"/>
              </w:rPr>
              <w:t>组织，</w:t>
            </w:r>
            <w:r>
              <w:rPr>
                <w:rFonts w:hint="eastAsia" w:ascii="宋体" w:hAnsi="宋体" w:eastAsia="宋体" w:cs="宋体"/>
                <w:color w:val="auto"/>
                <w:sz w:val="24"/>
                <w:highlight w:val="none"/>
              </w:rPr>
              <w:t>时间</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年   月   日   时   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szCs w:val="20"/>
                <w:highlight w:val="none"/>
              </w:rPr>
              <w:t>。</w:t>
            </w:r>
          </w:p>
        </w:tc>
      </w:tr>
      <w:tr w14:paraId="5D4B68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shd w:val="clear" w:color="auto" w:fill="auto"/>
            <w:vAlign w:val="center"/>
          </w:tcPr>
          <w:p w14:paraId="0418C314">
            <w:pPr>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31D759D0">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现场踏勘</w:t>
            </w:r>
          </w:p>
        </w:tc>
        <w:tc>
          <w:tcPr>
            <w:tcW w:w="6095" w:type="dxa"/>
            <w:tcBorders>
              <w:top w:val="single" w:color="000000" w:sz="8" w:space="0"/>
              <w:left w:val="single" w:color="000000" w:sz="2" w:space="0"/>
              <w:bottom w:val="single" w:color="000000" w:sz="8" w:space="0"/>
              <w:right w:val="single" w:color="000000" w:sz="8" w:space="0"/>
            </w:tcBorders>
            <w:vAlign w:val="center"/>
          </w:tcPr>
          <w:p w14:paraId="49372A2D">
            <w:pPr>
              <w:spacing w:line="360" w:lineRule="auto"/>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147458929"/>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sz w:val="24"/>
                <w:highlight w:val="none"/>
              </w:rPr>
              <w:t>不组织。</w:t>
            </w:r>
          </w:p>
          <w:p w14:paraId="7A686C83">
            <w:pPr>
              <w:spacing w:line="360" w:lineRule="auto"/>
              <w:rPr>
                <w:rFonts w:hint="eastAsia" w:ascii="宋体" w:hAnsi="宋体" w:eastAsia="宋体" w:cs="宋体"/>
                <w:color w:val="auto"/>
                <w:kern w:val="0"/>
                <w:sz w:val="24"/>
                <w:highlight w:val="none"/>
              </w:rPr>
            </w:pPr>
            <w:sdt>
              <w:sdtPr>
                <w:rPr>
                  <w:rFonts w:hint="eastAsia" w:ascii="宋体" w:hAnsi="宋体" w:eastAsia="宋体" w:cs="宋体"/>
                  <w:color w:val="auto"/>
                  <w:kern w:val="0"/>
                  <w:sz w:val="24"/>
                  <w:highlight w:val="none"/>
                </w:rPr>
                <w:id w:val="147467266"/>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szCs w:val="24"/>
                    <w:highlight w:val="none"/>
                    <w:lang w:val="en-US" w:eastAsia="zh-CN" w:bidi="ar-SA"/>
                  </w:rPr>
                  <w:t>☐</w:t>
                </w:r>
              </w:sdtContent>
            </w:sdt>
            <w:r>
              <w:rPr>
                <w:rFonts w:hint="eastAsia" w:ascii="宋体" w:hAnsi="宋体" w:eastAsia="宋体" w:cs="宋体"/>
                <w:color w:val="auto"/>
                <w:kern w:val="0"/>
                <w:sz w:val="24"/>
                <w:highlight w:val="none"/>
              </w:rPr>
              <w:t>组织，</w:t>
            </w:r>
            <w:r>
              <w:rPr>
                <w:rFonts w:hint="eastAsia" w:ascii="宋体" w:hAnsi="宋体" w:eastAsia="宋体" w:cs="宋体"/>
                <w:color w:val="auto"/>
                <w:kern w:val="0"/>
                <w:sz w:val="24"/>
                <w:highlight w:val="none"/>
                <w:lang w:val="en-US" w:eastAsia="zh-CN"/>
              </w:rPr>
              <w:t>现场踏勘</w:t>
            </w:r>
            <w:r>
              <w:rPr>
                <w:rFonts w:hint="eastAsia" w:ascii="宋体" w:hAnsi="宋体" w:eastAsia="宋体" w:cs="宋体"/>
                <w:color w:val="auto"/>
                <w:sz w:val="24"/>
                <w:highlight w:val="none"/>
              </w:rPr>
              <w:t>时间</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szCs w:val="20"/>
                <w:highlight w:val="none"/>
              </w:rPr>
              <w:t>。</w:t>
            </w:r>
          </w:p>
        </w:tc>
      </w:tr>
      <w:tr w14:paraId="714A07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shd w:val="clear" w:color="auto" w:fill="auto"/>
            <w:vAlign w:val="center"/>
          </w:tcPr>
          <w:p w14:paraId="5C4B1E73">
            <w:pPr>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3F7CCECA">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1C078D6A">
            <w:pPr>
              <w:spacing w:line="360" w:lineRule="auto"/>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147482319"/>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sz w:val="24"/>
                <w:highlight w:val="none"/>
              </w:rPr>
              <w:t>不要求提供。</w:t>
            </w:r>
          </w:p>
          <w:p w14:paraId="7D0E6EB5">
            <w:pPr>
              <w:spacing w:line="360" w:lineRule="auto"/>
              <w:rPr>
                <w:rFonts w:hint="eastAsia" w:ascii="宋体" w:hAnsi="宋体" w:eastAsia="宋体" w:cs="宋体"/>
                <w:color w:val="auto"/>
                <w:kern w:val="0"/>
                <w:sz w:val="24"/>
                <w:highlight w:val="none"/>
              </w:rPr>
            </w:pPr>
            <w:sdt>
              <w:sdtPr>
                <w:rPr>
                  <w:rFonts w:hint="eastAsia" w:ascii="宋体" w:hAnsi="宋体" w:eastAsia="宋体" w:cs="宋体"/>
                  <w:color w:val="auto"/>
                  <w:kern w:val="0"/>
                  <w:sz w:val="24"/>
                  <w:highlight w:val="none"/>
                </w:rPr>
                <w:id w:val="1026831988"/>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kern w:val="0"/>
                <w:sz w:val="24"/>
                <w:highlight w:val="none"/>
              </w:rPr>
              <w:t>要求提供，</w:t>
            </w:r>
          </w:p>
          <w:p w14:paraId="160346F7">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snapToGrid w:val="0"/>
                <w:color w:val="auto"/>
                <w:kern w:val="28"/>
                <w:sz w:val="24"/>
                <w:highlight w:val="none"/>
              </w:rPr>
              <w:t>样品</w:t>
            </w:r>
            <w:r>
              <w:rPr>
                <w:rFonts w:hint="eastAsia" w:ascii="宋体" w:hAnsi="宋体" w:eastAsia="宋体" w:cs="宋体"/>
                <w:snapToGrid w:val="0"/>
                <w:color w:val="auto"/>
                <w:kern w:val="28"/>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w:t>
            </w:r>
          </w:p>
          <w:p w14:paraId="1DC272B8">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snapToGrid w:val="0"/>
                <w:color w:val="auto"/>
                <w:kern w:val="28"/>
                <w:sz w:val="24"/>
                <w:highlight w:val="none"/>
              </w:rPr>
              <w:t>样品制作的标准和要求</w:t>
            </w:r>
            <w:r>
              <w:rPr>
                <w:rFonts w:hint="eastAsia" w:ascii="宋体" w:hAnsi="宋体" w:eastAsia="宋体" w:cs="宋体"/>
                <w:snapToGrid w:val="0"/>
                <w:color w:val="auto"/>
                <w:kern w:val="28"/>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w:t>
            </w:r>
          </w:p>
          <w:p w14:paraId="71D072FD">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（3）样品的评审方法以及评审标准</w:t>
            </w:r>
            <w:r>
              <w:rPr>
                <w:rFonts w:hint="eastAsia" w:ascii="宋体" w:hAnsi="宋体" w:eastAsia="宋体" w:cs="宋体"/>
                <w:snapToGrid w:val="0"/>
                <w:color w:val="auto"/>
                <w:kern w:val="28"/>
                <w:sz w:val="24"/>
                <w:highlight w:val="none"/>
                <w:lang w:eastAsia="zh-CN"/>
              </w:rPr>
              <w:t>：</w:t>
            </w:r>
            <w:r>
              <w:rPr>
                <w:rFonts w:hint="eastAsia" w:ascii="宋体" w:hAnsi="宋体" w:eastAsia="宋体" w:cs="宋体"/>
                <w:snapToGrid w:val="0"/>
                <w:color w:val="auto"/>
                <w:kern w:val="28"/>
                <w:sz w:val="24"/>
                <w:highlight w:val="none"/>
              </w:rPr>
              <w:t>详见</w:t>
            </w:r>
            <w:r>
              <w:rPr>
                <w:rFonts w:hint="eastAsia" w:ascii="宋体" w:hAnsi="宋体" w:eastAsia="宋体" w:cs="宋体"/>
                <w:color w:val="auto"/>
                <w:sz w:val="24"/>
                <w:highlight w:val="none"/>
                <w:u w:val="single"/>
              </w:rPr>
              <w:t>评审标准</w:t>
            </w:r>
            <w:r>
              <w:rPr>
                <w:rFonts w:hint="eastAsia" w:ascii="宋体" w:hAnsi="宋体" w:eastAsia="宋体" w:cs="宋体"/>
                <w:color w:val="auto"/>
                <w:kern w:val="0"/>
                <w:sz w:val="24"/>
                <w:highlight w:val="none"/>
              </w:rPr>
              <w:t>；</w:t>
            </w:r>
          </w:p>
          <w:p w14:paraId="54239147">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（4）是否需要随样品提交检测报告</w:t>
            </w:r>
            <w:r>
              <w:rPr>
                <w:rFonts w:hint="eastAsia" w:ascii="宋体" w:hAnsi="宋体" w:eastAsia="宋体" w:cs="宋体"/>
                <w:color w:val="auto"/>
                <w:kern w:val="0"/>
                <w:sz w:val="24"/>
                <w:highlight w:val="none"/>
                <w:lang w:eastAsia="zh-CN"/>
              </w:rPr>
              <w:t>：</w:t>
            </w:r>
            <w:sdt>
              <w:sdtPr>
                <w:rPr>
                  <w:rFonts w:hint="eastAsia" w:ascii="宋体" w:hAnsi="宋体" w:eastAsia="宋体" w:cs="宋体"/>
                  <w:color w:val="auto"/>
                  <w:kern w:val="0"/>
                  <w:sz w:val="24"/>
                  <w:highlight w:val="none"/>
                </w:rPr>
                <w:id w:val="1303421454"/>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kern w:val="0"/>
                <w:sz w:val="24"/>
                <w:highlight w:val="none"/>
              </w:rPr>
              <w:t>否；</w:t>
            </w:r>
            <w:sdt>
              <w:sdtPr>
                <w:rPr>
                  <w:rFonts w:hint="eastAsia" w:ascii="宋体" w:hAnsi="宋体" w:eastAsia="宋体" w:cs="宋体"/>
                  <w:color w:val="auto"/>
                  <w:kern w:val="0"/>
                  <w:sz w:val="24"/>
                  <w:highlight w:val="none"/>
                </w:rPr>
                <w:id w:val="1621728433"/>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kern w:val="0"/>
                <w:sz w:val="24"/>
                <w:highlight w:val="none"/>
              </w:rPr>
              <w:t>是，检测机构的要求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；检测内容</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w:t>
            </w:r>
          </w:p>
          <w:p w14:paraId="53138B9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（5）提供样品的时间</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；地点</w:t>
            </w:r>
            <w:r>
              <w:rPr>
                <w:rFonts w:hint="eastAsia" w:ascii="宋体" w:hAnsi="宋体" w:eastAsia="宋体" w:cs="宋体"/>
                <w:color w:val="auto"/>
                <w:kern w:val="0"/>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；联系人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28"/>
                <w:sz w:val="24"/>
                <w:highlight w:val="none"/>
              </w:rPr>
              <w:t>联系电话</w:t>
            </w:r>
            <w:r>
              <w:rPr>
                <w:rFonts w:hint="eastAsia" w:ascii="宋体" w:hAnsi="宋体" w:eastAsia="宋体" w:cs="宋体"/>
                <w:color w:val="auto"/>
                <w:kern w:val="28"/>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。请供应商在上述时间内提供样品并按规定位置安装完毕。超过截止时间的，采购人或采购代理机构将不予接收，并将清场并封闭样品现场。</w:t>
            </w:r>
          </w:p>
          <w:p w14:paraId="17A0074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365EF644">
            <w:pPr>
              <w:spacing w:line="360" w:lineRule="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（7）制作、运输、安装和保管样品所发生的一切费用由供应商自理。</w:t>
            </w:r>
          </w:p>
        </w:tc>
      </w:tr>
      <w:tr w14:paraId="23B09E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shd w:val="clear" w:color="auto" w:fill="auto"/>
            <w:vAlign w:val="center"/>
          </w:tcPr>
          <w:p w14:paraId="63948487">
            <w:pPr>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8</w:t>
            </w:r>
          </w:p>
        </w:tc>
        <w:tc>
          <w:tcPr>
            <w:tcW w:w="1843" w:type="dxa"/>
            <w:tcBorders>
              <w:top w:val="single" w:color="000000" w:sz="8" w:space="0"/>
              <w:left w:val="single" w:color="auto" w:sz="4" w:space="0"/>
              <w:bottom w:val="single" w:color="000000" w:sz="8" w:space="0"/>
              <w:right w:val="single" w:color="000000" w:sz="8" w:space="0"/>
            </w:tcBorders>
            <w:vAlign w:val="center"/>
          </w:tcPr>
          <w:p w14:paraId="572EF6CC">
            <w:pPr>
              <w:snapToGrid w:val="0"/>
              <w:spacing w:line="360" w:lineRule="auto"/>
              <w:jc w:val="center"/>
              <w:rPr>
                <w:rFonts w:hint="eastAsia" w:ascii="宋体" w:hAnsi="宋体" w:eastAsia="宋体" w:cs="宋体"/>
                <w:bCs/>
                <w:color w:val="auto"/>
                <w:sz w:val="24"/>
                <w:highlight w:val="none"/>
              </w:rPr>
            </w:pPr>
            <w:r>
              <w:rPr>
                <w:rFonts w:hint="eastAsia" w:ascii="宋体" w:hAnsi="宋体" w:eastAsia="宋体" w:cs="宋体"/>
                <w:b/>
                <w:color w:val="auto"/>
                <w:sz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522D960F">
            <w:pPr>
              <w:spacing w:line="360" w:lineRule="auto"/>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1859348549"/>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sz w:val="24"/>
                <w:highlight w:val="none"/>
              </w:rPr>
              <w:t>不组织。</w:t>
            </w:r>
          </w:p>
          <w:p w14:paraId="43E8BEEE">
            <w:pPr>
              <w:spacing w:line="360" w:lineRule="auto"/>
              <w:rPr>
                <w:rFonts w:hint="eastAsia" w:ascii="宋体" w:hAnsi="宋体" w:eastAsia="宋体" w:cs="宋体"/>
                <w:color w:val="auto"/>
                <w:kern w:val="0"/>
                <w:sz w:val="24"/>
                <w:highlight w:val="none"/>
              </w:rPr>
            </w:pPr>
            <w:sdt>
              <w:sdtPr>
                <w:rPr>
                  <w:rFonts w:hint="eastAsia" w:ascii="宋体" w:hAnsi="宋体" w:eastAsia="宋体" w:cs="宋体"/>
                  <w:color w:val="auto"/>
                  <w:kern w:val="0"/>
                  <w:sz w:val="24"/>
                  <w:highlight w:val="none"/>
                </w:rPr>
                <w:id w:val="1174071719"/>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kern w:val="0"/>
                <w:sz w:val="24"/>
                <w:highlight w:val="none"/>
              </w:rPr>
              <w:t>组织。</w:t>
            </w:r>
          </w:p>
          <w:p w14:paraId="1793DE89">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（1）在评审时安排每个供应商进行方案讲解演示。每个供应商时间不超过</w:t>
            </w:r>
            <w:r>
              <w:rPr>
                <w:rFonts w:hint="eastAsia" w:ascii="宋体" w:hAnsi="宋体" w:eastAsia="宋体" w:cs="宋体"/>
                <w:color w:val="auto"/>
                <w:kern w:val="0"/>
                <w:sz w:val="24"/>
                <w:highlight w:val="none"/>
                <w:u w:val="single"/>
              </w:rPr>
              <w:t>20（编制时可根据项目情况进行调整）</w:t>
            </w:r>
            <w:r>
              <w:rPr>
                <w:rFonts w:hint="eastAsia" w:ascii="宋体" w:hAnsi="宋体" w:eastAsia="宋体" w:cs="宋体"/>
                <w:color w:val="auto"/>
                <w:kern w:val="0"/>
                <w:sz w:val="24"/>
                <w:highlight w:val="none"/>
              </w:rPr>
              <w:t>分钟，讲解次序以响应文件解密时间先后次序为准，讲解演示人员不超过</w:t>
            </w:r>
            <w:r>
              <w:rPr>
                <w:rFonts w:hint="eastAsia" w:ascii="宋体" w:hAnsi="宋体" w:eastAsia="宋体" w:cs="宋体"/>
                <w:color w:val="auto"/>
                <w:kern w:val="0"/>
                <w:sz w:val="24"/>
                <w:highlight w:val="none"/>
                <w:u w:val="single"/>
              </w:rPr>
              <w:t>3（编制时可根据项目情况进行调整）</w:t>
            </w:r>
            <w:r>
              <w:rPr>
                <w:rFonts w:hint="eastAsia" w:ascii="宋体" w:hAnsi="宋体" w:eastAsia="宋体" w:cs="宋体"/>
                <w:color w:val="auto"/>
                <w:kern w:val="0"/>
                <w:sz w:val="24"/>
                <w:highlight w:val="none"/>
              </w:rPr>
              <w:t>人。讲解演示结束后按要求解答评标委员会提问。</w:t>
            </w:r>
          </w:p>
          <w:p w14:paraId="6C8245B2">
            <w:pPr>
              <w:snapToGrid w:val="0"/>
              <w:spacing w:line="360" w:lineRule="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（2）方案讲解演示可选择以下其中一种方式</w:t>
            </w:r>
            <w:r>
              <w:rPr>
                <w:rFonts w:hint="eastAsia" w:ascii="宋体" w:hAnsi="宋体" w:eastAsia="宋体" w:cs="宋体"/>
                <w:color w:val="auto"/>
                <w:kern w:val="0"/>
                <w:sz w:val="24"/>
                <w:highlight w:val="none"/>
                <w:lang w:eastAsia="zh-CN"/>
              </w:rPr>
              <w:t>：</w:t>
            </w:r>
          </w:p>
          <w:p w14:paraId="15989CE4">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方式一</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广西政府采购云平台在线讲解演示。广西政府采购云平台在线讲解需供应商根据广西政府采购云平台操作要求做好准备工作，提前完善软硬件配置环境。</w:t>
            </w:r>
          </w:p>
          <w:p w14:paraId="65840670">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方式二</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交易中心现场讲解演示。现场讲解地点为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，讲解演示所用电脑等设备由供应商自备。现场讲解演示人员进场时提供讲解人员名单（加盖公章或授权代表签名）及身份证明，否则不得讲解演示。</w:t>
            </w:r>
          </w:p>
          <w:p w14:paraId="61F89630">
            <w:pPr>
              <w:snapToGrid w:val="0"/>
              <w:spacing w:line="360" w:lineRule="auto"/>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rPr>
              <w:t>注</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因供应商自身原因导致无法演示或者演示效果不理想的，责任自负。因平台原因导致本项目方案讲解演示环节无法顺利开展，按照相关规定执行。</w:t>
            </w:r>
          </w:p>
        </w:tc>
      </w:tr>
      <w:tr w14:paraId="317F28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vMerge w:val="restart"/>
            <w:tcBorders>
              <w:top w:val="single" w:color="auto" w:sz="4" w:space="0"/>
              <w:left w:val="single" w:color="auto" w:sz="4" w:space="0"/>
              <w:right w:val="single" w:color="auto" w:sz="4" w:space="0"/>
            </w:tcBorders>
            <w:vAlign w:val="center"/>
          </w:tcPr>
          <w:p w14:paraId="6BDD6DF8">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1843" w:type="dxa"/>
            <w:vMerge w:val="restart"/>
            <w:tcBorders>
              <w:top w:val="single" w:color="000000" w:sz="8" w:space="0"/>
              <w:left w:val="single" w:color="auto" w:sz="4" w:space="0"/>
              <w:right w:val="single" w:color="000000" w:sz="8" w:space="0"/>
            </w:tcBorders>
            <w:vAlign w:val="center"/>
          </w:tcPr>
          <w:p w14:paraId="78DAB27F">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供应商应当提供的资格、资信证明文件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023245C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（1）资格证明文件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见磋商文件第</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 xml:space="preserve">部分 </w:t>
            </w:r>
            <w:r>
              <w:rPr>
                <w:rFonts w:hint="eastAsia" w:ascii="宋体" w:hAnsi="宋体" w:eastAsia="宋体" w:cs="宋体"/>
                <w:color w:val="auto"/>
                <w:sz w:val="24"/>
                <w:highlight w:val="none"/>
                <w:lang w:val="en-US" w:eastAsia="zh-CN"/>
              </w:rPr>
              <w:t>六</w:t>
            </w:r>
            <w:r>
              <w:rPr>
                <w:rFonts w:hint="eastAsia" w:ascii="宋体" w:hAnsi="宋体" w:eastAsia="宋体" w:cs="宋体"/>
                <w:color w:val="auto"/>
                <w:sz w:val="24"/>
                <w:highlight w:val="none"/>
              </w:rPr>
              <w:t>。</w:t>
            </w:r>
          </w:p>
          <w:p w14:paraId="29D651C1">
            <w:pPr>
              <w:spacing w:line="360" w:lineRule="auto"/>
              <w:rPr>
                <w:rFonts w:hint="eastAsia" w:ascii="宋体" w:hAnsi="宋体" w:eastAsia="宋体" w:cs="宋体"/>
                <w:snapToGrid w:val="0"/>
                <w:color w:val="auto"/>
                <w:kern w:val="0"/>
                <w:szCs w:val="21"/>
                <w:highlight w:val="none"/>
              </w:rPr>
            </w:pPr>
            <w:r>
              <w:rPr>
                <w:rFonts w:hint="eastAsia" w:ascii="宋体" w:hAnsi="宋体" w:eastAsia="宋体" w:cs="宋体"/>
                <w:color w:val="auto"/>
                <w:kern w:val="0"/>
                <w:sz w:val="24"/>
                <w:highlight w:val="none"/>
                <w:lang w:val="zh-CN"/>
              </w:rPr>
              <w:t>供应商未提供有效的资格证明文件的，视为供应商不具备磋商文件中规定的资格要求，响应无效。</w:t>
            </w:r>
          </w:p>
        </w:tc>
      </w:tr>
      <w:tr w14:paraId="35DD25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vMerge w:val="continue"/>
            <w:tcBorders>
              <w:left w:val="single" w:color="auto" w:sz="4" w:space="0"/>
              <w:bottom w:val="single" w:color="auto" w:sz="4" w:space="0"/>
              <w:right w:val="single" w:color="auto" w:sz="4" w:space="0"/>
            </w:tcBorders>
            <w:shd w:val="clear" w:color="auto" w:fill="auto"/>
            <w:vAlign w:val="center"/>
          </w:tcPr>
          <w:p w14:paraId="430EEFB5">
            <w:pPr>
              <w:snapToGrid w:val="0"/>
              <w:spacing w:line="360" w:lineRule="auto"/>
              <w:jc w:val="center"/>
              <w:rPr>
                <w:rFonts w:hint="eastAsia" w:ascii="宋体" w:hAnsi="宋体" w:eastAsia="宋体" w:cs="宋体"/>
                <w:color w:val="auto"/>
                <w:kern w:val="2"/>
                <w:sz w:val="24"/>
                <w:szCs w:val="24"/>
                <w:highlight w:val="none"/>
                <w:lang w:val="en-US" w:eastAsia="zh-CN" w:bidi="ar-SA"/>
              </w:rPr>
            </w:pPr>
          </w:p>
        </w:tc>
        <w:tc>
          <w:tcPr>
            <w:tcW w:w="1843" w:type="dxa"/>
            <w:vMerge w:val="continue"/>
            <w:tcBorders>
              <w:left w:val="single" w:color="auto" w:sz="4" w:space="0"/>
              <w:bottom w:val="single" w:color="000000" w:sz="8" w:space="0"/>
              <w:right w:val="single" w:color="000000" w:sz="8" w:space="0"/>
            </w:tcBorders>
            <w:vAlign w:val="center"/>
          </w:tcPr>
          <w:p w14:paraId="61FDD170">
            <w:pPr>
              <w:snapToGrid w:val="0"/>
              <w:spacing w:line="360" w:lineRule="auto"/>
              <w:jc w:val="center"/>
              <w:rPr>
                <w:rFonts w:hint="eastAsia" w:ascii="宋体" w:hAnsi="宋体" w:eastAsia="宋体" w:cs="宋体"/>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44D3F68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（2）资信证明文件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根据磋商文件第五部分评审标准提供。</w:t>
            </w:r>
          </w:p>
        </w:tc>
      </w:tr>
      <w:tr w14:paraId="6AE255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bottom w:val="single" w:color="auto" w:sz="4" w:space="0"/>
              <w:right w:val="single" w:color="000000" w:sz="2" w:space="0"/>
            </w:tcBorders>
            <w:shd w:val="clear" w:color="auto" w:fill="auto"/>
            <w:vAlign w:val="center"/>
          </w:tcPr>
          <w:p w14:paraId="37F463B9">
            <w:pPr>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shd w:val="clear" w:color="auto" w:fill="auto"/>
            <w:vAlign w:val="center"/>
          </w:tcPr>
          <w:p w14:paraId="7BB7F20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szCs w:val="24"/>
                <w:highlight w:val="none"/>
                <w:lang w:val="en-US" w:eastAsia="zh-CN"/>
              </w:rPr>
              <w:t>允许偏离的条款数量</w:t>
            </w:r>
          </w:p>
        </w:tc>
        <w:tc>
          <w:tcPr>
            <w:tcW w:w="6095" w:type="dxa"/>
            <w:tcBorders>
              <w:top w:val="single" w:color="000000" w:sz="8" w:space="0"/>
              <w:left w:val="single" w:color="000000" w:sz="2" w:space="0"/>
              <w:bottom w:val="single" w:color="000000" w:sz="8" w:space="0"/>
              <w:right w:val="single" w:color="000000" w:sz="8" w:space="0"/>
            </w:tcBorders>
            <w:shd w:val="clear" w:color="auto" w:fill="auto"/>
            <w:vAlign w:val="center"/>
          </w:tcPr>
          <w:p w14:paraId="5A04B59F">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商务条款评审中允许负偏离的条款数为</w:t>
            </w:r>
            <w:r>
              <w:rPr>
                <w:rFonts w:hint="eastAsia" w:ascii="宋体" w:hAnsi="宋体" w:eastAsia="宋体" w:cs="宋体"/>
                <w:color w:val="auto"/>
                <w:sz w:val="24"/>
                <w:szCs w:val="24"/>
                <w:highlight w:val="none"/>
                <w:u w:val="single"/>
              </w:rPr>
              <w:t xml:space="preserve"> 0</w:t>
            </w:r>
            <w:r>
              <w:rPr>
                <w:rFonts w:hint="eastAsia" w:ascii="宋体" w:hAnsi="宋体" w:eastAsia="宋体" w:cs="宋体"/>
                <w:color w:val="auto"/>
                <w:sz w:val="24"/>
                <w:szCs w:val="24"/>
                <w:highlight w:val="none"/>
              </w:rPr>
              <w:t>项。</w:t>
            </w:r>
          </w:p>
          <w:p w14:paraId="5B4A0C2A">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技术条款评审中允许负偏离的条款数为</w:t>
            </w:r>
            <w:r>
              <w:rPr>
                <w:rFonts w:hint="eastAsia" w:ascii="宋体" w:hAnsi="宋体" w:eastAsia="宋体" w:cs="宋体"/>
                <w:color w:val="auto"/>
                <w:sz w:val="24"/>
                <w:szCs w:val="24"/>
                <w:highlight w:val="none"/>
                <w:u w:val="single"/>
                <w:lang w:val="en-US" w:eastAsia="zh-CN"/>
              </w:rPr>
              <w:t xml:space="preserve"> 0 </w:t>
            </w:r>
            <w:r>
              <w:rPr>
                <w:rFonts w:hint="eastAsia" w:ascii="宋体" w:hAnsi="宋体" w:eastAsia="宋体" w:cs="宋体"/>
                <w:color w:val="auto"/>
                <w:sz w:val="24"/>
                <w:szCs w:val="24"/>
                <w:highlight w:val="none"/>
              </w:rPr>
              <w:t>项。</w:t>
            </w:r>
          </w:p>
        </w:tc>
      </w:tr>
      <w:tr w14:paraId="151EC9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bottom w:val="single" w:color="auto" w:sz="4" w:space="0"/>
              <w:right w:val="single" w:color="000000" w:sz="2" w:space="0"/>
            </w:tcBorders>
            <w:shd w:val="clear" w:color="auto" w:fill="auto"/>
            <w:vAlign w:val="center"/>
          </w:tcPr>
          <w:p w14:paraId="64D9CCFB">
            <w:pPr>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11</w:t>
            </w:r>
          </w:p>
        </w:tc>
        <w:tc>
          <w:tcPr>
            <w:tcW w:w="1843" w:type="dxa"/>
            <w:tcBorders>
              <w:top w:val="single" w:color="000000" w:sz="8" w:space="0"/>
              <w:left w:val="single" w:color="000000" w:sz="2" w:space="0"/>
              <w:bottom w:val="single" w:color="000000" w:sz="8" w:space="0"/>
              <w:right w:val="single" w:color="000000" w:sz="8" w:space="0"/>
            </w:tcBorders>
            <w:vAlign w:val="center"/>
          </w:tcPr>
          <w:p w14:paraId="0CD94E9B">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5CF0D0EE">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7A1439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bottom w:val="single" w:color="auto" w:sz="4" w:space="0"/>
              <w:right w:val="single" w:color="000000" w:sz="2" w:space="0"/>
            </w:tcBorders>
            <w:shd w:val="clear" w:color="auto" w:fill="auto"/>
            <w:vAlign w:val="center"/>
          </w:tcPr>
          <w:p w14:paraId="2C39B04B">
            <w:pPr>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06ECE9BB">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最后报价要求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44B4B4C7">
            <w:pPr>
              <w:snapToGrid w:val="0"/>
              <w:spacing w:line="360" w:lineRule="auto"/>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有关本项目实施所需的所有费用（含税费）均计入最后报价。《最后报价</w:t>
            </w:r>
            <w:r>
              <w:rPr>
                <w:rFonts w:hint="eastAsia" w:ascii="宋体" w:hAnsi="宋体" w:eastAsia="宋体" w:cs="宋体"/>
                <w:color w:val="auto"/>
                <w:sz w:val="24"/>
                <w:highlight w:val="none"/>
              </w:rPr>
              <w:t>一览表（报价表）</w:t>
            </w:r>
            <w:r>
              <w:rPr>
                <w:rFonts w:hint="eastAsia" w:ascii="宋体" w:hAnsi="宋体" w:eastAsia="宋体" w:cs="宋体"/>
                <w:color w:val="auto"/>
                <w:kern w:val="0"/>
                <w:sz w:val="24"/>
                <w:highlight w:val="none"/>
                <w:lang w:val="zh-CN"/>
              </w:rPr>
              <w:t>》</w:t>
            </w:r>
            <w:r>
              <w:rPr>
                <w:rFonts w:hint="eastAsia" w:ascii="宋体" w:hAnsi="宋体" w:eastAsia="宋体" w:cs="宋体"/>
                <w:color w:val="auto"/>
                <w:sz w:val="24"/>
                <w:highlight w:val="none"/>
              </w:rPr>
              <w:t>是最后报价的唯一载体</w:t>
            </w:r>
            <w:r>
              <w:rPr>
                <w:rFonts w:hint="eastAsia" w:ascii="宋体" w:hAnsi="宋体" w:eastAsia="宋体" w:cs="宋体"/>
                <w:color w:val="auto"/>
                <w:kern w:val="0"/>
                <w:sz w:val="24"/>
                <w:highlight w:val="none"/>
                <w:lang w:val="zh-CN"/>
              </w:rPr>
              <w:t>。磋商文件中价格全部采用人民币报价。磋商文件未列明，而供应商认为必需的费用也需列入报价。</w:t>
            </w:r>
            <w:r>
              <w:rPr>
                <w:rFonts w:hint="eastAsia" w:ascii="宋体" w:hAnsi="宋体" w:eastAsia="宋体" w:cs="宋体"/>
                <w:b/>
                <w:color w:val="auto"/>
                <w:kern w:val="0"/>
                <w:sz w:val="24"/>
                <w:highlight w:val="none"/>
                <w:lang w:val="zh-CN"/>
              </w:rPr>
              <w:t>提醒：验收时检测费用由</w:t>
            </w:r>
            <w:r>
              <w:rPr>
                <w:rFonts w:hint="eastAsia" w:ascii="宋体" w:hAnsi="宋体" w:eastAsia="宋体" w:cs="宋体"/>
                <w:b/>
                <w:color w:val="auto"/>
                <w:kern w:val="0"/>
                <w:sz w:val="24"/>
                <w:highlight w:val="none"/>
                <w:lang w:val="en-US" w:eastAsia="zh-CN"/>
              </w:rPr>
              <w:t>成交供应商</w:t>
            </w:r>
            <w:r>
              <w:rPr>
                <w:rFonts w:hint="eastAsia" w:ascii="宋体" w:hAnsi="宋体" w:eastAsia="宋体" w:cs="宋体"/>
                <w:b/>
                <w:color w:val="auto"/>
                <w:kern w:val="0"/>
                <w:sz w:val="24"/>
                <w:highlight w:val="none"/>
                <w:lang w:val="zh-CN"/>
              </w:rPr>
              <w:t>承担，包含在最后报价中。</w:t>
            </w:r>
          </w:p>
          <w:p w14:paraId="4FD82DF9">
            <w:pPr>
              <w:snapToGrid w:val="0"/>
              <w:spacing w:line="360" w:lineRule="auto"/>
              <w:jc w:val="left"/>
              <w:rPr>
                <w:rFonts w:hint="eastAsia"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zh-CN"/>
              </w:rPr>
              <w:t>最后报价出现下列情形的，响应无效：</w:t>
            </w:r>
          </w:p>
          <w:p w14:paraId="27FFAB59">
            <w:pPr>
              <w:snapToGrid w:val="0"/>
              <w:spacing w:line="360" w:lineRule="auto"/>
              <w:ind w:firstLine="241" w:firstLineChars="100"/>
              <w:jc w:val="left"/>
              <w:rPr>
                <w:rFonts w:hint="eastAsia"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zh-CN"/>
              </w:rPr>
              <w:t>响应文件出现不是唯一的、有选择性的最后报价的；</w:t>
            </w:r>
          </w:p>
          <w:p w14:paraId="45202154">
            <w:pPr>
              <w:snapToGrid w:val="0"/>
              <w:spacing w:line="360" w:lineRule="auto"/>
              <w:ind w:firstLine="241" w:firstLineChars="100"/>
              <w:jc w:val="left"/>
              <w:rPr>
                <w:rFonts w:hint="eastAsia" w:ascii="宋体" w:hAnsi="宋体" w:eastAsia="宋体" w:cs="宋体"/>
                <w:color w:val="auto"/>
                <w:kern w:val="0"/>
                <w:sz w:val="24"/>
                <w:highlight w:val="none"/>
                <w:lang w:val="zh-CN"/>
              </w:rPr>
            </w:pPr>
            <w:r>
              <w:rPr>
                <w:rFonts w:hint="eastAsia" w:ascii="宋体" w:hAnsi="宋体" w:eastAsia="宋体" w:cs="宋体"/>
                <w:b/>
                <w:color w:val="auto"/>
                <w:kern w:val="0"/>
                <w:sz w:val="24"/>
                <w:highlight w:val="none"/>
                <w:lang w:val="zh-CN"/>
              </w:rPr>
              <w:t>最后报价超过磋商文件中规定的预算金额或者最高限价的；</w:t>
            </w:r>
          </w:p>
          <w:p w14:paraId="4BC9C84A">
            <w:pPr>
              <w:spacing w:line="360" w:lineRule="auto"/>
              <w:ind w:firstLine="241" w:firstLineChars="100"/>
              <w:rPr>
                <w:rFonts w:hint="eastAsia" w:ascii="宋体" w:hAnsi="宋体" w:eastAsia="宋体" w:cs="宋体"/>
                <w:color w:val="auto"/>
                <w:sz w:val="24"/>
                <w:highlight w:val="none"/>
              </w:rPr>
            </w:pPr>
            <w:r>
              <w:rPr>
                <w:rFonts w:hint="eastAsia" w:ascii="宋体" w:hAnsi="宋体" w:eastAsia="宋体" w:cs="宋体"/>
                <w:b/>
                <w:color w:val="auto"/>
                <w:kern w:val="0"/>
                <w:sz w:val="24"/>
                <w:highlight w:val="none"/>
              </w:rPr>
              <w:t>供应商对根据修正原则修正后的报价不确认的</w:t>
            </w:r>
            <w:r>
              <w:rPr>
                <w:rFonts w:hint="eastAsia" w:ascii="宋体" w:hAnsi="宋体" w:eastAsia="宋体" w:cs="宋体"/>
                <w:b/>
                <w:color w:val="auto"/>
                <w:sz w:val="24"/>
                <w:highlight w:val="none"/>
              </w:rPr>
              <w:t>。</w:t>
            </w:r>
          </w:p>
        </w:tc>
      </w:tr>
      <w:tr w14:paraId="0CF752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right w:val="single" w:color="000000" w:sz="2" w:space="0"/>
            </w:tcBorders>
            <w:shd w:val="clear" w:color="auto" w:fill="auto"/>
            <w:vAlign w:val="center"/>
          </w:tcPr>
          <w:p w14:paraId="5BB68D93">
            <w:pPr>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13</w:t>
            </w:r>
          </w:p>
        </w:tc>
        <w:tc>
          <w:tcPr>
            <w:tcW w:w="1843" w:type="dxa"/>
            <w:tcBorders>
              <w:top w:val="single" w:color="000000" w:sz="8" w:space="0"/>
              <w:left w:val="single" w:color="000000" w:sz="2" w:space="0"/>
              <w:right w:val="single" w:color="000000" w:sz="8" w:space="0"/>
            </w:tcBorders>
            <w:vAlign w:val="center"/>
          </w:tcPr>
          <w:p w14:paraId="5CA9C8D0">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14:paraId="28483956">
            <w:pPr>
              <w:spacing w:line="360" w:lineRule="auto"/>
              <w:ind w:firstLine="480" w:firstLineChars="200"/>
              <w:rPr>
                <w:rFonts w:hint="eastAsia" w:ascii="宋体" w:hAnsi="宋体" w:eastAsia="宋体" w:cs="宋体"/>
                <w:snapToGrid w:val="0"/>
                <w:color w:val="auto"/>
                <w:kern w:val="28"/>
                <w:sz w:val="24"/>
                <w:highlight w:val="none"/>
              </w:rPr>
            </w:pPr>
            <w:r>
              <w:rPr>
                <w:rFonts w:hint="eastAsia" w:ascii="宋体" w:hAnsi="宋体" w:eastAsia="宋体" w:cs="宋体"/>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6012B3C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kern w:val="28"/>
                <w:sz w:val="24"/>
                <w:highlight w:val="none"/>
              </w:rPr>
              <w:t>供应商成交后也可在“广西政府采购云”平台申请政采贷</w:t>
            </w:r>
            <w:r>
              <w:rPr>
                <w:rFonts w:hint="eastAsia" w:ascii="宋体" w:hAnsi="宋体" w:eastAsia="宋体" w:cs="宋体"/>
                <w:snapToGrid w:val="0"/>
                <w:color w:val="auto"/>
                <w:kern w:val="28"/>
                <w:sz w:val="24"/>
                <w:highlight w:val="none"/>
                <w:lang w:eastAsia="zh-CN"/>
              </w:rPr>
              <w:t>：</w:t>
            </w:r>
            <w:r>
              <w:rPr>
                <w:rFonts w:hint="eastAsia" w:ascii="宋体" w:hAnsi="宋体" w:eastAsia="宋体" w:cs="宋体"/>
                <w:snapToGrid w:val="0"/>
                <w:color w:val="auto"/>
                <w:kern w:val="28"/>
                <w:sz w:val="24"/>
                <w:highlight w:val="none"/>
              </w:rPr>
              <w:t>操作路径</w:t>
            </w:r>
            <w:r>
              <w:rPr>
                <w:rFonts w:hint="eastAsia" w:ascii="宋体" w:hAnsi="宋体" w:eastAsia="宋体" w:cs="宋体"/>
                <w:snapToGrid w:val="0"/>
                <w:color w:val="auto"/>
                <w:kern w:val="28"/>
                <w:sz w:val="24"/>
                <w:highlight w:val="none"/>
                <w:lang w:eastAsia="zh-CN"/>
              </w:rPr>
              <w:t>：</w:t>
            </w:r>
            <w:r>
              <w:rPr>
                <w:rFonts w:hint="eastAsia" w:ascii="宋体" w:hAnsi="宋体" w:eastAsia="宋体" w:cs="宋体"/>
                <w:snapToGrid w:val="0"/>
                <w:color w:val="auto"/>
                <w:kern w:val="28"/>
                <w:sz w:val="24"/>
                <w:highlight w:val="none"/>
              </w:rPr>
              <w:t>登录广西政府采购云平台-金融服务中心-【融资服务】，可在热门申请中选择产品直接申请。</w:t>
            </w:r>
          </w:p>
        </w:tc>
      </w:tr>
      <w:tr w14:paraId="043DD8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bottom w:val="single" w:color="auto" w:sz="4" w:space="0"/>
              <w:right w:val="single" w:color="000000" w:sz="2" w:space="0"/>
            </w:tcBorders>
            <w:shd w:val="clear" w:color="auto" w:fill="auto"/>
            <w:vAlign w:val="center"/>
          </w:tcPr>
          <w:p w14:paraId="05EBCFAB">
            <w:pPr>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14</w:t>
            </w:r>
          </w:p>
        </w:tc>
        <w:tc>
          <w:tcPr>
            <w:tcW w:w="1843" w:type="dxa"/>
            <w:tcBorders>
              <w:top w:val="single" w:color="000000" w:sz="8" w:space="0"/>
              <w:left w:val="single" w:color="000000" w:sz="2" w:space="0"/>
              <w:bottom w:val="single" w:color="000000" w:sz="8" w:space="0"/>
              <w:right w:val="single" w:color="000000" w:sz="8" w:space="0"/>
            </w:tcBorders>
            <w:vAlign w:val="center"/>
          </w:tcPr>
          <w:p w14:paraId="72EED3F4">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备份响应文件送达地点和签收人员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6CB276BA">
            <w:pPr>
              <w:spacing w:line="360" w:lineRule="auto"/>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1297724926"/>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sz w:val="24"/>
                <w:highlight w:val="none"/>
              </w:rPr>
              <w:t>不接受。</w:t>
            </w:r>
          </w:p>
          <w:p w14:paraId="1DCF0DA2">
            <w:pPr>
              <w:pStyle w:val="32"/>
              <w:spacing w:line="360" w:lineRule="auto"/>
              <w:rPr>
                <w:rFonts w:hint="eastAsia" w:ascii="宋体" w:hAnsi="宋体" w:eastAsia="宋体" w:cs="宋体"/>
                <w:color w:val="auto"/>
                <w:kern w:val="28"/>
                <w:sz w:val="24"/>
                <w:highlight w:val="none"/>
              </w:rPr>
            </w:pPr>
            <w:sdt>
              <w:sdtPr>
                <w:rPr>
                  <w:rFonts w:hint="eastAsia" w:ascii="宋体" w:hAnsi="宋体" w:eastAsia="宋体" w:cs="宋体"/>
                  <w:color w:val="auto"/>
                  <w:kern w:val="0"/>
                  <w:sz w:val="24"/>
                  <w:highlight w:val="none"/>
                </w:rPr>
                <w:id w:val="1206604863"/>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szCs w:val="20"/>
                    <w:highlight w:val="none"/>
                    <w:lang w:val="en-US" w:eastAsia="zh-CN" w:bidi="ar-SA"/>
                  </w:rPr>
                  <w:t>☐</w:t>
                </w:r>
              </w:sdtContent>
            </w:sdt>
            <w:r>
              <w:rPr>
                <w:rFonts w:hint="eastAsia" w:ascii="宋体" w:hAnsi="宋体" w:eastAsia="宋体" w:cs="宋体"/>
                <w:color w:val="auto"/>
                <w:sz w:val="24"/>
                <w:highlight w:val="none"/>
              </w:rPr>
              <w:t>接受</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28"/>
                <w:sz w:val="24"/>
                <w:highlight w:val="none"/>
              </w:rPr>
              <w:t>备份响应文件送达地点</w:t>
            </w:r>
            <w:r>
              <w:rPr>
                <w:rFonts w:hint="eastAsia" w:ascii="宋体" w:hAnsi="宋体" w:eastAsia="宋体" w:cs="宋体"/>
                <w:color w:val="auto"/>
                <w:kern w:val="28"/>
                <w:sz w:val="24"/>
                <w:highlight w:val="none"/>
                <w:lang w:eastAsia="zh-CN"/>
              </w:rPr>
              <w:t>：</w:t>
            </w:r>
            <w:r>
              <w:rPr>
                <w:rFonts w:hint="eastAsia" w:ascii="宋体" w:hAnsi="宋体" w:eastAsia="宋体" w:cs="宋体"/>
                <w:color w:val="auto"/>
                <w:kern w:val="28"/>
                <w:sz w:val="24"/>
                <w:highlight w:val="none"/>
                <w:u w:val="single"/>
                <w:lang w:val="en-US" w:eastAsia="zh-CN"/>
              </w:rPr>
              <w:t xml:space="preserve">     </w:t>
            </w:r>
            <w:r>
              <w:rPr>
                <w:rFonts w:hint="eastAsia" w:ascii="宋体" w:hAnsi="宋体" w:eastAsia="宋体" w:cs="宋体"/>
                <w:color w:val="auto"/>
                <w:kern w:val="28"/>
                <w:sz w:val="24"/>
                <w:highlight w:val="none"/>
              </w:rPr>
              <w:t>；备份响应文件签收人员联系电话</w:t>
            </w:r>
            <w:r>
              <w:rPr>
                <w:rFonts w:hint="eastAsia" w:ascii="宋体" w:hAnsi="宋体" w:eastAsia="宋体" w:cs="宋体"/>
                <w:color w:val="auto"/>
                <w:kern w:val="28"/>
                <w:sz w:val="24"/>
                <w:highlight w:val="none"/>
                <w:lang w:eastAsia="zh-CN"/>
              </w:rPr>
              <w:t>：</w:t>
            </w:r>
            <w:r>
              <w:rPr>
                <w:rFonts w:hint="eastAsia" w:ascii="宋体" w:hAnsi="宋体" w:eastAsia="宋体" w:cs="宋体"/>
                <w:color w:val="auto"/>
                <w:kern w:val="28"/>
                <w:sz w:val="24"/>
                <w:highlight w:val="none"/>
                <w:u w:val="single"/>
                <w:lang w:val="en-US" w:eastAsia="zh-CN"/>
              </w:rPr>
              <w:t xml:space="preserve">      </w:t>
            </w:r>
            <w:r>
              <w:rPr>
                <w:rFonts w:hint="eastAsia" w:ascii="宋体" w:hAnsi="宋体" w:eastAsia="宋体" w:cs="宋体"/>
                <w:color w:val="auto"/>
                <w:sz w:val="24"/>
                <w:highlight w:val="none"/>
              </w:rPr>
              <w:t>。</w:t>
            </w:r>
          </w:p>
        </w:tc>
      </w:tr>
      <w:tr w14:paraId="600548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vMerge w:val="restart"/>
            <w:tcBorders>
              <w:top w:val="single" w:color="auto" w:sz="4" w:space="0"/>
              <w:left w:val="single" w:color="000000" w:sz="8" w:space="0"/>
              <w:right w:val="single" w:color="000000" w:sz="2" w:space="0"/>
            </w:tcBorders>
            <w:vAlign w:val="center"/>
          </w:tcPr>
          <w:p w14:paraId="43BC9FD9">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p>
        </w:tc>
        <w:tc>
          <w:tcPr>
            <w:tcW w:w="1843" w:type="dxa"/>
            <w:vMerge w:val="restart"/>
            <w:tcBorders>
              <w:top w:val="single" w:color="000000" w:sz="8" w:space="0"/>
              <w:left w:val="single" w:color="000000" w:sz="2" w:space="0"/>
              <w:right w:val="single" w:color="000000" w:sz="8" w:space="0"/>
            </w:tcBorders>
            <w:vAlign w:val="center"/>
          </w:tcPr>
          <w:p w14:paraId="702E26C9">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69DC140B">
            <w:pPr>
              <w:spacing w:line="360" w:lineRule="auto"/>
              <w:rPr>
                <w:rFonts w:hint="eastAsia" w:ascii="宋体" w:hAnsi="宋体" w:eastAsia="宋体" w:cs="宋体"/>
                <w:snapToGrid w:val="0"/>
                <w:color w:val="auto"/>
                <w:kern w:val="28"/>
                <w:sz w:val="24"/>
                <w:highlight w:val="none"/>
              </w:rPr>
            </w:pPr>
            <w:r>
              <w:rPr>
                <w:rFonts w:hint="eastAsia" w:ascii="宋体" w:hAnsi="宋体" w:eastAsia="宋体" w:cs="宋体"/>
                <w:snapToGrid w:val="0"/>
                <w:color w:val="auto"/>
                <w:kern w:val="28"/>
                <w:sz w:val="24"/>
                <w:highlight w:val="none"/>
              </w:rPr>
              <w:t>联合体响应的，联合体各方分别提供与联合体协议中规定的分工内容相应的业绩证明材料，业绩数量以提供材料较少的一方为准。</w:t>
            </w:r>
          </w:p>
        </w:tc>
      </w:tr>
      <w:tr w14:paraId="06FD45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vMerge w:val="continue"/>
            <w:tcBorders>
              <w:left w:val="single" w:color="000000" w:sz="8" w:space="0"/>
              <w:bottom w:val="single" w:color="auto" w:sz="4" w:space="0"/>
              <w:right w:val="single" w:color="000000" w:sz="2" w:space="0"/>
            </w:tcBorders>
            <w:shd w:val="clear" w:color="auto" w:fill="auto"/>
            <w:vAlign w:val="center"/>
          </w:tcPr>
          <w:p w14:paraId="43AB855B">
            <w:pPr>
              <w:snapToGrid w:val="0"/>
              <w:spacing w:line="360" w:lineRule="auto"/>
              <w:jc w:val="center"/>
              <w:rPr>
                <w:rFonts w:hint="eastAsia" w:ascii="宋体" w:hAnsi="宋体" w:eastAsia="宋体" w:cs="宋体"/>
                <w:color w:val="auto"/>
                <w:kern w:val="2"/>
                <w:sz w:val="24"/>
                <w:szCs w:val="24"/>
                <w:highlight w:val="none"/>
                <w:lang w:val="en-US" w:eastAsia="zh-CN" w:bidi="ar-SA"/>
              </w:rPr>
            </w:pPr>
          </w:p>
        </w:tc>
        <w:tc>
          <w:tcPr>
            <w:tcW w:w="1843" w:type="dxa"/>
            <w:vMerge w:val="continue"/>
            <w:tcBorders>
              <w:left w:val="single" w:color="000000" w:sz="2" w:space="0"/>
              <w:bottom w:val="single" w:color="auto" w:sz="4" w:space="0"/>
              <w:right w:val="single" w:color="000000" w:sz="8" w:space="0"/>
            </w:tcBorders>
            <w:vAlign w:val="center"/>
          </w:tcPr>
          <w:p w14:paraId="455261CC">
            <w:pPr>
              <w:snapToGrid w:val="0"/>
              <w:spacing w:line="360" w:lineRule="auto"/>
              <w:jc w:val="center"/>
              <w:rPr>
                <w:rFonts w:hint="eastAsia" w:ascii="宋体" w:hAnsi="宋体" w:eastAsia="宋体" w:cs="宋体"/>
                <w:b/>
                <w:color w:val="auto"/>
                <w:sz w:val="24"/>
                <w:highlight w:val="none"/>
              </w:rPr>
            </w:pPr>
          </w:p>
        </w:tc>
        <w:tc>
          <w:tcPr>
            <w:tcW w:w="6095" w:type="dxa"/>
            <w:tcBorders>
              <w:top w:val="single" w:color="000000" w:sz="8" w:space="0"/>
              <w:left w:val="single" w:color="000000" w:sz="2" w:space="0"/>
              <w:bottom w:val="single" w:color="auto" w:sz="4" w:space="0"/>
              <w:right w:val="single" w:color="000000" w:sz="8" w:space="0"/>
            </w:tcBorders>
            <w:vAlign w:val="center"/>
          </w:tcPr>
          <w:p w14:paraId="7A316467">
            <w:pPr>
              <w:spacing w:line="360" w:lineRule="auto"/>
              <w:rPr>
                <w:rFonts w:hint="eastAsia" w:ascii="宋体" w:hAnsi="宋体" w:eastAsia="宋体" w:cs="宋体"/>
                <w:snapToGrid w:val="0"/>
                <w:color w:val="auto"/>
                <w:kern w:val="28"/>
                <w:sz w:val="24"/>
                <w:highlight w:val="none"/>
              </w:rPr>
            </w:pPr>
            <w:sdt>
              <w:sdtPr>
                <w:rPr>
                  <w:rFonts w:hint="eastAsia" w:ascii="宋体" w:hAnsi="宋体" w:eastAsia="宋体" w:cs="宋体"/>
                  <w:color w:val="auto"/>
                  <w:kern w:val="0"/>
                  <w:sz w:val="24"/>
                  <w:highlight w:val="none"/>
                </w:rPr>
                <w:id w:val="-1816336663"/>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snapToGrid w:val="0"/>
                <w:color w:val="auto"/>
                <w:kern w:val="28"/>
                <w:sz w:val="24"/>
                <w:highlight w:val="none"/>
              </w:rPr>
              <w:t>联合体响应的，联合体各方均需按磋商文件第五部分评审标准要求提供资信证明文件，否则视为不符合相关要求。</w:t>
            </w:r>
          </w:p>
          <w:p w14:paraId="47B37039">
            <w:pPr>
              <w:spacing w:line="360" w:lineRule="auto"/>
              <w:rPr>
                <w:rFonts w:hint="eastAsia" w:ascii="宋体" w:hAnsi="宋体" w:eastAsia="宋体" w:cs="宋体"/>
                <w:snapToGrid w:val="0"/>
                <w:color w:val="auto"/>
                <w:kern w:val="28"/>
                <w:sz w:val="24"/>
                <w:highlight w:val="none"/>
              </w:rPr>
            </w:pPr>
            <w:sdt>
              <w:sdtPr>
                <w:rPr>
                  <w:rFonts w:hint="eastAsia" w:ascii="宋体" w:hAnsi="宋体" w:eastAsia="宋体" w:cs="宋体"/>
                  <w:color w:val="auto"/>
                  <w:kern w:val="0"/>
                  <w:sz w:val="24"/>
                  <w:highlight w:val="none"/>
                </w:rPr>
                <w:id w:val="-232311894"/>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snapToGrid w:val="0"/>
                <w:color w:val="auto"/>
                <w:kern w:val="28"/>
                <w:sz w:val="24"/>
                <w:highlight w:val="none"/>
              </w:rPr>
              <w:t>联合体响应的，联合体中有一方或者联合体成员根据分工按磋商文件第五部分评审标准要求提供资信证明文件的，视为符合了相关要求。</w:t>
            </w:r>
          </w:p>
        </w:tc>
      </w:tr>
      <w:tr w14:paraId="789E5F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shd w:val="clear" w:color="auto" w:fill="auto"/>
            <w:vAlign w:val="center"/>
          </w:tcPr>
          <w:p w14:paraId="46039369">
            <w:pPr>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16</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8BC82C3">
            <w:pPr>
              <w:snapToGrid w:val="0"/>
              <w:spacing w:line="360" w:lineRule="auto"/>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highlight w:val="none"/>
              </w:rPr>
              <w:t>解释权</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center"/>
          </w:tcPr>
          <w:p w14:paraId="03B198F5">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本磋商文件解释权属</w:t>
            </w:r>
            <w:r>
              <w:rPr>
                <w:rFonts w:hint="eastAsia" w:ascii="宋体" w:hAnsi="宋体" w:eastAsia="宋体" w:cs="宋体"/>
                <w:color w:val="auto"/>
                <w:kern w:val="0"/>
                <w:sz w:val="24"/>
                <w:highlight w:val="none"/>
                <w:lang w:val="en-US" w:eastAsia="zh-CN"/>
              </w:rPr>
              <w:t>于</w:t>
            </w:r>
            <w:r>
              <w:rPr>
                <w:rFonts w:hint="eastAsia" w:ascii="宋体" w:hAnsi="宋体" w:eastAsia="宋体" w:cs="宋体"/>
                <w:color w:val="auto"/>
                <w:kern w:val="0"/>
                <w:sz w:val="24"/>
                <w:highlight w:val="none"/>
              </w:rPr>
              <w:t>采购人及代理机构。</w:t>
            </w:r>
          </w:p>
        </w:tc>
      </w:tr>
    </w:tbl>
    <w:p w14:paraId="4B44FD5B">
      <w:pPr>
        <w:snapToGrid w:val="0"/>
        <w:jc w:val="center"/>
        <w:rPr>
          <w:rFonts w:hint="eastAsia" w:ascii="宋体" w:hAnsi="宋体" w:eastAsia="宋体" w:cs="宋体"/>
          <w:b/>
          <w:color w:val="auto"/>
          <w:sz w:val="32"/>
          <w:szCs w:val="20"/>
          <w:highlight w:val="none"/>
        </w:rPr>
      </w:pPr>
    </w:p>
    <w:p w14:paraId="2F77F1E5">
      <w:pPr>
        <w:adjustRightInd/>
        <w:spacing w:line="360" w:lineRule="auto"/>
        <w:ind w:firstLine="3845" w:firstLineChars="1197"/>
        <w:outlineLvl w:val="9"/>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二、总则</w:t>
      </w:r>
    </w:p>
    <w:p w14:paraId="0FED0FF8">
      <w:pPr>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 适用范围</w:t>
      </w:r>
    </w:p>
    <w:p w14:paraId="1F8FD32D">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本磋商文件适用于该项目的邀请、响应、开启响应文件、信用信息查询、资格性审查、评审、成交、合同、验收等行为（法律、法规另有规定的，从其规定）。</w:t>
      </w:r>
    </w:p>
    <w:p w14:paraId="7E68B307">
      <w:pPr>
        <w:adjustRightInd/>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2.定义</w:t>
      </w:r>
    </w:p>
    <w:p w14:paraId="69A5967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 “采购人”系指磋商邀请公告中载明的本项目的采购人。</w:t>
      </w:r>
    </w:p>
    <w:p w14:paraId="5E397BA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 “采购代理机构”系指磋商邀请公告中载明的本项目的采购代理机构。</w:t>
      </w:r>
    </w:p>
    <w:p w14:paraId="4A239E7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 “供应商”系指响应磋商、参加本次竞争的法人、其他组织或自然人。</w:t>
      </w:r>
    </w:p>
    <w:p w14:paraId="3410949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 “法定代表人（负责人）”系指法人企业的法定负责人，或其他组织为法律、行政法规规定代表单位行使职权的主要负责人，或自然人本人。</w:t>
      </w:r>
    </w:p>
    <w:p w14:paraId="40ACEB6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 “成交人”系指经评审确定的成交供应商。</w:t>
      </w:r>
    </w:p>
    <w:p w14:paraId="5471F34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2.6“响应文件”系指供应商提交的商务技术文件。供应商提交最后报价后，最后报价是供应商响应文件的有效组成部分。</w:t>
      </w:r>
    </w:p>
    <w:p w14:paraId="4FB759F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2.7“电子交易平台”系指本项目政府采购活动所依托的广西政府采购云平台（https</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//www.gcy.zfcg.gxzf.gov.cn/）。</w:t>
      </w:r>
    </w:p>
    <w:p w14:paraId="51BAF46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2.8“电子签名”系指数据电文中以电子形式所含、所附用于识别签名人身份并表明签名人认可其中内容的数据；“公章”系指单位法定名称章。</w:t>
      </w:r>
    </w:p>
    <w:p w14:paraId="2B6AAE8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46A3F2F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 “书面形式”包括数据电文形式与纸质形式。数据电文形式与纸质形式的采购活动具有同等法律效力。</w:t>
      </w:r>
    </w:p>
    <w:p w14:paraId="14F31F99">
      <w:pPr>
        <w:snapToGrid w:val="0"/>
        <w:spacing w:line="360" w:lineRule="auto"/>
        <w:ind w:firstLine="480" w:firstLineChars="200"/>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 xml:space="preserve">2.10 “▲” 系指实质性要求条款，“※”系指磋商过程中可能实质性变动的内容，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rPr>
        <w:sym w:font="Wingdings" w:char="F0FE"/>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系指适用本项目的要求，“□”系指不适用本项目的要求。</w:t>
      </w:r>
    </w:p>
    <w:p w14:paraId="058BB916">
      <w:pPr>
        <w:adjustRightInd/>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 响应有效期</w:t>
      </w:r>
    </w:p>
    <w:p w14:paraId="7BE2C853">
      <w:pPr>
        <w:spacing w:line="360" w:lineRule="auto"/>
        <w:ind w:firstLine="480" w:firstLineChars="200"/>
        <w:rPr>
          <w:rFonts w:hint="eastAsia" w:ascii="宋体" w:hAnsi="宋体" w:eastAsia="宋体" w:cs="宋体"/>
          <w:b/>
          <w:color w:val="auto"/>
          <w:sz w:val="24"/>
          <w:szCs w:val="21"/>
          <w:highlight w:val="none"/>
        </w:rPr>
      </w:pPr>
      <w:r>
        <w:rPr>
          <w:rFonts w:hint="eastAsia" w:ascii="宋体" w:hAnsi="宋体" w:eastAsia="宋体" w:cs="宋体"/>
          <w:color w:val="auto"/>
          <w:sz w:val="24"/>
          <w:szCs w:val="20"/>
          <w:highlight w:val="none"/>
        </w:rPr>
        <w:t>▲3.1</w:t>
      </w:r>
      <w:r>
        <w:rPr>
          <w:rFonts w:hint="eastAsia" w:ascii="宋体" w:hAnsi="宋体" w:eastAsia="宋体" w:cs="宋体"/>
          <w:b/>
          <w:color w:val="auto"/>
          <w:sz w:val="24"/>
          <w:szCs w:val="20"/>
          <w:highlight w:val="none"/>
        </w:rPr>
        <w:t>响应有效期为从提交响应文件的截止之日起60天。供应商的响应文件中承</w:t>
      </w:r>
      <w:r>
        <w:rPr>
          <w:rFonts w:hint="eastAsia" w:ascii="宋体" w:hAnsi="宋体" w:eastAsia="宋体" w:cs="宋体"/>
          <w:b/>
          <w:color w:val="auto"/>
          <w:sz w:val="24"/>
          <w:szCs w:val="21"/>
          <w:highlight w:val="none"/>
        </w:rPr>
        <w:t>诺的响应有效期少于磋商文件中载明的磋商有效期的，响应无效。</w:t>
      </w:r>
    </w:p>
    <w:p w14:paraId="4602ABC0">
      <w:pPr>
        <w:pStyle w:val="394"/>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3.2响应文件合格提交后，自响应截止日期起，在响应有效期内有效。</w:t>
      </w:r>
    </w:p>
    <w:p w14:paraId="69391E44">
      <w:pPr>
        <w:pStyle w:val="394"/>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3.3在原定响应有效期满之前，如果出现特殊情况，采购代理机构可以以书面形式通知供应商延长响应有效期。供应商同意延长的，不得要求或被允许修改其响应文件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供应商拒绝延长的，其响应无效。</w:t>
      </w:r>
      <w:r>
        <w:rPr>
          <w:rFonts w:hint="eastAsia" w:ascii="宋体" w:hAnsi="宋体" w:eastAsia="宋体" w:cs="宋体"/>
          <w:color w:val="auto"/>
          <w:szCs w:val="24"/>
          <w:highlight w:val="none"/>
        </w:rPr>
        <w:t>拒绝延长磋商有效期的供应商不得再参与该项目后续采购活动。</w:t>
      </w:r>
    </w:p>
    <w:p w14:paraId="37A7806A">
      <w:pPr>
        <w:tabs>
          <w:tab w:val="left" w:pos="3780"/>
        </w:tabs>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4．响应费用</w:t>
      </w:r>
    </w:p>
    <w:p w14:paraId="2D2A27F1">
      <w:pPr>
        <w:pStyle w:val="32"/>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供应商需自行承担涉及响应的一切费用</w:t>
      </w:r>
      <w:r>
        <w:rPr>
          <w:rFonts w:hint="eastAsia" w:ascii="宋体" w:hAnsi="宋体" w:eastAsia="宋体" w:cs="宋体"/>
          <w:color w:val="auto"/>
          <w:sz w:val="24"/>
          <w:highlight w:val="none"/>
          <w:lang w:val="zh-CN"/>
        </w:rPr>
        <w:t>。</w:t>
      </w:r>
    </w:p>
    <w:p w14:paraId="75E7F859">
      <w:pPr>
        <w:spacing w:line="360" w:lineRule="auto"/>
        <w:jc w:val="center"/>
        <w:rPr>
          <w:rFonts w:hint="eastAsia" w:ascii="宋体" w:hAnsi="宋体" w:eastAsia="宋体" w:cs="宋体"/>
          <w:b/>
          <w:color w:val="auto"/>
          <w:sz w:val="24"/>
          <w:highlight w:val="none"/>
        </w:rPr>
      </w:pPr>
    </w:p>
    <w:p w14:paraId="5ADBCD56">
      <w:pPr>
        <w:adjustRightInd/>
        <w:spacing w:line="360" w:lineRule="auto"/>
        <w:jc w:val="center"/>
        <w:outlineLvl w:val="9"/>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三、需要落实的政府采购政策</w:t>
      </w:r>
    </w:p>
    <w:p w14:paraId="22DBA739">
      <w:pPr>
        <w:pStyle w:val="394"/>
        <w:spacing w:before="0"/>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1.是否允许采购进口产品要求</w:t>
      </w:r>
    </w:p>
    <w:p w14:paraId="7687FDAE">
      <w:pPr>
        <w:pStyle w:val="3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eastAsia="宋体" w:cs="宋体"/>
          <w:color w:val="auto"/>
          <w:kern w:val="0"/>
          <w:sz w:val="24"/>
          <w:highlight w:val="none"/>
        </w:rPr>
        <w:t>优先采购向我国企业转让技术、与我国企业签订消化吸收再创新方案的供应商的进口产品</w:t>
      </w:r>
      <w:r>
        <w:rPr>
          <w:rFonts w:hint="eastAsia" w:ascii="宋体" w:hAnsi="宋体" w:eastAsia="宋体" w:cs="宋体"/>
          <w:color w:val="auto"/>
          <w:sz w:val="24"/>
          <w:highlight w:val="none"/>
        </w:rPr>
        <w:t>。</w:t>
      </w:r>
    </w:p>
    <w:p w14:paraId="3A78BEDC">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2.支持绿色发展</w:t>
      </w:r>
    </w:p>
    <w:p w14:paraId="2A14C661">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eastAsia="宋体" w:cs="宋体"/>
          <w:b/>
          <w:color w:val="auto"/>
          <w:sz w:val="24"/>
          <w:highlight w:val="none"/>
        </w:rPr>
        <w:t>▲采购人拟采购的产品属于政府强制采购的节能产品品目清单范围的，供应商相应的响应产品未获得国家确定的认证机构出具的、处于有效期之内的节能产品认证证书的，响应无效。</w:t>
      </w:r>
    </w:p>
    <w:p w14:paraId="1FFCF9D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2.2纳入政府采购管理的修缮、装修类项目采购建材的，鼓励采购单位将绿色建材性能、指标等作为实质性条件纳入采购文件和合同，具体性能指标要求参考相关绿色建材政府采购需求标准。</w:t>
      </w:r>
    </w:p>
    <w:p w14:paraId="173CD72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2.3为助力打好污染防治攻坚战，推广使用绿色包装，政府采购货物、工程和服务项目中涉及商品包装和快递包装的</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19FF7E3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鼓励供应商在参加政府采购过程中开展绿色设计、选择绿色材料、打造绿色制造工艺、开展绿色运输、做好废弃产品回收处理，实现产品全周期的绿色环保。鼓励采购单位对其提高预付款比例、免收履约保证金。</w:t>
      </w:r>
    </w:p>
    <w:p w14:paraId="01C47D0C">
      <w:pPr>
        <w:pStyle w:val="32"/>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3.支持中小企业发展。</w:t>
      </w:r>
    </w:p>
    <w:p w14:paraId="2ECCF9B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0AE10E1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符合中小企业划分标准的个体工商户，在政府采购活动中视同中小企业。</w:t>
      </w:r>
    </w:p>
    <w:p w14:paraId="1E9F2604">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sz w:val="24"/>
          <w:highlight w:val="none"/>
        </w:rPr>
        <w:t>3.2</w:t>
      </w:r>
      <w:r>
        <w:rPr>
          <w:rFonts w:hint="eastAsia" w:ascii="宋体" w:hAnsi="宋体" w:eastAsia="宋体" w:cs="宋体"/>
          <w:color w:val="auto"/>
          <w:kern w:val="0"/>
          <w:sz w:val="24"/>
          <w:highlight w:val="none"/>
        </w:rPr>
        <w:t>在政府采购活动中，服务类项目采购，服务由中小企业承接，即提供服务的人员为中小企业依照《中华人民共和国劳动合同法》订立劳动合同的从业人员，享受中小企业扶持政策。</w:t>
      </w:r>
    </w:p>
    <w:p w14:paraId="4C220524">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以联合体形式参加政府采购活动，联合体各方均为中小企业的，联合体视同中小企业。其中，联合体各方均为小微企业的，联合体视同小微企业。</w:t>
      </w:r>
    </w:p>
    <w:p w14:paraId="405DC25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w:t>
      </w:r>
    </w:p>
    <w:p w14:paraId="634F127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3.4符合《关于促进残疾人就业政府采购政策的通知》（财库〔2017〕141号）规定的条件并提供《残疾人福利性单位声明函》（附件3）的残疾人福利性单位视同小型、微型企业；</w:t>
      </w:r>
    </w:p>
    <w:p w14:paraId="7F26CA5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173F776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52E9F1D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3.7中小企业享受扶持政策获得政府采购合同的，小微企业不得将合同分包给大中型企业，中型企业不得将合同分包给大型企业。</w:t>
      </w:r>
    </w:p>
    <w:p w14:paraId="18D8A7F6">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w:t>
      </w:r>
      <w:r>
        <w:rPr>
          <w:rFonts w:hint="eastAsia" w:ascii="宋体" w:hAnsi="宋体" w:eastAsia="宋体" w:cs="宋体"/>
          <w:b/>
          <w:bCs/>
          <w:color w:val="auto"/>
          <w:sz w:val="24"/>
          <w:highlight w:val="none"/>
        </w:rPr>
        <w:t>支持创新发展</w:t>
      </w:r>
    </w:p>
    <w:p w14:paraId="044B3CA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4.1采购人优先采购被认定为首台套产品和“制造精品”的自主创新产品。</w:t>
      </w:r>
    </w:p>
    <w:p w14:paraId="04A307B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4.2首台套产品被纳入《首台套产品推广应用指导目录》之日起</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年内，以及产品核心技术高于国内领先水平，并具有明晰自主知识产权的“制造精品”产品，自认定之日起</w:t>
      </w: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年内视同已具备相应销售业绩，参加政府采购活动时业绩分值为满分。</w:t>
      </w:r>
    </w:p>
    <w:p w14:paraId="2094734F">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5.平等对待内外资企业</w:t>
      </w:r>
    </w:p>
    <w:p w14:paraId="79C34C2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5DD91810">
      <w:pPr>
        <w:pStyle w:val="633"/>
        <w:ind w:firstLine="0"/>
        <w:rPr>
          <w:rFonts w:hint="eastAsia" w:ascii="宋体" w:hAnsi="宋体" w:eastAsia="宋体" w:cs="宋体"/>
          <w:b/>
          <w:bCs/>
          <w:color w:val="auto"/>
          <w:highlight w:val="none"/>
        </w:rPr>
      </w:pPr>
      <w:r>
        <w:rPr>
          <w:rFonts w:hint="eastAsia" w:ascii="宋体" w:hAnsi="宋体" w:eastAsia="宋体" w:cs="宋体"/>
          <w:b/>
          <w:color w:val="auto"/>
          <w:highlight w:val="none"/>
        </w:rPr>
        <w:t>6.平等对待符合条件的破产重整企业</w:t>
      </w:r>
    </w:p>
    <w:p w14:paraId="09407D4A">
      <w:pPr>
        <w:pStyle w:val="633"/>
        <w:rPr>
          <w:rFonts w:hint="eastAsia" w:ascii="宋体" w:hAnsi="宋体" w:eastAsia="宋体" w:cs="宋体"/>
          <w:color w:val="auto"/>
          <w:highlight w:val="none"/>
        </w:rPr>
      </w:pPr>
      <w:r>
        <w:rPr>
          <w:rFonts w:hint="eastAsia" w:ascii="宋体" w:hAnsi="宋体" w:eastAsia="宋体" w:cs="宋体"/>
          <w:color w:val="auto"/>
          <w:highlight w:val="none"/>
        </w:rPr>
        <w:t>平等对待符合条件的破产重整企业，切实保障企业公平竞争，平等维护企业的合法利益。</w:t>
      </w:r>
    </w:p>
    <w:p w14:paraId="266E475D">
      <w:pPr>
        <w:spacing w:line="360" w:lineRule="auto"/>
        <w:ind w:firstLine="480" w:firstLineChars="200"/>
        <w:rPr>
          <w:rFonts w:hint="eastAsia" w:ascii="宋体" w:hAnsi="宋体" w:eastAsia="宋体" w:cs="宋体"/>
          <w:color w:val="auto"/>
          <w:sz w:val="24"/>
          <w:highlight w:val="none"/>
        </w:rPr>
      </w:pPr>
    </w:p>
    <w:p w14:paraId="748AA035">
      <w:pPr>
        <w:adjustRightInd/>
        <w:spacing w:line="360" w:lineRule="auto"/>
        <w:jc w:val="center"/>
        <w:outlineLvl w:val="9"/>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四、询问、质疑与投诉</w:t>
      </w:r>
    </w:p>
    <w:p w14:paraId="62664E75">
      <w:pPr>
        <w:pStyle w:val="32"/>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1.在线询问、质疑、投诉</w:t>
      </w:r>
    </w:p>
    <w:p w14:paraId="7508DDF7">
      <w:pPr>
        <w:spacing w:line="360" w:lineRule="auto"/>
        <w:ind w:firstLine="480" w:firstLineChars="200"/>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4467BDA3">
      <w:pPr>
        <w:spacing w:line="360" w:lineRule="auto"/>
        <w:ind w:firstLine="480" w:firstLineChars="200"/>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询问联系部门：</w:t>
      </w:r>
      <w:r>
        <w:rPr>
          <w:rFonts w:hint="eastAsia" w:ascii="宋体" w:hAnsi="宋体" w:eastAsia="宋体" w:cs="宋体"/>
          <w:color w:val="auto"/>
          <w:sz w:val="24"/>
          <w:highlight w:val="none"/>
          <w:lang w:val="zh-CN" w:eastAsia="zh-CN"/>
        </w:rPr>
        <w:t>广西政建咨询有限公司</w:t>
      </w:r>
      <w:r>
        <w:rPr>
          <w:rFonts w:hint="eastAsia" w:ascii="宋体" w:hAnsi="宋体" w:eastAsia="宋体" w:cs="宋体"/>
          <w:color w:val="auto"/>
          <w:sz w:val="24"/>
          <w:highlight w:val="none"/>
          <w:lang w:val="zh-CN"/>
        </w:rPr>
        <w:t xml:space="preserve">        联系电话：</w:t>
      </w:r>
      <w:r>
        <w:rPr>
          <w:rFonts w:hint="eastAsia" w:ascii="宋体" w:hAnsi="宋体" w:eastAsia="宋体" w:cs="宋体"/>
          <w:color w:val="auto"/>
          <w:sz w:val="24"/>
          <w:highlight w:val="none"/>
          <w:lang w:val="zh-CN" w:eastAsia="zh-CN"/>
        </w:rPr>
        <w:t>0779-2061987</w:t>
      </w:r>
      <w:r>
        <w:rPr>
          <w:rFonts w:hint="eastAsia" w:ascii="宋体" w:hAnsi="宋体" w:eastAsia="宋体" w:cs="宋体"/>
          <w:color w:val="auto"/>
          <w:sz w:val="24"/>
          <w:highlight w:val="none"/>
          <w:lang w:val="zh-CN"/>
        </w:rPr>
        <w:t xml:space="preserve">       </w:t>
      </w:r>
    </w:p>
    <w:p w14:paraId="58D63332">
      <w:pPr>
        <w:spacing w:line="360" w:lineRule="auto"/>
        <w:ind w:firstLine="480" w:firstLineChars="200"/>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联系人：</w:t>
      </w:r>
      <w:r>
        <w:rPr>
          <w:rFonts w:hint="eastAsia" w:ascii="宋体" w:hAnsi="宋体" w:eastAsia="宋体" w:cs="宋体"/>
          <w:color w:val="auto"/>
          <w:sz w:val="24"/>
          <w:highlight w:val="none"/>
          <w:lang w:val="en-US" w:eastAsia="zh-CN"/>
        </w:rPr>
        <w:t>李工</w:t>
      </w:r>
      <w:r>
        <w:rPr>
          <w:rFonts w:hint="eastAsia" w:ascii="宋体" w:hAnsi="宋体" w:eastAsia="宋体" w:cs="宋体"/>
          <w:color w:val="auto"/>
          <w:sz w:val="24"/>
          <w:highlight w:val="none"/>
          <w:lang w:val="zh-CN"/>
        </w:rPr>
        <w:t xml:space="preserve">     地址：</w:t>
      </w:r>
      <w:r>
        <w:rPr>
          <w:rFonts w:hint="eastAsia" w:ascii="宋体" w:hAnsi="宋体" w:eastAsia="宋体" w:cs="宋体"/>
          <w:color w:val="auto"/>
          <w:sz w:val="24"/>
          <w:highlight w:val="none"/>
          <w:lang w:val="en-US" w:eastAsia="zh-CN"/>
        </w:rPr>
        <w:t>北海市北海大道20号科技大厦四楼</w:t>
      </w:r>
    </w:p>
    <w:p w14:paraId="218C0FE7">
      <w:pPr>
        <w:spacing w:line="360" w:lineRule="auto"/>
        <w:ind w:firstLine="480" w:firstLineChars="200"/>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质疑联系部门：</w:t>
      </w:r>
      <w:r>
        <w:rPr>
          <w:rFonts w:hint="eastAsia" w:ascii="宋体" w:hAnsi="宋体" w:eastAsia="宋体" w:cs="宋体"/>
          <w:color w:val="auto"/>
          <w:sz w:val="24"/>
          <w:highlight w:val="none"/>
          <w:lang w:val="zh-CN" w:eastAsia="zh-CN"/>
        </w:rPr>
        <w:t>广西政建咨询有限公司</w:t>
      </w:r>
      <w:r>
        <w:rPr>
          <w:rFonts w:hint="eastAsia" w:ascii="宋体" w:hAnsi="宋体" w:eastAsia="宋体" w:cs="宋体"/>
          <w:color w:val="auto"/>
          <w:sz w:val="24"/>
          <w:highlight w:val="none"/>
          <w:lang w:val="zh-CN"/>
        </w:rPr>
        <w:t xml:space="preserve">        联系电话：</w:t>
      </w:r>
      <w:r>
        <w:rPr>
          <w:rFonts w:hint="eastAsia" w:ascii="宋体" w:hAnsi="宋体" w:eastAsia="宋体" w:cs="宋体"/>
          <w:color w:val="auto"/>
          <w:sz w:val="24"/>
          <w:highlight w:val="none"/>
          <w:lang w:val="zh-CN" w:eastAsia="zh-CN"/>
        </w:rPr>
        <w:t>0779-2061987</w:t>
      </w:r>
      <w:r>
        <w:rPr>
          <w:rFonts w:hint="eastAsia" w:ascii="宋体" w:hAnsi="宋体" w:eastAsia="宋体" w:cs="宋体"/>
          <w:color w:val="auto"/>
          <w:sz w:val="24"/>
          <w:highlight w:val="none"/>
          <w:lang w:val="zh-CN"/>
        </w:rPr>
        <w:t xml:space="preserve">       </w:t>
      </w:r>
    </w:p>
    <w:p w14:paraId="312E0696">
      <w:pPr>
        <w:spacing w:line="360" w:lineRule="auto"/>
        <w:ind w:firstLine="480" w:firstLineChars="20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zh-CN"/>
        </w:rPr>
        <w:t>联系人：</w:t>
      </w:r>
      <w:r>
        <w:rPr>
          <w:rFonts w:hint="eastAsia" w:ascii="宋体" w:hAnsi="宋体" w:eastAsia="宋体" w:cs="宋体"/>
          <w:color w:val="auto"/>
          <w:sz w:val="24"/>
          <w:highlight w:val="none"/>
          <w:lang w:val="en-US" w:eastAsia="zh-CN"/>
        </w:rPr>
        <w:t>李工</w:t>
      </w:r>
      <w:r>
        <w:rPr>
          <w:rFonts w:hint="eastAsia" w:ascii="宋体" w:hAnsi="宋体" w:eastAsia="宋体" w:cs="宋体"/>
          <w:color w:val="auto"/>
          <w:sz w:val="24"/>
          <w:highlight w:val="none"/>
          <w:lang w:val="zh-CN"/>
        </w:rPr>
        <w:t xml:space="preserve">     地址：</w:t>
      </w:r>
      <w:r>
        <w:rPr>
          <w:rFonts w:hint="eastAsia" w:ascii="宋体" w:hAnsi="宋体" w:eastAsia="宋体" w:cs="宋体"/>
          <w:color w:val="auto"/>
          <w:sz w:val="24"/>
          <w:highlight w:val="none"/>
          <w:lang w:val="en-US" w:eastAsia="zh-CN"/>
        </w:rPr>
        <w:t xml:space="preserve">北海市北海大道20号科技大厦四楼 </w:t>
      </w:r>
    </w:p>
    <w:p w14:paraId="7A347417">
      <w:pPr>
        <w:spacing w:line="360" w:lineRule="auto"/>
        <w:ind w:firstLine="480" w:firstLineChars="200"/>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投诉联系部门：</w:t>
      </w:r>
      <w:r>
        <w:rPr>
          <w:rFonts w:hint="eastAsia" w:ascii="宋体" w:hAnsi="宋体" w:eastAsia="宋体" w:cs="宋体"/>
          <w:color w:val="auto"/>
          <w:sz w:val="24"/>
          <w:highlight w:val="none"/>
          <w:lang w:val="zh-CN" w:eastAsia="zh-CN"/>
        </w:rPr>
        <w:t>北海市财政局</w:t>
      </w:r>
      <w:r>
        <w:rPr>
          <w:rFonts w:hint="eastAsia" w:ascii="宋体" w:hAnsi="宋体" w:eastAsia="宋体" w:cs="宋体"/>
          <w:color w:val="auto"/>
          <w:sz w:val="24"/>
          <w:highlight w:val="none"/>
          <w:lang w:val="zh-CN"/>
        </w:rPr>
        <w:t xml:space="preserve">      联系电话：0779-</w:t>
      </w:r>
      <w:r>
        <w:rPr>
          <w:rFonts w:hint="eastAsia" w:ascii="宋体" w:hAnsi="宋体" w:eastAsia="宋体" w:cs="宋体"/>
          <w:color w:val="auto"/>
          <w:sz w:val="24"/>
          <w:highlight w:val="none"/>
          <w:lang w:val="en-US" w:eastAsia="zh-CN"/>
        </w:rPr>
        <w:t>3063975</w:t>
      </w:r>
      <w:r>
        <w:rPr>
          <w:rFonts w:hint="eastAsia" w:ascii="宋体" w:hAnsi="宋体" w:eastAsia="宋体" w:cs="宋体"/>
          <w:color w:val="auto"/>
          <w:sz w:val="24"/>
          <w:highlight w:val="none"/>
          <w:lang w:val="zh-CN"/>
        </w:rPr>
        <w:t xml:space="preserve">    </w:t>
      </w:r>
    </w:p>
    <w:p w14:paraId="74C8A089">
      <w:pPr>
        <w:spacing w:line="360" w:lineRule="auto"/>
        <w:ind w:firstLine="480" w:firstLineChars="200"/>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联系人：</w:t>
      </w:r>
      <w:r>
        <w:rPr>
          <w:rFonts w:hint="eastAsia" w:ascii="宋体" w:hAnsi="宋体" w:eastAsia="宋体" w:cs="宋体"/>
          <w:color w:val="auto"/>
          <w:sz w:val="24"/>
          <w:highlight w:val="none"/>
          <w:lang w:val="en-US" w:eastAsia="zh-CN"/>
        </w:rPr>
        <w:t>付工</w:t>
      </w:r>
      <w:r>
        <w:rPr>
          <w:rFonts w:hint="eastAsia" w:ascii="宋体" w:hAnsi="宋体" w:eastAsia="宋体" w:cs="宋体"/>
          <w:color w:val="auto"/>
          <w:sz w:val="24"/>
          <w:highlight w:val="none"/>
          <w:lang w:val="zh-CN"/>
        </w:rPr>
        <w:t xml:space="preserve">     地址：北海市海城区北部湾西路19号</w:t>
      </w:r>
    </w:p>
    <w:p w14:paraId="745E1528">
      <w:pPr>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 供应商询问</w:t>
      </w:r>
    </w:p>
    <w:p w14:paraId="1CEB3B3A">
      <w:pPr>
        <w:autoSpaceDE w:val="0"/>
        <w:autoSpaceDN w:val="0"/>
        <w:spacing w:line="360" w:lineRule="auto"/>
        <w:ind w:firstLine="480" w:firstLineChars="200"/>
        <w:jc w:val="left"/>
        <w:outlineLvl w:val="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3789327">
      <w:pPr>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 供应商质疑</w:t>
      </w:r>
    </w:p>
    <w:p w14:paraId="73921E17">
      <w:pPr>
        <w:pStyle w:val="32"/>
        <w:spacing w:line="360" w:lineRule="auto"/>
        <w:ind w:firstLine="482" w:firstLineChars="200"/>
        <w:outlineLvl w:val="9"/>
        <w:rPr>
          <w:rFonts w:hint="eastAsia" w:ascii="宋体" w:hAnsi="宋体" w:eastAsia="宋体" w:cs="宋体"/>
          <w:b/>
          <w:color w:val="auto"/>
          <w:sz w:val="24"/>
          <w:highlight w:val="none"/>
        </w:rPr>
      </w:pPr>
      <w:r>
        <w:rPr>
          <w:rFonts w:hint="eastAsia" w:ascii="宋体" w:hAnsi="宋体" w:eastAsia="宋体" w:cs="宋体"/>
          <w:b/>
          <w:color w:val="auto"/>
          <w:kern w:val="0"/>
          <w:sz w:val="24"/>
          <w:highlight w:val="none"/>
          <w:lang w:val="zh-CN"/>
        </w:rPr>
        <w:t>3</w:t>
      </w:r>
      <w:r>
        <w:rPr>
          <w:rFonts w:hint="eastAsia" w:ascii="宋体" w:hAnsi="宋体" w:eastAsia="宋体" w:cs="宋体"/>
          <w:b/>
          <w:color w:val="auto"/>
          <w:sz w:val="24"/>
          <w:highlight w:val="none"/>
        </w:rPr>
        <w:t>.1质疑提出时效</w:t>
      </w:r>
    </w:p>
    <w:p w14:paraId="2698CEE6">
      <w:pPr>
        <w:pStyle w:val="32"/>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3.1.1提出质疑的供应商应当是参与所质疑项目采购活动的供应商。潜在供应商已依法获取其可质疑的采购文件的，可以对该文件提出质疑。</w:t>
      </w:r>
    </w:p>
    <w:p w14:paraId="1963C5CA">
      <w:pPr>
        <w:pStyle w:val="32"/>
        <w:spacing w:line="360" w:lineRule="auto"/>
        <w:ind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lang w:val="zh-CN"/>
        </w:rPr>
        <w:t>3</w:t>
      </w:r>
      <w:r>
        <w:rPr>
          <w:rFonts w:hint="eastAsia" w:ascii="宋体" w:hAnsi="宋体" w:eastAsia="宋体" w:cs="宋体"/>
          <w:color w:val="auto"/>
          <w:sz w:val="24"/>
          <w:highlight w:val="none"/>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r>
        <w:rPr>
          <w:rFonts w:hint="eastAsia" w:ascii="宋体" w:hAnsi="宋体" w:eastAsia="宋体" w:cs="宋体"/>
          <w:color w:val="auto"/>
          <w:sz w:val="24"/>
          <w:highlight w:val="none"/>
          <w:lang w:eastAsia="zh-CN"/>
        </w:rPr>
        <w:t>：</w:t>
      </w:r>
    </w:p>
    <w:p w14:paraId="27FD92B6">
      <w:pPr>
        <w:pStyle w:val="15"/>
        <w:spacing w:line="360" w:lineRule="auto"/>
        <w:ind w:firstLine="434" w:firstLineChars="181"/>
        <w:outlineLvl w:val="9"/>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3.1.2.1对采购文件提出质疑的，质疑期限为供应商获得采购文件之日或者采购文件公告期限届满之日起计算，采购文件在获取截止之日后获得的，应当自采购文件公告期限届满之日起计算。</w:t>
      </w:r>
    </w:p>
    <w:p w14:paraId="6574F8CE">
      <w:pPr>
        <w:pStyle w:val="32"/>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3.1.2.2对采购过程提出质疑的，质疑期限为各采购程序环节结束之日起计算。</w:t>
      </w:r>
    </w:p>
    <w:p w14:paraId="245E7BE4">
      <w:pPr>
        <w:pStyle w:val="32"/>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3.1.2.3对采购结果提出质疑的，质疑期限自采购结果公告期限届满之日起计算。</w:t>
      </w:r>
    </w:p>
    <w:p w14:paraId="254268CB">
      <w:pPr>
        <w:pStyle w:val="32"/>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3.1.2.4对同一采购程序环节的质疑，供应商须一次性提出。</w:t>
      </w:r>
    </w:p>
    <w:p w14:paraId="6FF9F8C4">
      <w:pPr>
        <w:pStyle w:val="32"/>
        <w:spacing w:line="360" w:lineRule="auto"/>
        <w:ind w:firstLine="482" w:firstLineChars="200"/>
        <w:outlineLvl w:val="9"/>
        <w:rPr>
          <w:rFonts w:hint="eastAsia" w:ascii="宋体" w:hAnsi="宋体" w:eastAsia="宋体" w:cs="宋体"/>
          <w:color w:val="auto"/>
          <w:sz w:val="24"/>
          <w:highlight w:val="none"/>
        </w:rPr>
      </w:pPr>
      <w:r>
        <w:rPr>
          <w:rFonts w:hint="eastAsia" w:ascii="宋体" w:hAnsi="宋体" w:eastAsia="宋体" w:cs="宋体"/>
          <w:b/>
          <w:color w:val="auto"/>
          <w:sz w:val="24"/>
          <w:highlight w:val="none"/>
        </w:rPr>
        <w:t>3.2质疑答复</w:t>
      </w:r>
    </w:p>
    <w:p w14:paraId="75157817">
      <w:pPr>
        <w:pStyle w:val="32"/>
        <w:spacing w:line="360" w:lineRule="auto"/>
        <w:ind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3.2.1根据采购人与采购代理机构签订采购委托协议的规定，质疑答复责任主体如下</w:t>
      </w:r>
      <w:r>
        <w:rPr>
          <w:rFonts w:hint="eastAsia" w:ascii="宋体" w:hAnsi="宋体" w:eastAsia="宋体" w:cs="宋体"/>
          <w:color w:val="auto"/>
          <w:sz w:val="24"/>
          <w:highlight w:val="none"/>
          <w:lang w:eastAsia="zh-CN"/>
        </w:rPr>
        <w:t>：</w:t>
      </w:r>
    </w:p>
    <w:p w14:paraId="02E218A9">
      <w:pPr>
        <w:widowControl/>
        <w:adjustRightInd/>
        <w:jc w:val="center"/>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质疑答复责任主体一览表</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4536"/>
        <w:gridCol w:w="2232"/>
      </w:tblGrid>
      <w:tr w14:paraId="69B0A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47CE67F6">
            <w:pPr>
              <w:pStyle w:val="32"/>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质疑内容</w:t>
            </w:r>
          </w:p>
        </w:tc>
        <w:tc>
          <w:tcPr>
            <w:tcW w:w="2232" w:type="dxa"/>
            <w:vAlign w:val="center"/>
          </w:tcPr>
          <w:p w14:paraId="405A9C4D">
            <w:pPr>
              <w:pStyle w:val="32"/>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质疑答复责任主体</w:t>
            </w:r>
          </w:p>
        </w:tc>
      </w:tr>
      <w:tr w14:paraId="01CB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5D2FA903">
            <w:pPr>
              <w:pStyle w:val="32"/>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对采购文件提出质疑</w:t>
            </w:r>
          </w:p>
        </w:tc>
        <w:tc>
          <w:tcPr>
            <w:tcW w:w="4536" w:type="dxa"/>
            <w:vAlign w:val="center"/>
          </w:tcPr>
          <w:p w14:paraId="2C35CD65">
            <w:pPr>
              <w:pStyle w:val="32"/>
              <w:spacing w:line="360" w:lineRule="auto"/>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对采购文件中特定资格条件、采购需求、评审办法、评审标准提出的质疑</w:t>
            </w:r>
          </w:p>
        </w:tc>
        <w:tc>
          <w:tcPr>
            <w:tcW w:w="2232" w:type="dxa"/>
            <w:vAlign w:val="center"/>
          </w:tcPr>
          <w:p w14:paraId="6EDE5CBF">
            <w:pPr>
              <w:pStyle w:val="32"/>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w:t>
            </w:r>
          </w:p>
        </w:tc>
      </w:tr>
      <w:tr w14:paraId="1AD54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07233C62">
            <w:pPr>
              <w:pStyle w:val="32"/>
              <w:spacing w:line="360" w:lineRule="auto"/>
              <w:jc w:val="center"/>
              <w:outlineLvl w:val="9"/>
              <w:rPr>
                <w:rFonts w:hint="eastAsia" w:ascii="宋体" w:hAnsi="宋体" w:eastAsia="宋体" w:cs="宋体"/>
                <w:color w:val="auto"/>
                <w:sz w:val="24"/>
                <w:highlight w:val="none"/>
              </w:rPr>
            </w:pPr>
          </w:p>
        </w:tc>
        <w:tc>
          <w:tcPr>
            <w:tcW w:w="4536" w:type="dxa"/>
            <w:vAlign w:val="center"/>
          </w:tcPr>
          <w:p w14:paraId="69401B36">
            <w:pPr>
              <w:pStyle w:val="32"/>
              <w:spacing w:line="360" w:lineRule="auto"/>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对采购文件中其他内容提出的质疑</w:t>
            </w:r>
          </w:p>
        </w:tc>
        <w:tc>
          <w:tcPr>
            <w:tcW w:w="2232" w:type="dxa"/>
            <w:vAlign w:val="center"/>
          </w:tcPr>
          <w:p w14:paraId="49BD50D3">
            <w:pPr>
              <w:pStyle w:val="32"/>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w:t>
            </w:r>
          </w:p>
        </w:tc>
      </w:tr>
      <w:tr w14:paraId="0C5F6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6A48F2E1">
            <w:pPr>
              <w:pStyle w:val="32"/>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对采购过程提出质疑</w:t>
            </w:r>
          </w:p>
        </w:tc>
        <w:tc>
          <w:tcPr>
            <w:tcW w:w="4536" w:type="dxa"/>
            <w:vAlign w:val="center"/>
          </w:tcPr>
          <w:p w14:paraId="2B39766F">
            <w:pPr>
              <w:pStyle w:val="32"/>
              <w:spacing w:line="360" w:lineRule="auto"/>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有关</w:t>
            </w:r>
            <w:r>
              <w:rPr>
                <w:rFonts w:hint="eastAsia" w:ascii="宋体" w:hAnsi="宋体" w:eastAsia="宋体" w:cs="宋体"/>
                <w:color w:val="auto"/>
                <w:sz w:val="24"/>
                <w:highlight w:val="none"/>
                <w:lang w:eastAsia="zh-CN"/>
              </w:rPr>
              <w:t>现场踏勘</w:t>
            </w:r>
            <w:r>
              <w:rPr>
                <w:rFonts w:hint="eastAsia" w:ascii="宋体" w:hAnsi="宋体" w:eastAsia="宋体" w:cs="宋体"/>
                <w:color w:val="auto"/>
                <w:sz w:val="24"/>
                <w:highlight w:val="none"/>
              </w:rPr>
              <w:t>或开启响应文件前答疑会事项提出的质疑</w:t>
            </w:r>
          </w:p>
        </w:tc>
        <w:tc>
          <w:tcPr>
            <w:tcW w:w="2232" w:type="dxa"/>
            <w:vAlign w:val="center"/>
          </w:tcPr>
          <w:p w14:paraId="7208D6E9">
            <w:pPr>
              <w:pStyle w:val="32"/>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w:t>
            </w:r>
          </w:p>
        </w:tc>
      </w:tr>
      <w:tr w14:paraId="6EFFF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16BA77A0">
            <w:pPr>
              <w:pStyle w:val="32"/>
              <w:spacing w:line="360" w:lineRule="auto"/>
              <w:jc w:val="center"/>
              <w:outlineLvl w:val="9"/>
              <w:rPr>
                <w:rFonts w:hint="eastAsia" w:ascii="宋体" w:hAnsi="宋体" w:eastAsia="宋体" w:cs="宋体"/>
                <w:color w:val="auto"/>
                <w:sz w:val="24"/>
                <w:highlight w:val="none"/>
              </w:rPr>
            </w:pPr>
          </w:p>
        </w:tc>
        <w:tc>
          <w:tcPr>
            <w:tcW w:w="4536" w:type="dxa"/>
            <w:vAlign w:val="center"/>
          </w:tcPr>
          <w:p w14:paraId="6FDE7857">
            <w:pPr>
              <w:pStyle w:val="32"/>
              <w:spacing w:line="360" w:lineRule="auto"/>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对采购过程中其它事项提出的质疑</w:t>
            </w:r>
          </w:p>
        </w:tc>
        <w:tc>
          <w:tcPr>
            <w:tcW w:w="2232" w:type="dxa"/>
            <w:vAlign w:val="center"/>
          </w:tcPr>
          <w:p w14:paraId="774282C0">
            <w:pPr>
              <w:pStyle w:val="32"/>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w:t>
            </w:r>
          </w:p>
        </w:tc>
      </w:tr>
      <w:tr w14:paraId="07E37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7B79DB05">
            <w:pPr>
              <w:pStyle w:val="32"/>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对采购结果提出质疑</w:t>
            </w:r>
          </w:p>
        </w:tc>
        <w:tc>
          <w:tcPr>
            <w:tcW w:w="4536" w:type="dxa"/>
            <w:vAlign w:val="center"/>
          </w:tcPr>
          <w:p w14:paraId="6EF826D3">
            <w:pPr>
              <w:pStyle w:val="32"/>
              <w:spacing w:line="360" w:lineRule="auto"/>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对采购结果提出的质疑</w:t>
            </w:r>
          </w:p>
        </w:tc>
        <w:tc>
          <w:tcPr>
            <w:tcW w:w="2232" w:type="dxa"/>
            <w:vAlign w:val="center"/>
          </w:tcPr>
          <w:p w14:paraId="0A118242">
            <w:pPr>
              <w:pStyle w:val="32"/>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w:t>
            </w:r>
          </w:p>
        </w:tc>
      </w:tr>
    </w:tbl>
    <w:p w14:paraId="66E19D1A">
      <w:pPr>
        <w:pStyle w:val="32"/>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采购人或代理机构应当协助质疑答复责任主体及时答复供应商的书面质疑。</w:t>
      </w:r>
    </w:p>
    <w:p w14:paraId="2D1A5257">
      <w:pPr>
        <w:pStyle w:val="32"/>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w:t>
      </w:r>
      <w:r>
        <w:rPr>
          <w:rFonts w:hint="eastAsia" w:ascii="宋体" w:hAnsi="宋体" w:eastAsia="宋体" w:cs="宋体"/>
          <w:color w:val="auto"/>
          <w:sz w:val="24"/>
          <w:highlight w:val="none"/>
          <w:lang w:val="en-US" w:eastAsia="zh-CN"/>
        </w:rPr>
        <w:t>在</w:t>
      </w:r>
      <w:r>
        <w:rPr>
          <w:rFonts w:hint="eastAsia" w:ascii="宋体" w:hAnsi="宋体" w:eastAsia="宋体" w:cs="宋体"/>
          <w:color w:val="auto"/>
          <w:sz w:val="24"/>
          <w:highlight w:val="none"/>
        </w:rPr>
        <w:t>质疑回复后5个工作日内，在广西政府采购网公开质疑答复，答复内容应当完整。</w:t>
      </w:r>
    </w:p>
    <w:p w14:paraId="5A2126E4">
      <w:pPr>
        <w:pStyle w:val="32"/>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3.2.3询问或者质疑事项可能影响采购结果的，采购人应当暂停签订合同，已经签订合同的，应当中止履行合同。</w:t>
      </w:r>
    </w:p>
    <w:p w14:paraId="26214A25">
      <w:pPr>
        <w:pStyle w:val="32"/>
        <w:spacing w:line="360" w:lineRule="auto"/>
        <w:ind w:firstLine="482" w:firstLineChars="200"/>
        <w:outlineLvl w:val="9"/>
        <w:rPr>
          <w:rFonts w:hint="eastAsia" w:ascii="宋体" w:hAnsi="宋体" w:eastAsia="宋体" w:cs="宋体"/>
          <w:color w:val="auto"/>
          <w:sz w:val="24"/>
          <w:highlight w:val="none"/>
        </w:rPr>
      </w:pPr>
      <w:r>
        <w:rPr>
          <w:rFonts w:hint="eastAsia" w:ascii="宋体" w:hAnsi="宋体" w:eastAsia="宋体" w:cs="宋体"/>
          <w:b/>
          <w:color w:val="auto"/>
          <w:kern w:val="0"/>
          <w:sz w:val="24"/>
          <w:highlight w:val="none"/>
          <w:lang w:val="zh-CN"/>
        </w:rPr>
        <w:t>3.3质疑函</w:t>
      </w:r>
    </w:p>
    <w:p w14:paraId="5F9C53CB">
      <w:pPr>
        <w:pStyle w:val="32"/>
        <w:spacing w:line="360" w:lineRule="auto"/>
        <w:ind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3.3.1供应商提出质疑应当提交质疑函和必要的证明材料。质疑函应当包括下列内容</w:t>
      </w:r>
      <w:r>
        <w:rPr>
          <w:rFonts w:hint="eastAsia" w:ascii="宋体" w:hAnsi="宋体" w:eastAsia="宋体" w:cs="宋体"/>
          <w:color w:val="auto"/>
          <w:sz w:val="24"/>
          <w:highlight w:val="none"/>
          <w:lang w:eastAsia="zh-CN"/>
        </w:rPr>
        <w:t>：</w:t>
      </w:r>
    </w:p>
    <w:p w14:paraId="7956E650">
      <w:pPr>
        <w:pStyle w:val="32"/>
        <w:tabs>
          <w:tab w:val="left" w:pos="426"/>
          <w:tab w:val="left" w:pos="840"/>
        </w:tabs>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3.3.1.1</w:t>
      </w:r>
      <w:r>
        <w:rPr>
          <w:rFonts w:hint="eastAsia" w:ascii="宋体" w:hAnsi="宋体" w:eastAsia="宋体" w:cs="宋体"/>
          <w:color w:val="auto"/>
          <w:sz w:val="24"/>
          <w:szCs w:val="24"/>
          <w:highlight w:val="none"/>
        </w:rPr>
        <w:t>供应商的姓名或者名称、地址、邮编、联系人及联系电话；</w:t>
      </w:r>
    </w:p>
    <w:p w14:paraId="7A7C4698">
      <w:pPr>
        <w:pStyle w:val="32"/>
        <w:tabs>
          <w:tab w:val="left" w:pos="426"/>
          <w:tab w:val="left" w:pos="840"/>
        </w:tabs>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3.3.1.2</w:t>
      </w:r>
      <w:r>
        <w:rPr>
          <w:rFonts w:hint="eastAsia" w:ascii="宋体" w:hAnsi="宋体" w:eastAsia="宋体" w:cs="宋体"/>
          <w:color w:val="auto"/>
          <w:sz w:val="24"/>
          <w:szCs w:val="24"/>
          <w:highlight w:val="none"/>
        </w:rPr>
        <w:t>质疑项目的名称、编号；</w:t>
      </w:r>
    </w:p>
    <w:p w14:paraId="09AB2245">
      <w:pPr>
        <w:pStyle w:val="32"/>
        <w:tabs>
          <w:tab w:val="left" w:pos="426"/>
          <w:tab w:val="left" w:pos="840"/>
        </w:tabs>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3.3.1.3</w:t>
      </w:r>
      <w:r>
        <w:rPr>
          <w:rFonts w:hint="eastAsia" w:ascii="宋体" w:hAnsi="宋体" w:eastAsia="宋体" w:cs="宋体"/>
          <w:color w:val="auto"/>
          <w:sz w:val="24"/>
          <w:szCs w:val="24"/>
          <w:highlight w:val="none"/>
        </w:rPr>
        <w:t>具体、明确的质疑事项和与质疑事项相关的请求；</w:t>
      </w:r>
    </w:p>
    <w:p w14:paraId="79EC753C">
      <w:pPr>
        <w:pStyle w:val="32"/>
        <w:tabs>
          <w:tab w:val="left" w:pos="426"/>
          <w:tab w:val="left" w:pos="840"/>
        </w:tabs>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3.3.1.4</w:t>
      </w:r>
      <w:r>
        <w:rPr>
          <w:rFonts w:hint="eastAsia" w:ascii="宋体" w:hAnsi="宋体" w:eastAsia="宋体" w:cs="宋体"/>
          <w:color w:val="auto"/>
          <w:sz w:val="24"/>
          <w:szCs w:val="24"/>
          <w:highlight w:val="none"/>
        </w:rPr>
        <w:t>事实依据；</w:t>
      </w:r>
    </w:p>
    <w:p w14:paraId="23AAFC1B">
      <w:pPr>
        <w:pStyle w:val="32"/>
        <w:tabs>
          <w:tab w:val="left" w:pos="426"/>
          <w:tab w:val="left" w:pos="840"/>
        </w:tabs>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3.3.1.5</w:t>
      </w:r>
      <w:r>
        <w:rPr>
          <w:rFonts w:hint="eastAsia" w:ascii="宋体" w:hAnsi="宋体" w:eastAsia="宋体" w:cs="宋体"/>
          <w:color w:val="auto"/>
          <w:sz w:val="24"/>
          <w:szCs w:val="24"/>
          <w:highlight w:val="none"/>
        </w:rPr>
        <w:t>必要的法律依据；</w:t>
      </w:r>
    </w:p>
    <w:p w14:paraId="2ED83F7B">
      <w:pPr>
        <w:pStyle w:val="32"/>
        <w:tabs>
          <w:tab w:val="left" w:pos="426"/>
          <w:tab w:val="left" w:pos="840"/>
        </w:tabs>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3.3.1.6</w:t>
      </w:r>
      <w:r>
        <w:rPr>
          <w:rFonts w:hint="eastAsia" w:ascii="宋体" w:hAnsi="宋体" w:eastAsia="宋体" w:cs="宋体"/>
          <w:color w:val="auto"/>
          <w:sz w:val="24"/>
          <w:szCs w:val="24"/>
          <w:highlight w:val="none"/>
        </w:rPr>
        <w:t>提出质疑的日期。</w:t>
      </w:r>
    </w:p>
    <w:p w14:paraId="2A8BE8D6">
      <w:pPr>
        <w:pStyle w:val="32"/>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3.3.1.7供应商提交的质疑函需一式三份。供应商为自然人的，应当由本人签字；供应商为法人或者其他组织的，应当由法定代表人、主要负责人，或者其授权代表签字或者盖章，并加盖公章。</w:t>
      </w:r>
    </w:p>
    <w:p w14:paraId="17ABBFEE">
      <w:pPr>
        <w:pStyle w:val="32"/>
        <w:spacing w:line="360" w:lineRule="auto"/>
        <w:ind w:firstLine="482" w:firstLineChars="200"/>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质疑函范本及制作说明详见附件1。</w:t>
      </w:r>
    </w:p>
    <w:p w14:paraId="5D14D869">
      <w:pPr>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4.供应商投诉</w:t>
      </w:r>
    </w:p>
    <w:p w14:paraId="7758BAA9">
      <w:pPr>
        <w:pStyle w:val="32"/>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4.1质疑供应商对采购人、采购代理机构的答复不满意或者采购人、采购代理机构未在规定的时间内作出答复的，可以在答复期满后十五个工作日内向同级政府采购监督管理部门提出投诉。</w:t>
      </w:r>
    </w:p>
    <w:p w14:paraId="4DACC9BC">
      <w:pPr>
        <w:pStyle w:val="32"/>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4.2供应商投诉的事项不得超出已质疑事项的范围，基于质疑答复内容提出的投诉事项除外。</w:t>
      </w:r>
    </w:p>
    <w:p w14:paraId="1980A591">
      <w:pPr>
        <w:pStyle w:val="32"/>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4.3供应商投诉应当有明确的请求和必要的证明材料。</w:t>
      </w:r>
    </w:p>
    <w:p w14:paraId="44FECD6A">
      <w:pPr>
        <w:pStyle w:val="32"/>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4.4以联合体形式参加政府采购活动的，其投诉应当由组成联合体的所有供应商共同提出。</w:t>
      </w:r>
    </w:p>
    <w:p w14:paraId="164ABC3C">
      <w:pPr>
        <w:pStyle w:val="32"/>
        <w:spacing w:line="360" w:lineRule="auto"/>
        <w:ind w:firstLine="482" w:firstLineChars="200"/>
        <w:outlineLvl w:val="9"/>
        <w:rPr>
          <w:rFonts w:hint="eastAsia" w:ascii="宋体" w:hAnsi="宋体" w:eastAsia="宋体" w:cs="宋体"/>
          <w:b/>
          <w:color w:val="auto"/>
          <w:sz w:val="24"/>
          <w:highlight w:val="none"/>
        </w:rPr>
      </w:pPr>
    </w:p>
    <w:p w14:paraId="12DD149D">
      <w:pPr>
        <w:adjustRightInd/>
        <w:spacing w:line="360" w:lineRule="auto"/>
        <w:jc w:val="center"/>
        <w:outlineLvl w:val="9"/>
        <w:rPr>
          <w:rFonts w:hint="eastAsia" w:ascii="宋体" w:hAnsi="宋体" w:eastAsia="宋体" w:cs="宋体"/>
          <w:b/>
          <w:color w:val="auto"/>
          <w:sz w:val="32"/>
          <w:szCs w:val="20"/>
          <w:highlight w:val="none"/>
        </w:rPr>
      </w:pPr>
    </w:p>
    <w:p w14:paraId="788C6DF5">
      <w:pPr>
        <w:adjustRightInd/>
        <w:spacing w:line="360" w:lineRule="auto"/>
        <w:jc w:val="center"/>
        <w:outlineLvl w:val="9"/>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五、磋商文件构成、修改、解释</w:t>
      </w:r>
    </w:p>
    <w:p w14:paraId="5BC5C555">
      <w:pPr>
        <w:autoSpaceDE w:val="0"/>
        <w:autoSpaceDN w:val="0"/>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1．磋商文件的构成</w:t>
      </w:r>
    </w:p>
    <w:p w14:paraId="0632E4EA">
      <w:pPr>
        <w:pStyle w:val="32"/>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磋商文件包括下列文件及附件</w:t>
      </w:r>
    </w:p>
    <w:p w14:paraId="54C6E9BE">
      <w:pPr>
        <w:pStyle w:val="32"/>
        <w:tabs>
          <w:tab w:val="left" w:pos="840"/>
        </w:tabs>
        <w:spacing w:line="360" w:lineRule="auto"/>
        <w:ind w:left="1319"/>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第一部分  邀请供应商</w:t>
      </w:r>
    </w:p>
    <w:p w14:paraId="7ADE9BCF">
      <w:pPr>
        <w:pStyle w:val="32"/>
        <w:tabs>
          <w:tab w:val="left" w:pos="840"/>
        </w:tabs>
        <w:spacing w:line="360" w:lineRule="auto"/>
        <w:ind w:left="1319"/>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第二部分  竞争性磋商流程</w:t>
      </w:r>
    </w:p>
    <w:p w14:paraId="097A19D2">
      <w:pPr>
        <w:pStyle w:val="32"/>
        <w:tabs>
          <w:tab w:val="left" w:pos="840"/>
        </w:tabs>
        <w:spacing w:line="360" w:lineRule="auto"/>
        <w:ind w:left="1319"/>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第三部分  供应商须知</w:t>
      </w:r>
    </w:p>
    <w:p w14:paraId="673A2192">
      <w:pPr>
        <w:pStyle w:val="32"/>
        <w:tabs>
          <w:tab w:val="left" w:pos="840"/>
        </w:tabs>
        <w:spacing w:line="360" w:lineRule="auto"/>
        <w:ind w:left="1319"/>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第四部分  采购需求</w:t>
      </w:r>
    </w:p>
    <w:p w14:paraId="15EB680E">
      <w:pPr>
        <w:pStyle w:val="32"/>
        <w:tabs>
          <w:tab w:val="left" w:pos="840"/>
        </w:tabs>
        <w:spacing w:line="360" w:lineRule="auto"/>
        <w:ind w:left="1319"/>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第五部分  评审方法及评审标准</w:t>
      </w:r>
    </w:p>
    <w:p w14:paraId="0F091CD3">
      <w:pPr>
        <w:pStyle w:val="32"/>
        <w:tabs>
          <w:tab w:val="left" w:pos="840"/>
        </w:tabs>
        <w:spacing w:line="360" w:lineRule="auto"/>
        <w:ind w:left="1319"/>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第六部分  拟签订的合同文本</w:t>
      </w:r>
    </w:p>
    <w:p w14:paraId="365926FE">
      <w:pPr>
        <w:pStyle w:val="32"/>
        <w:tabs>
          <w:tab w:val="left" w:pos="840"/>
        </w:tabs>
        <w:spacing w:line="360" w:lineRule="auto"/>
        <w:ind w:left="1319"/>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第七部分  应提交的有关格式范例</w:t>
      </w:r>
    </w:p>
    <w:p w14:paraId="36B2D242">
      <w:pPr>
        <w:pStyle w:val="32"/>
        <w:tabs>
          <w:tab w:val="left" w:pos="840"/>
        </w:tabs>
        <w:spacing w:line="360" w:lineRule="auto"/>
        <w:ind w:left="1319"/>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第八部分  最后报价格式</w:t>
      </w:r>
    </w:p>
    <w:p w14:paraId="1FEF65DB">
      <w:pPr>
        <w:pStyle w:val="32"/>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 </w:t>
      </w:r>
      <w:r>
        <w:rPr>
          <w:rFonts w:hint="eastAsia" w:ascii="宋体" w:hAnsi="宋体" w:eastAsia="宋体" w:cs="宋体"/>
          <w:color w:val="auto"/>
          <w:sz w:val="24"/>
          <w:highlight w:val="none"/>
        </w:rPr>
        <w:t>与本项目有关的</w:t>
      </w:r>
      <w:r>
        <w:rPr>
          <w:rFonts w:hint="eastAsia" w:ascii="宋体" w:hAnsi="宋体" w:eastAsia="宋体" w:cs="宋体"/>
          <w:bCs/>
          <w:color w:val="auto"/>
          <w:sz w:val="24"/>
          <w:highlight w:val="none"/>
        </w:rPr>
        <w:t>澄清或者修改的内容为磋商文件的组成部分</w:t>
      </w:r>
      <w:r>
        <w:rPr>
          <w:rFonts w:hint="eastAsia" w:ascii="宋体" w:hAnsi="宋体" w:eastAsia="宋体" w:cs="宋体"/>
          <w:color w:val="auto"/>
          <w:sz w:val="24"/>
          <w:highlight w:val="none"/>
        </w:rPr>
        <w:t>。</w:t>
      </w:r>
    </w:p>
    <w:p w14:paraId="6750D205">
      <w:pPr>
        <w:pStyle w:val="32"/>
        <w:spacing w:line="360" w:lineRule="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 磋商文件的澄清、修改</w:t>
      </w:r>
    </w:p>
    <w:p w14:paraId="79107EE4">
      <w:pPr>
        <w:pStyle w:val="394"/>
        <w:snapToGrid w:val="0"/>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2.1已获取磋商文件的潜在供应商，若有问题需要澄清，应于提交首次响应文件截止时间</w:t>
      </w:r>
      <w:r>
        <w:rPr>
          <w:rFonts w:hint="eastAsia" w:ascii="宋体" w:hAnsi="宋体" w:cs="宋体"/>
          <w:color w:val="auto"/>
          <w:highlight w:val="none"/>
          <w:lang w:val="en-US" w:eastAsia="zh-CN"/>
        </w:rPr>
        <w:t>之</w:t>
      </w:r>
      <w:r>
        <w:rPr>
          <w:rFonts w:hint="eastAsia" w:ascii="宋体" w:hAnsi="宋体" w:eastAsia="宋体" w:cs="宋体"/>
          <w:color w:val="auto"/>
          <w:highlight w:val="none"/>
        </w:rPr>
        <w:t>前，以书面形式向采购代理机构提出。</w:t>
      </w:r>
    </w:p>
    <w:p w14:paraId="7A72F44F">
      <w:pPr>
        <w:pStyle w:val="394"/>
        <w:snapToGrid w:val="0"/>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2.2采购代理机构对磋商文件进行澄清或修改的，将同时通过电子交易平台通知已获取磋商文件的供应商。依法应当公告的，将按规定公告，同时视情况延长提交首次响应文件截止时间和响应文件开启时间。该澄清或者修改的内容为磋商文件的组成部分。</w:t>
      </w:r>
    </w:p>
    <w:p w14:paraId="7AE8A1C5">
      <w:pPr>
        <w:pStyle w:val="394"/>
        <w:snapToGrid w:val="0"/>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2.3澄清或者修改的内容可能影响响应文件编制的，采购人、采购代理机构应当在提交首次响应文件截止时间至少5日前，通过电子交易平台通知所有获取磋商文件的供应商；不足5日的，采购人、采购代理机构应当顺延提交首次响应文件截止时间。</w:t>
      </w:r>
    </w:p>
    <w:p w14:paraId="784B860E">
      <w:pPr>
        <w:pStyle w:val="394"/>
        <w:snapToGrid w:val="0"/>
        <w:spacing w:before="0"/>
        <w:ind w:firstLine="482"/>
        <w:outlineLvl w:val="9"/>
        <w:rPr>
          <w:rFonts w:hint="eastAsia" w:ascii="宋体" w:hAnsi="宋体" w:eastAsia="宋体" w:cs="宋体"/>
          <w:color w:val="auto"/>
          <w:highlight w:val="none"/>
        </w:rPr>
      </w:pPr>
      <w:r>
        <w:rPr>
          <w:rFonts w:hint="eastAsia" w:ascii="宋体" w:hAnsi="宋体" w:eastAsia="宋体" w:cs="宋体"/>
          <w:b/>
          <w:color w:val="auto"/>
          <w:highlight w:val="none"/>
        </w:rPr>
        <w:t>▲</w:t>
      </w:r>
      <w:r>
        <w:rPr>
          <w:rFonts w:hint="eastAsia" w:ascii="宋体" w:hAnsi="宋体" w:eastAsia="宋体" w:cs="宋体"/>
          <w:b/>
          <w:color w:val="auto"/>
          <w:szCs w:val="21"/>
          <w:highlight w:val="none"/>
        </w:rPr>
        <w:t>响应文件未按磋商文件的澄清、修改的内容编制，又不符合实质性要求的，响应无效。</w:t>
      </w:r>
    </w:p>
    <w:p w14:paraId="52ABD8C0">
      <w:pPr>
        <w:pStyle w:val="22"/>
        <w:outlineLvl w:val="9"/>
        <w:rPr>
          <w:rFonts w:hint="eastAsia" w:ascii="宋体" w:hAnsi="宋体" w:eastAsia="宋体" w:cs="宋体"/>
          <w:color w:val="auto"/>
          <w:sz w:val="18"/>
          <w:szCs w:val="18"/>
          <w:highlight w:val="none"/>
          <w:lang w:val="en-US"/>
        </w:rPr>
      </w:pPr>
      <w:r>
        <w:rPr>
          <w:rFonts w:hint="eastAsia" w:ascii="宋体" w:hAnsi="宋体" w:eastAsia="宋体" w:cs="宋体"/>
          <w:color w:val="auto"/>
          <w:szCs w:val="24"/>
          <w:highlight w:val="none"/>
          <w:lang w:val="en-US"/>
        </w:rPr>
        <w:t xml:space="preserve">    </w:t>
      </w:r>
    </w:p>
    <w:p w14:paraId="646A513F">
      <w:pPr>
        <w:adjustRightInd/>
        <w:spacing w:line="360" w:lineRule="auto"/>
        <w:jc w:val="center"/>
        <w:outlineLvl w:val="9"/>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六、响应文件的编制</w:t>
      </w:r>
    </w:p>
    <w:p w14:paraId="2DEEAB32">
      <w:pPr>
        <w:pStyle w:val="32"/>
        <w:spacing w:line="360" w:lineRule="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1. 响应文件的语言</w:t>
      </w:r>
    </w:p>
    <w:p w14:paraId="66CA3B82">
      <w:pPr>
        <w:pStyle w:val="32"/>
        <w:spacing w:line="360" w:lineRule="auto"/>
        <w:ind w:firstLine="480" w:firstLineChars="200"/>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highlight w:val="none"/>
        </w:rPr>
        <w:t>响应文件及供应商与采购有关的来往通知、函件和文件均应使用中文。</w:t>
      </w:r>
    </w:p>
    <w:p w14:paraId="30071C86">
      <w:pPr>
        <w:pStyle w:val="32"/>
        <w:spacing w:line="360" w:lineRule="auto"/>
        <w:outlineLvl w:val="9"/>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highlight w:val="none"/>
        </w:rPr>
        <w:t>2. 响应文件的组成(响应文件应当包括以下主要内容(标注“▲”为实质性要求，供应商必须提供，否则磋商无效。相关格式见磋商文件第七部分)</w:t>
      </w:r>
      <w:r>
        <w:rPr>
          <w:rFonts w:hint="eastAsia" w:ascii="宋体" w:hAnsi="宋体" w:eastAsia="宋体" w:cs="宋体"/>
          <w:b/>
          <w:color w:val="auto"/>
          <w:sz w:val="24"/>
          <w:highlight w:val="none"/>
          <w:lang w:eastAsia="zh-CN"/>
        </w:rPr>
        <w:t>：</w:t>
      </w:r>
    </w:p>
    <w:p w14:paraId="72C8D0BE">
      <w:pPr>
        <w:pStyle w:val="32"/>
        <w:spacing w:line="360" w:lineRule="auto"/>
        <w:ind w:firstLine="480" w:firstLineChars="200"/>
        <w:outlineLvl w:val="9"/>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highlight w:val="none"/>
        </w:rPr>
        <w:t>响应文件应当包括以下主要内容</w:t>
      </w:r>
      <w:r>
        <w:rPr>
          <w:rFonts w:hint="eastAsia" w:ascii="宋体" w:hAnsi="宋体" w:eastAsia="宋体" w:cs="宋体"/>
          <w:color w:val="auto"/>
          <w:sz w:val="24"/>
          <w:highlight w:val="none"/>
          <w:lang w:eastAsia="zh-CN"/>
        </w:rPr>
        <w:t>：</w:t>
      </w:r>
    </w:p>
    <w:p w14:paraId="5F073328">
      <w:pPr>
        <w:pStyle w:val="32"/>
        <w:spacing w:line="360" w:lineRule="auto"/>
        <w:ind w:firstLine="480" w:firstLineChars="20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2.1价格文件（必须提供的资料，如未提供，磋商小组有权拒绝其竞争性磋商响应文件）</w:t>
      </w:r>
    </w:p>
    <w:p w14:paraId="7E5DE1A5">
      <w:pPr>
        <w:pStyle w:val="32"/>
        <w:spacing w:line="360" w:lineRule="auto"/>
        <w:ind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▲报价表（格式见第</w:t>
      </w:r>
      <w:r>
        <w:rPr>
          <w:rFonts w:hint="eastAsia" w:ascii="宋体" w:hAnsi="宋体" w:eastAsia="宋体" w:cs="宋体"/>
          <w:color w:val="auto"/>
          <w:sz w:val="24"/>
          <w:highlight w:val="none"/>
          <w:lang w:val="en-US" w:eastAsia="zh-CN"/>
        </w:rPr>
        <w:t>七部分</w:t>
      </w:r>
      <w:r>
        <w:rPr>
          <w:rFonts w:hint="eastAsia" w:ascii="宋体" w:hAnsi="宋体" w:eastAsia="宋体" w:cs="宋体"/>
          <w:color w:val="auto"/>
          <w:sz w:val="24"/>
          <w:highlight w:val="none"/>
        </w:rPr>
        <w:t>，必须提供）</w:t>
      </w:r>
      <w:r>
        <w:rPr>
          <w:rFonts w:hint="eastAsia" w:ascii="宋体" w:hAnsi="宋体" w:eastAsia="宋体" w:cs="宋体"/>
          <w:color w:val="auto"/>
          <w:sz w:val="24"/>
          <w:highlight w:val="none"/>
          <w:lang w:eastAsia="zh-CN"/>
        </w:rPr>
        <w:t>。</w:t>
      </w:r>
    </w:p>
    <w:p w14:paraId="04F0886B">
      <w:pPr>
        <w:pStyle w:val="32"/>
        <w:spacing w:line="360" w:lineRule="auto"/>
        <w:ind w:firstLine="480" w:firstLineChars="20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2.2资格文件（磋商供应商须满足（1）-（</w:t>
      </w:r>
      <w:r>
        <w:rPr>
          <w:rFonts w:hint="eastAsia" w:hAnsi="宋体" w:cs="宋体"/>
          <w:color w:val="auto"/>
          <w:sz w:val="24"/>
          <w:highlight w:val="none"/>
          <w:lang w:val="en-US" w:eastAsia="zh-CN"/>
        </w:rPr>
        <w:t>10</w:t>
      </w:r>
      <w:r>
        <w:rPr>
          <w:rFonts w:hint="eastAsia" w:ascii="宋体" w:hAnsi="宋体" w:eastAsia="宋体" w:cs="宋体"/>
          <w:color w:val="auto"/>
          <w:sz w:val="24"/>
          <w:highlight w:val="none"/>
          <w:lang w:val="en-US" w:eastAsia="zh-CN"/>
        </w:rPr>
        <w:t>）项资格要求）</w:t>
      </w:r>
    </w:p>
    <w:p w14:paraId="32921C0B">
      <w:pPr>
        <w:pStyle w:val="32"/>
        <w:spacing w:line="360" w:lineRule="auto"/>
        <w:ind w:firstLine="480" w:firstLineChars="20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（1）具有独立承担民事责任的能力（磋商供应商为法人或者其他组织的具有有效的营业执照或者事业单位法人证书或者执业许可证；供应商为自然人的具有有效身份证）；</w:t>
      </w:r>
    </w:p>
    <w:p w14:paraId="40AE1212">
      <w:pPr>
        <w:pStyle w:val="32"/>
        <w:spacing w:line="360" w:lineRule="auto"/>
        <w:ind w:firstLine="480" w:firstLineChars="20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具有良好的商业信誉和健全的财务会计制度</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磋商供应商具有2024年年度经审计的财务报告或者截标时间前半年内至少一个月能反映财务状况的报表或者截标时间前半年内至少一个月的财务情况说明）；</w:t>
      </w:r>
    </w:p>
    <w:p w14:paraId="1622F10E">
      <w:pPr>
        <w:pStyle w:val="32"/>
        <w:spacing w:line="360" w:lineRule="auto"/>
        <w:ind w:firstLine="480" w:firstLineChars="20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（3）具有履行合同所必需的设备和专业技术能力的证明材料；</w:t>
      </w:r>
    </w:p>
    <w:p w14:paraId="27206B62">
      <w:pPr>
        <w:pStyle w:val="32"/>
        <w:spacing w:line="360" w:lineRule="auto"/>
        <w:ind w:firstLine="480" w:firstLineChars="20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具有依法缴纳税收的良好记录（磋商供应商具有税款所属时期为2025年8月至首次响应文件提交截止时间止，任意三个月依法缴纳税费记录或依法免缴税费的记录）【从取得营业执照时间起到首次响应文件提交截止时间为止不足要求月数的，至少具有从取得营业执照起任意一个月依法缴纳税收的良好记录】）；</w:t>
      </w:r>
    </w:p>
    <w:p w14:paraId="08157A8B">
      <w:pPr>
        <w:pStyle w:val="32"/>
        <w:spacing w:line="360" w:lineRule="auto"/>
        <w:ind w:firstLine="480" w:firstLineChars="20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具有社会保障资金的良好记录（磋商供应商具有社保所属时期或缴费起始时间为2025年8月至首次响应文件提交截止时间止，任意三个月依法缴纳社保费记录或依法免缴社保费的记录【从取得营业执照时间起到首次响应文件提交截止时间为止不足要求月数的，至少具有从取得营业执照起任意一个月依法缴纳社会保障资金的良好记录】）；</w:t>
      </w:r>
    </w:p>
    <w:p w14:paraId="0696E135">
      <w:pPr>
        <w:pStyle w:val="32"/>
        <w:spacing w:line="360" w:lineRule="auto"/>
        <w:ind w:firstLine="480" w:firstLineChars="20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（6）参加政府采购活动前三年内，在经营活动中没有重大违法记录；</w:t>
      </w:r>
    </w:p>
    <w:p w14:paraId="1D1A5FD9">
      <w:pPr>
        <w:pStyle w:val="32"/>
        <w:spacing w:line="360" w:lineRule="auto"/>
        <w:ind w:firstLine="480" w:firstLineChars="20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供应商直接控股股东及出资信息表</w:t>
      </w:r>
      <w:r>
        <w:rPr>
          <w:rFonts w:hint="eastAsia" w:ascii="宋体" w:hAnsi="宋体" w:eastAsia="宋体" w:cs="宋体"/>
          <w:color w:val="auto"/>
          <w:sz w:val="24"/>
          <w:highlight w:val="none"/>
        </w:rPr>
        <w:t>（格式见第</w:t>
      </w:r>
      <w:r>
        <w:rPr>
          <w:rFonts w:hint="eastAsia" w:ascii="宋体" w:hAnsi="宋体" w:eastAsia="宋体" w:cs="宋体"/>
          <w:color w:val="auto"/>
          <w:sz w:val="24"/>
          <w:highlight w:val="none"/>
          <w:lang w:val="en-US" w:eastAsia="zh-CN"/>
        </w:rPr>
        <w:t>七部分</w:t>
      </w: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必须提供</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w:t>
      </w:r>
    </w:p>
    <w:p w14:paraId="00E51230">
      <w:pPr>
        <w:pStyle w:val="32"/>
        <w:spacing w:line="360" w:lineRule="auto"/>
        <w:ind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（8）供应商直接管理关系信息表</w:t>
      </w:r>
      <w:r>
        <w:rPr>
          <w:rFonts w:hint="eastAsia" w:ascii="宋体" w:hAnsi="宋体" w:eastAsia="宋体" w:cs="宋体"/>
          <w:color w:val="auto"/>
          <w:sz w:val="24"/>
          <w:highlight w:val="none"/>
        </w:rPr>
        <w:t>（格式见第</w:t>
      </w:r>
      <w:r>
        <w:rPr>
          <w:rFonts w:hint="eastAsia" w:ascii="宋体" w:hAnsi="宋体" w:eastAsia="宋体" w:cs="宋体"/>
          <w:color w:val="auto"/>
          <w:sz w:val="24"/>
          <w:highlight w:val="none"/>
          <w:lang w:val="en-US" w:eastAsia="zh-CN"/>
        </w:rPr>
        <w:t>七部分</w:t>
      </w: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必须提供</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w:t>
      </w:r>
    </w:p>
    <w:p w14:paraId="4AD073F8">
      <w:pPr>
        <w:pStyle w:val="32"/>
        <w:spacing w:line="360" w:lineRule="auto"/>
        <w:ind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中小企业声明函或者残疾人福利性单位声明函或者供应商属于监狱企业的证明材料</w:t>
      </w:r>
      <w:r>
        <w:rPr>
          <w:rFonts w:hint="eastAsia" w:ascii="宋体" w:hAnsi="宋体" w:eastAsia="宋体" w:cs="宋体"/>
          <w:color w:val="auto"/>
          <w:sz w:val="24"/>
          <w:highlight w:val="none"/>
          <w:lang w:eastAsia="zh-CN"/>
        </w:rPr>
        <w:t>（格式见</w:t>
      </w:r>
      <w:r>
        <w:rPr>
          <w:rFonts w:hint="eastAsia" w:ascii="宋体" w:hAnsi="宋体" w:eastAsia="宋体" w:cs="宋体"/>
          <w:color w:val="auto"/>
          <w:sz w:val="24"/>
          <w:highlight w:val="none"/>
          <w:lang w:val="en-US" w:eastAsia="zh-CN"/>
        </w:rPr>
        <w:t>第七部分</w:t>
      </w:r>
      <w:r>
        <w:rPr>
          <w:rFonts w:hint="eastAsia" w:ascii="宋体" w:hAnsi="宋体" w:eastAsia="宋体" w:cs="宋体"/>
          <w:color w:val="auto"/>
          <w:sz w:val="24"/>
          <w:highlight w:val="none"/>
          <w:lang w:eastAsia="zh-CN"/>
        </w:rPr>
        <w:t>，</w:t>
      </w:r>
      <w:r>
        <w:rPr>
          <w:rFonts w:hint="eastAsia" w:ascii="宋体" w:hAnsi="宋体" w:eastAsia="宋体" w:cs="宋体"/>
          <w:b/>
          <w:bCs/>
          <w:color w:val="auto"/>
          <w:sz w:val="24"/>
          <w:highlight w:val="none"/>
          <w:lang w:eastAsia="zh-CN"/>
        </w:rPr>
        <w:t>必须提供</w:t>
      </w:r>
      <w:r>
        <w:rPr>
          <w:rFonts w:hint="eastAsia" w:ascii="宋体" w:hAnsi="宋体" w:eastAsia="宋体" w:cs="宋体"/>
          <w:color w:val="auto"/>
          <w:sz w:val="24"/>
          <w:highlight w:val="none"/>
          <w:lang w:eastAsia="zh-CN"/>
        </w:rPr>
        <w:t>）。</w:t>
      </w:r>
    </w:p>
    <w:p w14:paraId="400192FD">
      <w:pPr>
        <w:pStyle w:val="32"/>
        <w:spacing w:line="360" w:lineRule="auto"/>
        <w:ind w:firstLine="480" w:firstLineChars="20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10</w:t>
      </w:r>
      <w:r>
        <w:rPr>
          <w:rFonts w:hint="eastAsia" w:asciiTheme="minorEastAsia" w:hAnsiTheme="minorEastAsia" w:eastAsiaTheme="minorEastAsia"/>
          <w:color w:val="auto"/>
          <w:sz w:val="24"/>
          <w:highlight w:val="none"/>
          <w:lang w:eastAsia="zh-CN"/>
        </w:rPr>
        <w:t>）特定资质：提供食品经营许可证复印件或者食品生产许可证复印件（仅销售自己生产的食品时提供）</w:t>
      </w:r>
      <w:r>
        <w:rPr>
          <w:rFonts w:hint="eastAsia" w:asciiTheme="minorEastAsia" w:hAnsiTheme="minorEastAsia" w:eastAsiaTheme="minorEastAsia"/>
          <w:b/>
          <w:bCs/>
          <w:color w:val="auto"/>
          <w:sz w:val="24"/>
          <w:highlight w:val="none"/>
          <w:lang w:eastAsia="zh-CN"/>
        </w:rPr>
        <w:t>（必须提供）</w:t>
      </w:r>
      <w:r>
        <w:rPr>
          <w:rFonts w:hint="eastAsia" w:asciiTheme="minorEastAsia" w:hAnsiTheme="minorEastAsia" w:eastAsiaTheme="minorEastAsia"/>
          <w:color w:val="auto"/>
          <w:sz w:val="24"/>
          <w:highlight w:val="none"/>
          <w:lang w:eastAsia="zh-CN"/>
        </w:rPr>
        <w:t>。</w:t>
      </w:r>
    </w:p>
    <w:p w14:paraId="17125A3A">
      <w:pPr>
        <w:pStyle w:val="32"/>
        <w:spacing w:line="360" w:lineRule="auto"/>
        <w:ind w:firstLine="482" w:firstLineChars="200"/>
        <w:outlineLvl w:val="9"/>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注：1.（1）-（6）项材料，磋商供应商制作响应文件时资格证明文件可以书面信用承诺函（格式见第七部分）的形式进行响应或提供符合采购文件要求的证明材料；以承诺函形式进行响应的，无需提供证明材料。磋商供应商若提供证明材料，提供的所有复印件必须加盖电子公章，否则磋商无效。磋商供应商未按要求提供材料或提供的证明材料不齐全或提供的承诺函不符合采购文件要求的或不如实填写承诺函的，磋商无效。（7）-（</w:t>
      </w:r>
      <w:r>
        <w:rPr>
          <w:rFonts w:hint="eastAsia" w:hAnsi="宋体" w:cs="宋体"/>
          <w:b/>
          <w:bCs/>
          <w:color w:val="auto"/>
          <w:sz w:val="24"/>
          <w:highlight w:val="none"/>
          <w:lang w:val="en-US" w:eastAsia="zh-CN"/>
        </w:rPr>
        <w:t>10</w:t>
      </w:r>
      <w:r>
        <w:rPr>
          <w:rFonts w:hint="eastAsia" w:ascii="宋体" w:hAnsi="宋体" w:eastAsia="宋体" w:cs="宋体"/>
          <w:b/>
          <w:bCs/>
          <w:color w:val="auto"/>
          <w:sz w:val="24"/>
          <w:highlight w:val="none"/>
          <w:lang w:val="en-US" w:eastAsia="zh-CN"/>
        </w:rPr>
        <w:t>）项材料按要求提供证明材料并加盖电子公章，第七部分提供了格式要求的，必须按格式内容进行填写、签章，不提供或者不按要求填写、签章的，磋商无效。</w:t>
      </w:r>
    </w:p>
    <w:p w14:paraId="47C08549">
      <w:pPr>
        <w:pStyle w:val="32"/>
        <w:spacing w:line="360" w:lineRule="auto"/>
        <w:ind w:firstLine="482" w:firstLineChars="200"/>
        <w:outlineLvl w:val="9"/>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lang w:val="en-US" w:eastAsia="zh-CN"/>
        </w:rPr>
        <w:t>2.磋商供应商应当遵守诚实信用原则，如实承诺，否则属于提供虚假材料谋取中标（成交），将上报财政监管部门，按照《中华人民共和国政府采购法》第七十七条相关规定进行处罚。</w:t>
      </w:r>
    </w:p>
    <w:p w14:paraId="36793104">
      <w:pPr>
        <w:pStyle w:val="32"/>
        <w:spacing w:line="360" w:lineRule="auto"/>
        <w:ind w:firstLine="480" w:firstLineChars="20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2.3资信、商务及技术文件（必须提供的资料，如未提供，磋商小组有权拒绝其竞争性磋商响应文件）</w:t>
      </w:r>
    </w:p>
    <w:p w14:paraId="68E158A1">
      <w:pPr>
        <w:pStyle w:val="32"/>
        <w:spacing w:line="360" w:lineRule="auto"/>
        <w:ind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▲（1）响应函</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格式见第七部分，必须提供</w:t>
      </w:r>
      <w:r>
        <w:rPr>
          <w:rFonts w:hint="eastAsia" w:ascii="宋体" w:hAnsi="宋体" w:eastAsia="宋体" w:cs="宋体"/>
          <w:b/>
          <w:bCs/>
          <w:color w:val="auto"/>
          <w:sz w:val="24"/>
          <w:highlight w:val="none"/>
          <w:lang w:eastAsia="zh-CN"/>
        </w:rPr>
        <w:t>）</w:t>
      </w:r>
      <w:r>
        <w:rPr>
          <w:rFonts w:hint="eastAsia" w:ascii="宋体" w:hAnsi="宋体" w:eastAsia="宋体" w:cs="宋体"/>
          <w:color w:val="auto"/>
          <w:sz w:val="24"/>
          <w:highlight w:val="none"/>
          <w:lang w:eastAsia="zh-CN"/>
        </w:rPr>
        <w:t>；</w:t>
      </w:r>
    </w:p>
    <w:p w14:paraId="14976566">
      <w:pPr>
        <w:pStyle w:val="32"/>
        <w:spacing w:line="360" w:lineRule="auto"/>
        <w:ind w:firstLine="480" w:firstLineChars="200"/>
        <w:outlineLvl w:val="9"/>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▲（2）</w:t>
      </w:r>
      <w:r>
        <w:rPr>
          <w:rFonts w:hint="eastAsia" w:ascii="宋体" w:hAnsi="宋体" w:eastAsia="宋体" w:cs="宋体"/>
          <w:color w:val="auto"/>
          <w:kern w:val="0"/>
          <w:sz w:val="24"/>
          <w:highlight w:val="none"/>
          <w:lang w:val="zh-CN"/>
        </w:rPr>
        <w:t>政府采购供应商廉洁自律承诺书</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格式见第七部分，必须提供</w:t>
      </w:r>
      <w:r>
        <w:rPr>
          <w:rFonts w:hint="eastAsia" w:ascii="宋体" w:hAnsi="宋体" w:eastAsia="宋体" w:cs="宋体"/>
          <w:b/>
          <w:bCs/>
          <w:color w:val="auto"/>
          <w:sz w:val="24"/>
          <w:highlight w:val="none"/>
          <w:lang w:eastAsia="zh-CN"/>
        </w:rPr>
        <w:t>）</w:t>
      </w:r>
      <w:r>
        <w:rPr>
          <w:rFonts w:hint="eastAsia" w:ascii="宋体" w:hAnsi="宋体" w:eastAsia="宋体" w:cs="宋体"/>
          <w:color w:val="auto"/>
          <w:kern w:val="0"/>
          <w:sz w:val="24"/>
          <w:highlight w:val="none"/>
          <w:lang w:val="zh-CN"/>
        </w:rPr>
        <w:t>；</w:t>
      </w:r>
    </w:p>
    <w:p w14:paraId="6756B101">
      <w:pPr>
        <w:pStyle w:val="32"/>
        <w:spacing w:line="360" w:lineRule="auto"/>
        <w:ind w:firstLine="480" w:firstLineChars="200"/>
        <w:outlineLvl w:val="9"/>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highlight w:val="none"/>
          <w:lang w:val="zh-CN"/>
        </w:rPr>
        <w:t>承诺函</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格式见第七部分，必须提供</w:t>
      </w:r>
      <w:r>
        <w:rPr>
          <w:rFonts w:hint="eastAsia" w:ascii="宋体" w:hAnsi="宋体" w:eastAsia="宋体" w:cs="宋体"/>
          <w:b/>
          <w:bCs/>
          <w:color w:val="auto"/>
          <w:sz w:val="24"/>
          <w:highlight w:val="none"/>
          <w:lang w:eastAsia="zh-CN"/>
        </w:rPr>
        <w:t>）</w:t>
      </w:r>
      <w:r>
        <w:rPr>
          <w:rFonts w:hint="eastAsia" w:ascii="宋体" w:hAnsi="宋体" w:eastAsia="宋体" w:cs="宋体"/>
          <w:color w:val="auto"/>
          <w:sz w:val="24"/>
          <w:highlight w:val="none"/>
          <w:lang w:eastAsia="zh-CN"/>
        </w:rPr>
        <w:t>；</w:t>
      </w:r>
    </w:p>
    <w:p w14:paraId="60B6E8B8">
      <w:pPr>
        <w:pStyle w:val="32"/>
        <w:spacing w:line="360" w:lineRule="auto"/>
        <w:ind w:firstLine="480" w:firstLineChars="200"/>
        <w:outlineLvl w:val="9"/>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lang w:val="zh-CN"/>
        </w:rPr>
        <w:t>）技术服务、商务偏离情况说明表</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格式见第七部分，必须提供</w:t>
      </w:r>
      <w:r>
        <w:rPr>
          <w:rFonts w:hint="eastAsia" w:ascii="宋体" w:hAnsi="宋体" w:eastAsia="宋体" w:cs="宋体"/>
          <w:b/>
          <w:bCs/>
          <w:color w:val="auto"/>
          <w:sz w:val="24"/>
          <w:highlight w:val="none"/>
          <w:lang w:eastAsia="zh-CN"/>
        </w:rPr>
        <w:t>）</w:t>
      </w:r>
      <w:r>
        <w:rPr>
          <w:rFonts w:hint="eastAsia" w:ascii="宋体" w:hAnsi="宋体" w:eastAsia="宋体" w:cs="宋体"/>
          <w:color w:val="auto"/>
          <w:sz w:val="24"/>
          <w:highlight w:val="none"/>
          <w:lang w:eastAsia="zh-CN"/>
        </w:rPr>
        <w:t>；</w:t>
      </w:r>
    </w:p>
    <w:p w14:paraId="71E5DFB6">
      <w:pPr>
        <w:pStyle w:val="32"/>
        <w:spacing w:line="360" w:lineRule="auto"/>
        <w:ind w:firstLine="480" w:firstLineChars="200"/>
        <w:outlineLvl w:val="9"/>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lang w:val="zh-CN"/>
        </w:rPr>
        <w:t>）法定代表人（负责人）身份证明书（附营业执照或事业单位法人证书或执业许可证及法定代表人（负责人）身份证复印件）</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格式见第七部分，必须提供</w:t>
      </w:r>
      <w:r>
        <w:rPr>
          <w:rFonts w:hint="eastAsia" w:ascii="宋体" w:hAnsi="宋体" w:eastAsia="宋体" w:cs="宋体"/>
          <w:b/>
          <w:bCs/>
          <w:color w:val="auto"/>
          <w:sz w:val="24"/>
          <w:highlight w:val="none"/>
          <w:lang w:eastAsia="zh-CN"/>
        </w:rPr>
        <w:t>）</w:t>
      </w:r>
      <w:r>
        <w:rPr>
          <w:rFonts w:hint="eastAsia" w:ascii="宋体" w:hAnsi="宋体" w:eastAsia="宋体" w:cs="宋体"/>
          <w:color w:val="auto"/>
          <w:sz w:val="24"/>
          <w:highlight w:val="none"/>
          <w:lang w:eastAsia="zh-CN"/>
        </w:rPr>
        <w:t>；</w:t>
      </w:r>
    </w:p>
    <w:p w14:paraId="21843025">
      <w:pPr>
        <w:pStyle w:val="22"/>
        <w:ind w:firstLine="480" w:firstLineChars="200"/>
        <w:outlineLvl w:val="9"/>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lang w:val="zh-CN"/>
        </w:rPr>
        <w:t>）法定代表人（负责人）授权委托书和委托代理人身份证复印件</w:t>
      </w:r>
      <w:r>
        <w:rPr>
          <w:rFonts w:hint="eastAsia" w:ascii="宋体" w:hAnsi="宋体" w:eastAsia="宋体" w:cs="宋体"/>
          <w:b/>
          <w:bCs/>
          <w:color w:val="auto"/>
          <w:kern w:val="0"/>
          <w:sz w:val="24"/>
          <w:highlight w:val="none"/>
          <w:lang w:val="zh-CN"/>
        </w:rPr>
        <w:t>（格式见</w:t>
      </w:r>
      <w:r>
        <w:rPr>
          <w:rFonts w:hint="eastAsia" w:ascii="宋体" w:hAnsi="宋体" w:eastAsia="宋体" w:cs="宋体"/>
          <w:b/>
          <w:bCs/>
          <w:color w:val="auto"/>
          <w:kern w:val="0"/>
          <w:sz w:val="24"/>
          <w:highlight w:val="none"/>
          <w:lang w:val="en-US" w:eastAsia="zh-CN"/>
        </w:rPr>
        <w:t>第七部分</w:t>
      </w:r>
      <w:r>
        <w:rPr>
          <w:rFonts w:hint="eastAsia" w:ascii="宋体" w:hAnsi="宋体" w:eastAsia="宋体" w:cs="宋体"/>
          <w:b/>
          <w:bCs/>
          <w:color w:val="auto"/>
          <w:kern w:val="0"/>
          <w:sz w:val="24"/>
          <w:highlight w:val="none"/>
          <w:lang w:val="zh-CN"/>
        </w:rPr>
        <w:t>,委托代理时必须提供）</w:t>
      </w:r>
      <w:r>
        <w:rPr>
          <w:rFonts w:hint="eastAsia" w:ascii="宋体" w:hAnsi="宋体" w:eastAsia="宋体" w:cs="宋体"/>
          <w:color w:val="auto"/>
          <w:kern w:val="0"/>
          <w:sz w:val="24"/>
          <w:highlight w:val="none"/>
          <w:lang w:val="zh-CN"/>
        </w:rPr>
        <w:t>；</w:t>
      </w:r>
    </w:p>
    <w:p w14:paraId="1DE2B49A">
      <w:pPr>
        <w:spacing w:line="360" w:lineRule="auto"/>
        <w:ind w:firstLine="480" w:firstLineChars="200"/>
        <w:outlineLvl w:val="9"/>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lang w:val="en-US" w:eastAsia="zh-CN"/>
        </w:rPr>
        <w:t>服务承</w:t>
      </w:r>
      <w:r>
        <w:rPr>
          <w:rFonts w:hint="eastAsia" w:ascii="宋体" w:hAnsi="宋体" w:eastAsia="宋体" w:cs="宋体"/>
          <w:color w:val="auto"/>
          <w:kern w:val="0"/>
          <w:sz w:val="24"/>
          <w:szCs w:val="20"/>
          <w:highlight w:val="none"/>
          <w:lang w:val="en-US" w:eastAsia="zh-CN" w:bidi="ar-SA"/>
        </w:rPr>
        <w:t>诺</w:t>
      </w:r>
      <w:r>
        <w:rPr>
          <w:rFonts w:hint="eastAsia" w:ascii="宋体" w:hAnsi="宋体" w:eastAsia="宋体" w:cs="宋体"/>
          <w:b/>
          <w:bCs/>
          <w:color w:val="auto"/>
          <w:kern w:val="0"/>
          <w:sz w:val="24"/>
          <w:szCs w:val="20"/>
          <w:highlight w:val="none"/>
          <w:lang w:val="en-US" w:eastAsia="zh-CN" w:bidi="ar-SA"/>
        </w:rPr>
        <w:t>（格式自拟，必须提供）</w:t>
      </w:r>
      <w:r>
        <w:rPr>
          <w:rFonts w:hint="eastAsia" w:ascii="宋体" w:hAnsi="宋体" w:eastAsia="宋体" w:cs="宋体"/>
          <w:color w:val="auto"/>
          <w:kern w:val="0"/>
          <w:sz w:val="24"/>
          <w:szCs w:val="20"/>
          <w:highlight w:val="none"/>
          <w:lang w:val="en-US" w:eastAsia="zh-CN" w:bidi="ar-SA"/>
        </w:rPr>
        <w:t>；</w:t>
      </w:r>
    </w:p>
    <w:p w14:paraId="136BA375">
      <w:pPr>
        <w:spacing w:line="360" w:lineRule="auto"/>
        <w:ind w:firstLine="480" w:firstLineChars="200"/>
        <w:outlineLvl w:val="9"/>
        <w:rPr>
          <w:rFonts w:hint="eastAsia" w:ascii="宋体" w:hAnsi="宋体" w:eastAsia="宋体" w:cs="宋体"/>
          <w:color w:val="auto"/>
          <w:kern w:val="0"/>
          <w:sz w:val="24"/>
          <w:szCs w:val="20"/>
          <w:highlight w:val="none"/>
          <w:lang w:val="zh-CN" w:eastAsia="zh-CN" w:bidi="ar-SA"/>
        </w:rPr>
      </w:pPr>
      <w:r>
        <w:rPr>
          <w:rFonts w:hint="eastAsia" w:ascii="宋体" w:hAnsi="宋体" w:eastAsia="宋体" w:cs="宋体"/>
          <w:color w:val="auto"/>
          <w:kern w:val="0"/>
          <w:sz w:val="24"/>
          <w:szCs w:val="20"/>
          <w:highlight w:val="none"/>
          <w:lang w:val="zh-CN" w:eastAsia="zh-CN" w:bidi="ar-SA"/>
        </w:rPr>
        <w:t>（</w:t>
      </w:r>
      <w:r>
        <w:rPr>
          <w:rFonts w:hint="eastAsia" w:ascii="宋体" w:hAnsi="宋体" w:eastAsia="宋体" w:cs="宋体"/>
          <w:color w:val="auto"/>
          <w:kern w:val="0"/>
          <w:sz w:val="24"/>
          <w:szCs w:val="20"/>
          <w:highlight w:val="none"/>
          <w:lang w:val="en-US" w:eastAsia="zh-CN" w:bidi="ar-SA"/>
        </w:rPr>
        <w:t>8</w:t>
      </w:r>
      <w:r>
        <w:rPr>
          <w:rFonts w:hint="eastAsia" w:ascii="宋体" w:hAnsi="宋体" w:eastAsia="宋体" w:cs="宋体"/>
          <w:color w:val="auto"/>
          <w:kern w:val="0"/>
          <w:sz w:val="24"/>
          <w:szCs w:val="20"/>
          <w:highlight w:val="none"/>
          <w:lang w:val="zh-CN" w:eastAsia="zh-CN" w:bidi="ar-SA"/>
        </w:rPr>
        <w:t>）具备法律、行政法规规定的其他条件的证明材料（如有规定,则必须提供）；</w:t>
      </w:r>
    </w:p>
    <w:p w14:paraId="10238C90">
      <w:pPr>
        <w:spacing w:line="360" w:lineRule="auto"/>
        <w:ind w:firstLine="480" w:firstLineChars="200"/>
        <w:outlineLvl w:val="9"/>
        <w:rPr>
          <w:rFonts w:hint="eastAsia" w:ascii="宋体" w:hAnsi="宋体" w:eastAsia="宋体" w:cs="宋体"/>
          <w:color w:val="auto"/>
          <w:kern w:val="0"/>
          <w:sz w:val="24"/>
          <w:szCs w:val="20"/>
          <w:highlight w:val="none"/>
          <w:lang w:val="zh-CN" w:eastAsia="zh-CN" w:bidi="ar-SA"/>
        </w:rPr>
      </w:pPr>
      <w:r>
        <w:rPr>
          <w:rFonts w:hint="eastAsia" w:ascii="宋体" w:hAnsi="宋体" w:eastAsia="宋体" w:cs="宋体"/>
          <w:color w:val="auto"/>
          <w:kern w:val="0"/>
          <w:sz w:val="24"/>
          <w:szCs w:val="20"/>
          <w:highlight w:val="none"/>
          <w:lang w:val="zh-CN" w:eastAsia="zh-CN" w:bidi="ar-SA"/>
        </w:rPr>
        <w:t>（</w:t>
      </w:r>
      <w:r>
        <w:rPr>
          <w:rFonts w:hint="eastAsia" w:ascii="宋体" w:hAnsi="宋体" w:eastAsia="宋体" w:cs="宋体"/>
          <w:color w:val="auto"/>
          <w:kern w:val="0"/>
          <w:sz w:val="24"/>
          <w:szCs w:val="20"/>
          <w:highlight w:val="none"/>
          <w:lang w:val="en-US" w:eastAsia="zh-CN" w:bidi="ar-SA"/>
        </w:rPr>
        <w:t>9</w:t>
      </w:r>
      <w:r>
        <w:rPr>
          <w:rFonts w:hint="eastAsia" w:ascii="宋体" w:hAnsi="宋体" w:eastAsia="宋体" w:cs="宋体"/>
          <w:color w:val="auto"/>
          <w:kern w:val="0"/>
          <w:sz w:val="24"/>
          <w:szCs w:val="20"/>
          <w:highlight w:val="none"/>
          <w:lang w:val="zh-CN" w:eastAsia="zh-CN" w:bidi="ar-SA"/>
        </w:rPr>
        <w:t>）项目实施人员一览表（格式见第</w:t>
      </w:r>
      <w:r>
        <w:rPr>
          <w:rFonts w:hint="eastAsia" w:ascii="宋体" w:hAnsi="宋体" w:eastAsia="宋体" w:cs="宋体"/>
          <w:color w:val="auto"/>
          <w:kern w:val="0"/>
          <w:sz w:val="24"/>
          <w:szCs w:val="20"/>
          <w:highlight w:val="none"/>
          <w:lang w:val="en-US" w:eastAsia="zh-CN" w:bidi="ar-SA"/>
        </w:rPr>
        <w:t>七部分</w:t>
      </w:r>
      <w:r>
        <w:rPr>
          <w:rFonts w:hint="eastAsia" w:ascii="宋体" w:hAnsi="宋体" w:eastAsia="宋体" w:cs="宋体"/>
          <w:color w:val="auto"/>
          <w:kern w:val="0"/>
          <w:sz w:val="24"/>
          <w:szCs w:val="20"/>
          <w:highlight w:val="none"/>
          <w:lang w:val="zh-CN" w:eastAsia="zh-CN" w:bidi="ar-SA"/>
        </w:rPr>
        <w:t>）；</w:t>
      </w:r>
    </w:p>
    <w:p w14:paraId="372D51DB">
      <w:pPr>
        <w:spacing w:line="360" w:lineRule="auto"/>
        <w:ind w:firstLine="480" w:firstLineChars="200"/>
        <w:outlineLvl w:val="9"/>
        <w:rPr>
          <w:rFonts w:hint="eastAsia" w:ascii="宋体" w:hAnsi="宋体" w:eastAsia="宋体" w:cs="宋体"/>
          <w:color w:val="auto"/>
          <w:kern w:val="0"/>
          <w:sz w:val="24"/>
          <w:szCs w:val="20"/>
          <w:highlight w:val="none"/>
          <w:lang w:val="zh-CN" w:eastAsia="zh-CN" w:bidi="ar-SA"/>
        </w:rPr>
      </w:pPr>
      <w:r>
        <w:rPr>
          <w:rFonts w:hint="eastAsia" w:ascii="宋体" w:hAnsi="宋体" w:eastAsia="宋体" w:cs="宋体"/>
          <w:color w:val="auto"/>
          <w:kern w:val="0"/>
          <w:sz w:val="24"/>
          <w:szCs w:val="20"/>
          <w:highlight w:val="none"/>
          <w:lang w:val="zh-CN" w:eastAsia="zh-CN" w:bidi="ar-SA"/>
        </w:rPr>
        <w:t>（</w:t>
      </w:r>
      <w:r>
        <w:rPr>
          <w:rFonts w:hint="eastAsia" w:ascii="宋体" w:hAnsi="宋体" w:eastAsia="宋体" w:cs="宋体"/>
          <w:color w:val="auto"/>
          <w:kern w:val="0"/>
          <w:sz w:val="24"/>
          <w:szCs w:val="20"/>
          <w:highlight w:val="none"/>
          <w:lang w:val="en-US" w:eastAsia="zh-CN" w:bidi="ar-SA"/>
        </w:rPr>
        <w:t>10</w:t>
      </w:r>
      <w:r>
        <w:rPr>
          <w:rFonts w:hint="eastAsia" w:ascii="宋体" w:hAnsi="宋体" w:eastAsia="宋体" w:cs="宋体"/>
          <w:color w:val="auto"/>
          <w:kern w:val="0"/>
          <w:sz w:val="24"/>
          <w:szCs w:val="20"/>
          <w:highlight w:val="none"/>
          <w:lang w:val="zh-CN" w:eastAsia="zh-CN" w:bidi="ar-SA"/>
        </w:rPr>
        <w:t>）采购项目需求中要求必须提供的材料等（</w:t>
      </w:r>
      <w:r>
        <w:rPr>
          <w:rFonts w:hint="eastAsia" w:ascii="宋体" w:hAnsi="宋体" w:eastAsia="宋体" w:cs="宋体"/>
          <w:color w:val="auto"/>
          <w:kern w:val="0"/>
          <w:sz w:val="24"/>
          <w:szCs w:val="20"/>
          <w:highlight w:val="none"/>
          <w:lang w:val="en-US" w:eastAsia="zh-CN" w:bidi="ar-SA"/>
        </w:rPr>
        <w:t>如有要求，</w:t>
      </w:r>
      <w:r>
        <w:rPr>
          <w:rFonts w:hint="eastAsia" w:ascii="宋体" w:hAnsi="宋体" w:eastAsia="宋体" w:cs="宋体"/>
          <w:color w:val="auto"/>
          <w:kern w:val="0"/>
          <w:sz w:val="24"/>
          <w:szCs w:val="20"/>
          <w:highlight w:val="none"/>
          <w:lang w:val="zh-CN" w:eastAsia="zh-CN" w:bidi="ar-SA"/>
        </w:rPr>
        <w:t>必须提供）；</w:t>
      </w:r>
    </w:p>
    <w:p w14:paraId="15A3940C">
      <w:pPr>
        <w:spacing w:line="360" w:lineRule="auto"/>
        <w:ind w:firstLine="480" w:firstLineChars="200"/>
        <w:outlineLvl w:val="9"/>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zh-CN" w:eastAsia="zh-CN" w:bidi="ar-SA"/>
        </w:rPr>
        <w:t>（</w:t>
      </w:r>
      <w:r>
        <w:rPr>
          <w:rFonts w:hint="eastAsia" w:ascii="宋体" w:hAnsi="宋体" w:eastAsia="宋体" w:cs="宋体"/>
          <w:color w:val="auto"/>
          <w:kern w:val="0"/>
          <w:sz w:val="24"/>
          <w:szCs w:val="20"/>
          <w:highlight w:val="none"/>
          <w:lang w:val="en-US" w:eastAsia="zh-CN" w:bidi="ar-SA"/>
        </w:rPr>
        <w:t>11</w:t>
      </w:r>
      <w:r>
        <w:rPr>
          <w:rFonts w:hint="eastAsia" w:ascii="宋体" w:hAnsi="宋体" w:eastAsia="宋体" w:cs="宋体"/>
          <w:color w:val="auto"/>
          <w:kern w:val="0"/>
          <w:sz w:val="24"/>
          <w:szCs w:val="20"/>
          <w:highlight w:val="none"/>
          <w:lang w:val="zh-CN" w:eastAsia="zh-CN" w:bidi="ar-SA"/>
        </w:rPr>
        <w:t>）磋商供应商认为需要提供的有关资料</w:t>
      </w:r>
      <w:r>
        <w:rPr>
          <w:rFonts w:hint="eastAsia" w:ascii="宋体" w:hAnsi="宋体" w:eastAsia="宋体" w:cs="宋体"/>
          <w:color w:val="auto"/>
          <w:kern w:val="0"/>
          <w:sz w:val="24"/>
          <w:szCs w:val="20"/>
          <w:highlight w:val="none"/>
          <w:lang w:val="en-US" w:eastAsia="zh-CN" w:bidi="ar-SA"/>
        </w:rPr>
        <w:t>。</w:t>
      </w:r>
    </w:p>
    <w:p w14:paraId="69962009">
      <w:pPr>
        <w:spacing w:line="360" w:lineRule="auto"/>
        <w:ind w:firstLine="482" w:firstLineChars="200"/>
        <w:outlineLvl w:val="9"/>
        <w:rPr>
          <w:rFonts w:hint="eastAsia" w:ascii="宋体" w:hAnsi="宋体" w:eastAsia="宋体" w:cs="宋体"/>
          <w:b/>
          <w:bCs/>
          <w:color w:val="auto"/>
          <w:kern w:val="0"/>
          <w:sz w:val="24"/>
          <w:szCs w:val="20"/>
          <w:highlight w:val="none"/>
          <w:lang w:val="zh-CN" w:eastAsia="zh-CN" w:bidi="ar-SA"/>
        </w:rPr>
      </w:pPr>
      <w:r>
        <w:rPr>
          <w:rFonts w:hint="eastAsia" w:ascii="宋体" w:hAnsi="宋体" w:eastAsia="宋体" w:cs="宋体"/>
          <w:b/>
          <w:bCs/>
          <w:color w:val="auto"/>
          <w:kern w:val="0"/>
          <w:sz w:val="24"/>
          <w:szCs w:val="20"/>
          <w:highlight w:val="none"/>
          <w:lang w:val="zh-CN" w:eastAsia="zh-CN" w:bidi="ar-SA"/>
        </w:rPr>
        <w:t>3. 响应文件的编制和签署</w:t>
      </w:r>
    </w:p>
    <w:p w14:paraId="34277D6F">
      <w:pPr>
        <w:spacing w:line="360" w:lineRule="auto"/>
        <w:ind w:firstLine="480" w:firstLineChars="200"/>
        <w:outlineLvl w:val="9"/>
        <w:rPr>
          <w:rFonts w:hint="eastAsia" w:ascii="宋体" w:hAnsi="宋体" w:eastAsia="宋体" w:cs="宋体"/>
          <w:color w:val="auto"/>
          <w:kern w:val="0"/>
          <w:sz w:val="24"/>
          <w:szCs w:val="20"/>
          <w:highlight w:val="none"/>
          <w:lang w:val="zh-CN" w:eastAsia="zh-CN" w:bidi="ar-SA"/>
        </w:rPr>
      </w:pPr>
      <w:r>
        <w:rPr>
          <w:rFonts w:hint="eastAsia" w:ascii="宋体" w:hAnsi="宋体" w:eastAsia="宋体" w:cs="宋体"/>
          <w:color w:val="auto"/>
          <w:kern w:val="0"/>
          <w:sz w:val="24"/>
          <w:szCs w:val="20"/>
          <w:highlight w:val="none"/>
          <w:lang w:val="zh-CN" w:eastAsia="zh-CN" w:bidi="ar-SA"/>
        </w:rPr>
        <w:t>3.1各供应商在编制响应文件时请按照磋商文件第七部分规定的格式进行，混乱的编排导致响应文件被误读或磋商小组查找不到有效文件是供应商的风险。</w:t>
      </w:r>
    </w:p>
    <w:p w14:paraId="0A5CB829">
      <w:pPr>
        <w:spacing w:line="360" w:lineRule="auto"/>
        <w:ind w:firstLine="480" w:firstLineChars="200"/>
        <w:outlineLvl w:val="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szCs w:val="20"/>
          <w:highlight w:val="none"/>
          <w:lang w:val="zh-CN" w:eastAsia="zh-CN" w:bidi="ar-SA"/>
        </w:rPr>
        <w:t>3.2供应商进行电子交易应安装客户端软件—“广西政府采购云平台电子交易客户端”，并按照磋商文件和电子交易</w:t>
      </w:r>
      <w:r>
        <w:rPr>
          <w:rFonts w:hint="eastAsia" w:ascii="宋体" w:hAnsi="宋体" w:eastAsia="宋体" w:cs="宋体"/>
          <w:color w:val="auto"/>
          <w:kern w:val="0"/>
          <w:sz w:val="24"/>
          <w:highlight w:val="none"/>
          <w:lang w:val="zh-CN"/>
        </w:rPr>
        <w:t>平台的要求编制并加密响应文件。供应商未按规定加密的响应文件，电子交易平台将拒收并提示。</w:t>
      </w:r>
    </w:p>
    <w:p w14:paraId="67096AC3">
      <w:pPr>
        <w:spacing w:line="360" w:lineRule="auto"/>
        <w:ind w:firstLine="480" w:firstLineChars="200"/>
        <w:outlineLvl w:val="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3.3使用“广西政府采购云平台电子交易客户端”需要提前申领CA数字证书，申领流程请自行前往“</w:t>
      </w:r>
      <w:r>
        <w:rPr>
          <w:rFonts w:hint="eastAsia" w:ascii="宋体" w:hAnsi="宋体" w:eastAsia="宋体" w:cs="宋体"/>
          <w:color w:val="auto"/>
          <w:sz w:val="24"/>
          <w:highlight w:val="none"/>
        </w:rPr>
        <w:t>广西政府采购网（http</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//zfcg.gxzf.gov.cn/）—办事服务—下载专区</w:t>
      </w:r>
      <w:r>
        <w:rPr>
          <w:rFonts w:hint="eastAsia" w:ascii="宋体" w:hAnsi="宋体" w:eastAsia="宋体" w:cs="宋体"/>
          <w:color w:val="auto"/>
          <w:kern w:val="0"/>
          <w:sz w:val="24"/>
          <w:highlight w:val="none"/>
          <w:lang w:val="zh-CN"/>
        </w:rPr>
        <w:t>”进行查阅</w:t>
      </w:r>
    </w:p>
    <w:p w14:paraId="1CFA19A2">
      <w:pPr>
        <w:pStyle w:val="394"/>
        <w:snapToGrid w:val="0"/>
        <w:spacing w:before="0"/>
        <w:ind w:firstLine="480"/>
        <w:outlineLvl w:val="9"/>
        <w:rPr>
          <w:rFonts w:hint="eastAsia" w:ascii="宋体" w:hAnsi="宋体" w:eastAsia="宋体" w:cs="宋体"/>
          <w:b/>
          <w:color w:val="auto"/>
          <w:highlight w:val="none"/>
        </w:rPr>
      </w:pPr>
      <w:r>
        <w:rPr>
          <w:rFonts w:hint="eastAsia" w:ascii="宋体" w:hAnsi="宋体" w:eastAsia="宋体" w:cs="宋体"/>
          <w:color w:val="auto"/>
          <w:szCs w:val="24"/>
          <w:highlight w:val="none"/>
        </w:rPr>
        <w:t>3.4响应文件按照磋商文件第七部分格式要</w:t>
      </w:r>
      <w:r>
        <w:rPr>
          <w:rFonts w:hint="eastAsia" w:ascii="宋体" w:hAnsi="宋体" w:eastAsia="宋体" w:cs="宋体"/>
          <w:color w:val="auto"/>
          <w:highlight w:val="none"/>
        </w:rPr>
        <w:t>求进行签署、盖章。</w:t>
      </w:r>
      <w:r>
        <w:rPr>
          <w:rFonts w:hint="eastAsia" w:ascii="宋体" w:hAnsi="宋体" w:eastAsia="宋体" w:cs="宋体"/>
          <w:b/>
          <w:color w:val="auto"/>
          <w:highlight w:val="none"/>
        </w:rPr>
        <w:t>▲供应商的响应文件未按照磋商文件要求签署、盖章的，其响应无效</w:t>
      </w:r>
      <w:r>
        <w:rPr>
          <w:rFonts w:hint="eastAsia" w:ascii="宋体" w:hAnsi="宋体" w:eastAsia="宋体" w:cs="宋体"/>
          <w:color w:val="auto"/>
          <w:szCs w:val="24"/>
          <w:highlight w:val="none"/>
        </w:rPr>
        <w:t>。</w:t>
      </w:r>
    </w:p>
    <w:p w14:paraId="224FBA91">
      <w:pPr>
        <w:pStyle w:val="394"/>
        <w:snapToGrid w:val="0"/>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szCs w:val="24"/>
          <w:highlight w:val="none"/>
        </w:rPr>
        <w:t>3.5为确保网上操作合法、有效和安全，供应商应当在响应截止时间前完成在“广西政府采购云平台”的身份认证，确保在电子交易过程中能够对相关数据电文进行加密和使用电子签名。</w:t>
      </w:r>
    </w:p>
    <w:p w14:paraId="3DD06436">
      <w:pPr>
        <w:pStyle w:val="394"/>
        <w:snapToGrid w:val="0"/>
        <w:spacing w:before="0"/>
        <w:ind w:firstLine="480"/>
        <w:outlineLvl w:val="9"/>
        <w:rPr>
          <w:rFonts w:hint="eastAsia" w:ascii="宋体" w:hAnsi="宋体" w:eastAsia="宋体" w:cs="宋体"/>
          <w:color w:val="auto"/>
          <w:szCs w:val="24"/>
          <w:highlight w:val="none"/>
        </w:rPr>
      </w:pPr>
      <w:r>
        <w:rPr>
          <w:rFonts w:hint="eastAsia" w:ascii="宋体" w:hAnsi="宋体" w:eastAsia="宋体" w:cs="宋体"/>
          <w:color w:val="auto"/>
          <w:highlight w:val="none"/>
        </w:rPr>
        <w:t>3.6磋商文件对响应文件签署、盖章的要求适用于电子签名、CA签章以及磋商文件明确允许的其他方式。</w:t>
      </w:r>
    </w:p>
    <w:p w14:paraId="61BC4A1B">
      <w:pPr>
        <w:pStyle w:val="32"/>
        <w:spacing w:line="360" w:lineRule="auto"/>
        <w:ind w:firstLine="480" w:firstLineChars="200"/>
        <w:outlineLvl w:val="9"/>
        <w:rPr>
          <w:rFonts w:hint="eastAsia" w:ascii="宋体" w:hAnsi="宋体" w:eastAsia="宋体" w:cs="宋体"/>
          <w:color w:val="auto"/>
          <w:sz w:val="24"/>
          <w:szCs w:val="24"/>
          <w:highlight w:val="none"/>
        </w:rPr>
      </w:pPr>
    </w:p>
    <w:p w14:paraId="51F47E28">
      <w:pPr>
        <w:adjustRightInd/>
        <w:spacing w:line="360" w:lineRule="auto"/>
        <w:jc w:val="center"/>
        <w:outlineLvl w:val="9"/>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七、</w:t>
      </w:r>
      <w:r>
        <w:rPr>
          <w:rFonts w:hint="eastAsia" w:ascii="宋体" w:hAnsi="宋体" w:eastAsia="宋体" w:cs="宋体"/>
          <w:b/>
          <w:color w:val="auto"/>
          <w:sz w:val="32"/>
          <w:szCs w:val="32"/>
          <w:highlight w:val="none"/>
        </w:rPr>
        <w:t>响应</w:t>
      </w:r>
      <w:r>
        <w:rPr>
          <w:rFonts w:hint="eastAsia" w:ascii="宋体" w:hAnsi="宋体" w:eastAsia="宋体" w:cs="宋体"/>
          <w:b/>
          <w:color w:val="auto"/>
          <w:sz w:val="32"/>
          <w:szCs w:val="20"/>
          <w:highlight w:val="none"/>
        </w:rPr>
        <w:t>文件的提交和备份</w:t>
      </w:r>
    </w:p>
    <w:p w14:paraId="0F12CD3C">
      <w:pPr>
        <w:pStyle w:val="394"/>
        <w:spacing w:before="0"/>
        <w:ind w:firstLine="0" w:firstLineChars="0"/>
        <w:outlineLvl w:val="9"/>
        <w:rPr>
          <w:rFonts w:hint="eastAsia" w:ascii="宋体" w:hAnsi="宋体" w:eastAsia="宋体" w:cs="宋体"/>
          <w:b/>
          <w:color w:val="auto"/>
          <w:szCs w:val="24"/>
          <w:highlight w:val="none"/>
        </w:rPr>
      </w:pPr>
    </w:p>
    <w:p w14:paraId="0B97B9F2">
      <w:pPr>
        <w:pStyle w:val="394"/>
        <w:spacing w:before="0"/>
        <w:ind w:firstLine="0" w:firstLineChars="0"/>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1.响应文件的提交、补充、修改、撤回</w:t>
      </w:r>
    </w:p>
    <w:p w14:paraId="5B81B335">
      <w:pPr>
        <w:pStyle w:val="394"/>
        <w:ind w:firstLine="48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7BC1324C">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1.2 在响应截止时间以后，不能补充、修改响应文件。</w:t>
      </w:r>
    </w:p>
    <w:p w14:paraId="57B1A927">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1.3 在提交“最后报价”后，供应商不能退出磋商。</w:t>
      </w:r>
    </w:p>
    <w:p w14:paraId="4DF05030">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1.4 电子交易平台收到响应文件，将妥善保存并即时向供应商发出确认回执通知。在响应截止时间前，除供应商补充、修改或者撤回响应文件外，任何单位和个人不得解密或提取响应文件。</w:t>
      </w:r>
    </w:p>
    <w:p w14:paraId="067518A6">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1.5 采购代理机构可以视情况延长提交响应文件的截止时间。在上述情况下，采购代理机构与供应商以前在响应截止期方面的全部权利、责任和义务，将适用于延长至新的响应截止期。</w:t>
      </w:r>
    </w:p>
    <w:p w14:paraId="7A7B7A65">
      <w:pPr>
        <w:pStyle w:val="32"/>
        <w:spacing w:line="360" w:lineRule="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rPr>
        <w:t>2.备份响应文件</w:t>
      </w:r>
    </w:p>
    <w:p w14:paraId="0D2A1CE4">
      <w:pPr>
        <w:pStyle w:val="32"/>
        <w:spacing w:line="360" w:lineRule="auto"/>
        <w:ind w:firstLine="480" w:firstLineChars="200"/>
        <w:outlineLvl w:val="9"/>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2.1 供应商在电子交易平台传输提交响应文件后，还可以在响应截止时间前直接提交或者以邮政快递方式递交备份响应文件</w:t>
      </w:r>
      <w:r>
        <w:rPr>
          <w:rFonts w:hint="eastAsia" w:ascii="宋体" w:hAnsi="宋体" w:eastAsia="宋体" w:cs="宋体"/>
          <w:b w:val="0"/>
          <w:bCs w:val="0"/>
          <w:color w:val="auto"/>
          <w:sz w:val="24"/>
          <w:szCs w:val="24"/>
          <w:highlight w:val="none"/>
        </w:rPr>
        <w:t>1份</w:t>
      </w:r>
      <w:r>
        <w:rPr>
          <w:rFonts w:hint="eastAsia" w:ascii="宋体" w:hAnsi="宋体" w:eastAsia="宋体" w:cs="宋体"/>
          <w:b w:val="0"/>
          <w:bCs w:val="0"/>
          <w:color w:val="auto"/>
          <w:sz w:val="24"/>
          <w:szCs w:val="24"/>
          <w:highlight w:val="none"/>
          <w:lang w:eastAsia="zh-CN"/>
        </w:rPr>
        <w:t>（具体详见第三部分  供应商须知“前附表13”）</w:t>
      </w:r>
      <w:r>
        <w:rPr>
          <w:rFonts w:hint="eastAsia" w:ascii="宋体" w:hAnsi="宋体" w:eastAsia="宋体" w:cs="宋体"/>
          <w:b w:val="0"/>
          <w:bCs w:val="0"/>
          <w:color w:val="auto"/>
          <w:sz w:val="24"/>
          <w:szCs w:val="24"/>
          <w:highlight w:val="none"/>
        </w:rPr>
        <w:t>。</w:t>
      </w:r>
    </w:p>
    <w:p w14:paraId="72E9BEE9">
      <w:pPr>
        <w:pStyle w:val="32"/>
        <w:spacing w:line="360" w:lineRule="auto"/>
        <w:ind w:firstLine="480" w:firstLineChars="200"/>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2.2 备份响应文件须在“广西政府采购云平台投标客户端”制作生成，并储存在不可修改的</w:t>
      </w:r>
      <w:r>
        <w:rPr>
          <w:rFonts w:hint="eastAsia" w:ascii="宋体" w:hAnsi="宋体" w:eastAsia="宋体" w:cs="宋体"/>
          <w:b/>
          <w:color w:val="auto"/>
          <w:sz w:val="24"/>
          <w:highlight w:val="none"/>
        </w:rPr>
        <w:t>电子光盘等存储介质</w:t>
      </w:r>
      <w:r>
        <w:rPr>
          <w:rFonts w:hint="eastAsia" w:ascii="宋体" w:hAnsi="宋体" w:eastAsia="宋体" w:cs="宋体"/>
          <w:color w:val="auto"/>
          <w:sz w:val="24"/>
          <w:szCs w:val="24"/>
          <w:highlight w:val="none"/>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宋体" w:hAnsi="宋体" w:eastAsia="宋体" w:cs="宋体"/>
          <w:b/>
          <w:color w:val="auto"/>
          <w:sz w:val="24"/>
          <w:highlight w:val="none"/>
        </w:rPr>
        <w:t>▲不符合上述制作、</w:t>
      </w:r>
      <w:r>
        <w:rPr>
          <w:rFonts w:hint="eastAsia" w:ascii="宋体" w:hAnsi="宋体" w:eastAsia="宋体" w:cs="宋体"/>
          <w:b/>
          <w:color w:val="auto"/>
          <w:sz w:val="24"/>
          <w:szCs w:val="24"/>
          <w:highlight w:val="none"/>
        </w:rPr>
        <w:t>存储、密封规定的备份响应文件将被视为无效或者被拒绝接收。</w:t>
      </w:r>
    </w:p>
    <w:p w14:paraId="5E0EF9A6">
      <w:pPr>
        <w:pStyle w:val="32"/>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直接提交备份响应文件的，供应商应于响应截止时间前在磋商公告中载明的开启响应文件的地点将备份响应文件提交给采购代理机构，采购代理机构将拒绝接受逾期送达的备份响应文件。</w:t>
      </w:r>
    </w:p>
    <w:p w14:paraId="38FFF02B">
      <w:pPr>
        <w:pStyle w:val="32"/>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以邮政快递方式递交备份响应文件的，供应商应先将备份响应文件按要求密封和标记，再进行邮政快递包装后邮寄。备份响应文件须在提交响应文件截止时间之前送达磋商文件第三部分供应商须知前附表规定的备份响应文件送达地点；送达时间以签收人签收时间为准。采购代理机构将拒绝接受逾期送达的备份响应文件。邮寄过程中，电子备份响应文件发生泄露、遗失、损坏或延期送达等情况的，由供应商自行负责。</w:t>
      </w:r>
    </w:p>
    <w:p w14:paraId="06364823">
      <w:pPr>
        <w:pStyle w:val="32"/>
        <w:spacing w:line="360" w:lineRule="auto"/>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2.5 </w:t>
      </w:r>
      <w:r>
        <w:rPr>
          <w:rFonts w:hint="eastAsia" w:ascii="宋体" w:hAnsi="宋体" w:eastAsia="宋体" w:cs="宋体"/>
          <w:b/>
          <w:color w:val="auto"/>
          <w:sz w:val="24"/>
          <w:highlight w:val="none"/>
        </w:rPr>
        <w:t>▲</w:t>
      </w:r>
      <w:r>
        <w:rPr>
          <w:rFonts w:hint="eastAsia" w:ascii="宋体" w:hAnsi="宋体" w:eastAsia="宋体" w:cs="宋体"/>
          <w:b/>
          <w:color w:val="auto"/>
          <w:sz w:val="24"/>
          <w:szCs w:val="24"/>
          <w:highlight w:val="none"/>
        </w:rPr>
        <w:t>供应商仅提交备份响应文件，未在电子交易平台传输提交响应文件的，响应无效。</w:t>
      </w:r>
    </w:p>
    <w:p w14:paraId="53DF04A3">
      <w:pPr>
        <w:spacing w:line="360" w:lineRule="auto"/>
        <w:outlineLvl w:val="9"/>
        <w:rPr>
          <w:rFonts w:hint="eastAsia" w:ascii="宋体" w:hAnsi="宋体" w:eastAsia="宋体" w:cs="宋体"/>
          <w:b/>
          <w:snapToGrid w:val="0"/>
          <w:color w:val="auto"/>
          <w:highlight w:val="none"/>
        </w:rPr>
      </w:pPr>
      <w:r>
        <w:rPr>
          <w:rFonts w:hint="eastAsia" w:ascii="宋体" w:hAnsi="宋体" w:eastAsia="宋体" w:cs="宋体"/>
          <w:b/>
          <w:color w:val="auto"/>
          <w:sz w:val="24"/>
          <w:highlight w:val="none"/>
        </w:rPr>
        <w:t>3.</w:t>
      </w:r>
      <w:r>
        <w:rPr>
          <w:rFonts w:hint="eastAsia" w:ascii="宋体" w:hAnsi="宋体" w:eastAsia="宋体" w:cs="宋体"/>
          <w:b/>
          <w:snapToGrid w:val="0"/>
          <w:color w:val="auto"/>
          <w:kern w:val="28"/>
          <w:sz w:val="24"/>
          <w:highlight w:val="none"/>
        </w:rPr>
        <w:t>磋商保证金</w:t>
      </w:r>
    </w:p>
    <w:p w14:paraId="054B2958">
      <w:pPr>
        <w:widowControl/>
        <w:snapToGrid w:val="0"/>
        <w:spacing w:line="360" w:lineRule="auto"/>
        <w:ind w:firstLine="470" w:firstLineChars="196"/>
        <w:outlineLvl w:val="9"/>
        <w:rPr>
          <w:rFonts w:hint="eastAsia" w:ascii="宋体" w:hAnsi="宋体" w:eastAsia="宋体" w:cs="宋体"/>
          <w:snapToGrid w:val="0"/>
          <w:color w:val="auto"/>
          <w:kern w:val="28"/>
          <w:sz w:val="24"/>
          <w:szCs w:val="20"/>
          <w:highlight w:val="none"/>
        </w:rPr>
      </w:pPr>
      <w:r>
        <w:rPr>
          <w:rFonts w:hint="eastAsia" w:ascii="宋体" w:hAnsi="宋体" w:eastAsia="宋体" w:cs="宋体"/>
          <w:snapToGrid w:val="0"/>
          <w:color w:val="auto"/>
          <w:kern w:val="28"/>
          <w:sz w:val="24"/>
          <w:szCs w:val="20"/>
          <w:highlight w:val="none"/>
        </w:rPr>
        <w:t>3.1</w:t>
      </w:r>
      <w:r>
        <w:rPr>
          <w:rFonts w:hint="eastAsia" w:ascii="宋体" w:hAnsi="宋体" w:eastAsia="宋体" w:cs="宋体"/>
          <w:color w:val="auto"/>
          <w:sz w:val="24"/>
          <w:highlight w:val="none"/>
        </w:rPr>
        <w:t>采购人在采购文件中要求提交磋商保证金的，磋商保证金的数额不得超过采购项目预算金额的1%，鼓励对诚信记录良好的供应商免收或者减少收取磋商保证金，对于需要收取保证金的政府采购项目，政府采购信用白名单供应商可以免于缴纳保证金，降低信用白名单供应商参与政府采购活动成本。磋商</w:t>
      </w:r>
      <w:r>
        <w:rPr>
          <w:rFonts w:hint="eastAsia" w:ascii="宋体" w:hAnsi="宋体" w:eastAsia="宋体" w:cs="宋体"/>
          <w:snapToGrid w:val="0"/>
          <w:color w:val="auto"/>
          <w:kern w:val="28"/>
          <w:sz w:val="24"/>
          <w:szCs w:val="20"/>
          <w:highlight w:val="none"/>
        </w:rPr>
        <w:t>保证金应当以支票、汇票、本票或者金融机构、担保机构出具的保函等非现金形式提交。</w:t>
      </w:r>
    </w:p>
    <w:p w14:paraId="14A6E857">
      <w:pPr>
        <w:snapToGrid w:val="0"/>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磋商保证金收取银行账户</w:t>
      </w:r>
    </w:p>
    <w:p w14:paraId="7505A1B0">
      <w:pPr>
        <w:snapToGrid w:val="0"/>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开户名称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w:t>
      </w:r>
    </w:p>
    <w:p w14:paraId="5D5AF145">
      <w:pPr>
        <w:snapToGrid w:val="0"/>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w:t>
      </w:r>
    </w:p>
    <w:p w14:paraId="44BB2053">
      <w:pPr>
        <w:snapToGrid w:val="0"/>
        <w:spacing w:line="360" w:lineRule="auto"/>
        <w:ind w:firstLine="480" w:firstLineChars="200"/>
        <w:jc w:val="left"/>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银行账号</w:t>
      </w:r>
      <w:r>
        <w:rPr>
          <w:rFonts w:hint="eastAsia" w:ascii="宋体" w:hAnsi="宋体" w:eastAsia="宋体" w:cs="宋体"/>
          <w:color w:val="auto"/>
          <w:sz w:val="24"/>
          <w:highlight w:val="none"/>
          <w:lang w:eastAsia="zh-CN"/>
        </w:rPr>
        <w:t>：</w:t>
      </w:r>
    </w:p>
    <w:p w14:paraId="1710949E">
      <w:pPr>
        <w:widowControl/>
        <w:snapToGrid w:val="0"/>
        <w:spacing w:line="360" w:lineRule="auto"/>
        <w:ind w:firstLine="470" w:firstLineChars="196"/>
        <w:outlineLvl w:val="9"/>
        <w:rPr>
          <w:rFonts w:hint="eastAsia" w:ascii="宋体" w:hAnsi="宋体" w:eastAsia="宋体" w:cs="宋体"/>
          <w:snapToGrid w:val="0"/>
          <w:color w:val="auto"/>
          <w:kern w:val="28"/>
          <w:sz w:val="24"/>
          <w:szCs w:val="20"/>
          <w:highlight w:val="none"/>
        </w:rPr>
      </w:pPr>
      <w:r>
        <w:rPr>
          <w:rFonts w:hint="eastAsia" w:ascii="宋体" w:hAnsi="宋体" w:eastAsia="宋体" w:cs="宋体"/>
          <w:snapToGrid w:val="0"/>
          <w:color w:val="auto"/>
          <w:kern w:val="28"/>
          <w:sz w:val="24"/>
          <w:szCs w:val="20"/>
          <w:highlight w:val="none"/>
        </w:rPr>
        <w:t>3.2</w:t>
      </w:r>
      <w:r>
        <w:rPr>
          <w:rFonts w:hint="eastAsia" w:ascii="宋体" w:hAnsi="宋体" w:eastAsia="宋体" w:cs="宋体"/>
          <w:color w:val="auto"/>
          <w:sz w:val="24"/>
          <w:highlight w:val="none"/>
        </w:rPr>
        <w:t>磋商供应商</w:t>
      </w:r>
      <w:r>
        <w:rPr>
          <w:rFonts w:hint="eastAsia" w:ascii="宋体" w:hAnsi="宋体" w:eastAsia="宋体" w:cs="宋体"/>
          <w:snapToGrid w:val="0"/>
          <w:color w:val="auto"/>
          <w:kern w:val="28"/>
          <w:sz w:val="24"/>
          <w:szCs w:val="20"/>
          <w:highlight w:val="none"/>
        </w:rPr>
        <w:t>在响应文件提交截止时间前撤回已提交的响应文件的，采购人或者采购代理机构应当自收到</w:t>
      </w:r>
      <w:r>
        <w:rPr>
          <w:rFonts w:hint="eastAsia" w:ascii="宋体" w:hAnsi="宋体" w:eastAsia="宋体" w:cs="宋体"/>
          <w:color w:val="auto"/>
          <w:sz w:val="24"/>
          <w:highlight w:val="none"/>
        </w:rPr>
        <w:t>磋商供应商</w:t>
      </w:r>
      <w:r>
        <w:rPr>
          <w:rFonts w:hint="eastAsia" w:ascii="宋体" w:hAnsi="宋体" w:eastAsia="宋体" w:cs="宋体"/>
          <w:snapToGrid w:val="0"/>
          <w:color w:val="auto"/>
          <w:kern w:val="28"/>
          <w:sz w:val="24"/>
          <w:szCs w:val="20"/>
          <w:highlight w:val="none"/>
        </w:rPr>
        <w:t>书面撤回通知之日起</w:t>
      </w:r>
      <w:r>
        <w:rPr>
          <w:rFonts w:hint="eastAsia" w:ascii="宋体" w:hAnsi="宋体" w:eastAsia="宋体" w:cs="宋体"/>
          <w:snapToGrid w:val="0"/>
          <w:color w:val="auto"/>
          <w:kern w:val="28"/>
          <w:sz w:val="24"/>
          <w:szCs w:val="20"/>
          <w:highlight w:val="none"/>
          <w:lang w:val="en-US" w:eastAsia="zh-CN"/>
        </w:rPr>
        <w:t>5</w:t>
      </w:r>
      <w:r>
        <w:rPr>
          <w:rFonts w:hint="eastAsia" w:ascii="宋体" w:hAnsi="宋体" w:eastAsia="宋体" w:cs="宋体"/>
          <w:snapToGrid w:val="0"/>
          <w:color w:val="auto"/>
          <w:kern w:val="28"/>
          <w:sz w:val="24"/>
          <w:szCs w:val="20"/>
          <w:highlight w:val="none"/>
        </w:rPr>
        <w:t>个工作日内，退还已收取的</w:t>
      </w:r>
      <w:r>
        <w:rPr>
          <w:rFonts w:hint="eastAsia" w:ascii="宋体" w:hAnsi="宋体" w:eastAsia="宋体" w:cs="宋体"/>
          <w:color w:val="auto"/>
          <w:sz w:val="24"/>
          <w:highlight w:val="none"/>
        </w:rPr>
        <w:t>磋商</w:t>
      </w:r>
      <w:r>
        <w:rPr>
          <w:rFonts w:hint="eastAsia" w:ascii="宋体" w:hAnsi="宋体" w:eastAsia="宋体" w:cs="宋体"/>
          <w:snapToGrid w:val="0"/>
          <w:color w:val="auto"/>
          <w:kern w:val="28"/>
          <w:sz w:val="24"/>
          <w:szCs w:val="20"/>
          <w:highlight w:val="none"/>
        </w:rPr>
        <w:t>保证金，但因</w:t>
      </w:r>
      <w:r>
        <w:rPr>
          <w:rFonts w:hint="eastAsia" w:ascii="宋体" w:hAnsi="宋体" w:eastAsia="宋体" w:cs="宋体"/>
          <w:color w:val="auto"/>
          <w:sz w:val="24"/>
          <w:highlight w:val="none"/>
        </w:rPr>
        <w:t>磋商供应商</w:t>
      </w:r>
      <w:r>
        <w:rPr>
          <w:rFonts w:hint="eastAsia" w:ascii="宋体" w:hAnsi="宋体" w:eastAsia="宋体" w:cs="宋体"/>
          <w:snapToGrid w:val="0"/>
          <w:color w:val="auto"/>
          <w:kern w:val="28"/>
          <w:sz w:val="24"/>
          <w:szCs w:val="20"/>
          <w:highlight w:val="none"/>
        </w:rPr>
        <w:t>自身原因导致无法及时退还的除外。</w:t>
      </w:r>
    </w:p>
    <w:p w14:paraId="33817978">
      <w:pPr>
        <w:widowControl/>
        <w:snapToGrid w:val="0"/>
        <w:spacing w:line="360" w:lineRule="auto"/>
        <w:ind w:firstLine="470" w:firstLineChars="196"/>
        <w:outlineLvl w:val="9"/>
        <w:rPr>
          <w:rFonts w:hint="eastAsia" w:ascii="宋体" w:hAnsi="宋体" w:eastAsia="宋体" w:cs="宋体"/>
          <w:snapToGrid w:val="0"/>
          <w:color w:val="auto"/>
          <w:kern w:val="28"/>
          <w:sz w:val="24"/>
          <w:szCs w:val="20"/>
          <w:highlight w:val="none"/>
        </w:rPr>
      </w:pPr>
      <w:r>
        <w:rPr>
          <w:rFonts w:hint="eastAsia" w:ascii="宋体" w:hAnsi="宋体" w:eastAsia="宋体" w:cs="宋体"/>
          <w:snapToGrid w:val="0"/>
          <w:color w:val="auto"/>
          <w:kern w:val="28"/>
          <w:sz w:val="24"/>
          <w:szCs w:val="20"/>
          <w:highlight w:val="none"/>
        </w:rPr>
        <w:t>采购人或者采购代理机构应当自成交通知书发出之日起5个工作日内退还未成交供应商的磋商保证金，自采购合同签订之日起5个工作日内退还成交供应商的磋商保证金或者转为成交供应商的履约保证金。</w:t>
      </w:r>
    </w:p>
    <w:p w14:paraId="5AB3211C">
      <w:pPr>
        <w:widowControl/>
        <w:snapToGrid w:val="0"/>
        <w:spacing w:line="360" w:lineRule="auto"/>
        <w:ind w:firstLine="470" w:firstLineChars="196"/>
        <w:outlineLvl w:val="9"/>
        <w:rPr>
          <w:rFonts w:hint="eastAsia" w:ascii="宋体" w:hAnsi="宋体" w:eastAsia="宋体" w:cs="宋体"/>
          <w:snapToGrid w:val="0"/>
          <w:color w:val="auto"/>
          <w:kern w:val="28"/>
          <w:sz w:val="24"/>
          <w:szCs w:val="20"/>
          <w:highlight w:val="none"/>
        </w:rPr>
      </w:pPr>
      <w:r>
        <w:rPr>
          <w:rFonts w:hint="eastAsia" w:ascii="宋体" w:hAnsi="宋体" w:eastAsia="宋体" w:cs="宋体"/>
          <w:snapToGrid w:val="0"/>
          <w:color w:val="auto"/>
          <w:kern w:val="28"/>
          <w:sz w:val="24"/>
          <w:szCs w:val="20"/>
          <w:highlight w:val="none"/>
        </w:rPr>
        <w:t>采购人或者采购代理机构逾期退还磋商保证金的，除应当退还磋商保证金本金外，还应当按中国人民银行同期贷款基准利率上浮20％后的利率支付超期资金占用费，但因供应商自身原因导致无法及时退还的除外。</w:t>
      </w:r>
    </w:p>
    <w:p w14:paraId="52F59B5B">
      <w:pPr>
        <w:widowControl/>
        <w:snapToGrid w:val="0"/>
        <w:spacing w:line="360" w:lineRule="auto"/>
        <w:ind w:firstLine="470" w:firstLineChars="196"/>
        <w:outlineLvl w:val="9"/>
        <w:rPr>
          <w:rFonts w:hint="eastAsia" w:ascii="宋体" w:hAnsi="宋体" w:eastAsia="宋体" w:cs="宋体"/>
          <w:snapToGrid w:val="0"/>
          <w:color w:val="auto"/>
          <w:kern w:val="28"/>
          <w:sz w:val="24"/>
          <w:szCs w:val="20"/>
          <w:highlight w:val="none"/>
        </w:rPr>
      </w:pPr>
      <w:r>
        <w:rPr>
          <w:rFonts w:hint="eastAsia" w:ascii="宋体" w:hAnsi="宋体" w:eastAsia="宋体" w:cs="宋体"/>
          <w:snapToGrid w:val="0"/>
          <w:color w:val="auto"/>
          <w:kern w:val="28"/>
          <w:sz w:val="24"/>
          <w:szCs w:val="20"/>
          <w:highlight w:val="none"/>
        </w:rPr>
        <w:t>3.3有下列情形之一的，磋商保证金不予退还</w:t>
      </w:r>
      <w:r>
        <w:rPr>
          <w:rFonts w:hint="eastAsia" w:ascii="宋体" w:hAnsi="宋体" w:eastAsia="宋体" w:cs="宋体"/>
          <w:snapToGrid w:val="0"/>
          <w:color w:val="auto"/>
          <w:kern w:val="28"/>
          <w:sz w:val="24"/>
          <w:szCs w:val="20"/>
          <w:highlight w:val="none"/>
          <w:lang w:eastAsia="zh-CN"/>
        </w:rPr>
        <w:t>：</w:t>
      </w:r>
      <w:r>
        <w:rPr>
          <w:rFonts w:hint="eastAsia" w:ascii="宋体" w:hAnsi="宋体" w:eastAsia="宋体" w:cs="宋体"/>
          <w:snapToGrid w:val="0"/>
          <w:color w:val="auto"/>
          <w:kern w:val="28"/>
          <w:sz w:val="24"/>
          <w:szCs w:val="20"/>
          <w:highlight w:val="none"/>
        </w:rPr>
        <w:t>（一）供应商在提交响应文件截止时间后撤回响应文件的，但在提交最后报价之前退出磋商的情况除；（二）供应商在响应文件中提供虚假材料的；（三）除因不可抗力或磋商文件认可的情形以外，成交供应商不与采购人签订合同的；（四）供应商与采购人、其他供应商或者采购代理机构恶意串通的；（五）磋商文件规定的其他情形。</w:t>
      </w:r>
    </w:p>
    <w:p w14:paraId="42DDD95F">
      <w:pPr>
        <w:pStyle w:val="32"/>
        <w:spacing w:line="360" w:lineRule="auto"/>
        <w:ind w:firstLine="360" w:firstLineChars="150"/>
        <w:outlineLvl w:val="9"/>
        <w:rPr>
          <w:rFonts w:hint="eastAsia" w:ascii="宋体" w:hAnsi="宋体" w:eastAsia="宋体" w:cs="宋体"/>
          <w:color w:val="auto"/>
          <w:sz w:val="24"/>
          <w:szCs w:val="24"/>
          <w:highlight w:val="none"/>
        </w:rPr>
      </w:pPr>
    </w:p>
    <w:p w14:paraId="7ED1C9FE">
      <w:pPr>
        <w:adjustRightInd/>
        <w:spacing w:line="360" w:lineRule="auto"/>
        <w:jc w:val="center"/>
        <w:outlineLvl w:val="9"/>
        <w:rPr>
          <w:rFonts w:hint="eastAsia" w:ascii="宋体" w:hAnsi="宋体" w:eastAsia="宋体" w:cs="宋体"/>
          <w:b/>
          <w:color w:val="auto"/>
          <w:sz w:val="32"/>
          <w:szCs w:val="20"/>
          <w:highlight w:val="none"/>
        </w:rPr>
      </w:pPr>
    </w:p>
    <w:p w14:paraId="6E7A18CF">
      <w:pPr>
        <w:adjustRightInd/>
        <w:spacing w:line="360" w:lineRule="auto"/>
        <w:jc w:val="center"/>
        <w:outlineLvl w:val="9"/>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八、</w:t>
      </w:r>
      <w:r>
        <w:rPr>
          <w:rFonts w:hint="eastAsia" w:ascii="宋体" w:hAnsi="宋体" w:eastAsia="宋体" w:cs="宋体"/>
          <w:b/>
          <w:color w:val="auto"/>
          <w:sz w:val="32"/>
          <w:szCs w:val="32"/>
          <w:highlight w:val="none"/>
        </w:rPr>
        <w:t>开启响应文件与信用信息查询</w:t>
      </w:r>
    </w:p>
    <w:p w14:paraId="799F65CF">
      <w:pPr>
        <w:pStyle w:val="32"/>
        <w:spacing w:line="360" w:lineRule="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 开启响应文件</w:t>
      </w:r>
    </w:p>
    <w:p w14:paraId="055F7F27">
      <w:pPr>
        <w:pStyle w:val="32"/>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采购代理机构按照磋商文件规定的时间通过电子交易平台组织响应文件开启，所有供应商均应当准时在线参加。</w:t>
      </w:r>
      <w:r>
        <w:rPr>
          <w:rFonts w:hint="eastAsia" w:ascii="宋体" w:hAnsi="宋体" w:eastAsia="宋体" w:cs="宋体"/>
          <w:b/>
          <w:color w:val="auto"/>
          <w:sz w:val="24"/>
          <w:szCs w:val="24"/>
          <w:highlight w:val="none"/>
        </w:rPr>
        <w:t>供应商数量不符合规定的，不得开启响应文件。</w:t>
      </w:r>
    </w:p>
    <w:p w14:paraId="27C0B441">
      <w:pPr>
        <w:pStyle w:val="32"/>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1.2开启响应文件时，电子交易平台按开启响应文件时间自动提取所有响应文件。采购代理机构依托电子交易平台发起开始解密指令，供应商按照平台提示和磋商文件的规定在半小时内完成在线解密。</w:t>
      </w:r>
    </w:p>
    <w:p w14:paraId="0D91ED46">
      <w:pPr>
        <w:pStyle w:val="32"/>
        <w:spacing w:line="360" w:lineRule="auto"/>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1.3响应文件未在规定时间内成功解密的供应商，如提交了备份响应文件的，以备份响应文件作为依据，否则视为响应文件撤回。响应文件解密成功的供应商，其备份响应文件自动失效。</w:t>
      </w:r>
    </w:p>
    <w:p w14:paraId="3B0D1422">
      <w:pPr>
        <w:pStyle w:val="394"/>
        <w:spacing w:before="0"/>
        <w:ind w:firstLine="0" w:firstLineChars="0"/>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2.信用信息查询</w:t>
      </w:r>
    </w:p>
    <w:p w14:paraId="67512FA5">
      <w:pPr>
        <w:pStyle w:val="394"/>
        <w:spacing w:before="0"/>
        <w:ind w:firstLine="480"/>
        <w:outlineLvl w:val="9"/>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2.1信用信息查询渠道及截止时间</w:t>
      </w:r>
      <w:r>
        <w:rPr>
          <w:rFonts w:hint="eastAsia" w:ascii="宋体" w:hAnsi="宋体" w:eastAsia="宋体" w:cs="宋体"/>
          <w:color w:val="auto"/>
          <w:kern w:val="0"/>
          <w:szCs w:val="24"/>
          <w:highlight w:val="none"/>
          <w:lang w:eastAsia="zh-CN"/>
        </w:rPr>
        <w:t>：</w:t>
      </w:r>
      <w:r>
        <w:rPr>
          <w:rFonts w:hint="eastAsia" w:ascii="宋体" w:hAnsi="宋体" w:eastAsia="宋体" w:cs="宋体"/>
          <w:color w:val="auto"/>
          <w:kern w:val="0"/>
          <w:szCs w:val="24"/>
          <w:highlight w:val="none"/>
        </w:rPr>
        <w:t>采购人或采购代理机构将通过“信用中国”网站(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w:instrText>
      </w:r>
      <w:r>
        <w:rPr>
          <w:rFonts w:hint="eastAsia" w:ascii="宋体" w:hAnsi="宋体" w:eastAsia="宋体" w:cs="宋体"/>
          <w:color w:val="auto"/>
          <w:highlight w:val="none"/>
        </w:rPr>
        <w:fldChar w:fldCharType="separate"/>
      </w:r>
      <w:r>
        <w:rPr>
          <w:rStyle w:val="69"/>
          <w:rFonts w:hint="eastAsia" w:ascii="宋体" w:hAnsi="宋体" w:eastAsia="宋体" w:cs="宋体"/>
          <w:color w:val="auto"/>
          <w:sz w:val="24"/>
          <w:szCs w:val="24"/>
          <w:highlight w:val="none"/>
        </w:rPr>
        <w:t>www.creditchina.gov.cn</w:t>
      </w:r>
      <w:r>
        <w:rPr>
          <w:rStyle w:val="69"/>
          <w:rFonts w:hint="eastAsia" w:ascii="宋体" w:hAnsi="宋体" w:eastAsia="宋体" w:cs="宋体"/>
          <w:color w:val="auto"/>
          <w:sz w:val="24"/>
          <w:szCs w:val="24"/>
          <w:highlight w:val="none"/>
        </w:rPr>
        <w:fldChar w:fldCharType="end"/>
      </w:r>
      <w:r>
        <w:rPr>
          <w:rFonts w:hint="eastAsia" w:ascii="宋体" w:hAnsi="宋体" w:eastAsia="宋体" w:cs="宋体"/>
          <w:color w:val="auto"/>
          <w:kern w:val="0"/>
          <w:szCs w:val="24"/>
          <w:highlight w:val="none"/>
        </w:rPr>
        <w:t>)、中国政府采购网(www.ccgp.gov.cn)渠道查询供应商响应截止时间前的信用记录。</w:t>
      </w:r>
    </w:p>
    <w:p w14:paraId="795760E2">
      <w:pPr>
        <w:pStyle w:val="394"/>
        <w:spacing w:before="0"/>
        <w:ind w:firstLine="480"/>
        <w:outlineLvl w:val="9"/>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2.2信用信息查询记录和证据留存的具体方式</w:t>
      </w:r>
      <w:r>
        <w:rPr>
          <w:rFonts w:hint="eastAsia" w:ascii="宋体" w:hAnsi="宋体" w:eastAsia="宋体" w:cs="宋体"/>
          <w:color w:val="auto"/>
          <w:kern w:val="0"/>
          <w:szCs w:val="24"/>
          <w:highlight w:val="none"/>
          <w:lang w:eastAsia="zh-CN"/>
        </w:rPr>
        <w:t>：</w:t>
      </w:r>
      <w:r>
        <w:rPr>
          <w:rFonts w:hint="eastAsia" w:ascii="宋体" w:hAnsi="宋体" w:eastAsia="宋体" w:cs="宋体"/>
          <w:color w:val="auto"/>
          <w:kern w:val="0"/>
          <w:szCs w:val="24"/>
          <w:highlight w:val="none"/>
        </w:rPr>
        <w:t>现场查询的供应商的信用记录、查询结果经确认后存档。</w:t>
      </w:r>
    </w:p>
    <w:p w14:paraId="18B21CFE">
      <w:pPr>
        <w:pStyle w:val="394"/>
        <w:spacing w:before="0"/>
        <w:ind w:firstLine="480"/>
        <w:outlineLvl w:val="9"/>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2.3信用信息的使用规则</w:t>
      </w:r>
      <w:r>
        <w:rPr>
          <w:rFonts w:hint="eastAsia" w:ascii="宋体" w:hAnsi="宋体" w:eastAsia="宋体" w:cs="宋体"/>
          <w:color w:val="auto"/>
          <w:kern w:val="0"/>
          <w:szCs w:val="24"/>
          <w:highlight w:val="none"/>
          <w:lang w:eastAsia="zh-CN"/>
        </w:rPr>
        <w:t>：</w:t>
      </w:r>
      <w:r>
        <w:rPr>
          <w:rFonts w:hint="eastAsia" w:ascii="宋体" w:hAnsi="宋体" w:eastAsia="宋体" w:cs="宋体"/>
          <w:color w:val="auto"/>
          <w:kern w:val="0"/>
          <w:szCs w:val="24"/>
          <w:highlight w:val="none"/>
        </w:rPr>
        <w:t>经查询列入失信被执行人名单、重大税收违法案件当事人名单、政府采购严重违法失信行为记录名单的供应商将被拒绝参与政府采购活动。</w:t>
      </w:r>
    </w:p>
    <w:p w14:paraId="297D7C16">
      <w:pPr>
        <w:pStyle w:val="394"/>
        <w:spacing w:before="0"/>
        <w:ind w:firstLine="480"/>
        <w:outlineLvl w:val="9"/>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2.4联合体信用信息查询</w:t>
      </w:r>
      <w:r>
        <w:rPr>
          <w:rFonts w:hint="eastAsia" w:ascii="宋体" w:hAnsi="宋体" w:eastAsia="宋体" w:cs="宋体"/>
          <w:color w:val="auto"/>
          <w:kern w:val="0"/>
          <w:szCs w:val="24"/>
          <w:highlight w:val="none"/>
          <w:lang w:eastAsia="zh-CN"/>
        </w:rPr>
        <w:t>：</w:t>
      </w:r>
      <w:r>
        <w:rPr>
          <w:rFonts w:hint="eastAsia" w:ascii="宋体" w:hAnsi="宋体" w:eastAsia="宋体" w:cs="宋体"/>
          <w:color w:val="auto"/>
          <w:kern w:val="0"/>
          <w:szCs w:val="24"/>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B2CDFB0">
      <w:pPr>
        <w:pStyle w:val="32"/>
        <w:spacing w:line="360" w:lineRule="auto"/>
        <w:outlineLvl w:val="9"/>
        <w:rPr>
          <w:rFonts w:hint="eastAsia" w:ascii="宋体" w:hAnsi="宋体" w:eastAsia="宋体" w:cs="宋体"/>
          <w:b/>
          <w:color w:val="auto"/>
          <w:sz w:val="24"/>
          <w:szCs w:val="24"/>
          <w:highlight w:val="none"/>
        </w:rPr>
      </w:pPr>
    </w:p>
    <w:p w14:paraId="3EE9E2D8">
      <w:pPr>
        <w:adjustRightInd/>
        <w:spacing w:line="360" w:lineRule="auto"/>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highlight w:val="none"/>
        </w:rPr>
        <w:t>九</w:t>
      </w:r>
      <w:r>
        <w:rPr>
          <w:rFonts w:hint="eastAsia" w:ascii="宋体" w:hAnsi="宋体" w:eastAsia="宋体" w:cs="宋体"/>
          <w:b/>
          <w:color w:val="auto"/>
          <w:sz w:val="32"/>
          <w:szCs w:val="20"/>
          <w:highlight w:val="none"/>
        </w:rPr>
        <w:t>、提交</w:t>
      </w:r>
      <w:r>
        <w:rPr>
          <w:rFonts w:hint="eastAsia" w:ascii="宋体" w:hAnsi="宋体" w:eastAsia="宋体" w:cs="宋体"/>
          <w:b/>
          <w:color w:val="auto"/>
          <w:sz w:val="32"/>
          <w:szCs w:val="32"/>
          <w:highlight w:val="none"/>
        </w:rPr>
        <w:t>最后报价</w:t>
      </w:r>
    </w:p>
    <w:p w14:paraId="0B8E3997">
      <w:pPr>
        <w:snapToGrid w:val="0"/>
        <w:spacing w:line="360" w:lineRule="auto"/>
        <w:outlineLvl w:val="9"/>
        <w:rPr>
          <w:rFonts w:hint="eastAsia" w:ascii="宋体" w:hAnsi="宋体" w:eastAsia="宋体" w:cs="宋体"/>
          <w:color w:val="auto"/>
          <w:sz w:val="24"/>
          <w:highlight w:val="none"/>
          <w:u w:val="single"/>
          <w:lang w:val="zh-CN" w:eastAsia="zh-CN"/>
        </w:rPr>
      </w:pPr>
      <w:r>
        <w:rPr>
          <w:rFonts w:hint="eastAsia" w:ascii="宋体" w:hAnsi="宋体" w:eastAsia="宋体" w:cs="宋体"/>
          <w:b/>
          <w:color w:val="auto"/>
          <w:sz w:val="24"/>
          <w:highlight w:val="none"/>
        </w:rPr>
        <w:t>1.</w:t>
      </w:r>
      <w:r>
        <w:rPr>
          <w:rFonts w:hint="eastAsia" w:ascii="宋体" w:hAnsi="宋体" w:eastAsia="宋体" w:cs="宋体"/>
          <w:color w:val="auto"/>
          <w:sz w:val="24"/>
          <w:highlight w:val="none"/>
        </w:rPr>
        <w:t>供应商的</w:t>
      </w:r>
      <w:r>
        <w:rPr>
          <w:rFonts w:hint="eastAsia" w:ascii="宋体" w:hAnsi="宋体" w:eastAsia="宋体" w:cs="宋体"/>
          <w:b/>
          <w:color w:val="auto"/>
          <w:sz w:val="24"/>
          <w:highlight w:val="none"/>
        </w:rPr>
        <w:t>最后报价文件</w:t>
      </w:r>
      <w:r>
        <w:rPr>
          <w:rFonts w:hint="eastAsia" w:ascii="宋体" w:hAnsi="宋体" w:eastAsia="宋体" w:cs="宋体"/>
          <w:color w:val="auto"/>
          <w:sz w:val="24"/>
          <w:highlight w:val="none"/>
        </w:rPr>
        <w:t>应包括以下内容</w:t>
      </w:r>
      <w:r>
        <w:rPr>
          <w:rFonts w:hint="eastAsia" w:ascii="宋体" w:hAnsi="宋体" w:eastAsia="宋体" w:cs="宋体"/>
          <w:color w:val="auto"/>
          <w:sz w:val="24"/>
          <w:highlight w:val="none"/>
          <w:lang w:eastAsia="zh-CN"/>
        </w:rPr>
        <w:t>：</w:t>
      </w:r>
    </w:p>
    <w:p w14:paraId="669055AB">
      <w:pPr>
        <w:pStyle w:val="32"/>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1.1最后报价一览表；</w:t>
      </w:r>
    </w:p>
    <w:p w14:paraId="1D28A249">
      <w:pPr>
        <w:pStyle w:val="32"/>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val="en-US" w:eastAsia="zh-CN"/>
        </w:rPr>
        <w:t>磋商时需要提供的附件</w:t>
      </w:r>
      <w:r>
        <w:rPr>
          <w:rFonts w:hint="eastAsia" w:ascii="宋体" w:hAnsi="宋体" w:eastAsia="宋体" w:cs="宋体"/>
          <w:color w:val="auto"/>
          <w:sz w:val="24"/>
          <w:szCs w:val="24"/>
          <w:highlight w:val="none"/>
        </w:rPr>
        <w:t>（如果有）。</w:t>
      </w:r>
    </w:p>
    <w:p w14:paraId="2E827E3D">
      <w:pPr>
        <w:adjustRightInd/>
        <w:spacing w:line="360" w:lineRule="auto"/>
        <w:jc w:val="center"/>
        <w:outlineLvl w:val="9"/>
        <w:rPr>
          <w:rFonts w:hint="eastAsia" w:ascii="宋体" w:hAnsi="宋体" w:eastAsia="宋体" w:cs="宋体"/>
          <w:b/>
          <w:color w:val="auto"/>
          <w:sz w:val="32"/>
          <w:szCs w:val="20"/>
          <w:highlight w:val="none"/>
        </w:rPr>
      </w:pPr>
    </w:p>
    <w:p w14:paraId="1FD3EBB4">
      <w:pPr>
        <w:adjustRightInd/>
        <w:spacing w:line="360" w:lineRule="auto"/>
        <w:jc w:val="center"/>
        <w:outlineLvl w:val="9"/>
        <w:rPr>
          <w:rFonts w:hint="eastAsia" w:ascii="宋体" w:hAnsi="宋体" w:eastAsia="宋体" w:cs="宋体"/>
          <w:b/>
          <w:color w:val="auto"/>
          <w:sz w:val="32"/>
          <w:highlight w:val="none"/>
        </w:rPr>
      </w:pPr>
      <w:r>
        <w:rPr>
          <w:rFonts w:hint="eastAsia" w:ascii="宋体" w:hAnsi="宋体" w:eastAsia="宋体" w:cs="宋体"/>
          <w:b/>
          <w:color w:val="auto"/>
          <w:sz w:val="32"/>
          <w:szCs w:val="20"/>
          <w:highlight w:val="none"/>
        </w:rPr>
        <w:t>十、</w:t>
      </w:r>
      <w:r>
        <w:rPr>
          <w:rFonts w:hint="eastAsia" w:ascii="宋体" w:hAnsi="宋体" w:eastAsia="宋体" w:cs="宋体"/>
          <w:b/>
          <w:color w:val="auto"/>
          <w:sz w:val="32"/>
          <w:szCs w:val="32"/>
          <w:highlight w:val="none"/>
        </w:rPr>
        <w:t>评审</w:t>
      </w:r>
    </w:p>
    <w:p w14:paraId="04A08AE8">
      <w:pPr>
        <w:pStyle w:val="394"/>
        <w:spacing w:before="0"/>
        <w:ind w:firstLine="0" w:firstLineChars="0"/>
        <w:outlineLvl w:val="9"/>
        <w:rPr>
          <w:rFonts w:hint="eastAsia" w:ascii="宋体" w:hAnsi="宋体" w:eastAsia="宋体" w:cs="宋体"/>
          <w:b/>
          <w:color w:val="auto"/>
          <w:highlight w:val="none"/>
        </w:rPr>
      </w:pPr>
      <w:r>
        <w:rPr>
          <w:rFonts w:hint="eastAsia" w:ascii="宋体" w:hAnsi="宋体" w:eastAsia="宋体" w:cs="宋体"/>
          <w:b/>
          <w:color w:val="auto"/>
          <w:szCs w:val="24"/>
          <w:highlight w:val="none"/>
        </w:rPr>
        <w:t>1.</w:t>
      </w:r>
      <w:r>
        <w:rPr>
          <w:rFonts w:hint="eastAsia" w:ascii="宋体" w:hAnsi="宋体" w:eastAsia="宋体" w:cs="宋体"/>
          <w:b/>
          <w:color w:val="auto"/>
          <w:highlight w:val="none"/>
        </w:rPr>
        <w:t xml:space="preserve"> 评审方法</w:t>
      </w:r>
      <w:r>
        <w:rPr>
          <w:rFonts w:hint="eastAsia" w:ascii="宋体" w:hAnsi="宋体" w:eastAsia="宋体" w:cs="宋体"/>
          <w:b/>
          <w:color w:val="auto"/>
          <w:highlight w:val="none"/>
          <w:lang w:eastAsia="zh-CN"/>
        </w:rPr>
        <w:t>：</w:t>
      </w:r>
      <w:r>
        <w:rPr>
          <w:rFonts w:hint="eastAsia" w:ascii="宋体" w:hAnsi="宋体" w:eastAsia="宋体" w:cs="宋体"/>
          <w:color w:val="auto"/>
          <w:highlight w:val="none"/>
        </w:rPr>
        <w:t>综合评分法。</w:t>
      </w:r>
    </w:p>
    <w:p w14:paraId="34493FE1">
      <w:pPr>
        <w:pStyle w:val="394"/>
        <w:spacing w:before="0"/>
        <w:ind w:firstLine="0" w:firstLineChars="0"/>
        <w:outlineLvl w:val="9"/>
        <w:rPr>
          <w:rFonts w:hint="eastAsia" w:ascii="宋体" w:hAnsi="宋体" w:eastAsia="宋体" w:cs="宋体"/>
          <w:b/>
          <w:color w:val="auto"/>
          <w:highlight w:val="none"/>
        </w:rPr>
      </w:pPr>
      <w:r>
        <w:rPr>
          <w:rFonts w:hint="eastAsia" w:ascii="宋体" w:hAnsi="宋体" w:eastAsia="宋体" w:cs="宋体"/>
          <w:b/>
          <w:color w:val="auto"/>
          <w:highlight w:val="none"/>
        </w:rPr>
        <w:t>2. 价格分计算方法</w:t>
      </w:r>
      <w:r>
        <w:rPr>
          <w:rFonts w:hint="eastAsia" w:ascii="宋体" w:hAnsi="宋体" w:eastAsia="宋体" w:cs="宋体"/>
          <w:b/>
          <w:color w:val="auto"/>
          <w:highlight w:val="none"/>
          <w:lang w:eastAsia="zh-CN"/>
        </w:rPr>
        <w:t>：</w:t>
      </w:r>
      <w:r>
        <w:rPr>
          <w:rFonts w:hint="eastAsia" w:ascii="宋体" w:hAnsi="宋体" w:eastAsia="宋体" w:cs="宋体"/>
          <w:color w:val="auto"/>
          <w:highlight w:val="none"/>
        </w:rPr>
        <w:t>低价优先法。</w:t>
      </w:r>
    </w:p>
    <w:p w14:paraId="6036A720">
      <w:pPr>
        <w:pStyle w:val="394"/>
        <w:spacing w:before="0"/>
        <w:ind w:firstLine="0" w:firstLineChars="0"/>
        <w:outlineLvl w:val="9"/>
        <w:rPr>
          <w:rFonts w:hint="eastAsia" w:ascii="宋体" w:hAnsi="宋体" w:eastAsia="宋体" w:cs="宋体"/>
          <w:color w:val="auto"/>
          <w:szCs w:val="24"/>
          <w:highlight w:val="none"/>
        </w:rPr>
      </w:pPr>
      <w:r>
        <w:rPr>
          <w:rFonts w:hint="eastAsia" w:ascii="宋体" w:hAnsi="宋体" w:eastAsia="宋体" w:cs="宋体"/>
          <w:b/>
          <w:color w:val="auto"/>
          <w:highlight w:val="none"/>
        </w:rPr>
        <w:t>3. 评审要求</w:t>
      </w:r>
      <w:r>
        <w:rPr>
          <w:rFonts w:hint="eastAsia" w:ascii="宋体" w:hAnsi="宋体" w:eastAsia="宋体" w:cs="宋体"/>
          <w:b/>
          <w:color w:val="auto"/>
          <w:highlight w:val="none"/>
          <w:lang w:eastAsia="zh-CN"/>
        </w:rPr>
        <w:t>：</w:t>
      </w:r>
      <w:r>
        <w:rPr>
          <w:rFonts w:hint="eastAsia" w:ascii="宋体" w:hAnsi="宋体" w:eastAsia="宋体" w:cs="宋体"/>
          <w:color w:val="auto"/>
          <w:highlight w:val="none"/>
        </w:rPr>
        <w:t>详见磋商文件第五部分“评审方法及评审标准”。</w:t>
      </w:r>
    </w:p>
    <w:p w14:paraId="584E65EC">
      <w:pPr>
        <w:adjustRightInd/>
        <w:spacing w:line="360" w:lineRule="auto"/>
        <w:jc w:val="center"/>
        <w:rPr>
          <w:rFonts w:hint="eastAsia" w:ascii="宋体" w:hAnsi="宋体" w:eastAsia="宋体" w:cs="宋体"/>
          <w:color w:val="auto"/>
          <w:sz w:val="24"/>
          <w:highlight w:val="none"/>
        </w:rPr>
      </w:pPr>
    </w:p>
    <w:p w14:paraId="00479BB4">
      <w:pPr>
        <w:adjustRightInd/>
        <w:spacing w:line="360" w:lineRule="auto"/>
        <w:jc w:val="center"/>
        <w:outlineLvl w:val="9"/>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十一、</w:t>
      </w:r>
      <w:r>
        <w:rPr>
          <w:rFonts w:hint="eastAsia" w:ascii="宋体" w:hAnsi="宋体" w:eastAsia="宋体" w:cs="宋体"/>
          <w:b/>
          <w:color w:val="auto"/>
          <w:sz w:val="32"/>
          <w:szCs w:val="32"/>
          <w:highlight w:val="none"/>
        </w:rPr>
        <w:t>成交</w:t>
      </w:r>
    </w:p>
    <w:p w14:paraId="09278A09">
      <w:pPr>
        <w:pStyle w:val="32"/>
        <w:spacing w:line="360" w:lineRule="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1. 推荐成交候选供应商</w:t>
      </w:r>
    </w:p>
    <w:p w14:paraId="71B433DB">
      <w:pPr>
        <w:spacing w:line="360" w:lineRule="auto"/>
        <w:ind w:firstLine="465" w:firstLineChars="194"/>
        <w:outlineLvl w:val="9"/>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14:paraId="53553D45">
      <w:pPr>
        <w:pStyle w:val="32"/>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 确定成交供应商</w:t>
      </w:r>
    </w:p>
    <w:p w14:paraId="57F2052E">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成交通知书和成交结果公告应当在规定时间内同时发出。</w:t>
      </w:r>
    </w:p>
    <w:p w14:paraId="1DD4B9A9">
      <w:pPr>
        <w:tabs>
          <w:tab w:val="left" w:pos="0"/>
        </w:tabs>
        <w:spacing w:line="360" w:lineRule="auto"/>
        <w:outlineLvl w:val="9"/>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3．成交通知及成交结果公告</w:t>
      </w:r>
    </w:p>
    <w:p w14:paraId="141168F5">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szCs w:val="21"/>
          <w:highlight w:val="none"/>
        </w:rPr>
        <w:t>3.1自成交人确定之日起2个工作日内，采购代理机构通过电子交易平台向成交人发出成交通知书，</w:t>
      </w:r>
      <w:r>
        <w:rPr>
          <w:rFonts w:hint="eastAsia" w:ascii="宋体" w:hAnsi="宋体" w:eastAsia="宋体" w:cs="宋体"/>
          <w:color w:val="auto"/>
          <w:sz w:val="24"/>
          <w:highlight w:val="none"/>
        </w:rPr>
        <w:t>同时编制发布采购</w:t>
      </w:r>
      <w:r>
        <w:rPr>
          <w:rFonts w:hint="eastAsia" w:ascii="宋体" w:hAnsi="宋体" w:eastAsia="宋体" w:cs="宋体"/>
          <w:color w:val="auto"/>
          <w:sz w:val="24"/>
          <w:szCs w:val="21"/>
          <w:highlight w:val="none"/>
        </w:rPr>
        <w:t>成交结果公告。</w:t>
      </w:r>
    </w:p>
    <w:p w14:paraId="69E5FA1A">
      <w:pPr>
        <w:spacing w:line="360" w:lineRule="auto"/>
        <w:ind w:firstLine="480" w:firstLineChars="200"/>
        <w:outlineLvl w:val="9"/>
        <w:rPr>
          <w:rFonts w:hint="eastAsia" w:ascii="宋体" w:hAnsi="宋体" w:eastAsia="宋体" w:cs="宋体"/>
          <w:color w:val="auto"/>
          <w:sz w:val="24"/>
          <w:szCs w:val="21"/>
          <w:highlight w:val="none"/>
        </w:rPr>
      </w:pPr>
      <w:r>
        <w:rPr>
          <w:rFonts w:hint="eastAsia" w:ascii="宋体" w:hAnsi="宋体" w:eastAsia="宋体" w:cs="宋体"/>
          <w:color w:val="auto"/>
          <w:sz w:val="24"/>
          <w:highlight w:val="none"/>
        </w:rPr>
        <w:t>3.2</w:t>
      </w:r>
      <w:r>
        <w:rPr>
          <w:rFonts w:hint="eastAsia" w:ascii="宋体" w:hAnsi="宋体" w:eastAsia="宋体" w:cs="宋体"/>
          <w:color w:val="auto"/>
          <w:sz w:val="24"/>
          <w:szCs w:val="21"/>
          <w:highlight w:val="none"/>
        </w:rPr>
        <w:t>成交</w:t>
      </w:r>
      <w:r>
        <w:rPr>
          <w:rFonts w:hint="eastAsia" w:ascii="宋体" w:hAnsi="宋体" w:eastAsia="宋体" w:cs="宋体"/>
          <w:color w:val="auto"/>
          <w:sz w:val="24"/>
          <w:highlight w:val="none"/>
        </w:rPr>
        <w:t>结果公告内容包括采购人及其委托的采购代理机构的名称、地址、联系方式，项目名称和项目编号，成交人名称、地址和成交金额，主要成交标的的名称、规格型号、数量、单价、服务要求，</w:t>
      </w:r>
      <w:bookmarkStart w:id="46" w:name="_Hlk101184471"/>
      <w:r>
        <w:rPr>
          <w:rFonts w:hint="eastAsia" w:ascii="宋体" w:hAnsi="宋体" w:eastAsia="宋体" w:cs="宋体"/>
          <w:color w:val="auto"/>
          <w:sz w:val="24"/>
          <w:highlight w:val="none"/>
        </w:rPr>
        <w:t>评审专家抽取规则、</w:t>
      </w:r>
      <w:bookmarkEnd w:id="46"/>
      <w:r>
        <w:rPr>
          <w:rFonts w:hint="eastAsia" w:ascii="宋体" w:hAnsi="宋体" w:eastAsia="宋体" w:cs="宋体"/>
          <w:color w:val="auto"/>
          <w:sz w:val="24"/>
          <w:highlight w:val="none"/>
        </w:rPr>
        <w:t>未成交情况说明、成交公告期限以及评审专家名单、成交供应商和未成交供应商的评审总得分及排名。</w:t>
      </w:r>
    </w:p>
    <w:p w14:paraId="644F8E95">
      <w:pPr>
        <w:spacing w:line="360" w:lineRule="auto"/>
        <w:ind w:firstLine="480" w:firstLineChars="200"/>
        <w:outlineLvl w:val="9"/>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3.3公告期限为1个工作日。</w:t>
      </w:r>
    </w:p>
    <w:p w14:paraId="070A6313">
      <w:pPr>
        <w:snapToGrid w:val="0"/>
        <w:spacing w:line="360" w:lineRule="auto"/>
        <w:jc w:val="center"/>
        <w:outlineLvl w:val="9"/>
        <w:rPr>
          <w:rFonts w:hint="eastAsia" w:ascii="宋体" w:hAnsi="宋体" w:eastAsia="宋体" w:cs="宋体"/>
          <w:b/>
          <w:color w:val="auto"/>
          <w:sz w:val="36"/>
          <w:szCs w:val="36"/>
          <w:highlight w:val="none"/>
        </w:rPr>
      </w:pPr>
    </w:p>
    <w:p w14:paraId="4EB7C390">
      <w:pPr>
        <w:snapToGrid w:val="0"/>
        <w:spacing w:line="360" w:lineRule="auto"/>
        <w:jc w:val="center"/>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十二、合同</w:t>
      </w:r>
    </w:p>
    <w:p w14:paraId="529BA8EE">
      <w:pPr>
        <w:tabs>
          <w:tab w:val="left" w:pos="0"/>
        </w:tabs>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1.合同主要条款</w:t>
      </w:r>
      <w:r>
        <w:rPr>
          <w:rFonts w:hint="eastAsia" w:ascii="宋体" w:hAnsi="宋体" w:eastAsia="宋体" w:cs="宋体"/>
          <w:b/>
          <w:color w:val="auto"/>
          <w:sz w:val="24"/>
          <w:highlight w:val="none"/>
          <w:lang w:eastAsia="zh-CN"/>
        </w:rPr>
        <w:t>：</w:t>
      </w:r>
      <w:r>
        <w:rPr>
          <w:rFonts w:hint="eastAsia" w:ascii="宋体" w:hAnsi="宋体" w:eastAsia="宋体" w:cs="宋体"/>
          <w:color w:val="auto"/>
          <w:sz w:val="24"/>
          <w:highlight w:val="none"/>
        </w:rPr>
        <w:t>详见“第六部分拟签订的合同文本”。</w:t>
      </w:r>
    </w:p>
    <w:p w14:paraId="445B5AFE">
      <w:pPr>
        <w:tabs>
          <w:tab w:val="left" w:pos="0"/>
        </w:tabs>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2.合同的签订</w:t>
      </w:r>
    </w:p>
    <w:p w14:paraId="480842AD">
      <w:pPr>
        <w:widowControl/>
        <w:shd w:val="clear" w:color="auto" w:fill="FFFFFF"/>
        <w:spacing w:line="360" w:lineRule="auto"/>
        <w:ind w:firstLine="48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2.1</w:t>
      </w:r>
      <w:r>
        <w:rPr>
          <w:rFonts w:hint="eastAsia" w:ascii="宋体" w:hAnsi="宋体" w:eastAsia="宋体" w:cs="宋体"/>
          <w:color w:val="auto"/>
          <w:kern w:val="0"/>
          <w:sz w:val="24"/>
          <w:highlight w:val="none"/>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1B70C6D4">
      <w:pPr>
        <w:pStyle w:val="394"/>
        <w:snapToGrid w:val="0"/>
        <w:spacing w:before="0"/>
        <w:ind w:firstLine="480"/>
        <w:outlineLvl w:val="9"/>
        <w:rPr>
          <w:rFonts w:hint="eastAsia" w:ascii="宋体" w:hAnsi="宋体" w:eastAsia="宋体" w:cs="宋体"/>
          <w:color w:val="auto"/>
          <w:kern w:val="0"/>
          <w:highlight w:val="none"/>
        </w:rPr>
      </w:pPr>
      <w:r>
        <w:rPr>
          <w:rFonts w:hint="eastAsia" w:ascii="宋体" w:hAnsi="宋体" w:eastAsia="宋体" w:cs="宋体"/>
          <w:color w:val="auto"/>
          <w:kern w:val="0"/>
          <w:highlight w:val="none"/>
          <w:lang w:val="zh-CN"/>
        </w:rPr>
        <w:t>2.2成交人按规定的日期、时间、地点，由法定代表人或其授权代表与采购人代表签订合同。如成交人为联合体的，由联合体成员各方法定代表人或其授权代表与采购人代表签订合同。</w:t>
      </w:r>
    </w:p>
    <w:p w14:paraId="561E02F5">
      <w:pPr>
        <w:spacing w:line="360" w:lineRule="auto"/>
        <w:ind w:firstLine="465" w:firstLineChars="194"/>
        <w:outlineLvl w:val="9"/>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58830E21">
      <w:pPr>
        <w:spacing w:line="360" w:lineRule="auto"/>
        <w:ind w:firstLine="465" w:firstLineChars="194"/>
        <w:outlineLvl w:val="9"/>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4F9A3891">
      <w:pPr>
        <w:spacing w:line="360" w:lineRule="auto"/>
        <w:ind w:firstLine="465" w:firstLineChars="194"/>
        <w:outlineLvl w:val="9"/>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2.5如签订合同并生效后，供应商无故拒绝或延期，除按照合同条款处理外，列入不良行为记录一次，并给予通报。</w:t>
      </w:r>
    </w:p>
    <w:p w14:paraId="199FF561">
      <w:pPr>
        <w:pStyle w:val="394"/>
        <w:snapToGrid w:val="0"/>
        <w:spacing w:before="0" w:after="12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2.6采购合同由采购人与成交供应商根据磋商文件、响应文件等内容通过政府采购电子交易平台在线签订，自动备案。</w:t>
      </w:r>
    </w:p>
    <w:p w14:paraId="311B828A">
      <w:pPr>
        <w:pStyle w:val="394"/>
        <w:snapToGrid w:val="0"/>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2.7政采贷</w:t>
      </w:r>
    </w:p>
    <w:p w14:paraId="28704523">
      <w:pPr>
        <w:snapToGrid w:val="0"/>
        <w:spacing w:line="360" w:lineRule="auto"/>
        <w:ind w:firstLine="480" w:firstLineChars="200"/>
        <w:outlineLvl w:val="9"/>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r>
        <w:rPr>
          <w:rFonts w:hint="eastAsia" w:ascii="宋体" w:hAnsi="宋体" w:eastAsia="宋体" w:cs="宋体"/>
          <w:color w:val="auto"/>
          <w:sz w:val="24"/>
          <w:szCs w:val="20"/>
          <w:highlight w:val="none"/>
          <w:lang w:eastAsia="zh-CN"/>
        </w:rPr>
        <w:t>：</w:t>
      </w:r>
    </w:p>
    <w:p w14:paraId="70FFB6FD">
      <w:pPr>
        <w:snapToGrid w:val="0"/>
        <w:spacing w:line="360" w:lineRule="auto"/>
        <w:ind w:firstLine="480" w:firstLineChars="200"/>
        <w:outlineLvl w:val="9"/>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636FB376">
      <w:pPr>
        <w:snapToGrid w:val="0"/>
        <w:spacing w:line="360" w:lineRule="auto"/>
        <w:ind w:firstLine="480" w:firstLineChars="200"/>
        <w:outlineLvl w:val="9"/>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735A13C0">
      <w:pPr>
        <w:snapToGrid w:val="0"/>
        <w:spacing w:line="360" w:lineRule="auto"/>
        <w:ind w:firstLine="480" w:firstLineChars="200"/>
        <w:outlineLvl w:val="9"/>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00EAB9EB">
      <w:pPr>
        <w:snapToGrid w:val="0"/>
        <w:spacing w:line="360" w:lineRule="auto"/>
        <w:ind w:firstLine="480" w:firstLineChars="200"/>
        <w:outlineLvl w:val="9"/>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（四）贷款发放。贷款金融机构根据贷款协议向供应商发放贷款。</w:t>
      </w:r>
    </w:p>
    <w:p w14:paraId="056A1F0D">
      <w:pPr>
        <w:snapToGrid w:val="0"/>
        <w:spacing w:line="360" w:lineRule="auto"/>
        <w:ind w:firstLine="480" w:firstLineChars="200"/>
        <w:outlineLvl w:val="9"/>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470B0AF2">
      <w:pPr>
        <w:snapToGrid w:val="0"/>
        <w:spacing w:line="360" w:lineRule="auto"/>
        <w:ind w:firstLine="480" w:firstLineChars="200"/>
        <w:outlineLvl w:val="9"/>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（六）业务终止。贷款偿清后，贷款金融机构或北海市小微企业融资担保有限公司及时办理应收账款质押注销登记，业务终止。</w:t>
      </w:r>
    </w:p>
    <w:p w14:paraId="4436F5E5">
      <w:pPr>
        <w:snapToGrid w:val="0"/>
        <w:spacing w:line="360" w:lineRule="auto"/>
        <w:ind w:firstLine="480" w:firstLineChars="200"/>
        <w:outlineLvl w:val="9"/>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注</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rPr>
        <w:t>相关合作银行的具体操作流程详见北海市政府采购中心首页“政采贷”板块。</w:t>
      </w:r>
    </w:p>
    <w:p w14:paraId="3AFABE74">
      <w:pPr>
        <w:pStyle w:val="633"/>
        <w:outlineLvl w:val="9"/>
        <w:rPr>
          <w:rFonts w:hint="eastAsia" w:ascii="宋体" w:hAnsi="宋体" w:eastAsia="宋体" w:cs="宋体"/>
          <w:color w:val="auto"/>
          <w:highlight w:val="none"/>
        </w:rPr>
      </w:pPr>
      <w:r>
        <w:rPr>
          <w:rFonts w:hint="eastAsia" w:ascii="宋体" w:hAnsi="宋体" w:eastAsia="宋体" w:cs="宋体"/>
          <w:color w:val="auto"/>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14:paraId="7E334D57">
      <w:pPr>
        <w:autoSpaceDE w:val="0"/>
        <w:autoSpaceDN w:val="0"/>
        <w:adjustRightInd/>
        <w:snapToGrid w:val="0"/>
        <w:spacing w:line="360" w:lineRule="auto"/>
        <w:ind w:firstLine="480" w:firstLineChars="200"/>
        <w:textAlignment w:val="bottom"/>
        <w:outlineLvl w:val="9"/>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供应商成交后可在“广西政府采购云”平台申请政采贷</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rPr>
        <w:t>操作路径</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rPr>
        <w:t>登录广西政府采购云平台-金融服务中心-【融资服务】，可在热门申请中选择产品直接申请。详见如下</w:t>
      </w:r>
      <w:r>
        <w:rPr>
          <w:rFonts w:hint="eastAsia" w:ascii="宋体" w:hAnsi="宋体" w:eastAsia="宋体" w:cs="宋体"/>
          <w:color w:val="auto"/>
          <w:sz w:val="24"/>
          <w:szCs w:val="20"/>
          <w:highlight w:val="none"/>
          <w:lang w:eastAsia="zh-CN"/>
        </w:rPr>
        <w:t>：</w:t>
      </w:r>
    </w:p>
    <w:p w14:paraId="4E55908D">
      <w:pPr>
        <w:snapToGrid w:val="0"/>
        <w:spacing w:line="360" w:lineRule="auto"/>
        <w:ind w:firstLine="482"/>
        <w:jc w:val="left"/>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1.有贷款需求的供应商可以访问“广西政府采购云平台-金融服务-融资服务”栏目办理有关业务（链接</w:t>
      </w:r>
      <w:r>
        <w:rPr>
          <w:rFonts w:hint="eastAsia" w:ascii="宋体" w:hAnsi="宋体" w:eastAsia="宋体" w:cs="宋体"/>
          <w:color w:val="auto"/>
          <w:kern w:val="0"/>
          <w:sz w:val="24"/>
          <w:szCs w:val="20"/>
          <w:highlight w:val="none"/>
          <w:lang w:eastAsia="zh-CN"/>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"https://jinrong.gcy.zfcg.gxzf.gov.cn/finance/loan/gx"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sz w:val="24"/>
          <w:szCs w:val="20"/>
          <w:highlight w:val="none"/>
        </w:rPr>
        <w:t>https</w:t>
      </w:r>
      <w:r>
        <w:rPr>
          <w:rFonts w:hint="eastAsia" w:ascii="宋体" w:hAnsi="宋体" w:eastAsia="宋体" w:cs="宋体"/>
          <w:color w:val="auto"/>
          <w:kern w:val="0"/>
          <w:sz w:val="24"/>
          <w:szCs w:val="20"/>
          <w:highlight w:val="none"/>
          <w:lang w:eastAsia="zh-CN"/>
        </w:rPr>
        <w:t>：</w:t>
      </w:r>
      <w:r>
        <w:rPr>
          <w:rFonts w:hint="eastAsia" w:ascii="宋体" w:hAnsi="宋体" w:eastAsia="宋体" w:cs="宋体"/>
          <w:color w:val="auto"/>
          <w:kern w:val="0"/>
          <w:sz w:val="24"/>
          <w:szCs w:val="20"/>
          <w:highlight w:val="none"/>
        </w:rPr>
        <w:t>//jinrong.gcy.zfcg.gxzf.gov.cn/finance/loan/gx</w:t>
      </w:r>
      <w:r>
        <w:rPr>
          <w:rFonts w:hint="eastAsia" w:ascii="宋体" w:hAnsi="宋体" w:eastAsia="宋体" w:cs="宋体"/>
          <w:color w:val="auto"/>
          <w:kern w:val="0"/>
          <w:sz w:val="24"/>
          <w:szCs w:val="20"/>
          <w:highlight w:val="none"/>
        </w:rPr>
        <w:fldChar w:fldCharType="end"/>
      </w:r>
      <w:r>
        <w:rPr>
          <w:rFonts w:hint="eastAsia" w:ascii="宋体" w:hAnsi="宋体" w:eastAsia="宋体" w:cs="宋体"/>
          <w:color w:val="auto"/>
          <w:kern w:val="0"/>
          <w:sz w:val="24"/>
          <w:szCs w:val="20"/>
          <w:highlight w:val="none"/>
        </w:rPr>
        <w:t>）</w:t>
      </w:r>
    </w:p>
    <w:p w14:paraId="24C30527">
      <w:pPr>
        <w:snapToGrid w:val="0"/>
        <w:spacing w:line="360" w:lineRule="auto"/>
        <w:ind w:firstLine="482"/>
        <w:jc w:val="left"/>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2.合作银行咨询办理</w:t>
      </w:r>
    </w:p>
    <w:tbl>
      <w:tblPr>
        <w:tblStyle w:val="6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2BAA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2FA04C9">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银行名称</w:t>
            </w:r>
          </w:p>
        </w:tc>
        <w:tc>
          <w:tcPr>
            <w:tcW w:w="1134" w:type="dxa"/>
            <w:vAlign w:val="center"/>
          </w:tcPr>
          <w:p w14:paraId="3352A801">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联系电话</w:t>
            </w:r>
          </w:p>
        </w:tc>
        <w:tc>
          <w:tcPr>
            <w:tcW w:w="1701" w:type="dxa"/>
            <w:vAlign w:val="center"/>
          </w:tcPr>
          <w:p w14:paraId="2B9AFB23">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最高授信金额</w:t>
            </w:r>
          </w:p>
        </w:tc>
        <w:tc>
          <w:tcPr>
            <w:tcW w:w="993" w:type="dxa"/>
            <w:vAlign w:val="center"/>
          </w:tcPr>
          <w:p w14:paraId="076179E2">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最长授信期限</w:t>
            </w:r>
          </w:p>
        </w:tc>
        <w:tc>
          <w:tcPr>
            <w:tcW w:w="850" w:type="dxa"/>
            <w:vAlign w:val="center"/>
          </w:tcPr>
          <w:p w14:paraId="62316869">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最低利率</w:t>
            </w:r>
          </w:p>
        </w:tc>
        <w:tc>
          <w:tcPr>
            <w:tcW w:w="3366" w:type="dxa"/>
            <w:vAlign w:val="center"/>
          </w:tcPr>
          <w:p w14:paraId="20296406">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流程简介</w:t>
            </w:r>
          </w:p>
        </w:tc>
      </w:tr>
      <w:tr w14:paraId="3BA6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6687CF4">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建设银行</w:t>
            </w:r>
          </w:p>
        </w:tc>
        <w:tc>
          <w:tcPr>
            <w:tcW w:w="1134" w:type="dxa"/>
            <w:vAlign w:val="center"/>
          </w:tcPr>
          <w:p w14:paraId="202753B9">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13077729988</w:t>
            </w:r>
          </w:p>
        </w:tc>
        <w:tc>
          <w:tcPr>
            <w:tcW w:w="1701" w:type="dxa"/>
            <w:vAlign w:val="center"/>
          </w:tcPr>
          <w:p w14:paraId="0E041C6F">
            <w:pPr>
              <w:snapToGrid w:val="0"/>
              <w:spacing w:line="360" w:lineRule="auto"/>
              <w:jc w:val="left"/>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最高3千万</w:t>
            </w:r>
          </w:p>
        </w:tc>
        <w:tc>
          <w:tcPr>
            <w:tcW w:w="993" w:type="dxa"/>
            <w:vAlign w:val="center"/>
          </w:tcPr>
          <w:p w14:paraId="0360757E">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1年</w:t>
            </w:r>
          </w:p>
        </w:tc>
        <w:tc>
          <w:tcPr>
            <w:tcW w:w="850" w:type="dxa"/>
            <w:vAlign w:val="center"/>
          </w:tcPr>
          <w:p w14:paraId="7F01C76C">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4%</w:t>
            </w:r>
          </w:p>
        </w:tc>
        <w:tc>
          <w:tcPr>
            <w:tcW w:w="3366" w:type="dxa"/>
            <w:vAlign w:val="center"/>
          </w:tcPr>
          <w:p w14:paraId="11A509E8">
            <w:pPr>
              <w:snapToGrid w:val="0"/>
              <w:spacing w:line="360" w:lineRule="auto"/>
              <w:jc w:val="left"/>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开设账号，线下提供申请材料，进入贷款审批流程，贷款审批通过后可自主用款，银行官方网银可自主还款。</w:t>
            </w:r>
          </w:p>
        </w:tc>
      </w:tr>
      <w:tr w14:paraId="39FC6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2C135B9">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中国银行</w:t>
            </w:r>
          </w:p>
        </w:tc>
        <w:tc>
          <w:tcPr>
            <w:tcW w:w="1134" w:type="dxa"/>
            <w:vAlign w:val="center"/>
          </w:tcPr>
          <w:p w14:paraId="462A429E">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0779-3997084</w:t>
            </w:r>
          </w:p>
        </w:tc>
        <w:tc>
          <w:tcPr>
            <w:tcW w:w="1701" w:type="dxa"/>
            <w:vAlign w:val="center"/>
          </w:tcPr>
          <w:p w14:paraId="10A2DD8B">
            <w:pPr>
              <w:snapToGrid w:val="0"/>
              <w:spacing w:line="360" w:lineRule="auto"/>
              <w:jc w:val="left"/>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最高1千万</w:t>
            </w:r>
          </w:p>
        </w:tc>
        <w:tc>
          <w:tcPr>
            <w:tcW w:w="993" w:type="dxa"/>
            <w:vAlign w:val="center"/>
          </w:tcPr>
          <w:p w14:paraId="74CB65C0">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3年</w:t>
            </w:r>
          </w:p>
        </w:tc>
        <w:tc>
          <w:tcPr>
            <w:tcW w:w="850" w:type="dxa"/>
            <w:vAlign w:val="center"/>
          </w:tcPr>
          <w:p w14:paraId="7980A3AC">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1.93%</w:t>
            </w:r>
          </w:p>
        </w:tc>
        <w:tc>
          <w:tcPr>
            <w:tcW w:w="3366" w:type="dxa"/>
            <w:vAlign w:val="center"/>
          </w:tcPr>
          <w:p w14:paraId="085E6D86">
            <w:pPr>
              <w:snapToGrid w:val="0"/>
              <w:spacing w:line="360" w:lineRule="auto"/>
              <w:jc w:val="left"/>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在银行开户，线上申请，上传所需材料，等待审批，审批通过后可直接在手机银行提款。</w:t>
            </w:r>
          </w:p>
        </w:tc>
      </w:tr>
      <w:tr w14:paraId="57AF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5CBDDC2">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兴业银行</w:t>
            </w:r>
          </w:p>
        </w:tc>
        <w:tc>
          <w:tcPr>
            <w:tcW w:w="1134" w:type="dxa"/>
            <w:vAlign w:val="center"/>
          </w:tcPr>
          <w:p w14:paraId="1D6AF4B5">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0779-3158330</w:t>
            </w:r>
          </w:p>
        </w:tc>
        <w:tc>
          <w:tcPr>
            <w:tcW w:w="1701" w:type="dxa"/>
            <w:vAlign w:val="center"/>
          </w:tcPr>
          <w:p w14:paraId="7EAF7467">
            <w:pPr>
              <w:snapToGrid w:val="0"/>
              <w:spacing w:line="360" w:lineRule="auto"/>
              <w:jc w:val="left"/>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最高1千万（单笔提款金额达合同金额70%）</w:t>
            </w:r>
          </w:p>
        </w:tc>
        <w:tc>
          <w:tcPr>
            <w:tcW w:w="993" w:type="dxa"/>
            <w:vAlign w:val="center"/>
          </w:tcPr>
          <w:p w14:paraId="3B99FD61">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1年</w:t>
            </w:r>
          </w:p>
        </w:tc>
        <w:tc>
          <w:tcPr>
            <w:tcW w:w="850" w:type="dxa"/>
            <w:vAlign w:val="center"/>
          </w:tcPr>
          <w:p w14:paraId="4EEA5E80">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3.70%</w:t>
            </w:r>
          </w:p>
        </w:tc>
        <w:tc>
          <w:tcPr>
            <w:tcW w:w="3366" w:type="dxa"/>
            <w:vAlign w:val="center"/>
          </w:tcPr>
          <w:p w14:paraId="67948A57">
            <w:pPr>
              <w:snapToGrid w:val="0"/>
              <w:spacing w:line="360" w:lineRule="auto"/>
              <w:jc w:val="left"/>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全流程线上，初次申请开立账户，提供营业执照、采购合同、信用材料等，申请复审，签订合同，提交单笔贷款使用需求，贷款到账后受托使用。</w:t>
            </w:r>
          </w:p>
        </w:tc>
      </w:tr>
      <w:tr w14:paraId="34A84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AB8295E">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工商银行</w:t>
            </w:r>
          </w:p>
        </w:tc>
        <w:tc>
          <w:tcPr>
            <w:tcW w:w="1134" w:type="dxa"/>
            <w:vAlign w:val="center"/>
          </w:tcPr>
          <w:p w14:paraId="426D966C">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0779-3050645</w:t>
            </w:r>
          </w:p>
        </w:tc>
        <w:tc>
          <w:tcPr>
            <w:tcW w:w="1701" w:type="dxa"/>
            <w:vAlign w:val="center"/>
          </w:tcPr>
          <w:p w14:paraId="16D000D9">
            <w:pPr>
              <w:snapToGrid w:val="0"/>
              <w:spacing w:line="360" w:lineRule="auto"/>
              <w:jc w:val="left"/>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最高1千万且不超过合同金额70%</w:t>
            </w:r>
          </w:p>
        </w:tc>
        <w:tc>
          <w:tcPr>
            <w:tcW w:w="993" w:type="dxa"/>
            <w:vAlign w:val="center"/>
          </w:tcPr>
          <w:p w14:paraId="079680A0">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货物类1年</w:t>
            </w:r>
          </w:p>
          <w:p w14:paraId="558DD97D">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服务类3年</w:t>
            </w:r>
          </w:p>
          <w:p w14:paraId="4037B6AE">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工程类5年</w:t>
            </w:r>
          </w:p>
        </w:tc>
        <w:tc>
          <w:tcPr>
            <w:tcW w:w="850" w:type="dxa"/>
            <w:vAlign w:val="center"/>
          </w:tcPr>
          <w:p w14:paraId="4DF2EDBA">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3.45%</w:t>
            </w:r>
          </w:p>
        </w:tc>
        <w:tc>
          <w:tcPr>
            <w:tcW w:w="3366" w:type="dxa"/>
            <w:vAlign w:val="center"/>
          </w:tcPr>
          <w:p w14:paraId="0AE07C49">
            <w:pPr>
              <w:snapToGrid w:val="0"/>
              <w:spacing w:line="360" w:lineRule="auto"/>
              <w:jc w:val="left"/>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为中征系统白名单企业，提供相关要求材料，内部审批后放款自主借还。</w:t>
            </w:r>
          </w:p>
        </w:tc>
      </w:tr>
      <w:tr w14:paraId="6DEA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BE6C4F7">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国民村镇银行</w:t>
            </w:r>
          </w:p>
        </w:tc>
        <w:tc>
          <w:tcPr>
            <w:tcW w:w="1134" w:type="dxa"/>
            <w:vAlign w:val="center"/>
          </w:tcPr>
          <w:p w14:paraId="342B26C5">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0779-2668801</w:t>
            </w:r>
          </w:p>
        </w:tc>
        <w:tc>
          <w:tcPr>
            <w:tcW w:w="1701" w:type="dxa"/>
            <w:vAlign w:val="center"/>
          </w:tcPr>
          <w:p w14:paraId="5FA4B0E2">
            <w:pPr>
              <w:snapToGrid w:val="0"/>
              <w:spacing w:line="360" w:lineRule="auto"/>
              <w:jc w:val="left"/>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最高500万</w:t>
            </w:r>
          </w:p>
        </w:tc>
        <w:tc>
          <w:tcPr>
            <w:tcW w:w="993" w:type="dxa"/>
            <w:vAlign w:val="center"/>
          </w:tcPr>
          <w:p w14:paraId="4A951A26">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5年</w:t>
            </w:r>
          </w:p>
        </w:tc>
        <w:tc>
          <w:tcPr>
            <w:tcW w:w="850" w:type="dxa"/>
            <w:vAlign w:val="center"/>
          </w:tcPr>
          <w:p w14:paraId="17EEB83D">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2.80%</w:t>
            </w:r>
          </w:p>
        </w:tc>
        <w:tc>
          <w:tcPr>
            <w:tcW w:w="3366" w:type="dxa"/>
            <w:vAlign w:val="center"/>
          </w:tcPr>
          <w:p w14:paraId="430BF528">
            <w:pPr>
              <w:snapToGrid w:val="0"/>
              <w:spacing w:line="360" w:lineRule="auto"/>
              <w:jc w:val="left"/>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银行开户，线下申请并提供材料，信用良好企业最快1天获批即可提款</w:t>
            </w:r>
          </w:p>
        </w:tc>
      </w:tr>
      <w:tr w14:paraId="362F1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DC05E5C">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桂林银行</w:t>
            </w:r>
          </w:p>
        </w:tc>
        <w:tc>
          <w:tcPr>
            <w:tcW w:w="1134" w:type="dxa"/>
            <w:vAlign w:val="center"/>
          </w:tcPr>
          <w:p w14:paraId="48CA6EE7">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18577993959</w:t>
            </w:r>
          </w:p>
        </w:tc>
        <w:tc>
          <w:tcPr>
            <w:tcW w:w="1701" w:type="dxa"/>
            <w:vAlign w:val="center"/>
          </w:tcPr>
          <w:p w14:paraId="7D0532EE">
            <w:pPr>
              <w:snapToGrid w:val="0"/>
              <w:spacing w:line="360" w:lineRule="auto"/>
              <w:jc w:val="left"/>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最高1千万</w:t>
            </w:r>
          </w:p>
        </w:tc>
        <w:tc>
          <w:tcPr>
            <w:tcW w:w="993" w:type="dxa"/>
            <w:vAlign w:val="center"/>
          </w:tcPr>
          <w:p w14:paraId="5AD7F3E4">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1年</w:t>
            </w:r>
          </w:p>
        </w:tc>
        <w:tc>
          <w:tcPr>
            <w:tcW w:w="850" w:type="dxa"/>
            <w:vAlign w:val="center"/>
          </w:tcPr>
          <w:p w14:paraId="03D7FC89">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3.45%</w:t>
            </w:r>
          </w:p>
        </w:tc>
        <w:tc>
          <w:tcPr>
            <w:tcW w:w="3366" w:type="dxa"/>
            <w:vAlign w:val="center"/>
          </w:tcPr>
          <w:p w14:paraId="7EA476B0">
            <w:pPr>
              <w:snapToGrid w:val="0"/>
              <w:spacing w:line="360" w:lineRule="auto"/>
              <w:jc w:val="left"/>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线下申请，材料齐全最快1周内即可放款。</w:t>
            </w:r>
          </w:p>
        </w:tc>
      </w:tr>
      <w:tr w14:paraId="6860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5F2A3A8">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中小微商务服务公司</w:t>
            </w:r>
          </w:p>
        </w:tc>
        <w:tc>
          <w:tcPr>
            <w:tcW w:w="1134" w:type="dxa"/>
            <w:vAlign w:val="center"/>
          </w:tcPr>
          <w:p w14:paraId="7805FD5E">
            <w:pPr>
              <w:snapToGrid w:val="0"/>
              <w:spacing w:line="360" w:lineRule="auto"/>
              <w:jc w:val="center"/>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19907799988</w:t>
            </w:r>
          </w:p>
        </w:tc>
        <w:tc>
          <w:tcPr>
            <w:tcW w:w="1701" w:type="dxa"/>
            <w:vAlign w:val="center"/>
          </w:tcPr>
          <w:p w14:paraId="548105B1">
            <w:pPr>
              <w:snapToGrid w:val="0"/>
              <w:spacing w:line="360" w:lineRule="auto"/>
              <w:jc w:val="left"/>
              <w:outlineLvl w:val="9"/>
              <w:rPr>
                <w:rFonts w:hint="eastAsia" w:ascii="宋体" w:hAnsi="宋体" w:eastAsia="宋体" w:cs="宋体"/>
                <w:color w:val="auto"/>
                <w:kern w:val="0"/>
                <w:sz w:val="24"/>
                <w:szCs w:val="20"/>
                <w:highlight w:val="none"/>
              </w:rPr>
            </w:pPr>
          </w:p>
        </w:tc>
        <w:tc>
          <w:tcPr>
            <w:tcW w:w="993" w:type="dxa"/>
            <w:vAlign w:val="center"/>
          </w:tcPr>
          <w:p w14:paraId="1299BDE8">
            <w:pPr>
              <w:snapToGrid w:val="0"/>
              <w:spacing w:line="360" w:lineRule="auto"/>
              <w:jc w:val="center"/>
              <w:outlineLvl w:val="9"/>
              <w:rPr>
                <w:rFonts w:hint="eastAsia" w:ascii="宋体" w:hAnsi="宋体" w:eastAsia="宋体" w:cs="宋体"/>
                <w:color w:val="auto"/>
                <w:kern w:val="0"/>
                <w:sz w:val="24"/>
                <w:szCs w:val="20"/>
                <w:highlight w:val="none"/>
              </w:rPr>
            </w:pPr>
          </w:p>
        </w:tc>
        <w:tc>
          <w:tcPr>
            <w:tcW w:w="850" w:type="dxa"/>
            <w:vAlign w:val="center"/>
          </w:tcPr>
          <w:p w14:paraId="6B6062CA">
            <w:pPr>
              <w:snapToGrid w:val="0"/>
              <w:spacing w:line="360" w:lineRule="auto"/>
              <w:jc w:val="center"/>
              <w:outlineLvl w:val="9"/>
              <w:rPr>
                <w:rFonts w:hint="eastAsia" w:ascii="宋体" w:hAnsi="宋体" w:eastAsia="宋体" w:cs="宋体"/>
                <w:color w:val="auto"/>
                <w:kern w:val="0"/>
                <w:sz w:val="24"/>
                <w:szCs w:val="20"/>
                <w:highlight w:val="none"/>
              </w:rPr>
            </w:pPr>
          </w:p>
        </w:tc>
        <w:tc>
          <w:tcPr>
            <w:tcW w:w="3366" w:type="dxa"/>
            <w:vAlign w:val="center"/>
          </w:tcPr>
          <w:p w14:paraId="213EF254">
            <w:pPr>
              <w:snapToGrid w:val="0"/>
              <w:spacing w:line="360" w:lineRule="auto"/>
              <w:jc w:val="left"/>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具体业务可电话咨询。</w:t>
            </w:r>
          </w:p>
        </w:tc>
      </w:tr>
    </w:tbl>
    <w:p w14:paraId="2CA71B7B">
      <w:pPr>
        <w:pStyle w:val="633"/>
        <w:outlineLvl w:val="9"/>
        <w:rPr>
          <w:rFonts w:hint="eastAsia" w:ascii="宋体" w:hAnsi="宋体" w:eastAsia="宋体" w:cs="宋体"/>
          <w:color w:val="auto"/>
          <w:highlight w:val="none"/>
        </w:rPr>
      </w:pPr>
      <w:r>
        <w:rPr>
          <w:rFonts w:hint="eastAsia" w:ascii="宋体" w:hAnsi="宋体" w:eastAsia="宋体" w:cs="宋体"/>
          <w:color w:val="auto"/>
          <w:highlight w:val="none"/>
        </w:rPr>
        <w:t>注</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表中联系电话、授信金额、授信期限、最低利率等信息可能动态更新，仅供参考，具体以办理时相关银行公布的为准。</w:t>
      </w:r>
    </w:p>
    <w:p w14:paraId="2CB0B5B1">
      <w:pPr>
        <w:tabs>
          <w:tab w:val="left" w:pos="0"/>
        </w:tabs>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3．履约保证金</w:t>
      </w:r>
    </w:p>
    <w:p w14:paraId="616591A7">
      <w:pPr>
        <w:tabs>
          <w:tab w:val="left" w:pos="0"/>
        </w:tabs>
        <w:spacing w:line="360" w:lineRule="auto"/>
        <w:ind w:firstLine="482"/>
        <w:outlineLvl w:val="9"/>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26.1拟签订的合同文本要求成交供应商提交履约保证金的，供应商应当以支票、汇票、本票或者金融机构、担保机构出具的保函等非现金形式提交</w:t>
      </w:r>
      <w:r>
        <w:rPr>
          <w:rFonts w:hint="eastAsia" w:ascii="宋体" w:hAnsi="宋体" w:eastAsia="宋体" w:cs="宋体"/>
          <w:color w:val="auto"/>
          <w:sz w:val="24"/>
          <w:highlight w:val="none"/>
        </w:rPr>
        <w:t>。履约保证金数额不得超过政府采购合同金额的5%；加大对中小企业发展的扶持力度，对中小企业收取的履约保证金数额不得超过政府采购合同金额的2%。</w:t>
      </w:r>
      <w:r>
        <w:rPr>
          <w:rFonts w:hint="eastAsia" w:ascii="宋体" w:hAnsi="宋体" w:eastAsia="宋体" w:cs="宋体"/>
          <w:color w:val="auto"/>
          <w:kern w:val="0"/>
          <w:sz w:val="24"/>
          <w:highlight w:val="none"/>
        </w:rPr>
        <w:t>成交</w:t>
      </w:r>
      <w:r>
        <w:rPr>
          <w:rFonts w:hint="eastAsia" w:ascii="宋体" w:hAnsi="宋体" w:eastAsia="宋体" w:cs="宋体"/>
          <w:color w:val="auto"/>
          <w:sz w:val="24"/>
          <w:highlight w:val="none"/>
        </w:rPr>
        <w:t>供应商的磋商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延迟退还的，应当按照合同约定和法律规定承担相应的赔偿责任。</w:t>
      </w:r>
    </w:p>
    <w:p w14:paraId="018887E6">
      <w:pPr>
        <w:pStyle w:val="633"/>
        <w:ind w:firstLine="480" w:firstLineChars="200"/>
        <w:outlineLvl w:val="9"/>
        <w:rPr>
          <w:rFonts w:hint="eastAsia" w:ascii="宋体" w:hAnsi="宋体" w:eastAsia="宋体" w:cs="宋体"/>
          <w:color w:val="auto"/>
          <w:kern w:val="2"/>
          <w:szCs w:val="24"/>
          <w:highlight w:val="none"/>
        </w:rPr>
      </w:pPr>
      <w:r>
        <w:rPr>
          <w:rFonts w:hint="eastAsia" w:ascii="宋体" w:hAnsi="宋体" w:eastAsia="宋体" w:cs="宋体"/>
          <w:color w:val="auto"/>
          <w:highlight w:val="none"/>
        </w:rPr>
        <w:t>履约保证金</w:t>
      </w:r>
      <w:r>
        <w:rPr>
          <w:rFonts w:hint="eastAsia" w:ascii="宋体" w:hAnsi="宋体" w:eastAsia="宋体" w:cs="宋体"/>
          <w:color w:val="auto"/>
          <w:kern w:val="2"/>
          <w:szCs w:val="24"/>
          <w:highlight w:val="none"/>
        </w:rPr>
        <w:t>收取银行账户</w:t>
      </w:r>
    </w:p>
    <w:p w14:paraId="22C7BC9D">
      <w:pPr>
        <w:pStyle w:val="633"/>
        <w:ind w:firstLine="480" w:firstLineChars="200"/>
        <w:outlineLvl w:val="9"/>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开户名称</w:t>
      </w:r>
      <w:r>
        <w:rPr>
          <w:rFonts w:hint="eastAsia" w:ascii="宋体" w:hAnsi="宋体" w:eastAsia="宋体" w:cs="宋体"/>
          <w:color w:val="auto"/>
          <w:kern w:val="2"/>
          <w:szCs w:val="24"/>
          <w:highlight w:val="none"/>
          <w:lang w:eastAsia="zh-CN"/>
        </w:rPr>
        <w:t>：</w:t>
      </w:r>
      <w:r>
        <w:rPr>
          <w:rFonts w:hint="eastAsia" w:ascii="宋体" w:hAnsi="宋体" w:eastAsia="宋体" w:cs="宋体"/>
          <w:color w:val="auto"/>
          <w:kern w:val="2"/>
          <w:szCs w:val="24"/>
          <w:highlight w:val="none"/>
        </w:rPr>
        <w:t xml:space="preserve"> </w:t>
      </w:r>
    </w:p>
    <w:p w14:paraId="5FE885A3">
      <w:pPr>
        <w:pStyle w:val="633"/>
        <w:ind w:firstLine="480" w:firstLineChars="200"/>
        <w:outlineLvl w:val="9"/>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开户银行</w:t>
      </w:r>
      <w:r>
        <w:rPr>
          <w:rFonts w:hint="eastAsia" w:ascii="宋体" w:hAnsi="宋体" w:eastAsia="宋体" w:cs="宋体"/>
          <w:color w:val="auto"/>
          <w:kern w:val="2"/>
          <w:szCs w:val="24"/>
          <w:highlight w:val="none"/>
          <w:lang w:eastAsia="zh-CN"/>
        </w:rPr>
        <w:t>：</w:t>
      </w:r>
      <w:r>
        <w:rPr>
          <w:rFonts w:hint="eastAsia" w:ascii="宋体" w:hAnsi="宋体" w:eastAsia="宋体" w:cs="宋体"/>
          <w:color w:val="auto"/>
          <w:kern w:val="2"/>
          <w:szCs w:val="24"/>
          <w:highlight w:val="none"/>
        </w:rPr>
        <w:t xml:space="preserve"> </w:t>
      </w:r>
    </w:p>
    <w:p w14:paraId="5B84A791">
      <w:pPr>
        <w:pStyle w:val="633"/>
        <w:ind w:firstLine="480" w:firstLineChars="200"/>
        <w:outlineLvl w:val="9"/>
        <w:rPr>
          <w:rFonts w:hint="eastAsia" w:ascii="宋体" w:hAnsi="宋体" w:eastAsia="宋体" w:cs="宋体"/>
          <w:color w:val="auto"/>
          <w:kern w:val="2"/>
          <w:szCs w:val="24"/>
          <w:highlight w:val="none"/>
          <w:lang w:eastAsia="zh-CN"/>
        </w:rPr>
      </w:pPr>
      <w:r>
        <w:rPr>
          <w:rFonts w:hint="eastAsia" w:ascii="宋体" w:hAnsi="宋体" w:eastAsia="宋体" w:cs="宋体"/>
          <w:color w:val="auto"/>
          <w:kern w:val="2"/>
          <w:szCs w:val="24"/>
          <w:highlight w:val="none"/>
        </w:rPr>
        <w:t>银行账号</w:t>
      </w:r>
      <w:r>
        <w:rPr>
          <w:rFonts w:hint="eastAsia" w:ascii="宋体" w:hAnsi="宋体" w:eastAsia="宋体" w:cs="宋体"/>
          <w:color w:val="auto"/>
          <w:kern w:val="2"/>
          <w:szCs w:val="24"/>
          <w:highlight w:val="none"/>
          <w:lang w:eastAsia="zh-CN"/>
        </w:rPr>
        <w:t>：</w:t>
      </w:r>
    </w:p>
    <w:p w14:paraId="58600DF6">
      <w:pPr>
        <w:pStyle w:val="633"/>
        <w:ind w:firstLine="480" w:firstLineChars="200"/>
        <w:outlineLvl w:val="9"/>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26.2积极推广电子保函，支持供应商使用电子保函替代保证金。供应商可登录广西政府采购云平台-【金融服务】—【我的项目】—【已备案合同】以保函形式提供</w:t>
      </w:r>
      <w:r>
        <w:rPr>
          <w:rFonts w:hint="eastAsia" w:ascii="宋体" w:hAnsi="宋体" w:eastAsia="宋体" w:cs="宋体"/>
          <w:snapToGrid w:val="0"/>
          <w:color w:val="auto"/>
          <w:highlight w:val="none"/>
          <w:lang w:eastAsia="zh-CN"/>
        </w:rPr>
        <w:t>：</w:t>
      </w:r>
      <w:r>
        <w:rPr>
          <w:rFonts w:hint="eastAsia" w:ascii="宋体" w:hAnsi="宋体" w:eastAsia="宋体" w:cs="宋体"/>
          <w:snapToGrid w:val="0"/>
          <w:color w:val="auto"/>
          <w:highlight w:val="none"/>
        </w:rPr>
        <w:t>1、供应商在合同列表选择需要投保的合同，点击[保函推荐]。2、在弹框里查看推荐的保函产品，供应商自行选择保函产品，点击[立即申请]。3、在弹框里填写保函申请信息。具体步骤</w:t>
      </w:r>
      <w:r>
        <w:rPr>
          <w:rFonts w:hint="eastAsia" w:ascii="宋体" w:hAnsi="宋体" w:eastAsia="宋体" w:cs="宋体"/>
          <w:snapToGrid w:val="0"/>
          <w:color w:val="auto"/>
          <w:highlight w:val="none"/>
          <w:lang w:eastAsia="zh-CN"/>
        </w:rPr>
        <w:t>：</w:t>
      </w:r>
      <w:r>
        <w:rPr>
          <w:rFonts w:hint="eastAsia" w:ascii="宋体" w:hAnsi="宋体" w:eastAsia="宋体" w:cs="宋体"/>
          <w:snapToGrid w:val="0"/>
          <w:color w:val="auto"/>
          <w:highlight w:val="none"/>
        </w:rPr>
        <w:t>选择产品—填写供应商信息—选择中标项目—确认信息—等待保险/保函受理—确认保单—支付保费—成功出单。广西政府采购云平台金融专线400-903-9583。</w:t>
      </w:r>
    </w:p>
    <w:p w14:paraId="33820B4F">
      <w:pPr>
        <w:pStyle w:val="633"/>
        <w:outlineLvl w:val="9"/>
        <w:rPr>
          <w:rFonts w:hint="eastAsia" w:ascii="宋体" w:hAnsi="宋体" w:eastAsia="宋体" w:cs="宋体"/>
          <w:color w:val="auto"/>
          <w:highlight w:val="none"/>
        </w:rPr>
      </w:pPr>
      <w:r>
        <w:rPr>
          <w:rFonts w:hint="eastAsia" w:ascii="宋体" w:hAnsi="宋体" w:eastAsia="宋体" w:cs="宋体"/>
          <w:color w:val="auto"/>
          <w:highlight w:val="none"/>
        </w:rPr>
        <w:t>26.3履约保证金的退还。验收合格的政府采购项目，采购人应当按照合同约定的退还方式，在5个工作日内办理履约保证金退还手续。</w:t>
      </w:r>
    </w:p>
    <w:p w14:paraId="6812E668">
      <w:pPr>
        <w:pStyle w:val="633"/>
        <w:outlineLvl w:val="9"/>
        <w:rPr>
          <w:rFonts w:hint="eastAsia" w:ascii="宋体" w:hAnsi="宋体" w:eastAsia="宋体" w:cs="宋体"/>
          <w:color w:val="auto"/>
          <w:highlight w:val="none"/>
        </w:rPr>
      </w:pPr>
      <w:r>
        <w:rPr>
          <w:rFonts w:hint="eastAsia" w:ascii="宋体" w:hAnsi="宋体" w:eastAsia="宋体" w:cs="宋体"/>
          <w:color w:val="auto"/>
          <w:highlight w:val="none"/>
        </w:rPr>
        <w:t>4.预付款</w:t>
      </w:r>
    </w:p>
    <w:p w14:paraId="7D39F8B3">
      <w:pPr>
        <w:adjustRightInd/>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采购单位应当在政府采购合同中约定预付款，对中小企业合同预付款比例原则上不低于合同金额的30％，不高于合同金额的50%；项目分年安排预算的，每年预付款比例不低于项目年度计划支付资金额的30％，不高于合同金额的50%；采购项目实施以人工投入为主的，可适当降低预付款比例，但不得低于10%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w:t>
      </w:r>
    </w:p>
    <w:p w14:paraId="67B86930">
      <w:pPr>
        <w:tabs>
          <w:tab w:val="left" w:pos="0"/>
        </w:tabs>
        <w:spacing w:line="360" w:lineRule="auto"/>
        <w:ind w:firstLine="480" w:firstLineChars="200"/>
        <w:outlineLvl w:val="9"/>
        <w:rPr>
          <w:rFonts w:hint="eastAsia" w:ascii="宋体" w:hAnsi="宋体" w:eastAsia="宋体" w:cs="宋体"/>
          <w:snapToGrid w:val="0"/>
          <w:color w:val="auto"/>
          <w:kern w:val="28"/>
          <w:sz w:val="24"/>
          <w:highlight w:val="none"/>
        </w:rPr>
      </w:pPr>
      <w:r>
        <w:rPr>
          <w:rFonts w:hint="eastAsia" w:ascii="宋体" w:hAnsi="宋体" w:eastAsia="宋体" w:cs="宋体"/>
          <w:color w:val="auto"/>
          <w:sz w:val="24"/>
          <w:highlight w:val="none"/>
        </w:rPr>
        <w:t>供应商可登录广西政府采购云平台前台大厅选择金融服务 - 【保函保险服务】出具预付款保函，具体步骤</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选择产品—填写供应商信息—选择中标项目—确认信息—等待保险/保函受理—确认保单—支付保费—成功出单。广西政府采购云平台金融专线400-903-9583。</w:t>
      </w:r>
    </w:p>
    <w:p w14:paraId="362FEA3B">
      <w:pPr>
        <w:snapToGrid w:val="0"/>
        <w:spacing w:line="360" w:lineRule="auto"/>
        <w:jc w:val="center"/>
        <w:outlineLvl w:val="9"/>
        <w:rPr>
          <w:rFonts w:hint="eastAsia" w:ascii="宋体" w:hAnsi="宋体" w:eastAsia="宋体" w:cs="宋体"/>
          <w:b/>
          <w:color w:val="auto"/>
          <w:sz w:val="36"/>
          <w:szCs w:val="36"/>
          <w:highlight w:val="none"/>
        </w:rPr>
      </w:pPr>
    </w:p>
    <w:p w14:paraId="1C9EFD3F">
      <w:pPr>
        <w:snapToGrid w:val="0"/>
        <w:spacing w:line="360" w:lineRule="auto"/>
        <w:jc w:val="center"/>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十三、验收</w:t>
      </w:r>
    </w:p>
    <w:p w14:paraId="1E5565C0">
      <w:pPr>
        <w:pStyle w:val="23"/>
        <w:spacing w:line="360" w:lineRule="auto"/>
        <w:ind w:firstLine="0" w:firstLineChars="0"/>
        <w:outlineLvl w:val="9"/>
        <w:rPr>
          <w:rFonts w:hint="eastAsia" w:ascii="宋体" w:hAnsi="宋体" w:eastAsia="宋体" w:cs="宋体"/>
          <w:b/>
          <w:color w:val="auto"/>
          <w:highlight w:val="none"/>
        </w:rPr>
      </w:pPr>
      <w:r>
        <w:rPr>
          <w:rFonts w:hint="eastAsia" w:ascii="宋体" w:hAnsi="宋体" w:eastAsia="宋体" w:cs="宋体"/>
          <w:b/>
          <w:color w:val="auto"/>
          <w:highlight w:val="none"/>
        </w:rPr>
        <w:t>1.验收</w:t>
      </w:r>
    </w:p>
    <w:p w14:paraId="27F02609">
      <w:pPr>
        <w:tabs>
          <w:tab w:val="left" w:pos="0"/>
        </w:tabs>
        <w:spacing w:line="360" w:lineRule="auto"/>
        <w:ind w:firstLine="48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1DAD7FF">
      <w:pPr>
        <w:tabs>
          <w:tab w:val="left" w:pos="0"/>
        </w:tabs>
        <w:spacing w:line="360" w:lineRule="auto"/>
        <w:ind w:firstLine="48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1.2采购人可以邀请参加本项目的其他供应商或者第三方机构参与验收。参与验收的供应商或者第三方机构的意见作为验收书的参考资料一并存档。</w:t>
      </w:r>
    </w:p>
    <w:p w14:paraId="66F0C1FB">
      <w:pPr>
        <w:tabs>
          <w:tab w:val="left" w:pos="0"/>
        </w:tabs>
        <w:spacing w:line="360" w:lineRule="auto"/>
        <w:ind w:firstLine="48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8E0F7DB">
      <w:pPr>
        <w:tabs>
          <w:tab w:val="left" w:pos="0"/>
        </w:tabs>
        <w:spacing w:line="360" w:lineRule="auto"/>
        <w:ind w:firstLine="48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0B371E5">
      <w:pPr>
        <w:snapToGrid w:val="0"/>
        <w:spacing w:line="360" w:lineRule="auto"/>
        <w:jc w:val="center"/>
        <w:outlineLvl w:val="9"/>
        <w:rPr>
          <w:rFonts w:hint="eastAsia" w:ascii="宋体" w:hAnsi="宋体" w:eastAsia="宋体" w:cs="宋体"/>
          <w:b/>
          <w:color w:val="auto"/>
          <w:sz w:val="36"/>
          <w:szCs w:val="36"/>
          <w:highlight w:val="none"/>
        </w:rPr>
      </w:pPr>
    </w:p>
    <w:p w14:paraId="079476CA">
      <w:pPr>
        <w:snapToGrid w:val="0"/>
        <w:spacing w:line="360" w:lineRule="auto"/>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36"/>
          <w:szCs w:val="36"/>
          <w:highlight w:val="none"/>
        </w:rPr>
        <w:t>十四、电子交易活动的中止</w:t>
      </w:r>
    </w:p>
    <w:p w14:paraId="5D28FE64">
      <w:pPr>
        <w:tabs>
          <w:tab w:val="left" w:pos="0"/>
        </w:tabs>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1.电子交易活动的中止</w:t>
      </w:r>
    </w:p>
    <w:p w14:paraId="217D5213">
      <w:pPr>
        <w:tabs>
          <w:tab w:val="left" w:pos="0"/>
        </w:tabs>
        <w:spacing w:line="360" w:lineRule="auto"/>
        <w:ind w:firstLine="480"/>
        <w:outlineLvl w:val="9"/>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采购过程中出现以下情形，导致电子交易平台无法正常运行，或者无法保证电子交易的公平、公正和安全时，采购代理机构可中止电子交易活动</w:t>
      </w:r>
      <w:r>
        <w:rPr>
          <w:rFonts w:hint="eastAsia" w:ascii="宋体" w:hAnsi="宋体" w:eastAsia="宋体" w:cs="宋体"/>
          <w:color w:val="auto"/>
          <w:kern w:val="0"/>
          <w:sz w:val="24"/>
          <w:highlight w:val="none"/>
          <w:lang w:eastAsia="zh-CN"/>
        </w:rPr>
        <w:t>：</w:t>
      </w:r>
    </w:p>
    <w:p w14:paraId="4FE5D38B">
      <w:pPr>
        <w:tabs>
          <w:tab w:val="left" w:pos="0"/>
        </w:tabs>
        <w:spacing w:line="360" w:lineRule="auto"/>
        <w:ind w:firstLine="48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1.1电子交易平台发生故障而无法登录访问的； </w:t>
      </w:r>
    </w:p>
    <w:p w14:paraId="5C75BE2F">
      <w:pPr>
        <w:tabs>
          <w:tab w:val="left" w:pos="0"/>
        </w:tabs>
        <w:spacing w:line="360" w:lineRule="auto"/>
        <w:ind w:firstLine="48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1.2电子交易平台应用或数据库出现错误，不能进行正常操作的；</w:t>
      </w:r>
    </w:p>
    <w:p w14:paraId="7CA1B633">
      <w:pPr>
        <w:tabs>
          <w:tab w:val="left" w:pos="0"/>
        </w:tabs>
        <w:spacing w:line="360" w:lineRule="auto"/>
        <w:ind w:firstLine="48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1.3电子交易平台发现严重安全漏洞，有潜在泄密危险的；</w:t>
      </w:r>
    </w:p>
    <w:p w14:paraId="444EC1CC">
      <w:pPr>
        <w:tabs>
          <w:tab w:val="left" w:pos="0"/>
        </w:tabs>
        <w:spacing w:line="360" w:lineRule="auto"/>
        <w:ind w:firstLine="48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1.4病毒发作导致不能进行正常操作的； </w:t>
      </w:r>
    </w:p>
    <w:p w14:paraId="7D897C8E">
      <w:pPr>
        <w:tabs>
          <w:tab w:val="left" w:pos="0"/>
        </w:tabs>
        <w:spacing w:line="360" w:lineRule="auto"/>
        <w:ind w:firstLine="48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1.5其他无法保证电子交易的公平、公正和安全的情况。</w:t>
      </w:r>
    </w:p>
    <w:p w14:paraId="03C88615">
      <w:pPr>
        <w:tabs>
          <w:tab w:val="left" w:pos="0"/>
        </w:tabs>
        <w:spacing w:line="360" w:lineRule="auto"/>
        <w:outlineLvl w:val="9"/>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2.</w:t>
      </w:r>
      <w:r>
        <w:rPr>
          <w:rFonts w:hint="eastAsia" w:ascii="宋体" w:hAnsi="宋体" w:eastAsia="宋体" w:cs="宋体"/>
          <w:color w:val="auto"/>
          <w:kern w:val="0"/>
          <w:sz w:val="24"/>
          <w:highlight w:val="none"/>
        </w:rPr>
        <w:t>出现以上情形，不影响采购公平、公正性的，采购组织机构可以待上述情形消除后继续组织电子交易活动，也可以决定某些环节以纸质形式进行；影响或可能影响采购公平、公正性的，应当重新采购。</w:t>
      </w:r>
      <w:bookmarkEnd w:id="12"/>
      <w:bookmarkStart w:id="47" w:name="_Hlt75236290"/>
      <w:bookmarkEnd w:id="47"/>
      <w:bookmarkStart w:id="48" w:name="_Hlt68072990"/>
      <w:bookmarkEnd w:id="48"/>
      <w:bookmarkStart w:id="49" w:name="_Hlt68057669"/>
      <w:bookmarkEnd w:id="49"/>
      <w:bookmarkStart w:id="50" w:name="_Hlt75236101"/>
      <w:bookmarkEnd w:id="50"/>
      <w:bookmarkStart w:id="51" w:name="_Hlt74730295"/>
      <w:bookmarkEnd w:id="51"/>
      <w:bookmarkStart w:id="52" w:name="_Hlt75236011"/>
      <w:bookmarkEnd w:id="52"/>
      <w:bookmarkStart w:id="53" w:name="_Hlt74714665"/>
      <w:bookmarkEnd w:id="53"/>
      <w:bookmarkStart w:id="54" w:name="_Hlt74729768"/>
      <w:bookmarkEnd w:id="54"/>
      <w:bookmarkStart w:id="55" w:name="_Hlt74707468"/>
      <w:bookmarkEnd w:id="55"/>
      <w:bookmarkStart w:id="56" w:name="_Toc164416483"/>
      <w:bookmarkStart w:id="57" w:name="第三部分"/>
    </w:p>
    <w:p w14:paraId="2136E2BC">
      <w:pPr>
        <w:snapToGrid w:val="0"/>
        <w:spacing w:line="360" w:lineRule="auto"/>
        <w:ind w:left="120" w:leftChars="57" w:firstLine="482" w:firstLineChars="150"/>
        <w:jc w:val="center"/>
        <w:outlineLvl w:val="9"/>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十五、代理费用的收取标准和方式</w:t>
      </w:r>
    </w:p>
    <w:p w14:paraId="456B7F90">
      <w:pPr>
        <w:pStyle w:val="23"/>
        <w:spacing w:line="360" w:lineRule="auto"/>
        <w:ind w:firstLine="0" w:firstLineChars="0"/>
        <w:outlineLvl w:val="9"/>
        <w:rPr>
          <w:rFonts w:cs="宋体"/>
          <w:b/>
          <w:color w:val="auto"/>
          <w:highlight w:val="none"/>
        </w:rPr>
      </w:pPr>
      <w:r>
        <w:rPr>
          <w:rFonts w:hint="eastAsia" w:cs="宋体"/>
          <w:b/>
          <w:color w:val="auto"/>
          <w:highlight w:val="none"/>
        </w:rPr>
        <w:t>1.代理费用的收取标准和方式（适用于有权收取代理费用的采购代理机构）</w:t>
      </w:r>
    </w:p>
    <w:p w14:paraId="3FAEF53F">
      <w:pPr>
        <w:pStyle w:val="633"/>
        <w:ind w:firstLine="480" w:firstLineChars="200"/>
        <w:outlineLvl w:val="9"/>
        <w:rPr>
          <w:rFonts w:cs="宋体"/>
          <w:color w:val="auto"/>
          <w:kern w:val="2"/>
          <w:szCs w:val="24"/>
          <w:highlight w:val="none"/>
        </w:rPr>
      </w:pPr>
      <w:r>
        <w:rPr>
          <w:rFonts w:hint="eastAsia" w:cs="宋体"/>
          <w:color w:val="auto"/>
          <w:kern w:val="2"/>
          <w:szCs w:val="24"/>
          <w:highlight w:val="none"/>
        </w:rPr>
        <w:t>1.1采购代理费支付方式：</w:t>
      </w:r>
    </w:p>
    <w:p w14:paraId="2AD53269">
      <w:pPr>
        <w:pStyle w:val="633"/>
        <w:ind w:firstLine="480" w:firstLineChars="200"/>
        <w:outlineLvl w:val="9"/>
        <w:rPr>
          <w:rFonts w:cs="宋体"/>
          <w:color w:val="auto"/>
          <w:kern w:val="2"/>
          <w:szCs w:val="24"/>
          <w:highlight w:val="none"/>
        </w:rPr>
      </w:pPr>
      <w:r>
        <w:rPr>
          <w:rFonts w:hint="eastAsia" w:ascii="MS Mincho" w:hAnsi="MS Mincho" w:eastAsia="MS Mincho" w:cs="宋体"/>
          <w:color w:val="auto"/>
          <w:kern w:val="2"/>
          <w:szCs w:val="24"/>
          <w:highlight w:val="none"/>
        </w:rPr>
        <w:t>☑</w:t>
      </w:r>
      <w:r>
        <w:rPr>
          <w:rFonts w:hint="eastAsia" w:cs="宋体"/>
          <w:color w:val="auto"/>
          <w:kern w:val="2"/>
          <w:szCs w:val="24"/>
          <w:highlight w:val="none"/>
        </w:rPr>
        <w:t>本项目代理服务费由成交供应商一次性向采购代理机构支付。</w:t>
      </w:r>
    </w:p>
    <w:p w14:paraId="4FED0005">
      <w:pPr>
        <w:pStyle w:val="633"/>
        <w:ind w:firstLine="480" w:firstLineChars="200"/>
        <w:outlineLvl w:val="9"/>
        <w:rPr>
          <w:rFonts w:cs="宋体"/>
          <w:color w:val="auto"/>
          <w:kern w:val="2"/>
          <w:szCs w:val="24"/>
          <w:highlight w:val="none"/>
        </w:rPr>
      </w:pPr>
      <w:r>
        <w:rPr>
          <w:rFonts w:hint="eastAsia" w:cs="宋体"/>
          <w:color w:val="auto"/>
          <w:kern w:val="2"/>
          <w:szCs w:val="24"/>
          <w:highlight w:val="none"/>
        </w:rPr>
        <w:t>□采购人支付。</w:t>
      </w:r>
    </w:p>
    <w:p w14:paraId="151F3EC4">
      <w:pPr>
        <w:pStyle w:val="633"/>
        <w:ind w:firstLine="480" w:firstLineChars="200"/>
        <w:outlineLvl w:val="9"/>
        <w:rPr>
          <w:rFonts w:cs="宋体"/>
          <w:color w:val="auto"/>
          <w:kern w:val="2"/>
          <w:szCs w:val="24"/>
          <w:highlight w:val="none"/>
        </w:rPr>
      </w:pPr>
      <w:r>
        <w:rPr>
          <w:rFonts w:hint="eastAsia" w:cs="宋体"/>
          <w:color w:val="auto"/>
          <w:kern w:val="2"/>
          <w:szCs w:val="24"/>
          <w:highlight w:val="none"/>
        </w:rPr>
        <w:t>1.2采购代理费收取标准：</w:t>
      </w:r>
    </w:p>
    <w:p w14:paraId="4B836F87">
      <w:pPr>
        <w:pStyle w:val="633"/>
        <w:ind w:firstLine="480" w:firstLineChars="200"/>
        <w:outlineLvl w:val="9"/>
        <w:rPr>
          <w:rFonts w:cs="宋体"/>
          <w:color w:val="auto"/>
          <w:kern w:val="2"/>
          <w:szCs w:val="24"/>
          <w:highlight w:val="none"/>
        </w:rPr>
      </w:pPr>
      <w:r>
        <w:rPr>
          <w:rFonts w:hint="eastAsia" w:ascii="MS Mincho" w:hAnsi="MS Mincho" w:eastAsia="MS Mincho" w:cs="宋体"/>
          <w:color w:val="auto"/>
          <w:kern w:val="2"/>
          <w:szCs w:val="24"/>
          <w:highlight w:val="none"/>
        </w:rPr>
        <w:t>☑</w:t>
      </w:r>
      <w:r>
        <w:rPr>
          <w:rFonts w:hint="eastAsia" w:cs="宋体"/>
          <w:color w:val="auto"/>
          <w:kern w:val="2"/>
          <w:szCs w:val="24"/>
          <w:highlight w:val="none"/>
        </w:rPr>
        <w:t>以分标（</w:t>
      </w:r>
      <w:r>
        <w:rPr>
          <w:rFonts w:hint="eastAsia" w:ascii="MS Mincho" w:hAnsi="MS Mincho" w:eastAsia="MS Mincho" w:cs="宋体"/>
          <w:color w:val="auto"/>
          <w:kern w:val="2"/>
          <w:szCs w:val="24"/>
          <w:highlight w:val="none"/>
        </w:rPr>
        <w:t>☑</w:t>
      </w:r>
      <w:r>
        <w:rPr>
          <w:rFonts w:hint="eastAsia" w:cs="宋体"/>
          <w:color w:val="auto"/>
          <w:kern w:val="2"/>
          <w:szCs w:val="24"/>
          <w:highlight w:val="none"/>
        </w:rPr>
        <w:t>成交金额</w:t>
      </w:r>
      <w:r>
        <w:rPr>
          <w:rFonts w:cs="宋体"/>
          <w:color w:val="auto"/>
          <w:kern w:val="2"/>
          <w:szCs w:val="24"/>
          <w:highlight w:val="none"/>
        </w:rPr>
        <w:t>/</w:t>
      </w:r>
      <w:r>
        <w:rPr>
          <w:rFonts w:hint="eastAsia" w:cs="宋体"/>
          <w:color w:val="auto"/>
          <w:kern w:val="2"/>
          <w:szCs w:val="24"/>
          <w:highlight w:val="none"/>
        </w:rPr>
        <w:t>□采购预算</w:t>
      </w:r>
      <w:r>
        <w:rPr>
          <w:rFonts w:cs="宋体"/>
          <w:color w:val="auto"/>
          <w:kern w:val="2"/>
          <w:szCs w:val="24"/>
          <w:highlight w:val="none"/>
        </w:rPr>
        <w:t>/</w:t>
      </w:r>
      <w:r>
        <w:rPr>
          <w:rFonts w:hint="eastAsia" w:cs="宋体"/>
          <w:color w:val="auto"/>
          <w:kern w:val="2"/>
          <w:szCs w:val="24"/>
          <w:highlight w:val="none"/>
        </w:rPr>
        <w:t>□暂定成交金额</w:t>
      </w:r>
      <w:r>
        <w:rPr>
          <w:rFonts w:cs="宋体"/>
          <w:color w:val="auto"/>
          <w:kern w:val="2"/>
          <w:szCs w:val="24"/>
          <w:highlight w:val="none"/>
        </w:rPr>
        <w:t>/</w:t>
      </w:r>
      <w:r>
        <w:rPr>
          <w:rFonts w:hint="eastAsia" w:cs="宋体"/>
          <w:color w:val="auto"/>
          <w:kern w:val="2"/>
          <w:szCs w:val="24"/>
          <w:highlight w:val="none"/>
        </w:rPr>
        <w:t>□其他）为计费额，按代理服务收费标准（□货物类</w:t>
      </w:r>
      <w:r>
        <w:rPr>
          <w:rFonts w:cs="宋体"/>
          <w:color w:val="auto"/>
          <w:kern w:val="2"/>
          <w:szCs w:val="24"/>
          <w:highlight w:val="none"/>
        </w:rPr>
        <w:t>/</w:t>
      </w:r>
      <w:r>
        <w:rPr>
          <w:rFonts w:hint="eastAsia" w:ascii="MS Mincho" w:hAnsi="MS Mincho" w:eastAsia="MS Mincho" w:cs="宋体"/>
          <w:color w:val="auto"/>
          <w:kern w:val="2"/>
          <w:szCs w:val="24"/>
          <w:highlight w:val="none"/>
        </w:rPr>
        <w:t>☑</w:t>
      </w:r>
      <w:r>
        <w:rPr>
          <w:rFonts w:hint="eastAsia" w:cs="宋体"/>
          <w:color w:val="auto"/>
          <w:kern w:val="2"/>
          <w:szCs w:val="24"/>
          <w:highlight w:val="none"/>
        </w:rPr>
        <w:t>服务类</w:t>
      </w:r>
      <w:r>
        <w:rPr>
          <w:rFonts w:cs="宋体"/>
          <w:color w:val="auto"/>
          <w:kern w:val="2"/>
          <w:szCs w:val="24"/>
          <w:highlight w:val="none"/>
        </w:rPr>
        <w:t>/</w:t>
      </w:r>
      <w:r>
        <w:rPr>
          <w:rFonts w:hint="eastAsia" w:cs="宋体"/>
          <w:color w:val="auto"/>
          <w:kern w:val="2"/>
          <w:szCs w:val="24"/>
          <w:highlight w:val="none"/>
        </w:rPr>
        <w:t>□工程类）采用差额定率累进法计算出收费基准价格，采购代理收费以（</w:t>
      </w:r>
      <w:r>
        <w:rPr>
          <w:rFonts w:hint="eastAsia" w:cs="宋体"/>
          <w:color w:val="auto"/>
          <w:kern w:val="2"/>
          <w:szCs w:val="24"/>
          <w:highlight w:val="none"/>
          <w:lang w:eastAsia="zh-CN"/>
        </w:rPr>
        <w:t>☑</w:t>
      </w:r>
      <w:r>
        <w:rPr>
          <w:rFonts w:hint="eastAsia" w:cs="宋体"/>
          <w:color w:val="auto"/>
          <w:kern w:val="2"/>
          <w:szCs w:val="24"/>
          <w:highlight w:val="none"/>
        </w:rPr>
        <w:t>收费基准价格</w:t>
      </w:r>
      <w:r>
        <w:rPr>
          <w:rFonts w:cs="宋体"/>
          <w:color w:val="auto"/>
          <w:kern w:val="2"/>
          <w:szCs w:val="24"/>
          <w:highlight w:val="none"/>
        </w:rPr>
        <w:t>/</w:t>
      </w:r>
      <w:r>
        <w:rPr>
          <w:rFonts w:hint="eastAsia" w:ascii="MS Mincho" w:hAnsi="MS Mincho" w:cs="宋体"/>
          <w:color w:val="auto"/>
          <w:kern w:val="2"/>
          <w:szCs w:val="24"/>
          <w:highlight w:val="none"/>
          <w:lang w:eastAsia="zh-CN"/>
        </w:rPr>
        <w:t>□</w:t>
      </w:r>
      <w:r>
        <w:rPr>
          <w:rFonts w:hint="eastAsia" w:cs="宋体"/>
          <w:color w:val="auto"/>
          <w:kern w:val="2"/>
          <w:szCs w:val="24"/>
          <w:highlight w:val="none"/>
        </w:rPr>
        <w:t>收费基准价格下浮</w:t>
      </w:r>
      <w:r>
        <w:rPr>
          <w:rFonts w:cs="宋体"/>
          <w:color w:val="auto"/>
          <w:kern w:val="2"/>
          <w:szCs w:val="24"/>
          <w:highlight w:val="none"/>
        </w:rPr>
        <w:t xml:space="preserve"> </w:t>
      </w:r>
      <w:r>
        <w:rPr>
          <w:rFonts w:hint="eastAsia" w:cs="宋体"/>
          <w:color w:val="auto"/>
          <w:kern w:val="2"/>
          <w:szCs w:val="24"/>
          <w:highlight w:val="none"/>
          <w:lang w:val="en-US" w:eastAsia="zh-CN"/>
        </w:rPr>
        <w:t>/</w:t>
      </w:r>
      <w:r>
        <w:rPr>
          <w:rFonts w:cs="宋体"/>
          <w:color w:val="auto"/>
          <w:kern w:val="2"/>
          <w:szCs w:val="24"/>
          <w:highlight w:val="none"/>
        </w:rPr>
        <w:t xml:space="preserve"> %/</w:t>
      </w:r>
      <w:r>
        <w:rPr>
          <w:rFonts w:hint="eastAsia" w:cs="宋体"/>
          <w:color w:val="auto"/>
          <w:kern w:val="2"/>
          <w:szCs w:val="24"/>
          <w:highlight w:val="none"/>
        </w:rPr>
        <w:t>□收费基准价格上浮</w:t>
      </w:r>
      <w:r>
        <w:rPr>
          <w:rFonts w:cs="宋体"/>
          <w:color w:val="auto"/>
          <w:kern w:val="2"/>
          <w:szCs w:val="24"/>
          <w:highlight w:val="none"/>
        </w:rPr>
        <w:t xml:space="preserve"> / %</w:t>
      </w:r>
      <w:r>
        <w:rPr>
          <w:rFonts w:hint="eastAsia" w:cs="宋体"/>
          <w:color w:val="auto"/>
          <w:kern w:val="2"/>
          <w:szCs w:val="24"/>
          <w:highlight w:val="none"/>
        </w:rPr>
        <w:t>）收取。</w:t>
      </w:r>
    </w:p>
    <w:p w14:paraId="25AD4AA1">
      <w:pPr>
        <w:pStyle w:val="633"/>
        <w:ind w:firstLine="480" w:firstLineChars="200"/>
        <w:outlineLvl w:val="9"/>
        <w:rPr>
          <w:rFonts w:cs="宋体"/>
          <w:color w:val="auto"/>
          <w:kern w:val="2"/>
          <w:szCs w:val="24"/>
          <w:highlight w:val="none"/>
        </w:rPr>
      </w:pPr>
      <w:r>
        <w:rPr>
          <w:rFonts w:hint="eastAsia" w:cs="宋体"/>
          <w:color w:val="auto"/>
          <w:kern w:val="2"/>
          <w:szCs w:val="24"/>
          <w:highlight w:val="none"/>
        </w:rPr>
        <w:t>□固定采购代理收费。</w:t>
      </w:r>
    </w:p>
    <w:p w14:paraId="5DC131FA">
      <w:pPr>
        <w:pStyle w:val="633"/>
        <w:ind w:firstLine="480" w:firstLineChars="200"/>
        <w:outlineLvl w:val="9"/>
        <w:rPr>
          <w:rFonts w:cs="宋体"/>
          <w:color w:val="auto"/>
          <w:kern w:val="2"/>
          <w:szCs w:val="24"/>
          <w:highlight w:val="none"/>
        </w:rPr>
      </w:pPr>
      <w:r>
        <w:rPr>
          <w:rFonts w:hint="eastAsia" w:cs="宋体"/>
          <w:color w:val="auto"/>
          <w:kern w:val="2"/>
          <w:szCs w:val="24"/>
          <w:highlight w:val="none"/>
        </w:rPr>
        <w:t>1.3采购代理费收取银行账户</w:t>
      </w:r>
    </w:p>
    <w:p w14:paraId="3474BEBC">
      <w:pPr>
        <w:pStyle w:val="633"/>
        <w:ind w:firstLine="480" w:firstLineChars="200"/>
        <w:outlineLvl w:val="9"/>
        <w:rPr>
          <w:rFonts w:cs="宋体"/>
          <w:color w:val="auto"/>
          <w:kern w:val="2"/>
          <w:szCs w:val="24"/>
          <w:highlight w:val="none"/>
        </w:rPr>
      </w:pPr>
      <w:r>
        <w:rPr>
          <w:rFonts w:hint="eastAsia" w:cs="宋体"/>
          <w:color w:val="auto"/>
          <w:kern w:val="2"/>
          <w:szCs w:val="24"/>
          <w:highlight w:val="none"/>
        </w:rPr>
        <w:t>开户名称：</w:t>
      </w:r>
      <w:r>
        <w:rPr>
          <w:rFonts w:hint="eastAsia" w:cs="宋体"/>
          <w:color w:val="auto"/>
          <w:kern w:val="2"/>
          <w:szCs w:val="24"/>
          <w:highlight w:val="none"/>
          <w:lang w:eastAsia="zh-CN"/>
        </w:rPr>
        <w:t>广西政建咨询有限公司</w:t>
      </w:r>
      <w:r>
        <w:rPr>
          <w:rFonts w:hint="eastAsia" w:cs="宋体"/>
          <w:color w:val="auto"/>
          <w:kern w:val="2"/>
          <w:szCs w:val="24"/>
          <w:highlight w:val="none"/>
        </w:rPr>
        <w:t xml:space="preserve"> </w:t>
      </w:r>
    </w:p>
    <w:p w14:paraId="23BA2435">
      <w:pPr>
        <w:pStyle w:val="633"/>
        <w:ind w:firstLine="480" w:firstLineChars="200"/>
        <w:outlineLvl w:val="9"/>
        <w:rPr>
          <w:rFonts w:cs="宋体"/>
          <w:color w:val="auto"/>
          <w:kern w:val="2"/>
          <w:szCs w:val="24"/>
          <w:highlight w:val="none"/>
        </w:rPr>
      </w:pPr>
      <w:r>
        <w:rPr>
          <w:rFonts w:hint="eastAsia" w:cs="宋体"/>
          <w:color w:val="auto"/>
          <w:kern w:val="2"/>
          <w:szCs w:val="24"/>
          <w:highlight w:val="none"/>
        </w:rPr>
        <w:t>开户银行：615880174718</w:t>
      </w:r>
    </w:p>
    <w:p w14:paraId="26CD2D6D">
      <w:pPr>
        <w:pStyle w:val="633"/>
        <w:ind w:firstLine="480" w:firstLineChars="200"/>
        <w:outlineLvl w:val="9"/>
        <w:rPr>
          <w:rFonts w:cs="宋体"/>
          <w:color w:val="auto"/>
          <w:kern w:val="2"/>
          <w:szCs w:val="24"/>
          <w:highlight w:val="none"/>
        </w:rPr>
      </w:pPr>
      <w:r>
        <w:rPr>
          <w:rFonts w:hint="eastAsia" w:cs="宋体"/>
          <w:color w:val="auto"/>
          <w:kern w:val="2"/>
          <w:szCs w:val="24"/>
          <w:highlight w:val="none"/>
        </w:rPr>
        <w:t>银行账号：中国银行股份有限公司北海市四川路支行</w:t>
      </w:r>
    </w:p>
    <w:p w14:paraId="4A12369C">
      <w:pPr>
        <w:snapToGrid w:val="0"/>
        <w:spacing w:line="360" w:lineRule="auto"/>
        <w:ind w:firstLine="480" w:firstLineChars="200"/>
        <w:outlineLvl w:val="9"/>
        <w:rPr>
          <w:rFonts w:hint="eastAsia" w:ascii="宋体" w:hAnsi="宋体" w:cs="宋体"/>
          <w:bCs/>
          <w:color w:val="auto"/>
          <w:sz w:val="24"/>
          <w:highlight w:val="none"/>
        </w:rPr>
      </w:pPr>
      <w:r>
        <w:rPr>
          <w:rFonts w:hint="eastAsia" w:ascii="宋体" w:hAnsi="宋体" w:cs="宋体"/>
          <w:bCs/>
          <w:color w:val="auto"/>
          <w:sz w:val="24"/>
          <w:highlight w:val="none"/>
        </w:rPr>
        <w:t>1.4代理服务收费标准：</w:t>
      </w:r>
    </w:p>
    <w:tbl>
      <w:tblPr>
        <w:tblStyle w:val="61"/>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4B998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42A6C9C6">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费率</w:t>
            </w:r>
          </w:p>
          <w:p w14:paraId="21569E6C">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中标金额</w:t>
            </w:r>
          </w:p>
        </w:tc>
        <w:tc>
          <w:tcPr>
            <w:tcW w:w="1659" w:type="dxa"/>
            <w:noWrap w:val="0"/>
            <w:vAlign w:val="center"/>
          </w:tcPr>
          <w:p w14:paraId="08FD96F7">
            <w:pPr>
              <w:spacing w:line="360" w:lineRule="auto"/>
              <w:ind w:firstLine="120" w:firstLineChars="50"/>
              <w:jc w:val="center"/>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货物招标</w:t>
            </w:r>
          </w:p>
        </w:tc>
        <w:tc>
          <w:tcPr>
            <w:tcW w:w="1687" w:type="dxa"/>
            <w:noWrap w:val="0"/>
            <w:vAlign w:val="center"/>
          </w:tcPr>
          <w:p w14:paraId="457AFD2F">
            <w:pPr>
              <w:spacing w:line="360" w:lineRule="auto"/>
              <w:jc w:val="center"/>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服务招标</w:t>
            </w:r>
          </w:p>
        </w:tc>
        <w:tc>
          <w:tcPr>
            <w:tcW w:w="1659" w:type="dxa"/>
            <w:noWrap w:val="0"/>
            <w:vAlign w:val="center"/>
          </w:tcPr>
          <w:p w14:paraId="017C6D41">
            <w:pPr>
              <w:spacing w:line="360" w:lineRule="auto"/>
              <w:jc w:val="center"/>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工程招标</w:t>
            </w:r>
          </w:p>
        </w:tc>
      </w:tr>
      <w:tr w14:paraId="32DD0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48564FE">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100万元以下</w:t>
            </w:r>
          </w:p>
        </w:tc>
        <w:tc>
          <w:tcPr>
            <w:tcW w:w="1659" w:type="dxa"/>
            <w:noWrap w:val="0"/>
            <w:vAlign w:val="top"/>
          </w:tcPr>
          <w:p w14:paraId="37BE4EB4">
            <w:pPr>
              <w:spacing w:line="360" w:lineRule="auto"/>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  1.5%                </w:t>
            </w:r>
          </w:p>
        </w:tc>
        <w:tc>
          <w:tcPr>
            <w:tcW w:w="1687" w:type="dxa"/>
            <w:noWrap w:val="0"/>
            <w:vAlign w:val="top"/>
          </w:tcPr>
          <w:p w14:paraId="29A28BF7">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1.5%</w:t>
            </w:r>
          </w:p>
        </w:tc>
        <w:tc>
          <w:tcPr>
            <w:tcW w:w="1659" w:type="dxa"/>
            <w:noWrap w:val="0"/>
            <w:vAlign w:val="top"/>
          </w:tcPr>
          <w:p w14:paraId="78A8D392">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1.0% </w:t>
            </w:r>
          </w:p>
        </w:tc>
      </w:tr>
      <w:tr w14:paraId="31DED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256A3FE">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100～500万元</w:t>
            </w:r>
          </w:p>
        </w:tc>
        <w:tc>
          <w:tcPr>
            <w:tcW w:w="1659" w:type="dxa"/>
            <w:noWrap w:val="0"/>
            <w:vAlign w:val="top"/>
          </w:tcPr>
          <w:p w14:paraId="79E6E0BC">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1.1%                 </w:t>
            </w:r>
          </w:p>
        </w:tc>
        <w:tc>
          <w:tcPr>
            <w:tcW w:w="1687" w:type="dxa"/>
            <w:noWrap w:val="0"/>
            <w:vAlign w:val="top"/>
          </w:tcPr>
          <w:p w14:paraId="4C00A0C1">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0.8%</w:t>
            </w:r>
          </w:p>
        </w:tc>
        <w:tc>
          <w:tcPr>
            <w:tcW w:w="1659" w:type="dxa"/>
            <w:noWrap w:val="0"/>
            <w:vAlign w:val="top"/>
          </w:tcPr>
          <w:p w14:paraId="79B46F68">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0.7% </w:t>
            </w:r>
          </w:p>
        </w:tc>
      </w:tr>
      <w:tr w14:paraId="35E58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C72D143">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500～1000万元</w:t>
            </w:r>
          </w:p>
        </w:tc>
        <w:tc>
          <w:tcPr>
            <w:tcW w:w="1659" w:type="dxa"/>
            <w:noWrap w:val="0"/>
            <w:vAlign w:val="top"/>
          </w:tcPr>
          <w:p w14:paraId="000BC8C1">
            <w:pPr>
              <w:spacing w:line="360" w:lineRule="auto"/>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  0.8%                </w:t>
            </w:r>
          </w:p>
        </w:tc>
        <w:tc>
          <w:tcPr>
            <w:tcW w:w="1687" w:type="dxa"/>
            <w:noWrap w:val="0"/>
            <w:vAlign w:val="top"/>
          </w:tcPr>
          <w:p w14:paraId="404859E9">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0.45%</w:t>
            </w:r>
          </w:p>
        </w:tc>
        <w:tc>
          <w:tcPr>
            <w:tcW w:w="1659" w:type="dxa"/>
            <w:noWrap w:val="0"/>
            <w:vAlign w:val="top"/>
          </w:tcPr>
          <w:p w14:paraId="5506D09F">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0.55%</w:t>
            </w:r>
          </w:p>
        </w:tc>
      </w:tr>
      <w:tr w14:paraId="1490C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ABAF39C">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1000～5000万元</w:t>
            </w:r>
          </w:p>
        </w:tc>
        <w:tc>
          <w:tcPr>
            <w:tcW w:w="1659" w:type="dxa"/>
            <w:noWrap w:val="0"/>
            <w:vAlign w:val="top"/>
          </w:tcPr>
          <w:p w14:paraId="6F0CAB6B">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0.5%                </w:t>
            </w:r>
          </w:p>
        </w:tc>
        <w:tc>
          <w:tcPr>
            <w:tcW w:w="1687" w:type="dxa"/>
            <w:noWrap w:val="0"/>
            <w:vAlign w:val="top"/>
          </w:tcPr>
          <w:p w14:paraId="4196EC2F">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0.25%</w:t>
            </w:r>
          </w:p>
        </w:tc>
        <w:tc>
          <w:tcPr>
            <w:tcW w:w="1659" w:type="dxa"/>
            <w:noWrap w:val="0"/>
            <w:vAlign w:val="top"/>
          </w:tcPr>
          <w:p w14:paraId="1790DACA">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0.35% </w:t>
            </w:r>
          </w:p>
        </w:tc>
      </w:tr>
      <w:tr w14:paraId="1C9E8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03E928C">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5000万元～1亿元</w:t>
            </w:r>
          </w:p>
        </w:tc>
        <w:tc>
          <w:tcPr>
            <w:tcW w:w="1659" w:type="dxa"/>
            <w:noWrap w:val="0"/>
            <w:vAlign w:val="top"/>
          </w:tcPr>
          <w:p w14:paraId="68CBCAFC">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0.25%                 </w:t>
            </w:r>
          </w:p>
        </w:tc>
        <w:tc>
          <w:tcPr>
            <w:tcW w:w="1687" w:type="dxa"/>
            <w:noWrap w:val="0"/>
            <w:vAlign w:val="top"/>
          </w:tcPr>
          <w:p w14:paraId="629BA6C0">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0.1%</w:t>
            </w:r>
          </w:p>
        </w:tc>
        <w:tc>
          <w:tcPr>
            <w:tcW w:w="1659" w:type="dxa"/>
            <w:noWrap w:val="0"/>
            <w:vAlign w:val="top"/>
          </w:tcPr>
          <w:p w14:paraId="2B85D11D">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0.2%</w:t>
            </w:r>
          </w:p>
        </w:tc>
      </w:tr>
      <w:tr w14:paraId="65DB6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4086941">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1～5亿元</w:t>
            </w:r>
          </w:p>
        </w:tc>
        <w:tc>
          <w:tcPr>
            <w:tcW w:w="1659" w:type="dxa"/>
            <w:noWrap w:val="0"/>
            <w:vAlign w:val="top"/>
          </w:tcPr>
          <w:p w14:paraId="60EFC66F">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0.05%</w:t>
            </w:r>
          </w:p>
        </w:tc>
        <w:tc>
          <w:tcPr>
            <w:tcW w:w="1687" w:type="dxa"/>
            <w:noWrap w:val="0"/>
            <w:vAlign w:val="top"/>
          </w:tcPr>
          <w:p w14:paraId="545D2BA8">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0.05%</w:t>
            </w:r>
          </w:p>
        </w:tc>
        <w:tc>
          <w:tcPr>
            <w:tcW w:w="1659" w:type="dxa"/>
            <w:noWrap w:val="0"/>
            <w:vAlign w:val="top"/>
          </w:tcPr>
          <w:p w14:paraId="7D3F884C">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0.05%</w:t>
            </w:r>
          </w:p>
        </w:tc>
      </w:tr>
      <w:tr w14:paraId="22B90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CBC4272">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5～10亿元</w:t>
            </w:r>
          </w:p>
        </w:tc>
        <w:tc>
          <w:tcPr>
            <w:tcW w:w="1659" w:type="dxa"/>
            <w:noWrap w:val="0"/>
            <w:vAlign w:val="top"/>
          </w:tcPr>
          <w:p w14:paraId="049ACE84">
            <w:pPr>
              <w:spacing w:line="360" w:lineRule="auto"/>
              <w:ind w:firstLine="120" w:firstLineChars="5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0.035%</w:t>
            </w:r>
          </w:p>
        </w:tc>
        <w:tc>
          <w:tcPr>
            <w:tcW w:w="1687" w:type="dxa"/>
            <w:noWrap w:val="0"/>
            <w:vAlign w:val="top"/>
          </w:tcPr>
          <w:p w14:paraId="7C94C854">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0.035%</w:t>
            </w:r>
          </w:p>
        </w:tc>
        <w:tc>
          <w:tcPr>
            <w:tcW w:w="1659" w:type="dxa"/>
            <w:noWrap w:val="0"/>
            <w:vAlign w:val="top"/>
          </w:tcPr>
          <w:p w14:paraId="72BC2618">
            <w:pPr>
              <w:spacing w:line="360" w:lineRule="auto"/>
              <w:ind w:firstLine="120" w:firstLineChars="5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0.035%</w:t>
            </w:r>
          </w:p>
        </w:tc>
      </w:tr>
      <w:tr w14:paraId="275A0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0BD6E5E">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10～50亿元</w:t>
            </w:r>
          </w:p>
        </w:tc>
        <w:tc>
          <w:tcPr>
            <w:tcW w:w="1659" w:type="dxa"/>
            <w:noWrap w:val="0"/>
            <w:vAlign w:val="top"/>
          </w:tcPr>
          <w:p w14:paraId="22C97C94">
            <w:pPr>
              <w:spacing w:line="360" w:lineRule="auto"/>
              <w:ind w:firstLine="120" w:firstLineChars="5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0.008%</w:t>
            </w:r>
          </w:p>
        </w:tc>
        <w:tc>
          <w:tcPr>
            <w:tcW w:w="1687" w:type="dxa"/>
            <w:noWrap w:val="0"/>
            <w:vAlign w:val="top"/>
          </w:tcPr>
          <w:p w14:paraId="5E6DC52C">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0.008%</w:t>
            </w:r>
          </w:p>
        </w:tc>
        <w:tc>
          <w:tcPr>
            <w:tcW w:w="1659" w:type="dxa"/>
            <w:noWrap w:val="0"/>
            <w:vAlign w:val="top"/>
          </w:tcPr>
          <w:p w14:paraId="7A0384CD">
            <w:pPr>
              <w:spacing w:line="360" w:lineRule="auto"/>
              <w:ind w:firstLine="120" w:firstLineChars="5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0.008%</w:t>
            </w:r>
          </w:p>
        </w:tc>
      </w:tr>
      <w:tr w14:paraId="21BE2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C9940C8">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50～100亿元</w:t>
            </w:r>
          </w:p>
        </w:tc>
        <w:tc>
          <w:tcPr>
            <w:tcW w:w="1659" w:type="dxa"/>
            <w:noWrap w:val="0"/>
            <w:vAlign w:val="top"/>
          </w:tcPr>
          <w:p w14:paraId="35F168DD">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0.006%</w:t>
            </w:r>
          </w:p>
        </w:tc>
        <w:tc>
          <w:tcPr>
            <w:tcW w:w="1687" w:type="dxa"/>
            <w:noWrap w:val="0"/>
            <w:vAlign w:val="top"/>
          </w:tcPr>
          <w:p w14:paraId="613D94F2">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0.006%</w:t>
            </w:r>
          </w:p>
        </w:tc>
        <w:tc>
          <w:tcPr>
            <w:tcW w:w="1659" w:type="dxa"/>
            <w:noWrap w:val="0"/>
            <w:vAlign w:val="top"/>
          </w:tcPr>
          <w:p w14:paraId="77158961">
            <w:pPr>
              <w:spacing w:line="360" w:lineRule="auto"/>
              <w:ind w:firstLine="120" w:firstLineChars="5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0.006%</w:t>
            </w:r>
          </w:p>
        </w:tc>
      </w:tr>
      <w:tr w14:paraId="4107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AA591A6">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100亿以上</w:t>
            </w:r>
          </w:p>
        </w:tc>
        <w:tc>
          <w:tcPr>
            <w:tcW w:w="1659" w:type="dxa"/>
            <w:noWrap w:val="0"/>
            <w:vAlign w:val="top"/>
          </w:tcPr>
          <w:p w14:paraId="203FE745">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0.004%</w:t>
            </w:r>
          </w:p>
        </w:tc>
        <w:tc>
          <w:tcPr>
            <w:tcW w:w="1687" w:type="dxa"/>
            <w:noWrap w:val="0"/>
            <w:vAlign w:val="top"/>
          </w:tcPr>
          <w:p w14:paraId="4FFC4D61">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0.004%</w:t>
            </w:r>
          </w:p>
        </w:tc>
        <w:tc>
          <w:tcPr>
            <w:tcW w:w="1659" w:type="dxa"/>
            <w:noWrap w:val="0"/>
            <w:vAlign w:val="top"/>
          </w:tcPr>
          <w:p w14:paraId="7858B2E8">
            <w:pPr>
              <w:spacing w:line="360" w:lineRule="auto"/>
              <w:ind w:firstLine="120" w:firstLineChars="5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0.004%</w:t>
            </w:r>
          </w:p>
        </w:tc>
      </w:tr>
    </w:tbl>
    <w:p w14:paraId="1136D01D">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w:t>
      </w:r>
    </w:p>
    <w:p w14:paraId="1DC6580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（1）按本表费率计算的收费为采购代理的收费基准价格；</w:t>
      </w:r>
    </w:p>
    <w:p w14:paraId="640197C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（2）采购代理收费按差额定率累进法计算。</w:t>
      </w:r>
    </w:p>
    <w:p w14:paraId="032FA42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例如：某服务采购代理业务中标金额或者暂定价为200万元，计算采购代理收费额如下：</w:t>
      </w:r>
    </w:p>
    <w:p w14:paraId="3197D43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100万元×l.5％＝1.5万元</w:t>
      </w:r>
    </w:p>
    <w:p w14:paraId="253BA78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（200－100）万元×0.8％＝0.8万元</w:t>
      </w:r>
    </w:p>
    <w:p w14:paraId="29A541B9">
      <w:pPr>
        <w:snapToGrid w:val="0"/>
        <w:spacing w:line="360" w:lineRule="auto"/>
        <w:ind w:firstLine="480" w:firstLineChars="200"/>
        <w:rPr>
          <w:rFonts w:hint="eastAsia" w:ascii="宋体" w:hAnsi="宋体" w:eastAsia="宋体" w:cs="宋体"/>
          <w:b/>
          <w:color w:val="auto"/>
          <w:sz w:val="36"/>
          <w:szCs w:val="36"/>
          <w:highlight w:val="none"/>
        </w:rPr>
      </w:pPr>
      <w:r>
        <w:rPr>
          <w:rFonts w:hint="eastAsia" w:hAnsi="宋体" w:cs="宋体"/>
          <w:color w:val="auto"/>
          <w:sz w:val="24"/>
          <w:szCs w:val="24"/>
          <w:highlight w:val="none"/>
        </w:rPr>
        <w:t>合计</w:t>
      </w:r>
      <w:r>
        <w:rPr>
          <w:rFonts w:hint="eastAsia" w:ascii="宋体" w:hAnsi="宋体" w:eastAsia="宋体" w:cs="宋体"/>
          <w:color w:val="auto"/>
          <w:sz w:val="24"/>
          <w:szCs w:val="24"/>
          <w:highlight w:val="none"/>
        </w:rPr>
        <w:t>收费＝1.5+0.8＝</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（万元）</w:t>
      </w:r>
      <w:r>
        <w:rPr>
          <w:rFonts w:hint="eastAsia" w:ascii="宋体" w:hAnsi="宋体" w:eastAsia="宋体" w:cs="宋体"/>
          <w:b/>
          <w:color w:val="auto"/>
          <w:sz w:val="36"/>
          <w:szCs w:val="36"/>
          <w:highlight w:val="none"/>
        </w:rPr>
        <w:br w:type="page"/>
      </w:r>
    </w:p>
    <w:p w14:paraId="6624BE06">
      <w:pPr>
        <w:adjustRightInd/>
        <w:spacing w:line="360" w:lineRule="auto"/>
        <w:jc w:val="center"/>
        <w:outlineLvl w:val="0"/>
        <w:rPr>
          <w:rFonts w:hint="eastAsia" w:ascii="宋体" w:hAnsi="宋体" w:eastAsia="宋体" w:cs="宋体"/>
          <w:b/>
          <w:color w:val="auto"/>
          <w:sz w:val="36"/>
          <w:szCs w:val="36"/>
          <w:highlight w:val="none"/>
        </w:rPr>
      </w:pPr>
      <w:bookmarkStart w:id="58" w:name="_Toc10247"/>
      <w:r>
        <w:rPr>
          <w:rFonts w:hint="eastAsia" w:ascii="宋体" w:hAnsi="宋体" w:eastAsia="宋体" w:cs="宋体"/>
          <w:b/>
          <w:color w:val="auto"/>
          <w:sz w:val="36"/>
          <w:szCs w:val="36"/>
          <w:highlight w:val="none"/>
        </w:rPr>
        <w:t>第四部分  采购需求</w:t>
      </w:r>
      <w:bookmarkEnd w:id="58"/>
    </w:p>
    <w:p w14:paraId="06B9559C">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left="0" w:firstLine="0" w:firstLineChars="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项目编号</w:t>
      </w:r>
      <w:r>
        <w:rPr>
          <w:rFonts w:hint="eastAsia" w:ascii="宋体" w:hAnsi="宋体" w:eastAsia="宋体" w:cs="宋体"/>
          <w:b/>
          <w:bCs/>
          <w:color w:val="auto"/>
          <w:sz w:val="21"/>
          <w:szCs w:val="21"/>
          <w:highlight w:val="none"/>
          <w:lang w:eastAsia="zh-CN"/>
        </w:rPr>
        <w:t>：</w:t>
      </w:r>
      <w:r>
        <w:rPr>
          <w:rFonts w:hint="eastAsia" w:ascii="宋体" w:hAnsi="宋体" w:eastAsia="宋体" w:cs="宋体"/>
          <w:b w:val="0"/>
          <w:bCs w:val="0"/>
          <w:color w:val="auto"/>
          <w:sz w:val="21"/>
          <w:szCs w:val="21"/>
          <w:highlight w:val="none"/>
          <w:u w:val="single"/>
          <w:lang w:eastAsia="zh-CN"/>
        </w:rPr>
        <w:t>BHZC2026-C3-990038-ZJZX</w:t>
      </w:r>
    </w:p>
    <w:p w14:paraId="52CA3B74">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left="0" w:firstLine="0" w:firstLineChars="0"/>
        <w:textAlignment w:val="auto"/>
        <w:outlineLvl w:val="9"/>
        <w:rPr>
          <w:rFonts w:hint="eastAsia" w:ascii="宋体" w:hAnsi="宋体" w:eastAsia="宋体" w:cs="宋体"/>
          <w:b w:val="0"/>
          <w:bCs w:val="0"/>
          <w:color w:val="auto"/>
          <w:sz w:val="21"/>
          <w:szCs w:val="21"/>
          <w:highlight w:val="none"/>
          <w:u w:val="single"/>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项目类别</w:t>
      </w:r>
      <w:r>
        <w:rPr>
          <w:rFonts w:hint="eastAsia" w:ascii="宋体" w:hAnsi="宋体" w:eastAsia="宋体" w:cs="宋体"/>
          <w:b/>
          <w:bCs/>
          <w:color w:val="auto"/>
          <w:sz w:val="21"/>
          <w:szCs w:val="21"/>
          <w:highlight w:val="none"/>
          <w:lang w:eastAsia="zh-CN"/>
        </w:rPr>
        <w:t>：</w:t>
      </w:r>
      <w:r>
        <w:rPr>
          <w:rFonts w:hint="eastAsia" w:ascii="宋体" w:hAnsi="宋体" w:eastAsia="宋体" w:cs="宋体"/>
          <w:b w:val="0"/>
          <w:bCs w:val="0"/>
          <w:color w:val="auto"/>
          <w:sz w:val="21"/>
          <w:szCs w:val="21"/>
          <w:highlight w:val="none"/>
          <w:u w:val="single"/>
        </w:rPr>
        <w:t xml:space="preserve">  服务类  </w:t>
      </w:r>
    </w:p>
    <w:p w14:paraId="1C150D21">
      <w:pPr>
        <w:pStyle w:val="40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三、标的所属行业：</w:t>
      </w:r>
      <w:r>
        <w:rPr>
          <w:rFonts w:hint="eastAsia" w:ascii="宋体" w:hAnsi="宋体" w:eastAsia="宋体" w:cs="宋体"/>
          <w:b w:val="0"/>
          <w:bCs w:val="0"/>
          <w:color w:val="auto"/>
          <w:spacing w:val="0"/>
          <w:kern w:val="2"/>
          <w:sz w:val="21"/>
          <w:szCs w:val="21"/>
          <w:highlight w:val="none"/>
          <w:u w:val="single"/>
          <w:lang w:val="en-US" w:eastAsia="zh-CN" w:bidi="ar-SA"/>
        </w:rPr>
        <w:t>批发业</w:t>
      </w:r>
    </w:p>
    <w:p w14:paraId="65ECDD9F">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left="0" w:firstLine="0" w:firstLineChars="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四、</w:t>
      </w:r>
      <w:r>
        <w:rPr>
          <w:rFonts w:hint="eastAsia" w:ascii="宋体" w:hAnsi="宋体" w:eastAsia="宋体" w:cs="宋体"/>
          <w:b/>
          <w:bCs/>
          <w:color w:val="auto"/>
          <w:sz w:val="21"/>
          <w:szCs w:val="21"/>
          <w:highlight w:val="none"/>
          <w:lang w:val="en-US" w:eastAsia="zh-CN"/>
        </w:rPr>
        <w:t>最高限价</w:t>
      </w:r>
      <w:r>
        <w:rPr>
          <w:rFonts w:hint="eastAsia" w:ascii="宋体" w:hAnsi="宋体" w:eastAsia="宋体" w:cs="宋体"/>
          <w:b/>
          <w:bCs/>
          <w:color w:val="auto"/>
          <w:sz w:val="21"/>
          <w:szCs w:val="21"/>
          <w:highlight w:val="none"/>
          <w:lang w:eastAsia="zh-CN"/>
        </w:rPr>
        <w:t>：人民币</w:t>
      </w:r>
      <w:r>
        <w:rPr>
          <w:rFonts w:hint="eastAsia" w:ascii="宋体" w:hAnsi="宋体" w:eastAsia="宋体" w:cs="宋体"/>
          <w:b/>
          <w:bCs/>
          <w:color w:val="auto"/>
          <w:sz w:val="21"/>
          <w:szCs w:val="21"/>
          <w:highlight w:val="none"/>
          <w:lang w:val="en-US" w:eastAsia="zh-CN"/>
        </w:rPr>
        <w:t>230</w:t>
      </w:r>
      <w:r>
        <w:rPr>
          <w:rFonts w:hint="eastAsia" w:ascii="宋体" w:hAnsi="宋体" w:eastAsia="宋体" w:cs="宋体"/>
          <w:b/>
          <w:bCs/>
          <w:color w:val="auto"/>
          <w:sz w:val="21"/>
          <w:szCs w:val="21"/>
          <w:highlight w:val="none"/>
          <w:lang w:eastAsia="zh-CN"/>
        </w:rPr>
        <w:t>万元</w:t>
      </w:r>
      <w:r>
        <w:rPr>
          <w:rFonts w:hint="eastAsia" w:ascii="宋体" w:hAnsi="宋体" w:eastAsia="宋体" w:cs="宋体"/>
          <w:b/>
          <w:bCs/>
          <w:color w:val="auto"/>
          <w:sz w:val="21"/>
          <w:szCs w:val="21"/>
          <w:highlight w:val="none"/>
        </w:rPr>
        <w:t>。磋商供应商</w:t>
      </w:r>
      <w:r>
        <w:rPr>
          <w:rFonts w:hint="eastAsia" w:ascii="宋体" w:hAnsi="宋体" w:eastAsia="宋体" w:cs="宋体"/>
          <w:b/>
          <w:bCs/>
          <w:color w:val="auto"/>
          <w:sz w:val="21"/>
          <w:szCs w:val="21"/>
          <w:highlight w:val="none"/>
          <w:lang w:eastAsia="zh-CN"/>
        </w:rPr>
        <w:t>的</w:t>
      </w:r>
      <w:r>
        <w:rPr>
          <w:rFonts w:hint="eastAsia" w:ascii="宋体" w:hAnsi="宋体" w:eastAsia="宋体" w:cs="宋体"/>
          <w:b/>
          <w:bCs/>
          <w:color w:val="auto"/>
          <w:sz w:val="21"/>
          <w:szCs w:val="21"/>
          <w:highlight w:val="none"/>
          <w:lang w:val="en-US" w:eastAsia="zh-CN"/>
        </w:rPr>
        <w:t>报价超过最高限价的</w:t>
      </w:r>
      <w:r>
        <w:rPr>
          <w:rFonts w:hint="eastAsia" w:ascii="宋体" w:hAnsi="宋体" w:eastAsia="宋体" w:cs="宋体"/>
          <w:b/>
          <w:bCs/>
          <w:color w:val="auto"/>
          <w:sz w:val="21"/>
          <w:szCs w:val="21"/>
          <w:highlight w:val="none"/>
        </w:rPr>
        <w:t>，将导致其磋商被拒绝。</w:t>
      </w:r>
      <w:bookmarkStart w:id="59" w:name="_Toc11399589"/>
    </w:p>
    <w:p w14:paraId="107A16C5">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left="0" w:firstLine="0" w:firstLineChars="0"/>
        <w:textAlignment w:val="auto"/>
        <w:outlineLvl w:val="9"/>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color w:val="auto"/>
          <w:sz w:val="21"/>
          <w:szCs w:val="21"/>
          <w:highlight w:val="none"/>
          <w:lang w:eastAsia="zh-CN"/>
        </w:rPr>
        <w:t>五、</w:t>
      </w:r>
      <w:bookmarkEnd w:id="59"/>
      <w:r>
        <w:rPr>
          <w:rFonts w:hint="eastAsia" w:ascii="宋体" w:hAnsi="宋体" w:eastAsia="宋体" w:cs="宋体"/>
          <w:b/>
          <w:bCs/>
          <w:color w:val="auto"/>
          <w:sz w:val="21"/>
          <w:szCs w:val="21"/>
          <w:highlight w:val="none"/>
          <w:lang w:eastAsia="zh-CN"/>
        </w:rPr>
        <w:t>采购需求中的服务内容及要求、商务要求为本次采购的实质性（关键性）的商务、技术、服务要求，磋商供应商须满足或响应，若无法完全满足，将会被认定为竞标无效。</w:t>
      </w:r>
    </w:p>
    <w:tbl>
      <w:tblPr>
        <w:tblStyle w:val="61"/>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1077"/>
        <w:gridCol w:w="828"/>
        <w:gridCol w:w="6356"/>
      </w:tblGrid>
      <w:tr w14:paraId="749EF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80" w:type="dxa"/>
            <w:gridSpan w:val="4"/>
            <w:noWrap w:val="0"/>
            <w:vAlign w:val="center"/>
          </w:tcPr>
          <w:p w14:paraId="669456E5">
            <w:pPr>
              <w:keepNext w:val="0"/>
              <w:keepLines/>
              <w:pageBreakBefore w:val="0"/>
              <w:widowControl/>
              <w:kinsoku/>
              <w:wordWrap w:val="0"/>
              <w:overflowPunct/>
              <w:topLinePunct w:val="0"/>
              <w:autoSpaceDE/>
              <w:autoSpaceDN/>
              <w:bidi w:val="0"/>
              <w:adjustRightInd/>
              <w:snapToGrid/>
              <w:spacing w:line="400" w:lineRule="exact"/>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技术要求</w:t>
            </w:r>
          </w:p>
        </w:tc>
      </w:tr>
      <w:tr w14:paraId="2B80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80" w:type="dxa"/>
            <w:gridSpan w:val="4"/>
            <w:noWrap w:val="0"/>
            <w:vAlign w:val="center"/>
          </w:tcPr>
          <w:p w14:paraId="7FB81C07">
            <w:pPr>
              <w:keepNext w:val="0"/>
              <w:keepLines/>
              <w:pageBreakBefore w:val="0"/>
              <w:kinsoku/>
              <w:wordWrap w:val="0"/>
              <w:overflowPunct/>
              <w:topLinePunct w:val="0"/>
              <w:bidi w:val="0"/>
              <w:spacing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▲（一）配送内容：</w:t>
            </w:r>
          </w:p>
          <w:p w14:paraId="1B3BA9AC">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根据工作需要，采购壹年期的食堂食材配送服务，实行食堂食材统一采购、集中配送，包含但不限于以下品种：</w:t>
            </w:r>
            <w:r>
              <w:rPr>
                <w:rFonts w:hint="eastAsia" w:ascii="宋体" w:hAnsi="宋体" w:eastAsia="宋体" w:cs="宋体"/>
                <w:color w:val="auto"/>
                <w:sz w:val="21"/>
                <w:szCs w:val="21"/>
                <w:highlight w:val="none"/>
              </w:rPr>
              <w:t>鲜肉类、水产类、三鸟类、蛋品类、冷冻品类、新鲜蔬菜瓜果类等,以及干货、豆制品类、酱汁调味品</w:t>
            </w:r>
            <w:r>
              <w:rPr>
                <w:rFonts w:hint="eastAsia" w:ascii="宋体" w:hAnsi="宋体" w:eastAsia="宋体" w:cs="宋体"/>
                <w:color w:val="auto"/>
                <w:sz w:val="21"/>
                <w:szCs w:val="21"/>
                <w:highlight w:val="none"/>
                <w:lang w:val="en-US" w:eastAsia="zh-CN"/>
              </w:rPr>
              <w:t>类、粮油类</w:t>
            </w:r>
            <w:r>
              <w:rPr>
                <w:rFonts w:hint="eastAsia" w:ascii="宋体" w:hAnsi="宋体" w:eastAsia="宋体" w:cs="宋体"/>
                <w:color w:val="auto"/>
                <w:sz w:val="21"/>
                <w:szCs w:val="21"/>
                <w:highlight w:val="none"/>
              </w:rPr>
              <w:t>等物资</w:t>
            </w:r>
            <w:r>
              <w:rPr>
                <w:rFonts w:hint="eastAsia" w:ascii="宋体" w:hAnsi="宋体" w:eastAsia="宋体" w:cs="宋体"/>
                <w:color w:val="auto"/>
                <w:kern w:val="2"/>
                <w:sz w:val="21"/>
                <w:szCs w:val="21"/>
                <w:highlight w:val="none"/>
                <w:lang w:val="en-US" w:eastAsia="zh-CN" w:bidi="ar-SA"/>
              </w:rPr>
              <w:t>配送服务。供应商在供货前须按采购人要求提交供货方案给采购人审核，经采购人审核确认后才可进行采购及供应。</w:t>
            </w:r>
          </w:p>
          <w:p w14:paraId="5EFDE8F6">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就餐数量人数：就餐人数</w:t>
            </w:r>
            <w:r>
              <w:rPr>
                <w:rFonts w:hint="eastAsia" w:ascii="宋体" w:hAnsi="宋体" w:eastAsia="宋体" w:cs="宋体"/>
                <w:color w:val="auto"/>
                <w:sz w:val="21"/>
                <w:szCs w:val="21"/>
                <w:highlight w:val="none"/>
                <w:lang w:val="en-US" w:eastAsia="zh-CN"/>
              </w:rPr>
              <w:t>300人（如有特殊情况，</w:t>
            </w:r>
            <w:r>
              <w:rPr>
                <w:rFonts w:hint="eastAsia" w:ascii="宋体" w:hAnsi="宋体" w:eastAsia="宋体" w:cs="宋体"/>
                <w:color w:val="auto"/>
                <w:kern w:val="2"/>
                <w:sz w:val="21"/>
                <w:szCs w:val="21"/>
                <w:highlight w:val="none"/>
                <w:lang w:val="en-US" w:eastAsia="zh-CN" w:bidi="ar-SA"/>
              </w:rPr>
              <w:t>用餐人数以实际人数为准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2"/>
                <w:sz w:val="21"/>
                <w:szCs w:val="21"/>
                <w:highlight w:val="none"/>
                <w:lang w:val="en-US" w:eastAsia="zh-CN" w:bidi="ar-SA"/>
              </w:rPr>
              <w:t>。</w:t>
            </w:r>
          </w:p>
          <w:p w14:paraId="467D0144">
            <w:pPr>
              <w:keepNext w:val="0"/>
              <w:keepLines/>
              <w:pageBreakBefore w:val="0"/>
              <w:widowControl w:val="0"/>
              <w:kinsoku/>
              <w:wordWrap w:val="0"/>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就餐标准：25元/天/人。</w:t>
            </w:r>
          </w:p>
        </w:tc>
      </w:tr>
      <w:tr w14:paraId="7751A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80" w:type="dxa"/>
            <w:gridSpan w:val="4"/>
            <w:noWrap w:val="0"/>
            <w:vAlign w:val="center"/>
          </w:tcPr>
          <w:p w14:paraId="1BA6FDD3">
            <w:pPr>
              <w:keepNext w:val="0"/>
              <w:keepLines/>
              <w:pageBreakBefore w:val="0"/>
              <w:widowControl/>
              <w:kinsoku/>
              <w:wordWrap w:val="0"/>
              <w:overflowPunct/>
              <w:topLinePunct w:val="0"/>
              <w:bidi w:val="0"/>
              <w:spacing w:line="400" w:lineRule="exact"/>
              <w:jc w:val="both"/>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color w:val="auto"/>
                <w:sz w:val="21"/>
                <w:szCs w:val="21"/>
                <w:highlight w:val="none"/>
              </w:rPr>
              <w:t>（二）主要食材质量要求表</w:t>
            </w:r>
          </w:p>
        </w:tc>
      </w:tr>
      <w:tr w14:paraId="2450F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19" w:type="dxa"/>
            <w:noWrap w:val="0"/>
            <w:vAlign w:val="center"/>
          </w:tcPr>
          <w:p w14:paraId="2295EF26">
            <w:pPr>
              <w:keepNext w:val="0"/>
              <w:keepLines/>
              <w:pageBreakBefore w:val="0"/>
              <w:widowControl/>
              <w:kinsoku/>
              <w:wordWrap w:val="0"/>
              <w:overflowPunct/>
              <w:topLinePunct w:val="0"/>
              <w:bidi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rPr>
              <w:t>序号</w:t>
            </w:r>
          </w:p>
        </w:tc>
        <w:tc>
          <w:tcPr>
            <w:tcW w:w="1905" w:type="dxa"/>
            <w:gridSpan w:val="2"/>
            <w:noWrap w:val="0"/>
            <w:vAlign w:val="center"/>
          </w:tcPr>
          <w:p w14:paraId="5904722E">
            <w:pPr>
              <w:keepNext w:val="0"/>
              <w:keepLines/>
              <w:pageBreakBefore w:val="0"/>
              <w:widowControl/>
              <w:kinsoku/>
              <w:wordWrap w:val="0"/>
              <w:overflowPunct/>
              <w:topLinePunct w:val="0"/>
              <w:bidi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rPr>
              <w:t>食材类别</w:t>
            </w:r>
          </w:p>
        </w:tc>
        <w:tc>
          <w:tcPr>
            <w:tcW w:w="6356" w:type="dxa"/>
            <w:noWrap w:val="0"/>
            <w:vAlign w:val="center"/>
          </w:tcPr>
          <w:p w14:paraId="35434CB1">
            <w:pPr>
              <w:keepNext w:val="0"/>
              <w:keepLines/>
              <w:pageBreakBefore w:val="0"/>
              <w:widowControl/>
              <w:kinsoku/>
              <w:wordWrap w:val="0"/>
              <w:overflowPunct/>
              <w:topLinePunct w:val="0"/>
              <w:bidi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rPr>
              <w:t>质量要求</w:t>
            </w:r>
          </w:p>
        </w:tc>
      </w:tr>
      <w:tr w14:paraId="65AEB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19" w:type="dxa"/>
            <w:noWrap w:val="0"/>
            <w:vAlign w:val="center"/>
          </w:tcPr>
          <w:p w14:paraId="577780AC">
            <w:pPr>
              <w:keepNext w:val="0"/>
              <w:keepLines/>
              <w:pageBreakBefore w:val="0"/>
              <w:widowControl/>
              <w:kinsoku/>
              <w:wordWrap w:val="0"/>
              <w:overflowPunct/>
              <w:topLinePunct w:val="0"/>
              <w:bidi w:val="0"/>
              <w:spacing w:line="400" w:lineRule="exact"/>
              <w:jc w:val="center"/>
              <w:textAlignment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w:t>
            </w:r>
          </w:p>
        </w:tc>
        <w:tc>
          <w:tcPr>
            <w:tcW w:w="1905" w:type="dxa"/>
            <w:gridSpan w:val="2"/>
            <w:noWrap w:val="0"/>
            <w:vAlign w:val="center"/>
          </w:tcPr>
          <w:p w14:paraId="70B9C101">
            <w:pPr>
              <w:keepNext w:val="0"/>
              <w:keepLines/>
              <w:pageBreakBefore w:val="0"/>
              <w:widowControl/>
              <w:kinsoku/>
              <w:wordWrap w:val="0"/>
              <w:overflowPunct/>
              <w:topLinePunct w:val="0"/>
              <w:bidi w:val="0"/>
              <w:spacing w:line="400" w:lineRule="exact"/>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鲜肉类</w:t>
            </w:r>
          </w:p>
        </w:tc>
        <w:tc>
          <w:tcPr>
            <w:tcW w:w="6356" w:type="dxa"/>
            <w:noWrap w:val="0"/>
            <w:vAlign w:val="center"/>
          </w:tcPr>
          <w:p w14:paraId="260279D6">
            <w:pPr>
              <w:keepNext w:val="0"/>
              <w:keepLines/>
              <w:pageBreakBefore w:val="0"/>
              <w:widowControl/>
              <w:kinsoku/>
              <w:wordWrap w:val="0"/>
              <w:overflowPunct/>
              <w:topLinePunct w:val="0"/>
              <w:autoSpaceDE/>
              <w:autoSpaceDN/>
              <w:bidi w:val="0"/>
              <w:adjustRightInd w:val="0"/>
              <w:snapToGrid/>
              <w:spacing w:line="400" w:lineRule="exact"/>
              <w:ind w:firstLine="420" w:firstLineChars="200"/>
              <w:jc w:val="left"/>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要求必须是当天屠宰的生鲜放心肉，符合国家食品部门的有关标准及食品卫生要求；保证鲜肉无异味、无腐烂变质、肉质鲜嫩、不注水，对于鲜猪手脚等，必须去除一切杂毛污物；供货时提供动物检疫合格证明。</w:t>
            </w:r>
          </w:p>
        </w:tc>
      </w:tr>
      <w:tr w14:paraId="35190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19" w:type="dxa"/>
            <w:noWrap w:val="0"/>
            <w:vAlign w:val="center"/>
          </w:tcPr>
          <w:p w14:paraId="043B5E67">
            <w:pPr>
              <w:keepNext w:val="0"/>
              <w:keepLines/>
              <w:pageBreakBefore w:val="0"/>
              <w:widowControl/>
              <w:kinsoku/>
              <w:wordWrap w:val="0"/>
              <w:overflowPunct/>
              <w:topLinePunct w:val="0"/>
              <w:bidi w:val="0"/>
              <w:spacing w:line="400" w:lineRule="exact"/>
              <w:jc w:val="center"/>
              <w:textAlignment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2</w:t>
            </w:r>
          </w:p>
        </w:tc>
        <w:tc>
          <w:tcPr>
            <w:tcW w:w="1905" w:type="dxa"/>
            <w:gridSpan w:val="2"/>
            <w:noWrap w:val="0"/>
            <w:vAlign w:val="center"/>
          </w:tcPr>
          <w:p w14:paraId="05AD137C">
            <w:pPr>
              <w:keepNext w:val="0"/>
              <w:keepLines/>
              <w:pageBreakBefore w:val="0"/>
              <w:widowControl/>
              <w:kinsoku/>
              <w:wordWrap w:val="0"/>
              <w:overflowPunct/>
              <w:topLinePunct w:val="0"/>
              <w:bidi w:val="0"/>
              <w:spacing w:line="400" w:lineRule="exact"/>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水产类</w:t>
            </w:r>
          </w:p>
        </w:tc>
        <w:tc>
          <w:tcPr>
            <w:tcW w:w="6356" w:type="dxa"/>
            <w:noWrap w:val="0"/>
            <w:vAlign w:val="center"/>
          </w:tcPr>
          <w:p w14:paraId="54FCD0CE">
            <w:pPr>
              <w:keepNext w:val="0"/>
              <w:keepLines/>
              <w:pageBreakBefore w:val="0"/>
              <w:widowControl/>
              <w:kinsoku/>
              <w:wordWrap w:val="0"/>
              <w:overflowPunct/>
              <w:topLinePunct w:val="0"/>
              <w:autoSpaceDE/>
              <w:autoSpaceDN/>
              <w:bidi w:val="0"/>
              <w:adjustRightInd w:val="0"/>
              <w:snapToGrid/>
              <w:spacing w:line="400" w:lineRule="exact"/>
              <w:ind w:firstLine="420" w:firstLineChars="200"/>
              <w:jc w:val="left"/>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要求必须是</w:t>
            </w:r>
            <w:r>
              <w:rPr>
                <w:rFonts w:hint="eastAsia" w:ascii="宋体" w:hAnsi="宋体" w:eastAsia="宋体" w:cs="宋体"/>
                <w:b w:val="0"/>
                <w:bCs w:val="0"/>
                <w:color w:val="auto"/>
                <w:sz w:val="21"/>
                <w:szCs w:val="21"/>
                <w:highlight w:val="none"/>
              </w:rPr>
              <w:t>新鲜鱼类</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rPr>
              <w:t>来源安全可靠，成活率100%，活体、眼球明亮、无大腹、无畸形。去腹脏的鱼气味正常，无血之外污物，弹性好，无离刺现象。</w:t>
            </w:r>
          </w:p>
        </w:tc>
      </w:tr>
      <w:tr w14:paraId="14975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19" w:type="dxa"/>
            <w:noWrap w:val="0"/>
            <w:vAlign w:val="center"/>
          </w:tcPr>
          <w:p w14:paraId="6C15A390">
            <w:pPr>
              <w:keepNext w:val="0"/>
              <w:keepLines/>
              <w:pageBreakBefore w:val="0"/>
              <w:widowControl/>
              <w:kinsoku/>
              <w:wordWrap w:val="0"/>
              <w:overflowPunct/>
              <w:topLinePunct w:val="0"/>
              <w:bidi w:val="0"/>
              <w:spacing w:line="400" w:lineRule="exact"/>
              <w:jc w:val="center"/>
              <w:textAlignment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3</w:t>
            </w:r>
          </w:p>
        </w:tc>
        <w:tc>
          <w:tcPr>
            <w:tcW w:w="1905" w:type="dxa"/>
            <w:gridSpan w:val="2"/>
            <w:noWrap w:val="0"/>
            <w:vAlign w:val="center"/>
          </w:tcPr>
          <w:p w14:paraId="6449F0BD">
            <w:pPr>
              <w:keepNext w:val="0"/>
              <w:keepLines/>
              <w:pageBreakBefore w:val="0"/>
              <w:widowControl/>
              <w:kinsoku/>
              <w:wordWrap w:val="0"/>
              <w:overflowPunct/>
              <w:topLinePunct w:val="0"/>
              <w:bidi w:val="0"/>
              <w:spacing w:line="400" w:lineRule="exact"/>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三鸟类</w:t>
            </w:r>
          </w:p>
        </w:tc>
        <w:tc>
          <w:tcPr>
            <w:tcW w:w="6356" w:type="dxa"/>
            <w:noWrap w:val="0"/>
            <w:vAlign w:val="center"/>
          </w:tcPr>
          <w:p w14:paraId="5603FA1F">
            <w:pPr>
              <w:keepNext w:val="0"/>
              <w:keepLines/>
              <w:pageBreakBefore w:val="0"/>
              <w:widowControl/>
              <w:kinsoku/>
              <w:wordWrap w:val="0"/>
              <w:overflowPunct/>
              <w:topLinePunct w:val="0"/>
              <w:autoSpaceDE/>
              <w:autoSpaceDN/>
              <w:bidi w:val="0"/>
              <w:adjustRightInd w:val="0"/>
              <w:snapToGrid/>
              <w:spacing w:line="400" w:lineRule="exact"/>
              <w:ind w:firstLine="420" w:firstLineChars="2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提供的</w:t>
            </w:r>
            <w:r>
              <w:rPr>
                <w:rFonts w:hint="eastAsia" w:ascii="宋体" w:hAnsi="宋体" w:eastAsia="宋体" w:cs="宋体"/>
                <w:b w:val="0"/>
                <w:bCs w:val="0"/>
                <w:color w:val="auto"/>
                <w:sz w:val="21"/>
                <w:szCs w:val="21"/>
                <w:highlight w:val="none"/>
                <w:lang w:val="en-US" w:eastAsia="zh-CN"/>
              </w:rPr>
              <w:t>三鸟</w:t>
            </w:r>
            <w:r>
              <w:rPr>
                <w:rFonts w:hint="eastAsia" w:ascii="宋体" w:hAnsi="宋体" w:eastAsia="宋体" w:cs="宋体"/>
                <w:b w:val="0"/>
                <w:bCs w:val="0"/>
                <w:color w:val="auto"/>
                <w:sz w:val="21"/>
                <w:szCs w:val="21"/>
                <w:highlight w:val="none"/>
              </w:rPr>
              <w:t>严禁打水，须皮面光滑、无毛，膛内清理干净,不留板油、肺以及喉管、气管等杂物，须当天宰杀当天送货，运输过程要求进行冷藏保鲜；严禁提供由死、病宰杀的</w:t>
            </w:r>
            <w:r>
              <w:rPr>
                <w:rFonts w:hint="eastAsia" w:ascii="宋体" w:hAnsi="宋体" w:eastAsia="宋体" w:cs="宋体"/>
                <w:b w:val="0"/>
                <w:bCs w:val="0"/>
                <w:color w:val="auto"/>
                <w:sz w:val="21"/>
                <w:szCs w:val="21"/>
                <w:highlight w:val="none"/>
                <w:lang w:val="en-US" w:eastAsia="zh-CN"/>
              </w:rPr>
              <w:t>三鸟</w:t>
            </w:r>
            <w:r>
              <w:rPr>
                <w:rFonts w:hint="eastAsia" w:ascii="宋体" w:hAnsi="宋体" w:eastAsia="宋体" w:cs="宋体"/>
                <w:b w:val="0"/>
                <w:bCs w:val="0"/>
                <w:color w:val="auto"/>
                <w:sz w:val="21"/>
                <w:szCs w:val="21"/>
                <w:highlight w:val="none"/>
              </w:rPr>
              <w:t>；供货时提供动物检疫合格证明。</w:t>
            </w:r>
          </w:p>
        </w:tc>
      </w:tr>
      <w:tr w14:paraId="25B5E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19" w:type="dxa"/>
            <w:noWrap w:val="0"/>
            <w:vAlign w:val="center"/>
          </w:tcPr>
          <w:p w14:paraId="226FEAE1">
            <w:pPr>
              <w:keepNext w:val="0"/>
              <w:keepLines/>
              <w:pageBreakBefore w:val="0"/>
              <w:widowControl/>
              <w:kinsoku/>
              <w:wordWrap w:val="0"/>
              <w:overflowPunct/>
              <w:topLinePunct w:val="0"/>
              <w:bidi w:val="0"/>
              <w:spacing w:line="400" w:lineRule="exact"/>
              <w:jc w:val="center"/>
              <w:textAlignment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4</w:t>
            </w:r>
          </w:p>
        </w:tc>
        <w:tc>
          <w:tcPr>
            <w:tcW w:w="1905" w:type="dxa"/>
            <w:gridSpan w:val="2"/>
            <w:noWrap w:val="0"/>
            <w:vAlign w:val="center"/>
          </w:tcPr>
          <w:p w14:paraId="02A1675B">
            <w:pPr>
              <w:keepNext w:val="0"/>
              <w:keepLines/>
              <w:pageBreakBefore w:val="0"/>
              <w:widowControl/>
              <w:kinsoku/>
              <w:wordWrap w:val="0"/>
              <w:overflowPunct/>
              <w:topLinePunct w:val="0"/>
              <w:bidi w:val="0"/>
              <w:spacing w:line="400" w:lineRule="exact"/>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蛋品类</w:t>
            </w:r>
          </w:p>
        </w:tc>
        <w:tc>
          <w:tcPr>
            <w:tcW w:w="6356" w:type="dxa"/>
            <w:noWrap w:val="0"/>
            <w:vAlign w:val="center"/>
          </w:tcPr>
          <w:p w14:paraId="2FB29B2C">
            <w:pPr>
              <w:keepNext w:val="0"/>
              <w:keepLines/>
              <w:pageBreakBefore w:val="0"/>
              <w:widowControl/>
              <w:kinsoku/>
              <w:wordWrap w:val="0"/>
              <w:overflowPunct/>
              <w:topLinePunct w:val="0"/>
              <w:autoSpaceDE/>
              <w:autoSpaceDN/>
              <w:bidi w:val="0"/>
              <w:adjustRightInd w:val="0"/>
              <w:snapToGrid/>
              <w:spacing w:line="400" w:lineRule="exact"/>
              <w:ind w:firstLine="420" w:firstLineChars="2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蛋</w:t>
            </w:r>
            <w:r>
              <w:rPr>
                <w:rFonts w:hint="eastAsia" w:ascii="宋体" w:hAnsi="宋体" w:eastAsia="宋体" w:cs="宋体"/>
                <w:b w:val="0"/>
                <w:bCs w:val="0"/>
                <w:color w:val="auto"/>
                <w:sz w:val="21"/>
                <w:szCs w:val="21"/>
                <w:highlight w:val="none"/>
                <w:lang w:val="en-US" w:eastAsia="zh-CN"/>
              </w:rPr>
              <w:t>品</w:t>
            </w:r>
            <w:r>
              <w:rPr>
                <w:rFonts w:hint="eastAsia" w:ascii="宋体" w:hAnsi="宋体" w:eastAsia="宋体" w:cs="宋体"/>
                <w:b w:val="0"/>
                <w:bCs w:val="0"/>
                <w:color w:val="auto"/>
                <w:sz w:val="21"/>
                <w:szCs w:val="21"/>
                <w:highlight w:val="none"/>
              </w:rPr>
              <w:t>类个体均匀，蛋壳清洁完整，色泽鲜明，无破损、裂纹，无霉斑，灯光透视时，整个蛋呈</w:t>
            </w:r>
            <w:r>
              <w:rPr>
                <w:rFonts w:hint="eastAsia" w:ascii="宋体" w:hAnsi="宋体" w:cs="宋体"/>
                <w:b w:val="0"/>
                <w:bCs w:val="0"/>
                <w:color w:val="auto"/>
                <w:sz w:val="21"/>
                <w:szCs w:val="21"/>
                <w:highlight w:val="none"/>
                <w:lang w:val="en-US" w:eastAsia="zh-CN"/>
              </w:rPr>
              <w:t>橘黄色</w:t>
            </w:r>
            <w:r>
              <w:rPr>
                <w:rFonts w:hint="eastAsia" w:ascii="宋体" w:hAnsi="宋体" w:eastAsia="宋体" w:cs="宋体"/>
                <w:b w:val="0"/>
                <w:bCs w:val="0"/>
                <w:color w:val="auto"/>
                <w:sz w:val="21"/>
                <w:szCs w:val="21"/>
                <w:highlight w:val="none"/>
              </w:rPr>
              <w:t>至橙红色，蛋黄不见或略见阴影，没有霉味、酸味，臭味等不良气味，打开后蛋黄凸起、完整、有韧性，蛋白澄清、透明、稀稠分明，无异味。</w:t>
            </w:r>
          </w:p>
        </w:tc>
      </w:tr>
      <w:tr w14:paraId="0336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19" w:type="dxa"/>
            <w:noWrap w:val="0"/>
            <w:vAlign w:val="center"/>
          </w:tcPr>
          <w:p w14:paraId="4E0BA4EB">
            <w:pPr>
              <w:keepNext w:val="0"/>
              <w:keepLines/>
              <w:pageBreakBefore w:val="0"/>
              <w:widowControl/>
              <w:kinsoku/>
              <w:wordWrap w:val="0"/>
              <w:overflowPunct/>
              <w:topLinePunct w:val="0"/>
              <w:bidi w:val="0"/>
              <w:spacing w:line="400" w:lineRule="exact"/>
              <w:jc w:val="center"/>
              <w:textAlignment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5</w:t>
            </w:r>
          </w:p>
        </w:tc>
        <w:tc>
          <w:tcPr>
            <w:tcW w:w="1905" w:type="dxa"/>
            <w:gridSpan w:val="2"/>
            <w:noWrap w:val="0"/>
            <w:vAlign w:val="center"/>
          </w:tcPr>
          <w:p w14:paraId="54BE8160">
            <w:pPr>
              <w:keepNext w:val="0"/>
              <w:keepLines/>
              <w:pageBreakBefore w:val="0"/>
              <w:widowControl/>
              <w:kinsoku/>
              <w:wordWrap w:val="0"/>
              <w:overflowPunct/>
              <w:topLinePunct w:val="0"/>
              <w:bidi w:val="0"/>
              <w:spacing w:line="400" w:lineRule="exact"/>
              <w:jc w:val="center"/>
              <w:textAlignment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rPr>
              <w:t>冷冻</w:t>
            </w:r>
            <w:r>
              <w:rPr>
                <w:rFonts w:hint="eastAsia" w:ascii="宋体" w:hAnsi="宋体" w:eastAsia="宋体" w:cs="宋体"/>
                <w:b/>
                <w:bCs/>
                <w:color w:val="auto"/>
                <w:kern w:val="0"/>
                <w:sz w:val="21"/>
                <w:szCs w:val="21"/>
                <w:highlight w:val="none"/>
                <w:lang w:val="en-US" w:eastAsia="zh-CN"/>
              </w:rPr>
              <w:t>品类</w:t>
            </w:r>
          </w:p>
        </w:tc>
        <w:tc>
          <w:tcPr>
            <w:tcW w:w="6356" w:type="dxa"/>
            <w:noWrap w:val="0"/>
            <w:vAlign w:val="center"/>
          </w:tcPr>
          <w:p w14:paraId="7774F168">
            <w:pPr>
              <w:keepNext w:val="0"/>
              <w:keepLines/>
              <w:pageBreakBefore w:val="0"/>
              <w:widowControl/>
              <w:kinsoku/>
              <w:wordWrap w:val="0"/>
              <w:overflowPunct/>
              <w:topLinePunct w:val="0"/>
              <w:autoSpaceDE/>
              <w:autoSpaceDN/>
              <w:bidi w:val="0"/>
              <w:adjustRightInd w:val="0"/>
              <w:snapToGrid/>
              <w:spacing w:line="400" w:lineRule="exact"/>
              <w:ind w:firstLine="420" w:firstLineChars="200"/>
              <w:jc w:val="left"/>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冷冻肉要求肉体冻实而且坚硬，无化冻现象，肉质紧密而有弹性，色泽均匀，不粘手，交货时干净、新鲜、无异味；冷冻禽类食品解冻后净重量不少于92%，冷冻肉类食品解冻后净重量不少于95%；冷冻水产品解冻后净重量不少于85%，解冻时间为4小时以内（室温20度），所有冷冻食品均在质保期内，供货时产品剩余保存期不少于原有保质期的三分之二，包装符合食品卫生要求，且有“SC”食品生产许可标志，食品安全可追溯。</w:t>
            </w:r>
          </w:p>
        </w:tc>
      </w:tr>
      <w:tr w14:paraId="714EC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19" w:type="dxa"/>
            <w:noWrap w:val="0"/>
            <w:vAlign w:val="center"/>
          </w:tcPr>
          <w:p w14:paraId="0E3E2A55">
            <w:pPr>
              <w:keepNext w:val="0"/>
              <w:keepLines/>
              <w:pageBreakBefore w:val="0"/>
              <w:widowControl/>
              <w:kinsoku/>
              <w:wordWrap w:val="0"/>
              <w:overflowPunct/>
              <w:topLinePunct w:val="0"/>
              <w:bidi w:val="0"/>
              <w:spacing w:line="400" w:lineRule="exact"/>
              <w:jc w:val="center"/>
              <w:textAlignment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6</w:t>
            </w:r>
          </w:p>
        </w:tc>
        <w:tc>
          <w:tcPr>
            <w:tcW w:w="1905" w:type="dxa"/>
            <w:gridSpan w:val="2"/>
            <w:noWrap w:val="0"/>
            <w:vAlign w:val="center"/>
          </w:tcPr>
          <w:p w14:paraId="5B93E02F">
            <w:pPr>
              <w:keepNext w:val="0"/>
              <w:keepLines/>
              <w:pageBreakBefore w:val="0"/>
              <w:widowControl/>
              <w:kinsoku/>
              <w:wordWrap w:val="0"/>
              <w:overflowPunct/>
              <w:topLinePunct w:val="0"/>
              <w:bidi w:val="0"/>
              <w:spacing w:line="400" w:lineRule="exact"/>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新鲜蔬菜瓜果类</w:t>
            </w:r>
          </w:p>
        </w:tc>
        <w:tc>
          <w:tcPr>
            <w:tcW w:w="6356" w:type="dxa"/>
            <w:noWrap w:val="0"/>
            <w:vAlign w:val="center"/>
          </w:tcPr>
          <w:p w14:paraId="1151AE80">
            <w:pPr>
              <w:keepNext w:val="0"/>
              <w:keepLines/>
              <w:pageBreakBefore w:val="0"/>
              <w:widowControl/>
              <w:kinsoku/>
              <w:wordWrap w:val="0"/>
              <w:overflowPunct/>
              <w:topLinePunct w:val="0"/>
              <w:autoSpaceDE/>
              <w:autoSpaceDN/>
              <w:bidi w:val="0"/>
              <w:adjustRightInd w:val="0"/>
              <w:snapToGrid/>
              <w:spacing w:line="400" w:lineRule="exact"/>
              <w:jc w:val="left"/>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1.蔬菜</w:t>
            </w:r>
          </w:p>
          <w:p w14:paraId="7A6981DE">
            <w:pPr>
              <w:keepNext w:val="0"/>
              <w:keepLines/>
              <w:pageBreakBefore w:val="0"/>
              <w:widowControl/>
              <w:kinsoku/>
              <w:wordWrap w:val="0"/>
              <w:overflowPunct/>
              <w:topLinePunct w:val="0"/>
              <w:autoSpaceDE/>
              <w:autoSpaceDN/>
              <w:bidi w:val="0"/>
              <w:adjustRightInd w:val="0"/>
              <w:snapToGrid/>
              <w:spacing w:line="400" w:lineRule="exact"/>
              <w:ind w:firstLine="420" w:firstLineChars="200"/>
              <w:jc w:val="left"/>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蔬菜必须是优质货品</w:t>
            </w:r>
            <w:r>
              <w:rPr>
                <w:rFonts w:hint="eastAsia" w:ascii="宋体" w:hAnsi="宋体" w:eastAsia="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rPr>
              <w:t>必须保证所供应的蔬菜符合食品安全国家标准，残留农药或污染物不得超过相关国家标准，同时承担因所供蔬菜问题引起的一切事故后果。</w:t>
            </w:r>
          </w:p>
          <w:p w14:paraId="47D57791">
            <w:pPr>
              <w:keepNext w:val="0"/>
              <w:keepLines/>
              <w:pageBreakBefore w:val="0"/>
              <w:widowControl/>
              <w:kinsoku/>
              <w:wordWrap w:val="0"/>
              <w:overflowPunct/>
              <w:topLinePunct w:val="0"/>
              <w:autoSpaceDE/>
              <w:autoSpaceDN/>
              <w:bidi w:val="0"/>
              <w:adjustRightInd w:val="0"/>
              <w:snapToGrid/>
              <w:spacing w:line="400" w:lineRule="exact"/>
              <w:ind w:firstLine="420" w:firstLineChars="200"/>
              <w:jc w:val="left"/>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叶菜类：大白菜、小白菜、菠菜、甘蓝、荠菜、空心菜、茼蒿、苋菜、芹菜等绿叶菜类。菜质鲜嫩形态好，色泽正常，茎基部削平，无枯黄叶、病叶、泥土，无明显机械伤和病虫害伤，无烧心焦边、腐烂等现象，无抽薹（菜心除外），无畸形、异味，结球叶菜要结球适度，花椰菜应新鲜洁白，不带叶麸，无畸形花。</w:t>
            </w:r>
          </w:p>
          <w:p w14:paraId="6BBF5355">
            <w:pPr>
              <w:keepNext w:val="0"/>
              <w:keepLines/>
              <w:pageBreakBefore w:val="0"/>
              <w:widowControl/>
              <w:kinsoku/>
              <w:wordWrap w:val="0"/>
              <w:overflowPunct/>
              <w:topLinePunct w:val="0"/>
              <w:autoSpaceDE/>
              <w:autoSpaceDN/>
              <w:bidi w:val="0"/>
              <w:adjustRightInd w:val="0"/>
              <w:snapToGrid/>
              <w:spacing w:line="400" w:lineRule="exact"/>
              <w:ind w:firstLine="420" w:firstLineChars="200"/>
              <w:jc w:val="left"/>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（2）茄果类：番茄、茄子、甜椒、辣椒等。果实整洁，成熟度适中，番茄花蒂不明显，无裂果及空洞现象，茄果不能有裂蒂及果皮变硬现象，无腐烂、畸形、异味，无明显机械伤。</w:t>
            </w:r>
          </w:p>
          <w:p w14:paraId="314E81A8">
            <w:pPr>
              <w:keepNext w:val="0"/>
              <w:keepLines/>
              <w:pageBreakBefore w:val="0"/>
              <w:widowControl/>
              <w:kinsoku/>
              <w:wordWrap w:val="0"/>
              <w:overflowPunct/>
              <w:topLinePunct w:val="0"/>
              <w:autoSpaceDE/>
              <w:autoSpaceDN/>
              <w:bidi w:val="0"/>
              <w:adjustRightInd w:val="0"/>
              <w:snapToGrid/>
              <w:spacing w:line="400" w:lineRule="exact"/>
              <w:ind w:firstLine="420" w:firstLineChars="200"/>
              <w:jc w:val="left"/>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（3）瓜果类：黄瓜、冬瓜、丝瓜、苦瓜、南瓜、毛节瓜等。形状、色泽一致，瓜条均匀，无疤点，无断裂，无腐烂、畸形、异味、明显机械伤，不带泥土。</w:t>
            </w:r>
          </w:p>
          <w:p w14:paraId="5B51D587">
            <w:pPr>
              <w:keepNext w:val="0"/>
              <w:keepLines/>
              <w:pageBreakBefore w:val="0"/>
              <w:widowControl/>
              <w:kinsoku/>
              <w:wordWrap w:val="0"/>
              <w:overflowPunct/>
              <w:topLinePunct w:val="0"/>
              <w:autoSpaceDE/>
              <w:autoSpaceDN/>
              <w:bidi w:val="0"/>
              <w:adjustRightInd w:val="0"/>
              <w:snapToGrid/>
              <w:spacing w:line="400" w:lineRule="exact"/>
              <w:ind w:firstLine="420" w:firstLineChars="200"/>
              <w:jc w:val="left"/>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（4）根菜类：萝卜、胡萝卜等。皮细光滑，大小均匀，肉质脆嫩致密新鲜，无腐烂、畸形、裂痕、异味，不带泥沙，不带茎叶和须根。</w:t>
            </w:r>
          </w:p>
          <w:p w14:paraId="7AE9CDEE">
            <w:pPr>
              <w:keepNext w:val="0"/>
              <w:keepLines/>
              <w:pageBreakBefore w:val="0"/>
              <w:widowControl/>
              <w:kinsoku/>
              <w:wordWrap w:val="0"/>
              <w:overflowPunct/>
              <w:topLinePunct w:val="0"/>
              <w:autoSpaceDE/>
              <w:autoSpaceDN/>
              <w:bidi w:val="0"/>
              <w:adjustRightInd w:val="0"/>
              <w:snapToGrid/>
              <w:spacing w:line="400" w:lineRule="exact"/>
              <w:ind w:firstLine="420" w:firstLineChars="200"/>
              <w:jc w:val="left"/>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（5）薯芋类：马铃薯、芋、姜等。色泽一致，不带泥沙，不带须根、茎叶，不干瘪，无腐烂、畸形、异味、明显机械伤、病虫害斑，马铃薯无发芽，皮不变绿。</w:t>
            </w:r>
          </w:p>
          <w:p w14:paraId="7A78A515">
            <w:pPr>
              <w:keepNext w:val="0"/>
              <w:keepLines/>
              <w:pageBreakBefore w:val="0"/>
              <w:widowControl/>
              <w:kinsoku/>
              <w:wordWrap w:val="0"/>
              <w:overflowPunct/>
              <w:topLinePunct w:val="0"/>
              <w:autoSpaceDE/>
              <w:autoSpaceDN/>
              <w:bidi w:val="0"/>
              <w:adjustRightInd w:val="0"/>
              <w:snapToGrid/>
              <w:spacing w:line="400" w:lineRule="exact"/>
              <w:ind w:firstLine="420" w:firstLineChars="200"/>
              <w:jc w:val="left"/>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（6）葱蒜类：葱、蒜、韭菜、洋葱等。允许葱、青蒜类保留干净须根，葱、蒜、韭菜不带老叶，蒜头、洋葱去根，可食部分新鲜幼嫩，无腐烂、畸形、异味。</w:t>
            </w:r>
          </w:p>
          <w:p w14:paraId="406BFB25">
            <w:pPr>
              <w:keepNext w:val="0"/>
              <w:keepLines/>
              <w:pageBreakBefore w:val="0"/>
              <w:widowControl/>
              <w:kinsoku/>
              <w:wordWrap w:val="0"/>
              <w:overflowPunct/>
              <w:topLinePunct w:val="0"/>
              <w:autoSpaceDE/>
              <w:autoSpaceDN/>
              <w:bidi w:val="0"/>
              <w:adjustRightInd w:val="0"/>
              <w:snapToGrid/>
              <w:spacing w:line="400" w:lineRule="exact"/>
              <w:ind w:firstLine="420" w:firstLineChars="200"/>
              <w:jc w:val="left"/>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（7）豆类：扁豆、豌豆、毛豆等。形态完整，成熟度适中，无腐烂、畸形、异味，豆荚类新鲜、幼嫩、均匀，豆仁类籽粒饱满，较均匀，无发芽，不带泥土杂质。</w:t>
            </w:r>
          </w:p>
          <w:p w14:paraId="6B4D4FF9">
            <w:pPr>
              <w:keepNext w:val="0"/>
              <w:keepLines/>
              <w:pageBreakBefore w:val="0"/>
              <w:widowControl/>
              <w:kinsoku/>
              <w:wordWrap w:val="0"/>
              <w:overflowPunct/>
              <w:topLinePunct w:val="0"/>
              <w:autoSpaceDE/>
              <w:autoSpaceDN/>
              <w:bidi w:val="0"/>
              <w:adjustRightInd w:val="0"/>
              <w:snapToGrid/>
              <w:spacing w:line="400" w:lineRule="exact"/>
              <w:ind w:firstLine="420" w:firstLineChars="200"/>
              <w:jc w:val="left"/>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（8）水生菜类：藕、慈菇、菱白、马蹄、菱</w:t>
            </w:r>
            <w:r>
              <w:rPr>
                <w:rFonts w:hint="eastAsia" w:ascii="宋体" w:hAnsi="宋体" w:eastAsia="宋体" w:cs="宋体"/>
                <w:b w:val="0"/>
                <w:bCs w:val="0"/>
                <w:color w:val="auto"/>
                <w:sz w:val="21"/>
                <w:szCs w:val="21"/>
                <w:highlight w:val="none"/>
                <w:lang w:val="en-US" w:eastAsia="zh-CN"/>
              </w:rPr>
              <w:t>角</w:t>
            </w:r>
            <w:r>
              <w:rPr>
                <w:rFonts w:hint="eastAsia" w:ascii="宋体" w:hAnsi="宋体" w:eastAsia="宋体" w:cs="宋体"/>
                <w:b w:val="0"/>
                <w:bCs w:val="0"/>
                <w:color w:val="auto"/>
                <w:sz w:val="21"/>
                <w:szCs w:val="21"/>
                <w:highlight w:val="none"/>
              </w:rPr>
              <w:t>等。肉质嫩，成熟度适中，无腐烂、畸形、异味，无明显机械伤，不带泥土和杂质，不干瘪，菱白不黑心。</w:t>
            </w:r>
          </w:p>
          <w:p w14:paraId="4C35F84B">
            <w:pPr>
              <w:keepNext w:val="0"/>
              <w:keepLines/>
              <w:pageBreakBefore w:val="0"/>
              <w:widowControl/>
              <w:kinsoku/>
              <w:wordWrap w:val="0"/>
              <w:overflowPunct/>
              <w:topLinePunct w:val="0"/>
              <w:autoSpaceDE/>
              <w:autoSpaceDN/>
              <w:bidi w:val="0"/>
              <w:adjustRightInd w:val="0"/>
              <w:snapToGrid/>
              <w:spacing w:line="400" w:lineRule="exact"/>
              <w:ind w:firstLine="420" w:firstLineChars="200"/>
              <w:jc w:val="left"/>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（9）食用菌类：蘑菇、草菇、香菇、木耳等。蘑菇、草菇菌盖圆整略展开，柄粗壮，菌膜紧，菇柄切削平整，不浸泡水（蘑菇允许浸盐水保鲜），新鲜，无杂质，无畸形菇，无腐烂、异味。</w:t>
            </w:r>
          </w:p>
          <w:p w14:paraId="13B96DB4">
            <w:pPr>
              <w:keepNext w:val="0"/>
              <w:keepLines/>
              <w:pageBreakBefore w:val="0"/>
              <w:widowControl/>
              <w:kinsoku/>
              <w:wordWrap w:val="0"/>
              <w:overflowPunct/>
              <w:topLinePunct w:val="0"/>
              <w:autoSpaceDE/>
              <w:autoSpaceDN/>
              <w:bidi w:val="0"/>
              <w:adjustRightInd w:val="0"/>
              <w:snapToGrid/>
              <w:spacing w:line="400" w:lineRule="exact"/>
              <w:ind w:firstLine="420" w:firstLineChars="200"/>
              <w:jc w:val="left"/>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（10）芽苗类：绿豆芽、黄豆芽等。芽苗幼嫩，不带豆壳杂质，新鲜，不浸水，无腐烂、异味。</w:t>
            </w:r>
          </w:p>
          <w:p w14:paraId="689D9A98">
            <w:pPr>
              <w:keepNext w:val="0"/>
              <w:keepLines/>
              <w:pageBreakBefore w:val="0"/>
              <w:widowControl/>
              <w:kinsoku/>
              <w:wordWrap w:val="0"/>
              <w:overflowPunct/>
              <w:topLinePunct w:val="0"/>
              <w:autoSpaceDE/>
              <w:autoSpaceDN/>
              <w:bidi w:val="0"/>
              <w:adjustRightInd w:val="0"/>
              <w:snapToGrid/>
              <w:spacing w:line="400" w:lineRule="exact"/>
              <w:jc w:val="left"/>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2.水果</w:t>
            </w:r>
          </w:p>
          <w:p w14:paraId="00C8C64F">
            <w:pPr>
              <w:keepNext w:val="0"/>
              <w:keepLines/>
              <w:pageBreakBefore w:val="0"/>
              <w:widowControl/>
              <w:kinsoku/>
              <w:wordWrap w:val="0"/>
              <w:overflowPunct/>
              <w:topLinePunct w:val="0"/>
              <w:autoSpaceDE/>
              <w:autoSpaceDN/>
              <w:bidi w:val="0"/>
              <w:adjustRightInd w:val="0"/>
              <w:snapToGrid/>
              <w:spacing w:line="400" w:lineRule="exact"/>
              <w:ind w:firstLine="420" w:firstLineChars="2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必须符合该品类的相关国家食品卫生标准。保证表面完好，表皮无损坏，无泥沙</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无杂物</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无虫蛀现象，无霉烂变质腐坏现象</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果肉饱满，水分充足</w:t>
            </w:r>
            <w:r>
              <w:rPr>
                <w:rFonts w:hint="eastAsia" w:ascii="宋体" w:hAnsi="宋体" w:eastAsia="宋体" w:cs="宋体"/>
                <w:b w:val="0"/>
                <w:bCs w:val="0"/>
                <w:color w:val="auto"/>
                <w:sz w:val="21"/>
                <w:szCs w:val="21"/>
                <w:highlight w:val="none"/>
                <w:lang w:eastAsia="zh-CN"/>
              </w:rPr>
              <w:t>。</w:t>
            </w:r>
          </w:p>
        </w:tc>
      </w:tr>
      <w:tr w14:paraId="74779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19" w:type="dxa"/>
            <w:noWrap w:val="0"/>
            <w:vAlign w:val="center"/>
          </w:tcPr>
          <w:p w14:paraId="2F793812">
            <w:pPr>
              <w:keepNext w:val="0"/>
              <w:keepLines/>
              <w:pageBreakBefore w:val="0"/>
              <w:widowControl/>
              <w:kinsoku/>
              <w:wordWrap w:val="0"/>
              <w:overflowPunct/>
              <w:topLinePunct w:val="0"/>
              <w:bidi w:val="0"/>
              <w:spacing w:line="400" w:lineRule="exact"/>
              <w:jc w:val="center"/>
              <w:textAlignment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7</w:t>
            </w:r>
          </w:p>
        </w:tc>
        <w:tc>
          <w:tcPr>
            <w:tcW w:w="1905" w:type="dxa"/>
            <w:gridSpan w:val="2"/>
            <w:noWrap w:val="0"/>
            <w:vAlign w:val="center"/>
          </w:tcPr>
          <w:p w14:paraId="1B7D0006">
            <w:pPr>
              <w:keepNext w:val="0"/>
              <w:keepLines/>
              <w:pageBreakBefore w:val="0"/>
              <w:widowControl/>
              <w:kinsoku/>
              <w:wordWrap w:val="0"/>
              <w:overflowPunct/>
              <w:topLinePunct w:val="0"/>
              <w:bidi w:val="0"/>
              <w:spacing w:line="400" w:lineRule="exact"/>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干货</w:t>
            </w:r>
          </w:p>
        </w:tc>
        <w:tc>
          <w:tcPr>
            <w:tcW w:w="6356" w:type="dxa"/>
            <w:noWrap w:val="0"/>
            <w:vAlign w:val="center"/>
          </w:tcPr>
          <w:p w14:paraId="3E4D2DB3">
            <w:pPr>
              <w:keepNext w:val="0"/>
              <w:keepLines/>
              <w:pageBreakBefore w:val="0"/>
              <w:widowControl/>
              <w:kinsoku/>
              <w:wordWrap w:val="0"/>
              <w:overflowPunct/>
              <w:topLinePunct w:val="0"/>
              <w:autoSpaceDE/>
              <w:autoSpaceDN/>
              <w:bidi w:val="0"/>
              <w:adjustRightInd w:val="0"/>
              <w:snapToGrid/>
              <w:spacing w:line="400" w:lineRule="exact"/>
              <w:ind w:firstLine="420" w:firstLineChars="200"/>
              <w:jc w:val="left"/>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干货制品的质量须符合国家相关行业标准，绿色安全、干爽易存放、不霉烂、整齐、均匀、完整，无虫蛀、无杂质，保持应有的色泽，保存期不少于原有质保期的三分之二。产品从加工、包装、运输、贮存到销售全部符合国家规定标准，尤其是二氧化硫残留量、总砷含量不超过国家卫生标准，木耳类的水分含量不能超过国家标准要求。</w:t>
            </w:r>
            <w:r>
              <w:rPr>
                <w:rFonts w:hint="eastAsia" w:ascii="宋体" w:hAnsi="宋体" w:eastAsia="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rPr>
              <w:t>须保证产品质量的稳定性，采购人可根据实际情况对需要的干货制品进行品质抽检，对质量未达到国家标准的干货制品，采购人有权拒绝接受。</w:t>
            </w:r>
          </w:p>
        </w:tc>
      </w:tr>
      <w:tr w14:paraId="140EA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19" w:type="dxa"/>
            <w:noWrap w:val="0"/>
            <w:vAlign w:val="center"/>
          </w:tcPr>
          <w:p w14:paraId="2599337C">
            <w:pPr>
              <w:keepNext w:val="0"/>
              <w:keepLines/>
              <w:pageBreakBefore w:val="0"/>
              <w:widowControl/>
              <w:kinsoku/>
              <w:wordWrap w:val="0"/>
              <w:overflowPunct/>
              <w:topLinePunct w:val="0"/>
              <w:bidi w:val="0"/>
              <w:spacing w:line="400" w:lineRule="exact"/>
              <w:jc w:val="center"/>
              <w:textAlignment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8</w:t>
            </w:r>
          </w:p>
        </w:tc>
        <w:tc>
          <w:tcPr>
            <w:tcW w:w="1905" w:type="dxa"/>
            <w:gridSpan w:val="2"/>
            <w:noWrap w:val="0"/>
            <w:vAlign w:val="center"/>
          </w:tcPr>
          <w:p w14:paraId="2BFDFE25">
            <w:pPr>
              <w:keepNext w:val="0"/>
              <w:keepLines/>
              <w:pageBreakBefore w:val="0"/>
              <w:widowControl/>
              <w:kinsoku/>
              <w:wordWrap w:val="0"/>
              <w:overflowPunct/>
              <w:topLinePunct w:val="0"/>
              <w:bidi w:val="0"/>
              <w:spacing w:line="400" w:lineRule="exact"/>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豆制品类</w:t>
            </w:r>
          </w:p>
        </w:tc>
        <w:tc>
          <w:tcPr>
            <w:tcW w:w="6356" w:type="dxa"/>
            <w:noWrap w:val="0"/>
            <w:vAlign w:val="center"/>
          </w:tcPr>
          <w:p w14:paraId="3F7DF322">
            <w:pPr>
              <w:keepNext w:val="0"/>
              <w:keepLines/>
              <w:pageBreakBefore w:val="0"/>
              <w:widowControl/>
              <w:kinsoku/>
              <w:wordWrap w:val="0"/>
              <w:overflowPunct/>
              <w:topLinePunct w:val="0"/>
              <w:autoSpaceDE/>
              <w:autoSpaceDN/>
              <w:bidi w:val="0"/>
              <w:adjustRightInd w:val="0"/>
              <w:snapToGrid/>
              <w:spacing w:line="400" w:lineRule="exact"/>
              <w:ind w:firstLine="420" w:firstLineChars="200"/>
              <w:jc w:val="left"/>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保证新鲜且符合食品安全法要求</w:t>
            </w:r>
            <w:r>
              <w:rPr>
                <w:rFonts w:hint="eastAsia" w:ascii="宋体" w:hAnsi="宋体" w:eastAsia="宋体" w:cs="宋体"/>
                <w:b w:val="0"/>
                <w:bCs w:val="0"/>
                <w:color w:val="auto"/>
                <w:sz w:val="21"/>
                <w:szCs w:val="21"/>
                <w:highlight w:val="none"/>
                <w:lang w:eastAsia="zh-CN"/>
              </w:rPr>
              <w:t>。</w:t>
            </w:r>
          </w:p>
        </w:tc>
      </w:tr>
      <w:tr w14:paraId="43274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19" w:type="dxa"/>
            <w:noWrap w:val="0"/>
            <w:vAlign w:val="center"/>
          </w:tcPr>
          <w:p w14:paraId="0DB97DB6">
            <w:pPr>
              <w:keepNext w:val="0"/>
              <w:keepLines/>
              <w:pageBreakBefore w:val="0"/>
              <w:widowControl/>
              <w:kinsoku/>
              <w:wordWrap w:val="0"/>
              <w:overflowPunct/>
              <w:topLinePunct w:val="0"/>
              <w:bidi w:val="0"/>
              <w:spacing w:line="400" w:lineRule="exact"/>
              <w:jc w:val="center"/>
              <w:textAlignment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9</w:t>
            </w:r>
          </w:p>
        </w:tc>
        <w:tc>
          <w:tcPr>
            <w:tcW w:w="1905" w:type="dxa"/>
            <w:gridSpan w:val="2"/>
            <w:noWrap w:val="0"/>
            <w:vAlign w:val="center"/>
          </w:tcPr>
          <w:p w14:paraId="4089A52F">
            <w:pPr>
              <w:keepNext w:val="0"/>
              <w:keepLines/>
              <w:pageBreakBefore w:val="0"/>
              <w:widowControl/>
              <w:kinsoku/>
              <w:wordWrap w:val="0"/>
              <w:overflowPunct/>
              <w:topLinePunct w:val="0"/>
              <w:bidi w:val="0"/>
              <w:spacing w:line="400" w:lineRule="exact"/>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酱汁调味品类</w:t>
            </w:r>
          </w:p>
        </w:tc>
        <w:tc>
          <w:tcPr>
            <w:tcW w:w="6356" w:type="dxa"/>
            <w:noWrap w:val="0"/>
            <w:vAlign w:val="center"/>
          </w:tcPr>
          <w:p w14:paraId="22370BD7">
            <w:pPr>
              <w:keepNext w:val="0"/>
              <w:keepLines/>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1.酱油：颜色呈红褐色不发暗，澄清有光泽，有浓郁的酱香，产生的泡沫</w:t>
            </w:r>
            <w:r>
              <w:rPr>
                <w:rFonts w:hint="eastAsia" w:ascii="宋体" w:hAnsi="宋体" w:eastAsia="宋体" w:cs="宋体"/>
                <w:color w:val="auto"/>
                <w:sz w:val="21"/>
                <w:szCs w:val="21"/>
                <w:highlight w:val="none"/>
                <w:lang w:eastAsia="zh-CN"/>
              </w:rPr>
              <w:t>细</w:t>
            </w:r>
            <w:r>
              <w:rPr>
                <w:rFonts w:hint="eastAsia" w:ascii="宋体" w:hAnsi="宋体" w:eastAsia="宋体" w:cs="宋体"/>
                <w:color w:val="auto"/>
                <w:sz w:val="21"/>
                <w:szCs w:val="21"/>
                <w:highlight w:val="none"/>
              </w:rPr>
              <w:t>腻、挂壁现象好，质地均匀，无沉淀。氨基酸态氮含量最低不低于0.55g/100ml。</w:t>
            </w:r>
          </w:p>
          <w:p w14:paraId="44E12795">
            <w:pPr>
              <w:keepNext w:val="0"/>
              <w:keepLines/>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2.味精：无色至白色结晶或粉末，具有特殊的鲜味，无异味，无肉眼可见杂质。</w:t>
            </w:r>
          </w:p>
          <w:p w14:paraId="7E6AC2AB">
            <w:pPr>
              <w:keepNext w:val="0"/>
              <w:keepLines/>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3.食醋：具有正常食醋的色泽、气味和滋味，不涩，无其他不良气味与异味，无浮物，不浑浊，无沉淀，无异物，无醋鳗、醋虱。</w:t>
            </w:r>
          </w:p>
          <w:p w14:paraId="006141A4">
            <w:pPr>
              <w:keepNext w:val="0"/>
              <w:keepLines/>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4.酱腌菜：具有酱腌菜固有的色、香、味，无杂质，无其他不良气味，不得有霉斑白膜。</w:t>
            </w:r>
          </w:p>
          <w:p w14:paraId="7FF8569B">
            <w:pPr>
              <w:keepNext w:val="0"/>
              <w:keepLines/>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5.酱类食品：具有正常酿造酱的色泽、气味和滋味，不涩，无其他不良气味，不得有酸、苦、</w:t>
            </w:r>
            <w:r>
              <w:rPr>
                <w:rFonts w:hint="eastAsia" w:ascii="宋体" w:hAnsi="宋体" w:eastAsia="宋体" w:cs="宋体"/>
                <w:color w:val="auto"/>
                <w:sz w:val="21"/>
                <w:szCs w:val="21"/>
                <w:highlight w:val="none"/>
                <w:lang w:eastAsia="zh-CN"/>
              </w:rPr>
              <w:t>焦煳及其他</w:t>
            </w:r>
            <w:r>
              <w:rPr>
                <w:rFonts w:hint="eastAsia" w:ascii="宋体" w:hAnsi="宋体" w:eastAsia="宋体" w:cs="宋体"/>
                <w:color w:val="auto"/>
                <w:sz w:val="21"/>
                <w:szCs w:val="21"/>
                <w:highlight w:val="none"/>
              </w:rPr>
              <w:t>异味、异物。</w:t>
            </w:r>
          </w:p>
          <w:p w14:paraId="1034B5D1">
            <w:pPr>
              <w:keepNext w:val="0"/>
              <w:keepLines/>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6.淀粉制品：具有各自品种固有的形态和色泽，不酸、不粘、不发霉，无变质，无异味，无杂质，口尝无砂质。</w:t>
            </w:r>
          </w:p>
          <w:p w14:paraId="74B824B8">
            <w:pPr>
              <w:keepNext w:val="0"/>
              <w:keepLines/>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7.食盐：结晶整齐一致，坚硬光滑，呈透明或半透明，不结块，无反卤吸潮现象，无杂质，</w:t>
            </w:r>
            <w:r>
              <w:rPr>
                <w:rFonts w:hint="eastAsia" w:ascii="宋体" w:hAnsi="宋体" w:eastAsia="宋体" w:cs="宋体"/>
                <w:color w:val="auto"/>
                <w:sz w:val="21"/>
                <w:szCs w:val="21"/>
                <w:highlight w:val="none"/>
                <w:lang w:eastAsia="zh-CN"/>
              </w:rPr>
              <w:t>蘸取</w:t>
            </w:r>
            <w:r>
              <w:rPr>
                <w:rFonts w:hint="eastAsia" w:ascii="宋体" w:hAnsi="宋体" w:eastAsia="宋体" w:cs="宋体"/>
                <w:color w:val="auto"/>
                <w:sz w:val="21"/>
                <w:szCs w:val="21"/>
                <w:highlight w:val="none"/>
              </w:rPr>
              <w:t>少许尝试具有纯正的咸味。</w:t>
            </w:r>
          </w:p>
          <w:p w14:paraId="617D89C3">
            <w:pPr>
              <w:keepNext w:val="0"/>
              <w:keepLines/>
              <w:pageBreakBefore w:val="0"/>
              <w:widowControl w:val="0"/>
              <w:kinsoku/>
              <w:wordWrap w:val="0"/>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辛辣料主要原料有八角、花椒、胡椒、桂皮、小茴香、大茴香、辣椒、孜然等。辛辣料呈干燥状，具有该种香料植物所特有的色、香、味，没有不纯正的气味和味道，无发霉味或其他异味。</w:t>
            </w:r>
          </w:p>
          <w:p w14:paraId="0D62B496">
            <w:pPr>
              <w:keepNext w:val="0"/>
              <w:keepLines/>
              <w:pageBreakBefore w:val="0"/>
              <w:widowControl/>
              <w:kinsoku/>
              <w:wordWrap w:val="0"/>
              <w:overflowPunct/>
              <w:topLinePunct w:val="0"/>
              <w:autoSpaceDE/>
              <w:autoSpaceDN/>
              <w:bidi w:val="0"/>
              <w:adjustRightInd w:val="0"/>
              <w:snapToGrid/>
              <w:spacing w:line="400" w:lineRule="exact"/>
              <w:ind w:firstLine="420" w:firstLineChars="200"/>
              <w:jc w:val="left"/>
              <w:textAlignment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pacing w:val="-2"/>
                <w:sz w:val="21"/>
                <w:szCs w:val="21"/>
                <w:highlight w:val="none"/>
              </w:rPr>
              <w:t>其他调味原料</w:t>
            </w:r>
            <w:r>
              <w:rPr>
                <w:rFonts w:hint="eastAsia" w:ascii="宋体" w:hAnsi="宋体" w:eastAsia="宋体" w:cs="宋体"/>
                <w:color w:val="auto"/>
                <w:sz w:val="21"/>
                <w:szCs w:val="21"/>
                <w:highlight w:val="none"/>
              </w:rPr>
              <w:t>质量标准按照《中华人民共和国食品安全法》等相关</w:t>
            </w:r>
            <w:r>
              <w:rPr>
                <w:rFonts w:hint="eastAsia" w:ascii="宋体" w:hAnsi="宋体" w:eastAsia="宋体" w:cs="宋体"/>
                <w:color w:val="auto"/>
                <w:spacing w:val="-1"/>
                <w:sz w:val="21"/>
                <w:szCs w:val="21"/>
                <w:highlight w:val="none"/>
              </w:rPr>
              <w:t>法律法规执行。</w:t>
            </w:r>
          </w:p>
        </w:tc>
      </w:tr>
      <w:tr w14:paraId="17D79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19" w:type="dxa"/>
            <w:noWrap w:val="0"/>
            <w:vAlign w:val="center"/>
          </w:tcPr>
          <w:p w14:paraId="54C4E996">
            <w:pPr>
              <w:keepNext w:val="0"/>
              <w:keepLines/>
              <w:pageBreakBefore w:val="0"/>
              <w:widowControl/>
              <w:kinsoku/>
              <w:wordWrap w:val="0"/>
              <w:overflowPunct/>
              <w:topLinePunct w:val="0"/>
              <w:bidi w:val="0"/>
              <w:spacing w:line="400" w:lineRule="exact"/>
              <w:jc w:val="center"/>
              <w:textAlignment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10</w:t>
            </w:r>
          </w:p>
        </w:tc>
        <w:tc>
          <w:tcPr>
            <w:tcW w:w="1905" w:type="dxa"/>
            <w:gridSpan w:val="2"/>
            <w:noWrap w:val="0"/>
            <w:vAlign w:val="center"/>
          </w:tcPr>
          <w:p w14:paraId="4DEC0224">
            <w:pPr>
              <w:keepNext w:val="0"/>
              <w:keepLines/>
              <w:pageBreakBefore w:val="0"/>
              <w:widowControl/>
              <w:kinsoku/>
              <w:wordWrap w:val="0"/>
              <w:overflowPunct/>
              <w:topLinePunct w:val="0"/>
              <w:bidi w:val="0"/>
              <w:spacing w:line="400" w:lineRule="exact"/>
              <w:jc w:val="center"/>
              <w:textAlignment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粮油类</w:t>
            </w:r>
          </w:p>
        </w:tc>
        <w:tc>
          <w:tcPr>
            <w:tcW w:w="6356" w:type="dxa"/>
            <w:noWrap w:val="0"/>
            <w:vAlign w:val="center"/>
          </w:tcPr>
          <w:p w14:paraId="414E3632">
            <w:pPr>
              <w:keepNext w:val="0"/>
              <w:keepLines/>
              <w:pageBreakBefore w:val="0"/>
              <w:widowControl/>
              <w:kinsoku/>
              <w:wordWrap w:val="0"/>
              <w:overflowPunct/>
              <w:topLinePunct w:val="0"/>
              <w:autoSpaceDE/>
              <w:autoSpaceDN/>
              <w:bidi w:val="0"/>
              <w:adjustRightInd w:val="0"/>
              <w:snapToGrid/>
              <w:spacing w:line="400" w:lineRule="exact"/>
              <w:jc w:val="left"/>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1.米</w:t>
            </w:r>
          </w:p>
          <w:p w14:paraId="1096BC43">
            <w:pPr>
              <w:pStyle w:val="38"/>
              <w:keepNext w:val="0"/>
              <w:keepLines/>
              <w:pageBreakBefore w:val="0"/>
              <w:widowControl w:val="0"/>
              <w:kinsoku/>
              <w:wordWrap w:val="0"/>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包装要求：包装应符合《粮食销售包装》(GB/T17109-2008)要求，包装材料清洁、卫生，符合国家食品卫生标准的规定</w:t>
            </w:r>
            <w:r>
              <w:rPr>
                <w:rFonts w:hint="eastAsia" w:ascii="宋体" w:hAnsi="宋体" w:eastAsia="宋体" w:cs="宋体"/>
                <w:color w:val="auto"/>
                <w:sz w:val="21"/>
                <w:szCs w:val="21"/>
                <w:highlight w:val="none"/>
                <w:lang w:eastAsia="zh-CN"/>
              </w:rPr>
              <w:t>。</w:t>
            </w:r>
          </w:p>
          <w:p w14:paraId="0B62C5F5">
            <w:pPr>
              <w:pStyle w:val="38"/>
              <w:keepNext w:val="0"/>
              <w:keepLines/>
              <w:pageBreakBefore w:val="0"/>
              <w:widowControl w:val="0"/>
              <w:kinsoku/>
              <w:wordWrap w:val="0"/>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质量等级符合GB/T1354-2018标准</w:t>
            </w:r>
            <w:r>
              <w:rPr>
                <w:rFonts w:hint="eastAsia" w:ascii="宋体" w:hAnsi="宋体" w:eastAsia="宋体" w:cs="宋体"/>
                <w:color w:val="auto"/>
                <w:sz w:val="21"/>
                <w:szCs w:val="21"/>
                <w:highlight w:val="none"/>
                <w:lang w:eastAsia="zh-CN"/>
              </w:rPr>
              <w:t>。</w:t>
            </w:r>
          </w:p>
          <w:p w14:paraId="6A4D4B46">
            <w:pPr>
              <w:keepNext w:val="0"/>
              <w:keepLines/>
              <w:pageBreakBefore w:val="0"/>
              <w:widowControl/>
              <w:kinsoku/>
              <w:wordWrap w:val="0"/>
              <w:overflowPunct/>
              <w:topLinePunct w:val="0"/>
              <w:autoSpaceDE/>
              <w:autoSpaceDN/>
              <w:bidi w:val="0"/>
              <w:adjustRightInd w:val="0"/>
              <w:snapToGrid/>
              <w:spacing w:line="400" w:lineRule="exact"/>
              <w:ind w:firstLine="420" w:firstLineChars="20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米粒表面无横裂纹、无杂质、无异味、无虫蚀粒</w:t>
            </w:r>
            <w:r>
              <w:rPr>
                <w:rFonts w:hint="eastAsia" w:ascii="宋体" w:hAnsi="宋体" w:eastAsia="宋体" w:cs="宋体"/>
                <w:color w:val="auto"/>
                <w:sz w:val="21"/>
                <w:szCs w:val="21"/>
                <w:highlight w:val="none"/>
                <w:lang w:eastAsia="zh-CN"/>
              </w:rPr>
              <w:t>。</w:t>
            </w:r>
          </w:p>
          <w:p w14:paraId="1E13EC08">
            <w:pPr>
              <w:keepNext w:val="0"/>
              <w:keepLines/>
              <w:pageBreakBefore w:val="0"/>
              <w:widowControl/>
              <w:kinsoku/>
              <w:wordWrap w:val="0"/>
              <w:overflowPunct/>
              <w:topLinePunct w:val="0"/>
              <w:autoSpaceDE/>
              <w:autoSpaceDN/>
              <w:bidi w:val="0"/>
              <w:adjustRightInd w:val="0"/>
              <w:snapToGrid/>
              <w:spacing w:line="400" w:lineRule="exact"/>
              <w:ind w:firstLine="420" w:firstLineChars="200"/>
              <w:jc w:val="left"/>
              <w:textAlignment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包装标识应符合《预包装食品标签通则》(GB7718-2025)，需标注产品名称、产地、生产日期(距交货日期不超过3个月)、保质期(＞6个月)、生产厂家名称及地址、联系方式、生产许可证编号(SC标识)、质量等级、储存条件等信息。</w:t>
            </w:r>
          </w:p>
          <w:p w14:paraId="659ADCE5">
            <w:pPr>
              <w:keepNext w:val="0"/>
              <w:keepLines/>
              <w:pageBreakBefore w:val="0"/>
              <w:widowControl/>
              <w:kinsoku/>
              <w:wordWrap w:val="0"/>
              <w:overflowPunct/>
              <w:topLinePunct w:val="0"/>
              <w:autoSpaceDE/>
              <w:autoSpaceDN/>
              <w:bidi w:val="0"/>
              <w:adjustRightInd w:val="0"/>
              <w:snapToGrid/>
              <w:spacing w:line="400" w:lineRule="exact"/>
              <w:jc w:val="left"/>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2.食用油</w:t>
            </w:r>
          </w:p>
          <w:p w14:paraId="3521331A">
            <w:pPr>
              <w:keepNext w:val="0"/>
              <w:keepLines/>
              <w:pageBreakBefore w:val="0"/>
              <w:widowControl/>
              <w:kinsoku/>
              <w:wordWrap w:val="0"/>
              <w:overflowPunct/>
              <w:topLinePunct w:val="0"/>
              <w:autoSpaceDE/>
              <w:autoSpaceDN/>
              <w:bidi w:val="0"/>
              <w:adjustRightInd w:val="0"/>
              <w:snapToGrid/>
              <w:spacing w:line="400" w:lineRule="exact"/>
              <w:ind w:firstLine="420" w:firstLineChars="20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个食用油品种必须色泽好，透明度高，无浑浊，无沉淀和悬浮物，粘度小，无分层现象，气味正常，无酸臭异味。严格执行GB2716《食用植物油卫生标准》和GB2760《食品添加剂使用卫生标准》等相关质量标准及卫生安全标准；供应商须根据采购人需求的食用油等级保质保量完成供货。要求提供的食用油生产厂家信誉良好，有明确的物品标签，有生产日期、保质期、质量等级，并标明初制油的加工工艺（即用浸出法生产，还是用压榨法生产的）和是否用转基因油料生产，不许以次充好、以假充真。如将毛油当一级或二级油进行销售，将低价位的植物油掺入高价位植物油中进行销售，牟取暴利，一经查处，供应商将承担全部责任。</w:t>
            </w:r>
          </w:p>
        </w:tc>
      </w:tr>
      <w:tr w14:paraId="54288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19" w:type="dxa"/>
            <w:noWrap w:val="0"/>
            <w:vAlign w:val="center"/>
          </w:tcPr>
          <w:p w14:paraId="6EBEA767">
            <w:pPr>
              <w:keepNext w:val="0"/>
              <w:keepLines/>
              <w:pageBreakBefore w:val="0"/>
              <w:widowControl/>
              <w:kinsoku/>
              <w:wordWrap w:val="0"/>
              <w:overflowPunct/>
              <w:topLinePunct w:val="0"/>
              <w:bidi w:val="0"/>
              <w:spacing w:line="400" w:lineRule="exact"/>
              <w:jc w:val="center"/>
              <w:textAlignment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11</w:t>
            </w:r>
          </w:p>
        </w:tc>
        <w:tc>
          <w:tcPr>
            <w:tcW w:w="1905" w:type="dxa"/>
            <w:gridSpan w:val="2"/>
            <w:noWrap w:val="0"/>
            <w:vAlign w:val="center"/>
          </w:tcPr>
          <w:p w14:paraId="3EB47DC1">
            <w:pPr>
              <w:keepNext w:val="0"/>
              <w:keepLines/>
              <w:pageBreakBefore w:val="0"/>
              <w:widowControl/>
              <w:kinsoku/>
              <w:wordWrap w:val="0"/>
              <w:overflowPunct/>
              <w:topLinePunct w:val="0"/>
              <w:bidi w:val="0"/>
              <w:spacing w:line="400" w:lineRule="exact"/>
              <w:jc w:val="center"/>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rPr>
              <w:t>其他食材</w:t>
            </w:r>
          </w:p>
        </w:tc>
        <w:tc>
          <w:tcPr>
            <w:tcW w:w="6356" w:type="dxa"/>
            <w:noWrap w:val="0"/>
            <w:vAlign w:val="center"/>
          </w:tcPr>
          <w:p w14:paraId="4E2EA929">
            <w:pPr>
              <w:keepNext w:val="0"/>
              <w:keepLines/>
              <w:pageBreakBefore w:val="0"/>
              <w:widowControl/>
              <w:kinsoku/>
              <w:wordWrap w:val="0"/>
              <w:overflowPunct/>
              <w:topLinePunct w:val="0"/>
              <w:autoSpaceDE/>
              <w:autoSpaceDN/>
              <w:bidi w:val="0"/>
              <w:adjustRightInd w:val="0"/>
              <w:snapToGrid/>
              <w:spacing w:line="400" w:lineRule="exact"/>
              <w:ind w:firstLine="420" w:firstLineChars="200"/>
              <w:jc w:val="left"/>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质量标准按照《中华人民共和国食品安全法》等相关法律法规执行。</w:t>
            </w:r>
          </w:p>
        </w:tc>
      </w:tr>
      <w:tr w14:paraId="7C400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80" w:type="dxa"/>
            <w:gridSpan w:val="4"/>
            <w:noWrap w:val="0"/>
            <w:vAlign w:val="center"/>
          </w:tcPr>
          <w:p w14:paraId="0E44687C">
            <w:pPr>
              <w:keepNext w:val="0"/>
              <w:keepLines/>
              <w:pageBreakBefore w:val="0"/>
              <w:widowControl/>
              <w:kinsoku/>
              <w:wordWrap w:val="0"/>
              <w:overflowPunct/>
              <w:topLinePunct w:val="0"/>
              <w:autoSpaceDE/>
              <w:autoSpaceDN/>
              <w:bidi w:val="0"/>
              <w:adjustRightInd w:val="0"/>
              <w:snapToGrid/>
              <w:spacing w:line="400" w:lineRule="exact"/>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商务要求</w:t>
            </w:r>
          </w:p>
        </w:tc>
      </w:tr>
      <w:tr w14:paraId="5E9A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96" w:type="dxa"/>
            <w:gridSpan w:val="2"/>
            <w:noWrap w:val="0"/>
            <w:vAlign w:val="center"/>
          </w:tcPr>
          <w:p w14:paraId="4536A598">
            <w:pPr>
              <w:keepNext w:val="0"/>
              <w:keepLines/>
              <w:pageBreakBefore w:val="0"/>
              <w:kinsoku/>
              <w:wordWrap w:val="0"/>
              <w:overflowPunct/>
              <w:topLinePunct w:val="0"/>
              <w:bidi w:val="0"/>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服务期限</w:t>
            </w:r>
            <w:r>
              <w:rPr>
                <w:rFonts w:hint="eastAsia" w:ascii="宋体" w:hAnsi="宋体" w:eastAsia="宋体" w:cs="宋体"/>
                <w:b/>
                <w:bCs/>
                <w:color w:val="auto"/>
                <w:sz w:val="21"/>
                <w:szCs w:val="21"/>
                <w:highlight w:val="none"/>
                <w:lang w:val="en-US" w:eastAsia="zh-CN"/>
              </w:rPr>
              <w:t>及要求</w:t>
            </w:r>
          </w:p>
        </w:tc>
        <w:tc>
          <w:tcPr>
            <w:tcW w:w="7184" w:type="dxa"/>
            <w:gridSpan w:val="2"/>
            <w:noWrap w:val="0"/>
            <w:vAlign w:val="center"/>
          </w:tcPr>
          <w:p w14:paraId="46E10520">
            <w:pPr>
              <w:keepNext w:val="0"/>
              <w:keepLines/>
              <w:pageBreakBefore w:val="0"/>
              <w:widowControl/>
              <w:kinsoku/>
              <w:wordWrap w:val="0"/>
              <w:overflowPunct/>
              <w:topLinePunct w:val="0"/>
              <w:autoSpaceDE/>
              <w:autoSpaceDN/>
              <w:bidi w:val="0"/>
              <w:adjustRightInd w:val="0"/>
              <w:snapToGrid/>
              <w:spacing w:line="400" w:lineRule="exact"/>
              <w:ind w:firstLine="420" w:firstLineChars="2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自合同签订之日起</w:t>
            </w:r>
            <w:r>
              <w:rPr>
                <w:rFonts w:hint="eastAsia" w:ascii="宋体" w:hAnsi="宋体" w:eastAsia="宋体" w:cs="宋体"/>
                <w:b w:val="0"/>
                <w:bCs w:val="0"/>
                <w:color w:val="auto"/>
                <w:sz w:val="21"/>
                <w:szCs w:val="21"/>
                <w:highlight w:val="none"/>
                <w:lang w:val="en-US" w:eastAsia="zh-CN"/>
              </w:rPr>
              <w:t>一年</w:t>
            </w:r>
            <w:r>
              <w:rPr>
                <w:rFonts w:hint="eastAsia" w:ascii="宋体" w:hAnsi="宋体" w:eastAsia="宋体" w:cs="宋体"/>
                <w:b w:val="0"/>
                <w:bCs w:val="0"/>
                <w:color w:val="auto"/>
                <w:sz w:val="21"/>
                <w:szCs w:val="21"/>
                <w:highlight w:val="none"/>
                <w:lang w:eastAsia="zh-CN"/>
              </w:rPr>
              <w:t>，具体以实际签订时间为准。</w:t>
            </w:r>
          </w:p>
        </w:tc>
      </w:tr>
      <w:tr w14:paraId="1A56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96" w:type="dxa"/>
            <w:gridSpan w:val="2"/>
            <w:noWrap w:val="0"/>
            <w:vAlign w:val="center"/>
          </w:tcPr>
          <w:p w14:paraId="531DB234">
            <w:pPr>
              <w:keepNext w:val="0"/>
              <w:keepLines/>
              <w:pageBreakBefore w:val="0"/>
              <w:kinsoku/>
              <w:wordWrap w:val="0"/>
              <w:overflowPunct/>
              <w:topLinePunct w:val="0"/>
              <w:bidi w:val="0"/>
              <w:spacing w:line="40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配送地点</w:t>
            </w:r>
          </w:p>
        </w:tc>
        <w:tc>
          <w:tcPr>
            <w:tcW w:w="7184" w:type="dxa"/>
            <w:gridSpan w:val="2"/>
            <w:noWrap w:val="0"/>
            <w:vAlign w:val="center"/>
          </w:tcPr>
          <w:p w14:paraId="7FDC72D4">
            <w:pPr>
              <w:keepNext w:val="0"/>
              <w:keepLines/>
              <w:pageBreakBefore w:val="0"/>
              <w:widowControl/>
              <w:kinsoku/>
              <w:wordWrap w:val="0"/>
              <w:overflowPunct/>
              <w:topLinePunct w:val="0"/>
              <w:autoSpaceDE/>
              <w:autoSpaceDN/>
              <w:bidi w:val="0"/>
              <w:adjustRightInd w:val="0"/>
              <w:snapToGrid/>
              <w:spacing w:line="400" w:lineRule="exact"/>
              <w:ind w:firstLine="420" w:firstLineChars="20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北海市银海区银滩大道大冠沙路段北海市体育运动学校。</w:t>
            </w:r>
          </w:p>
        </w:tc>
      </w:tr>
      <w:tr w14:paraId="37C2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96" w:type="dxa"/>
            <w:gridSpan w:val="2"/>
            <w:noWrap w:val="0"/>
            <w:vAlign w:val="center"/>
          </w:tcPr>
          <w:p w14:paraId="4DA7216D">
            <w:pPr>
              <w:keepNext w:val="0"/>
              <w:keepLines/>
              <w:pageBreakBefore w:val="0"/>
              <w:kinsoku/>
              <w:wordWrap w:val="0"/>
              <w:overflowPunct/>
              <w:topLinePunct w:val="0"/>
              <w:bidi w:val="0"/>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服务实施要求</w:t>
            </w:r>
          </w:p>
        </w:tc>
        <w:tc>
          <w:tcPr>
            <w:tcW w:w="7184" w:type="dxa"/>
            <w:gridSpan w:val="2"/>
            <w:noWrap w:val="0"/>
            <w:vAlign w:val="center"/>
          </w:tcPr>
          <w:p w14:paraId="357CE644">
            <w:pPr>
              <w:keepNext w:val="0"/>
              <w:keepLines/>
              <w:pageBreakBefore w:val="0"/>
              <w:widowControl w:val="0"/>
              <w:kinsoku/>
              <w:wordWrap w:val="0"/>
              <w:overflowPunct/>
              <w:topLinePunct w:val="0"/>
              <w:autoSpaceDE/>
              <w:autoSpaceDN/>
              <w:bidi w:val="0"/>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1.具有健全的服务管理制度，质量管理、档案管理等制度。成交</w:t>
            </w:r>
            <w:r>
              <w:rPr>
                <w:rFonts w:hint="eastAsia" w:ascii="宋体" w:hAnsi="宋体" w:eastAsia="宋体" w:cs="宋体"/>
                <w:color w:val="auto"/>
                <w:sz w:val="21"/>
                <w:szCs w:val="21"/>
                <w:highlight w:val="none"/>
                <w:lang w:val="en-US" w:eastAsia="zh-CN"/>
              </w:rPr>
              <w:t>供应商具有冷库、食品加</w:t>
            </w:r>
            <w:r>
              <w:rPr>
                <w:rFonts w:hint="eastAsia" w:ascii="宋体" w:hAnsi="宋体" w:cs="宋体"/>
                <w:color w:val="auto"/>
                <w:sz w:val="21"/>
                <w:szCs w:val="21"/>
                <w:highlight w:val="none"/>
                <w:lang w:val="en-US" w:eastAsia="zh-CN"/>
              </w:rPr>
              <w:t>工</w:t>
            </w:r>
            <w:r>
              <w:rPr>
                <w:rFonts w:hint="eastAsia" w:ascii="宋体" w:hAnsi="宋体" w:eastAsia="宋体" w:cs="宋体"/>
                <w:color w:val="auto"/>
                <w:sz w:val="21"/>
                <w:szCs w:val="21"/>
                <w:highlight w:val="none"/>
                <w:lang w:val="en-US" w:eastAsia="zh-CN"/>
              </w:rPr>
              <w:t>车间、食品库，成交供应商必须有相应生产或供货能力、配送能力、仓储能力且信誉良好。成交供应商应当为本项目配备专用配送车，专用配送车在配送日不得用于本项目外其他配送项目。成交供应商应当严格按照承诺人数安排专人负责配送项目，如有人员更换，必须提前报采购人批准，否则，采购人有权拒收。</w:t>
            </w:r>
          </w:p>
          <w:p w14:paraId="385ACBD3">
            <w:pPr>
              <w:keepNext w:val="0"/>
              <w:keepLines/>
              <w:pageBreakBefore w:val="0"/>
              <w:widowControl w:val="0"/>
              <w:kinsoku/>
              <w:wordWrap w:val="0"/>
              <w:overflowPunct/>
              <w:topLinePunct w:val="0"/>
              <w:autoSpaceDE/>
              <w:autoSpaceDN/>
              <w:bidi w:val="0"/>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2.成交供应商提供7*24电话服务，如遇特殊情况需要临时增加食材配送，成交供应商须及时配合采购人做好食材配送工作。</w:t>
            </w:r>
          </w:p>
          <w:p w14:paraId="31C5B866">
            <w:pPr>
              <w:keepNext w:val="0"/>
              <w:keepLines/>
              <w:pageBreakBefore w:val="0"/>
              <w:widowControl w:val="0"/>
              <w:kinsoku/>
              <w:wordWrap w:val="0"/>
              <w:overflowPunct/>
              <w:topLinePunct w:val="0"/>
              <w:autoSpaceDE/>
              <w:autoSpaceDN/>
              <w:bidi w:val="0"/>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3.成交供应商必须遵守采购人有关管理制度及时完成采购人下达的临时性和指令性工作，服从采购人的工作安排。</w:t>
            </w:r>
          </w:p>
          <w:p w14:paraId="0F4ADACF">
            <w:pPr>
              <w:keepNext w:val="0"/>
              <w:keepLines/>
              <w:pageBreakBefore w:val="0"/>
              <w:widowControl w:val="0"/>
              <w:kinsoku/>
              <w:wordWrap w:val="0"/>
              <w:overflowPunct/>
              <w:topLinePunct w:val="0"/>
              <w:autoSpaceDE/>
              <w:autoSpaceDN/>
              <w:bidi w:val="0"/>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4.成交供应商必须服从采购人管理，遵守采购人有关管理制度，严格按照采购人的要求提供管理服务，自觉接受采购人及相关管理部门的业务检查和监督。</w:t>
            </w:r>
          </w:p>
          <w:p w14:paraId="3C4ADD67">
            <w:pPr>
              <w:keepNext w:val="0"/>
              <w:keepLines/>
              <w:pageBreakBefore w:val="0"/>
              <w:widowControl w:val="0"/>
              <w:kinsoku/>
              <w:wordWrap w:val="0"/>
              <w:overflowPunct/>
              <w:topLinePunct w:val="0"/>
              <w:autoSpaceDE/>
              <w:autoSpaceDN/>
              <w:bidi w:val="0"/>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成交供应商在提供管理服务时必须做好各项安全防范措施，成交供应商所有工作人员在合约期间如发生任何人身意外（生病、伤亡事故）、事故、触犯法律法规，违反行业规范（包括劳动用工制度、发生劳资纠纷、采购人单位的规章制度等、因过失造成他人人身伤亡的）、或损坏采购人单位的设施和物品，由供应商负责处理并承担经济</w:t>
            </w:r>
            <w:r>
              <w:rPr>
                <w:rFonts w:hint="eastAsia" w:ascii="宋体" w:hAnsi="宋体" w:cs="宋体"/>
                <w:b w:val="0"/>
                <w:bCs/>
                <w:color w:val="auto"/>
                <w:sz w:val="21"/>
                <w:szCs w:val="21"/>
                <w:highlight w:val="none"/>
                <w:lang w:val="en-US" w:eastAsia="zh-CN"/>
              </w:rPr>
              <w:t>损失</w:t>
            </w:r>
            <w:r>
              <w:rPr>
                <w:rFonts w:hint="eastAsia" w:ascii="宋体" w:hAnsi="宋体" w:eastAsia="宋体" w:cs="宋体"/>
                <w:b w:val="0"/>
                <w:bCs/>
                <w:color w:val="auto"/>
                <w:sz w:val="21"/>
                <w:szCs w:val="21"/>
                <w:highlight w:val="none"/>
                <w:lang w:val="en-US" w:eastAsia="zh-CN"/>
              </w:rPr>
              <w:t>和</w:t>
            </w:r>
            <w:r>
              <w:rPr>
                <w:rFonts w:hint="eastAsia" w:ascii="宋体" w:hAnsi="宋体" w:cs="宋体"/>
                <w:b w:val="0"/>
                <w:bCs/>
                <w:color w:val="auto"/>
                <w:sz w:val="21"/>
                <w:szCs w:val="21"/>
                <w:highlight w:val="none"/>
                <w:lang w:val="en-US" w:eastAsia="zh-CN"/>
              </w:rPr>
              <w:t>法律</w:t>
            </w:r>
            <w:r>
              <w:rPr>
                <w:rFonts w:hint="eastAsia" w:ascii="宋体" w:hAnsi="宋体" w:eastAsia="宋体" w:cs="宋体"/>
                <w:b w:val="0"/>
                <w:bCs/>
                <w:color w:val="auto"/>
                <w:sz w:val="21"/>
                <w:szCs w:val="21"/>
                <w:highlight w:val="none"/>
                <w:lang w:val="en-US" w:eastAsia="zh-CN"/>
              </w:rPr>
              <w:t>责任。</w:t>
            </w:r>
          </w:p>
          <w:p w14:paraId="31E000F5">
            <w:pPr>
              <w:keepNext w:val="0"/>
              <w:keepLines/>
              <w:pageBreakBefore w:val="0"/>
              <w:widowControl w:val="0"/>
              <w:kinsoku/>
              <w:wordWrap w:val="0"/>
              <w:overflowPunct/>
              <w:topLinePunct w:val="0"/>
              <w:autoSpaceDE/>
              <w:autoSpaceDN/>
              <w:bidi w:val="0"/>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6.成交供应商与拟派服务的工作人员产生相关劳务、劳资纠纷等事宜均与采购人无关。</w:t>
            </w:r>
          </w:p>
          <w:p w14:paraId="773E1B53">
            <w:pPr>
              <w:keepNext w:val="0"/>
              <w:keepLines/>
              <w:pageBreakBefore w:val="0"/>
              <w:widowControl w:val="0"/>
              <w:kinsoku/>
              <w:wordWrap w:val="0"/>
              <w:overflowPunct/>
              <w:topLinePunct w:val="0"/>
              <w:autoSpaceDE/>
              <w:autoSpaceDN/>
              <w:bidi w:val="0"/>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供应商需承诺在服务期内购买食品安全责任保险，保险期限涵盖本项目的服务期。</w:t>
            </w:r>
          </w:p>
        </w:tc>
      </w:tr>
      <w:tr w14:paraId="06518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96" w:type="dxa"/>
            <w:gridSpan w:val="2"/>
            <w:noWrap w:val="0"/>
            <w:vAlign w:val="center"/>
          </w:tcPr>
          <w:p w14:paraId="153B341E">
            <w:pPr>
              <w:keepNext w:val="0"/>
              <w:keepLines/>
              <w:pageBreakBefore w:val="0"/>
              <w:kinsoku/>
              <w:wordWrap w:val="0"/>
              <w:overflowPunct/>
              <w:topLinePunct w:val="0"/>
              <w:bidi w:val="0"/>
              <w:spacing w:line="40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送货方式</w:t>
            </w:r>
            <w:r>
              <w:rPr>
                <w:rFonts w:hint="eastAsia" w:ascii="宋体" w:hAnsi="宋体" w:eastAsia="宋体" w:cs="宋体"/>
                <w:b/>
                <w:bCs/>
                <w:color w:val="auto"/>
                <w:sz w:val="21"/>
                <w:szCs w:val="21"/>
                <w:highlight w:val="none"/>
              </w:rPr>
              <w:t>及配送时间要求</w:t>
            </w:r>
          </w:p>
        </w:tc>
        <w:tc>
          <w:tcPr>
            <w:tcW w:w="7184" w:type="dxa"/>
            <w:gridSpan w:val="2"/>
            <w:noWrap w:val="0"/>
            <w:vAlign w:val="center"/>
          </w:tcPr>
          <w:p w14:paraId="47F44918">
            <w:pPr>
              <w:pStyle w:val="19"/>
              <w:keepNext w:val="0"/>
              <w:keepLines/>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送货要求</w:t>
            </w:r>
            <w:r>
              <w:rPr>
                <w:rFonts w:hint="eastAsia" w:ascii="宋体" w:hAnsi="宋体" w:eastAsia="宋体" w:cs="宋体"/>
                <w:b/>
                <w:bCs/>
                <w:color w:val="auto"/>
                <w:sz w:val="21"/>
                <w:szCs w:val="21"/>
                <w:highlight w:val="none"/>
              </w:rPr>
              <w:t>：</w:t>
            </w:r>
            <w:r>
              <w:rPr>
                <w:rFonts w:hint="eastAsia" w:ascii="宋体" w:hAnsi="宋体" w:eastAsia="宋体" w:cs="宋体"/>
                <w:color w:val="auto"/>
                <w:kern w:val="2"/>
                <w:sz w:val="21"/>
                <w:szCs w:val="21"/>
                <w:highlight w:val="none"/>
                <w:lang w:val="en-US" w:eastAsia="zh-CN" w:bidi="ar-SA"/>
              </w:rPr>
              <w:t>采购人按需求制定食材采购计划，于前一日18:00前将次日食材采购计划通过书面订单、电话(需做好记录)、微信或其他方式通知成交供应商。若采购计划没有</w:t>
            </w:r>
            <w:r>
              <w:rPr>
                <w:rFonts w:hint="eastAsia" w:ascii="宋体" w:hAnsi="宋体" w:cs="宋体"/>
                <w:color w:val="auto"/>
                <w:kern w:val="2"/>
                <w:sz w:val="21"/>
                <w:szCs w:val="21"/>
                <w:highlight w:val="none"/>
                <w:lang w:val="en-US" w:eastAsia="zh-CN" w:bidi="ar-SA"/>
              </w:rPr>
              <w:t>及时</w:t>
            </w:r>
            <w:r>
              <w:rPr>
                <w:rFonts w:hint="eastAsia" w:ascii="宋体" w:hAnsi="宋体" w:eastAsia="宋体" w:cs="宋体"/>
                <w:color w:val="auto"/>
                <w:kern w:val="2"/>
                <w:sz w:val="21"/>
                <w:szCs w:val="21"/>
                <w:highlight w:val="none"/>
                <w:lang w:val="en-US" w:eastAsia="zh-CN" w:bidi="ar-SA"/>
              </w:rPr>
              <w:t>送达或出现错误时，成交供应商有义务主动提醒或通知采购人。成交供应商根据采购人每天提供的食材采购计划，及时组织物资筹措和加工，确保按规定的品种、数量质量供应。如需要更换供应品种时，须经采购人同意方可施行。供应商送货时需提供注明货品名称、单位、数量、售价及总金额的商品送货清单（另附电子</w:t>
            </w:r>
            <w:r>
              <w:rPr>
                <w:rFonts w:hint="eastAsia" w:ascii="宋体" w:hAnsi="宋体" w:cs="宋体"/>
                <w:color w:val="auto"/>
                <w:kern w:val="2"/>
                <w:sz w:val="21"/>
                <w:szCs w:val="21"/>
                <w:highlight w:val="none"/>
                <w:lang w:val="en-US" w:eastAsia="zh-CN" w:bidi="ar-SA"/>
              </w:rPr>
              <w:t>版</w:t>
            </w:r>
            <w:r>
              <w:rPr>
                <w:rFonts w:hint="eastAsia" w:ascii="宋体" w:hAnsi="宋体" w:eastAsia="宋体" w:cs="宋体"/>
                <w:color w:val="auto"/>
                <w:kern w:val="2"/>
                <w:sz w:val="21"/>
                <w:szCs w:val="21"/>
                <w:highlight w:val="none"/>
                <w:lang w:val="en-US" w:eastAsia="zh-CN" w:bidi="ar-SA"/>
              </w:rPr>
              <w:t>清单）交于采购人管理员验收无误后签字确认，作为双方验收凭证，同时供应商每月应当根据采购人需要提供采购的动、植物食品检验检疫报告。</w:t>
            </w:r>
          </w:p>
          <w:p w14:paraId="75585691">
            <w:pPr>
              <w:keepNext w:val="0"/>
              <w:keepLines/>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2.交货时间：</w:t>
            </w:r>
            <w:r>
              <w:rPr>
                <w:rFonts w:hint="eastAsia" w:ascii="宋体" w:hAnsi="宋体" w:eastAsia="宋体" w:cs="宋体"/>
                <w:color w:val="auto"/>
                <w:sz w:val="21"/>
                <w:szCs w:val="21"/>
                <w:highlight w:val="none"/>
                <w:lang w:val="en-US" w:eastAsia="zh-CN"/>
              </w:rPr>
              <w:t>供应商按照采购人订购的品种、规格、数量备齐实物，于每天上午8:00前送达。供应商必须按时送达采购人的食品，特殊情况下(天气、交通事故等非人为因素)可推迟0.5小时。遇采购人有特殊情况时，需要提前开饭或临时增加食材品种和数量，采购人应提前2小时将订单通知投标人，投标人应及时调整送货时间，并确保在收到通知后2个小时左右送达。采购人需要临时增加配送点时，供应商应当全力配合，确保满足采购人的食材配送需求。如遇不可抗力货物不能按时送达，需与采购人管理人员沟通解决。针对实际情况，供应商可拟定应急方案与采购人管理人员协商对接。</w:t>
            </w:r>
          </w:p>
          <w:p w14:paraId="5E77B88A">
            <w:pPr>
              <w:keepNext w:val="0"/>
              <w:keepLines/>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3.成交</w:t>
            </w:r>
            <w:r>
              <w:rPr>
                <w:rFonts w:hint="eastAsia" w:ascii="宋体" w:hAnsi="宋体" w:eastAsia="宋体" w:cs="宋体"/>
                <w:color w:val="auto"/>
                <w:sz w:val="21"/>
                <w:szCs w:val="21"/>
                <w:highlight w:val="none"/>
                <w:lang w:val="en-US" w:eastAsia="zh-CN"/>
              </w:rPr>
              <w:t>供应商要实行专业化规模化运作。成交供应商除不可抗力，不得因其他任何理由延迟送货。采购人如遇特殊情况需推迟送货，应提前通知成交供应商。因成交供应商原因延误交货日期的(采购人要求推迟的除外)，采购人有权自行采购，并由成交供应商承担由此产生的一切损失和费用。</w:t>
            </w:r>
          </w:p>
          <w:p w14:paraId="0E465099">
            <w:pPr>
              <w:keepNext w:val="0"/>
              <w:keepLines/>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4.运输要求</w:t>
            </w:r>
          </w:p>
          <w:p w14:paraId="2B848D93">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（1）所提供的物品运输应由供应商负责，必须采用符合卫生标准的外包装和运载工具，并且要保持清洁和定期消毒。运输车厢的内仓应使用抗腐蚀、防潮、易清洁消毒的材料。车厢内无不良气味、异味。</w:t>
            </w:r>
          </w:p>
          <w:p w14:paraId="4D915D39">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冷藏、冷冻食品必须用专用冷藏、冷冻载具运输，应当有必要的保温设备并在整个运输过程中保持安全的冷藏、冷冻温度。特别是对于长途运输的食品，保证食品在运输全过程处于合适的温度范围。整个运输过程应科学合理，运输车辆应定期清洁，保持性能稳定，符合规定的温度要求，使运输食品处于恒定的环境中。运输途中严防日晒、雨淋，注意通风散热；蔬菜应小心轻卸，严防机械损伤。</w:t>
            </w:r>
          </w:p>
          <w:p w14:paraId="0710C37B">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（3）关于冷冻食品配送，保证冷冻肉中心温度控制在-2℃-7℃的范围之内，保证运输过程冷链不中断。物品到达目的地时外包装箱干爽，无软化现象。海鲜运输方式应当为充氧运输，保证海鲜运到后海鲜的鲜活。</w:t>
            </w:r>
          </w:p>
          <w:p w14:paraId="0FD2983C">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卸货要求：送货车辆应保持清洁；食品堆放科学合理，避免造成食品的交叉污染；如对温度有要求的食品应确定食品的温度，记录送货车辆温度，并存档。在卸货过程中应保证冷藏食品脱离冷链时间不得超过20分钟，冷冻食品脱离冷链时间不得超过30分钟。</w:t>
            </w:r>
          </w:p>
          <w:p w14:paraId="1A7032DE">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（5）供应商承担运输途中的风险与责任。</w:t>
            </w:r>
          </w:p>
          <w:p w14:paraId="0B141F5A">
            <w:pPr>
              <w:keepNext w:val="0"/>
              <w:keepLines/>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成交供应商</w:t>
            </w:r>
            <w:r>
              <w:rPr>
                <w:rFonts w:hint="eastAsia" w:ascii="宋体" w:hAnsi="宋体" w:eastAsia="宋体" w:cs="宋体"/>
                <w:b/>
                <w:bCs/>
                <w:color w:val="auto"/>
                <w:sz w:val="21"/>
                <w:szCs w:val="21"/>
                <w:highlight w:val="none"/>
              </w:rPr>
              <w:t>必须负责所有供货产品的运输、质量检测等工作，</w:t>
            </w:r>
            <w:r>
              <w:rPr>
                <w:rFonts w:hint="eastAsia" w:ascii="宋体" w:hAnsi="宋体" w:cs="宋体"/>
                <w:b/>
                <w:bCs/>
                <w:color w:val="auto"/>
                <w:sz w:val="21"/>
                <w:szCs w:val="21"/>
                <w:highlight w:val="none"/>
                <w:lang w:val="en-US" w:eastAsia="zh-CN"/>
              </w:rPr>
              <w:t>由此</w:t>
            </w:r>
            <w:r>
              <w:rPr>
                <w:rFonts w:hint="eastAsia" w:ascii="宋体" w:hAnsi="宋体" w:eastAsia="宋体" w:cs="宋体"/>
                <w:b/>
                <w:bCs/>
                <w:color w:val="auto"/>
                <w:sz w:val="21"/>
                <w:szCs w:val="21"/>
                <w:highlight w:val="none"/>
              </w:rPr>
              <w:t>所产生的费用由</w:t>
            </w:r>
            <w:r>
              <w:rPr>
                <w:rFonts w:hint="eastAsia" w:ascii="宋体" w:hAnsi="宋体" w:eastAsia="宋体" w:cs="宋体"/>
                <w:b/>
                <w:bCs/>
                <w:color w:val="auto"/>
                <w:sz w:val="21"/>
                <w:szCs w:val="21"/>
                <w:highlight w:val="none"/>
                <w:lang w:val="en-US" w:eastAsia="zh-CN"/>
              </w:rPr>
              <w:t>成交供应商</w:t>
            </w:r>
            <w:r>
              <w:rPr>
                <w:rFonts w:hint="eastAsia" w:ascii="宋体" w:hAnsi="宋体" w:eastAsia="宋体" w:cs="宋体"/>
                <w:b/>
                <w:bCs/>
                <w:color w:val="auto"/>
                <w:sz w:val="21"/>
                <w:szCs w:val="21"/>
                <w:highlight w:val="none"/>
              </w:rPr>
              <w:t>负责。</w:t>
            </w:r>
          </w:p>
        </w:tc>
      </w:tr>
      <w:tr w14:paraId="4A795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96" w:type="dxa"/>
            <w:gridSpan w:val="2"/>
            <w:noWrap w:val="0"/>
            <w:vAlign w:val="center"/>
          </w:tcPr>
          <w:p w14:paraId="0677C723">
            <w:pPr>
              <w:keepNext w:val="0"/>
              <w:keepLines/>
              <w:pageBreakBefore w:val="0"/>
              <w:kinsoku/>
              <w:wordWrap w:val="0"/>
              <w:overflowPunct/>
              <w:topLinePunct w:val="0"/>
              <w:bidi w:val="0"/>
              <w:spacing w:line="40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配送相关要求</w:t>
            </w:r>
          </w:p>
        </w:tc>
        <w:tc>
          <w:tcPr>
            <w:tcW w:w="7184" w:type="dxa"/>
            <w:gridSpan w:val="2"/>
            <w:noWrap w:val="0"/>
            <w:vAlign w:val="center"/>
          </w:tcPr>
          <w:p w14:paraId="593E182D">
            <w:pPr>
              <w:keepNext w:val="0"/>
              <w:keepLines/>
              <w:pageBreakBefore w:val="0"/>
              <w:widowControl w:val="0"/>
              <w:kinsoku/>
              <w:wordWrap w:val="0"/>
              <w:overflowPunct/>
              <w:topLinePunct w:val="0"/>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必须按照采购人指定的采购清单在规定的时间内将货物送到采购人指定食堂，由采购人指定管理员负责检查验收，配送交货时双方在清点并检查完成后在配送清单上签字确认，配送清单须明确写明配送的物品种类、标准、单价、重量（数量）等信息。</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须遵守交货时间，积极配合采购人。因</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未及时送货造成的影响和损失，由</w:t>
            </w:r>
            <w:r>
              <w:rPr>
                <w:rFonts w:hint="eastAsia" w:ascii="宋体" w:hAnsi="宋体" w:eastAsia="宋体" w:cs="宋体"/>
                <w:color w:val="auto"/>
                <w:sz w:val="21"/>
                <w:szCs w:val="21"/>
                <w:highlight w:val="none"/>
                <w:lang w:val="en-US" w:eastAsia="zh-CN"/>
              </w:rPr>
              <w:t>成交供应商承担</w:t>
            </w:r>
            <w:r>
              <w:rPr>
                <w:rFonts w:hint="eastAsia" w:ascii="宋体" w:hAnsi="宋体" w:eastAsia="宋体" w:cs="宋体"/>
                <w:color w:val="auto"/>
                <w:sz w:val="21"/>
                <w:szCs w:val="21"/>
                <w:highlight w:val="none"/>
              </w:rPr>
              <w:t>全部责任。</w:t>
            </w:r>
          </w:p>
          <w:p w14:paraId="2D582AC7">
            <w:pPr>
              <w:keepNext w:val="0"/>
              <w:keepLines/>
              <w:pageBreakBefore w:val="0"/>
              <w:widowControl w:val="0"/>
              <w:kinsoku/>
              <w:wordWrap w:val="0"/>
              <w:overflowPunct/>
              <w:topLinePunct w:val="0"/>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所提供的货物必须做到完全符合国家食品安全卫生有关规定，并提供相关票据及相应食品的资质材料。如发现安全卫生质量问题，采购人有权立即退货，</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应做到及时调换，由食品安全卫生问题造成的食物中毒等后果，由</w:t>
            </w:r>
            <w:r>
              <w:rPr>
                <w:rFonts w:hint="eastAsia" w:ascii="宋体" w:hAnsi="宋体" w:eastAsia="宋体" w:cs="宋体"/>
                <w:color w:val="auto"/>
                <w:sz w:val="21"/>
                <w:szCs w:val="21"/>
                <w:highlight w:val="none"/>
                <w:lang w:val="en-US" w:eastAsia="zh-CN"/>
              </w:rPr>
              <w:t>成交供应商承担</w:t>
            </w:r>
            <w:r>
              <w:rPr>
                <w:rFonts w:hint="eastAsia" w:ascii="宋体" w:hAnsi="宋体" w:eastAsia="宋体" w:cs="宋体"/>
                <w:color w:val="auto"/>
                <w:sz w:val="21"/>
                <w:szCs w:val="21"/>
                <w:highlight w:val="none"/>
              </w:rPr>
              <w:t>全部责任。</w:t>
            </w:r>
          </w:p>
          <w:p w14:paraId="36C381AF">
            <w:pPr>
              <w:pStyle w:val="19"/>
              <w:keepNext w:val="0"/>
              <w:keepLines/>
              <w:pageBreakBefore w:val="0"/>
              <w:kinsoku/>
              <w:wordWrap w:val="0"/>
              <w:overflowPunct/>
              <w:topLinePunct w:val="0"/>
              <w:bidi w:val="0"/>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无论采购人当次采购食材的数量多少</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须无条件为采购人送货。具体需求量以实际供应前一天采购人要求为准。采购金额以实际结算价为准。采购人在任何情况下不保证配送商在采购周期内金额具体多少，供应商须自行承担由此带来的任何风险。</w:t>
            </w:r>
          </w:p>
          <w:p w14:paraId="2D17076E">
            <w:pPr>
              <w:keepNext w:val="0"/>
              <w:keepLines/>
              <w:pageBreakBefore w:val="0"/>
              <w:widowControl w:val="0"/>
              <w:kinsoku/>
              <w:wordWrap w:val="0"/>
              <w:overflowPunct/>
              <w:topLinePunct w:val="0"/>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必须向采购人提供所需要的有关食品的资料。</w:t>
            </w:r>
          </w:p>
          <w:p w14:paraId="5A809E56">
            <w:pPr>
              <w:keepNext w:val="0"/>
              <w:keepLines/>
              <w:pageBreakBefore w:val="0"/>
              <w:widowControl w:val="0"/>
              <w:kinsoku/>
              <w:wordWrap w:val="0"/>
              <w:overflowPunct/>
              <w:topLinePunct w:val="0"/>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必须固定专人长期送货，不得随意更换或指派来路不明的临时人员送货（固定送货人的身份证、健康证、驾驶证等复印件及相关工作人员身份证、健康证等相关证件复印件一并交采购人备案）。</w:t>
            </w:r>
          </w:p>
          <w:p w14:paraId="08324353">
            <w:pPr>
              <w:keepNext w:val="0"/>
              <w:keepLines/>
              <w:pageBreakBefore w:val="0"/>
              <w:widowControl w:val="0"/>
              <w:kinsoku/>
              <w:wordWrap w:val="0"/>
              <w:overflowPunct/>
              <w:topLinePunct w:val="0"/>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6.合同履行期限内禁止以下食品送入食堂，如有发现此类产品送入食堂，必须无条件退回所送的食品。</w:t>
            </w:r>
          </w:p>
          <w:p w14:paraId="684625AB">
            <w:pPr>
              <w:keepNext w:val="0"/>
              <w:keepLines/>
              <w:pageBreakBefore w:val="0"/>
              <w:widowControl w:val="0"/>
              <w:kinsoku/>
              <w:wordWrap w:val="0"/>
              <w:overflowPunct/>
              <w:topLinePunct w:val="0"/>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（1）腐烂变质、油脂酸败、霉变、生虫、污秽不洁、混有杂物或其他感官性状异常，可能对人体健康有害的。</w:t>
            </w:r>
          </w:p>
          <w:p w14:paraId="6FB5EEDD">
            <w:pPr>
              <w:keepNext w:val="0"/>
              <w:keepLines/>
              <w:pageBreakBefore w:val="0"/>
              <w:widowControl w:val="0"/>
              <w:kinsoku/>
              <w:wordWrap w:val="0"/>
              <w:overflowPunct/>
              <w:topLinePunct w:val="0"/>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（2）含有毒、有害物质或微生物毒素含量超过国家限定标准的。</w:t>
            </w:r>
          </w:p>
          <w:p w14:paraId="0E4789ED">
            <w:pPr>
              <w:keepNext w:val="0"/>
              <w:keepLines/>
              <w:pageBreakBefore w:val="0"/>
              <w:widowControl w:val="0"/>
              <w:kinsoku/>
              <w:wordWrap w:val="0"/>
              <w:overflowPunct/>
              <w:topLinePunct w:val="0"/>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（3）超过保存期的食品。</w:t>
            </w:r>
          </w:p>
          <w:p w14:paraId="1444FF12">
            <w:pPr>
              <w:keepNext w:val="0"/>
              <w:keepLines/>
              <w:pageBreakBefore w:val="0"/>
              <w:widowControl w:val="0"/>
              <w:kinsoku/>
              <w:wordWrap w:val="0"/>
              <w:overflowPunct/>
              <w:topLinePunct w:val="0"/>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（4）掺假、掺杂、伪造、影响营养、卫生的含有未经国务院卫生行政部门批准使用的。</w:t>
            </w:r>
          </w:p>
          <w:p w14:paraId="0C21438B">
            <w:pPr>
              <w:pStyle w:val="639"/>
              <w:keepNext w:val="0"/>
              <w:keepLines/>
              <w:pageBreakBefore w:val="0"/>
              <w:widowControl w:val="0"/>
              <w:kinsoku/>
              <w:wordWrap w:val="0"/>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（5）供应的物品有缺斤少两的情况。</w:t>
            </w:r>
          </w:p>
          <w:p w14:paraId="4FE67FC0">
            <w:pPr>
              <w:pStyle w:val="56"/>
              <w:keepNext w:val="0"/>
              <w:keepLines/>
              <w:pageBreakBefore w:val="0"/>
              <w:widowControl/>
              <w:numPr>
                <w:ilvl w:val="0"/>
                <w:numId w:val="0"/>
              </w:numPr>
              <w:kinsoku/>
              <w:wordWrap w:val="0"/>
              <w:overflowPunct/>
              <w:topLinePunct w:val="0"/>
              <w:autoSpaceDE/>
              <w:autoSpaceDN/>
              <w:bidi w:val="0"/>
              <w:adjustRightInd/>
              <w:snapToGrid/>
              <w:spacing w:before="0" w:beforeAutospacing="0" w:after="0" w:afterAutospacing="0" w:line="400" w:lineRule="exact"/>
              <w:ind w:right="105" w:rightChars="5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（6）其他不符合食品安全要求的食品。</w:t>
            </w:r>
          </w:p>
          <w:p w14:paraId="3625ED3A">
            <w:pPr>
              <w:pStyle w:val="56"/>
              <w:keepNext w:val="0"/>
              <w:keepLines/>
              <w:pageBreakBefore w:val="0"/>
              <w:widowControl/>
              <w:numPr>
                <w:ilvl w:val="0"/>
                <w:numId w:val="0"/>
              </w:numPr>
              <w:kinsoku/>
              <w:wordWrap w:val="0"/>
              <w:overflowPunct/>
              <w:topLinePunct w:val="0"/>
              <w:autoSpaceDE/>
              <w:autoSpaceDN/>
              <w:bidi w:val="0"/>
              <w:adjustRightInd/>
              <w:snapToGrid/>
              <w:spacing w:before="0" w:beforeAutospacing="0" w:after="0" w:afterAutospacing="0" w:line="400" w:lineRule="exact"/>
              <w:ind w:right="105" w:rightChars="5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（7）超过保质期限。</w:t>
            </w:r>
          </w:p>
          <w:p w14:paraId="580B37A2">
            <w:pPr>
              <w:pStyle w:val="56"/>
              <w:keepNext w:val="0"/>
              <w:keepLines/>
              <w:pageBreakBefore w:val="0"/>
              <w:widowControl/>
              <w:numPr>
                <w:ilvl w:val="0"/>
                <w:numId w:val="0"/>
              </w:numPr>
              <w:kinsoku/>
              <w:wordWrap w:val="0"/>
              <w:overflowPunct/>
              <w:topLinePunct w:val="0"/>
              <w:autoSpaceDE/>
              <w:autoSpaceDN/>
              <w:bidi w:val="0"/>
              <w:adjustRightInd/>
              <w:snapToGrid/>
              <w:spacing w:before="0" w:beforeAutospacing="0" w:after="0" w:afterAutospacing="0" w:line="400" w:lineRule="exact"/>
              <w:ind w:right="105" w:rightChars="5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（8）内包装损坏。</w:t>
            </w:r>
          </w:p>
          <w:p w14:paraId="5AB0286F">
            <w:pPr>
              <w:pStyle w:val="56"/>
              <w:keepNext w:val="0"/>
              <w:keepLines/>
              <w:pageBreakBefore w:val="0"/>
              <w:widowControl/>
              <w:numPr>
                <w:ilvl w:val="0"/>
                <w:numId w:val="0"/>
              </w:numPr>
              <w:kinsoku/>
              <w:wordWrap w:val="0"/>
              <w:overflowPunct/>
              <w:topLinePunct w:val="0"/>
              <w:autoSpaceDE/>
              <w:autoSpaceDN/>
              <w:bidi w:val="0"/>
              <w:adjustRightInd/>
              <w:snapToGrid/>
              <w:spacing w:before="0" w:beforeAutospacing="0" w:after="0" w:afterAutospacing="0" w:line="400" w:lineRule="exact"/>
              <w:ind w:right="105" w:rightChars="5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（9）预包装产品的包装标签内容不充分。</w:t>
            </w:r>
          </w:p>
          <w:p w14:paraId="41566AFE">
            <w:pPr>
              <w:pStyle w:val="56"/>
              <w:keepNext w:val="0"/>
              <w:keepLines/>
              <w:pageBreakBefore w:val="0"/>
              <w:widowControl/>
              <w:numPr>
                <w:ilvl w:val="0"/>
                <w:numId w:val="0"/>
              </w:numPr>
              <w:kinsoku/>
              <w:wordWrap w:val="0"/>
              <w:overflowPunct/>
              <w:topLinePunct w:val="0"/>
              <w:autoSpaceDE/>
              <w:autoSpaceDN/>
              <w:bidi w:val="0"/>
              <w:adjustRightInd/>
              <w:snapToGrid/>
              <w:spacing w:before="0" w:beforeAutospacing="0" w:after="0" w:afterAutospacing="0" w:line="400" w:lineRule="exact"/>
              <w:ind w:right="105" w:rightChars="5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（10）其它不符合食品卫生标准和要求的食品。</w:t>
            </w:r>
          </w:p>
          <w:p w14:paraId="2DD4D78F">
            <w:pPr>
              <w:pStyle w:val="56"/>
              <w:keepNext w:val="0"/>
              <w:keepLines/>
              <w:pageBreakBefore w:val="0"/>
              <w:widowControl/>
              <w:numPr>
                <w:ilvl w:val="0"/>
                <w:numId w:val="0"/>
              </w:numPr>
              <w:kinsoku/>
              <w:wordWrap w:val="0"/>
              <w:overflowPunct/>
              <w:topLinePunct w:val="0"/>
              <w:autoSpaceDE/>
              <w:autoSpaceDN/>
              <w:bidi w:val="0"/>
              <w:adjustRightInd/>
              <w:snapToGrid/>
              <w:spacing w:before="0" w:beforeAutospacing="0" w:after="0" w:afterAutospacing="0" w:line="400" w:lineRule="exact"/>
              <w:ind w:right="105" w:rightChars="5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7.成交</w:t>
            </w:r>
            <w:r>
              <w:rPr>
                <w:rFonts w:hint="eastAsia" w:ascii="宋体" w:hAnsi="宋体" w:eastAsia="宋体" w:cs="宋体"/>
                <w:color w:val="auto"/>
                <w:sz w:val="21"/>
                <w:szCs w:val="21"/>
                <w:highlight w:val="none"/>
                <w:lang w:val="en-US" w:eastAsia="zh-CN"/>
              </w:rPr>
              <w:t>供应商不得变更供应商品，应严格按采购要求(含商标、名称、产地、规格和重量等)供应，否则，采购人有权拒收。如因市场流通问题确实需要变更的，应书面向采购人申请。</w:t>
            </w:r>
          </w:p>
        </w:tc>
      </w:tr>
      <w:tr w14:paraId="6C1EB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96" w:type="dxa"/>
            <w:gridSpan w:val="2"/>
            <w:noWrap w:val="0"/>
            <w:vAlign w:val="center"/>
          </w:tcPr>
          <w:p w14:paraId="59163767">
            <w:pPr>
              <w:keepNext w:val="0"/>
              <w:keepLines/>
              <w:pageBreakBefore w:val="0"/>
              <w:kinsoku/>
              <w:wordWrap w:val="0"/>
              <w:overflowPunct/>
              <w:topLinePunct w:val="0"/>
              <w:bidi w:val="0"/>
              <w:spacing w:line="40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rPr>
              <w:t>质量、食品追溯、包装要求</w:t>
            </w:r>
          </w:p>
        </w:tc>
        <w:tc>
          <w:tcPr>
            <w:tcW w:w="7184" w:type="dxa"/>
            <w:gridSpan w:val="2"/>
            <w:noWrap w:val="0"/>
            <w:vAlign w:val="center"/>
          </w:tcPr>
          <w:p w14:paraId="6A6EEC89">
            <w:pPr>
              <w:pStyle w:val="639"/>
              <w:keepNext w:val="0"/>
              <w:keepLines/>
              <w:pageBreakBefore w:val="0"/>
              <w:widowControl w:val="0"/>
              <w:kinsoku/>
              <w:wordWrap w:val="0"/>
              <w:overflowPunct/>
              <w:topLinePunct w:val="0"/>
              <w:autoSpaceDE w:val="0"/>
              <w:autoSpaceDN w:val="0"/>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1.质量标准：</w:t>
            </w:r>
          </w:p>
          <w:p w14:paraId="3E2D348E">
            <w:pPr>
              <w:pStyle w:val="639"/>
              <w:keepNext w:val="0"/>
              <w:keepLines/>
              <w:pageBreakBefore w:val="0"/>
              <w:widowControl w:val="0"/>
              <w:kinsoku/>
              <w:wordWrap w:val="0"/>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所提供的物品必须符合《中华人民共和国食品安全法》要求。符合现行国家标准、行业标准、地区标准等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如国家标准、行业标准等有冲突的，以最高标准为准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，严格按国家食品卫生标准要求执行，必须符合国家相关法律法规以及环保要求，商品质量按国家标准或专业标准要求执行。</w:t>
            </w:r>
          </w:p>
          <w:p w14:paraId="1A77A369">
            <w:pPr>
              <w:pStyle w:val="639"/>
              <w:keepNext w:val="0"/>
              <w:keepLines/>
              <w:pageBreakBefore w:val="0"/>
              <w:widowControl w:val="0"/>
              <w:kinsoku/>
              <w:wordWrap w:val="0"/>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所提供的物品必须符合国家行业生产及经营标准，均能提供相应批次的合格检验证明。</w:t>
            </w:r>
          </w:p>
          <w:p w14:paraId="7F2C024B">
            <w:pPr>
              <w:pStyle w:val="639"/>
              <w:keepNext w:val="0"/>
              <w:keepLines/>
              <w:pageBreakBefore w:val="0"/>
              <w:widowControl w:val="0"/>
              <w:kinsoku/>
              <w:wordWrap w:val="0"/>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所提供的物品必须各项技术指标完全符合国家强制性标准，符合国家有关质量检测、环保标准及产品出厂标准。</w:t>
            </w:r>
          </w:p>
          <w:p w14:paraId="573086E9">
            <w:pPr>
              <w:pStyle w:val="639"/>
              <w:keepNext w:val="0"/>
              <w:keepLines/>
              <w:pageBreakBefore w:val="0"/>
              <w:widowControl w:val="0"/>
              <w:kinsoku/>
              <w:wordWrap w:val="0"/>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所提供的物品必须符合国家行业生产及经营标准，商品包装标签应符合《食品安全国家标准预包装食品标签通则》（GB7718）要求，包括食品名称、配料表、净含量、规格、生产者(或)经销者的名称、地址和联系方式、生产日期和保质期、贮存条件、食品生产许可证编号、产品标准代号等内容，标签上附有产地、食品安全等溯源信息。</w:t>
            </w:r>
          </w:p>
          <w:p w14:paraId="4CC1C29A">
            <w:pPr>
              <w:pStyle w:val="639"/>
              <w:keepNext w:val="0"/>
              <w:keepLines/>
              <w:pageBreakBefore w:val="0"/>
              <w:widowControl w:val="0"/>
              <w:kinsoku/>
              <w:wordWrap w:val="0"/>
              <w:overflowPunct/>
              <w:topLinePunct w:val="0"/>
              <w:autoSpaceDE w:val="0"/>
              <w:autoSpaceDN w:val="0"/>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2.食品溯源要求：</w:t>
            </w:r>
            <w:r>
              <w:rPr>
                <w:rFonts w:hint="eastAsia" w:ascii="宋体" w:hAnsi="宋体" w:eastAsia="宋体" w:cs="宋体"/>
                <w:color w:val="auto"/>
                <w:sz w:val="21"/>
                <w:szCs w:val="21"/>
                <w:highlight w:val="none"/>
              </w:rPr>
              <w:t>必须保证所有食品的来源清晰明确，必须来源于受到地方政府部门监管的大型自有农地、商品菜基地或蔬菜专业流通市场，严禁收购散户农民的蔬菜供应，有农产品质量追溯系统，并实行产品溯源管理。</w:t>
            </w:r>
          </w:p>
          <w:p w14:paraId="78452135">
            <w:pPr>
              <w:pStyle w:val="639"/>
              <w:keepNext w:val="0"/>
              <w:keepLines/>
              <w:pageBreakBefore w:val="0"/>
              <w:widowControl w:val="0"/>
              <w:kinsoku/>
              <w:wordWrap w:val="0"/>
              <w:overflowPunct/>
              <w:topLinePunct w:val="0"/>
              <w:autoSpaceDE w:val="0"/>
              <w:autoSpaceDN w:val="0"/>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3.包装要求：</w:t>
            </w:r>
          </w:p>
          <w:p w14:paraId="32819499">
            <w:pPr>
              <w:pStyle w:val="639"/>
              <w:keepNext w:val="0"/>
              <w:keepLines/>
              <w:pageBreakBefore w:val="0"/>
              <w:widowControl w:val="0"/>
              <w:kinsoku/>
              <w:wordWrap w:val="0"/>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货物包装应完好无破漏，无腐败霉变或影响使用的情况，不存在危及人身、财产安全的不合理危险。货物应当具备其应当具备的使用性能，应当符合国家或行业标准，且能根据采购人的要求出示质量检测书及来源证明材料。有保质期限的商品剩余保存期不得少于原有保质期的三分之二。</w:t>
            </w:r>
          </w:p>
          <w:p w14:paraId="70C245DD">
            <w:pPr>
              <w:pStyle w:val="639"/>
              <w:keepNext w:val="0"/>
              <w:keepLines/>
              <w:pageBreakBefore w:val="0"/>
              <w:widowControl w:val="0"/>
              <w:kinsoku/>
              <w:wordWrap w:val="0"/>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能够根据采购人要求对相关食品进行去皮、切块等加工处理。</w:t>
            </w:r>
          </w:p>
          <w:p w14:paraId="577E8676">
            <w:pPr>
              <w:pStyle w:val="19"/>
              <w:keepNext w:val="0"/>
              <w:keepLines/>
              <w:pageBreakBefore w:val="0"/>
              <w:widowControl w:val="0"/>
              <w:numPr>
                <w:ilvl w:val="0"/>
                <w:numId w:val="0"/>
              </w:numPr>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4.执行标准</w:t>
            </w:r>
          </w:p>
          <w:p w14:paraId="1D9005E3">
            <w:pPr>
              <w:pStyle w:val="19"/>
              <w:keepNext w:val="0"/>
              <w:keepLines/>
              <w:pageBreakBefore w:val="0"/>
              <w:widowControl w:val="0"/>
              <w:numPr>
                <w:ilvl w:val="0"/>
                <w:numId w:val="0"/>
              </w:numPr>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bCs/>
                <w:strike w:val="0"/>
                <w:dstrike w:val="0"/>
                <w:color w:val="auto"/>
                <w:sz w:val="21"/>
                <w:szCs w:val="21"/>
                <w:highlight w:val="none"/>
                <w:lang w:val="en-US" w:eastAsia="zh-CN"/>
              </w:rPr>
              <w:t>鲜（冻）畜、禽产品：</w:t>
            </w:r>
          </w:p>
          <w:p w14:paraId="52902423">
            <w:pPr>
              <w:pStyle w:val="19"/>
              <w:keepNext w:val="0"/>
              <w:keepLines/>
              <w:pageBreakBefore w:val="0"/>
              <w:widowControl w:val="0"/>
              <w:numPr>
                <w:ilvl w:val="0"/>
                <w:numId w:val="0"/>
              </w:numPr>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① 执行标准：</w:t>
            </w:r>
            <w:r>
              <w:rPr>
                <w:rFonts w:hint="eastAsia" w:ascii="宋体" w:hAnsi="宋体" w:eastAsia="宋体" w:cs="宋体"/>
                <w:strike w:val="0"/>
                <w:dstrike w:val="0"/>
                <w:color w:val="auto"/>
                <w:sz w:val="21"/>
                <w:szCs w:val="21"/>
                <w:highlight w:val="none"/>
                <w:lang w:val="en-US" w:eastAsia="zh-CN"/>
              </w:rPr>
              <w:t>鲜（冻）畜、禽产品符合国家标准GB 2707-2016、GB 20799-2016、GB 16869-2005。</w:t>
            </w:r>
          </w:p>
          <w:p w14:paraId="462DC286">
            <w:pPr>
              <w:pStyle w:val="19"/>
              <w:keepNext w:val="0"/>
              <w:keepLines/>
              <w:pageBreakBefore w:val="0"/>
              <w:widowControl w:val="0"/>
              <w:kinsoku/>
              <w:wordWrap w:val="0"/>
              <w:overflowPunct/>
              <w:topLinePunct w:val="0"/>
              <w:autoSpaceDE/>
              <w:autoSpaceDN/>
              <w:bidi w:val="0"/>
              <w:snapToGrid/>
              <w:spacing w:line="400" w:lineRule="exact"/>
              <w:ind w:firstLine="420" w:firstLineChars="200"/>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② 承诺交货时须主动</w:t>
            </w:r>
            <w:r>
              <w:rPr>
                <w:rFonts w:hint="eastAsia" w:ascii="宋体" w:hAnsi="宋体" w:eastAsia="宋体" w:cs="宋体"/>
                <w:strike w:val="0"/>
                <w:dstrike w:val="0"/>
                <w:color w:val="auto"/>
                <w:sz w:val="21"/>
                <w:szCs w:val="21"/>
                <w:highlight w:val="none"/>
                <w:lang w:val="en-US" w:eastAsia="zh-CN"/>
              </w:rPr>
              <w:t>提供肉类</w:t>
            </w:r>
            <w:r>
              <w:rPr>
                <w:rFonts w:hint="eastAsia" w:ascii="宋体" w:hAnsi="宋体" w:eastAsia="宋体" w:cs="宋体"/>
                <w:strike w:val="0"/>
                <w:dstrike w:val="0"/>
                <w:color w:val="auto"/>
                <w:sz w:val="21"/>
                <w:szCs w:val="21"/>
                <w:highlight w:val="none"/>
                <w:lang w:val="en-US" w:eastAsia="zh-CN"/>
              </w:rPr>
              <w:t>货物票证要求。</w:t>
            </w:r>
          </w:p>
          <w:tbl>
            <w:tblPr>
              <w:tblStyle w:val="62"/>
              <w:tblW w:w="6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2567"/>
              <w:gridCol w:w="3114"/>
            </w:tblGrid>
            <w:tr w14:paraId="4E72E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200" w:type="dxa"/>
                  <w:noWrap w:val="0"/>
                  <w:vAlign w:val="center"/>
                </w:tcPr>
                <w:p w14:paraId="0F5F02F5">
                  <w:pPr>
                    <w:pStyle w:val="59"/>
                    <w:keepNext w:val="0"/>
                    <w:keepLines/>
                    <w:pageBreakBefore w:val="0"/>
                    <w:widowControl w:val="0"/>
                    <w:kinsoku/>
                    <w:wordWrap w:val="0"/>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bCs/>
                      <w:strike w:val="0"/>
                      <w:dstrike w:val="0"/>
                      <w:color w:val="auto"/>
                      <w:sz w:val="21"/>
                      <w:szCs w:val="21"/>
                      <w:highlight w:val="none"/>
                      <w:lang w:val="en-US" w:eastAsia="zh-CN"/>
                    </w:rPr>
                  </w:pPr>
                  <w:r>
                    <w:rPr>
                      <w:rFonts w:hint="eastAsia" w:ascii="宋体" w:hAnsi="宋体" w:eastAsia="宋体" w:cs="宋体"/>
                      <w:b/>
                      <w:bCs/>
                      <w:strike w:val="0"/>
                      <w:dstrike w:val="0"/>
                      <w:color w:val="auto"/>
                      <w:sz w:val="21"/>
                      <w:szCs w:val="21"/>
                      <w:highlight w:val="none"/>
                      <w:lang w:val="en-US" w:eastAsia="zh-CN"/>
                    </w:rPr>
                    <w:t>货物类别</w:t>
                  </w:r>
                </w:p>
              </w:tc>
              <w:tc>
                <w:tcPr>
                  <w:tcW w:w="2567" w:type="dxa"/>
                  <w:noWrap w:val="0"/>
                  <w:vAlign w:val="center"/>
                </w:tcPr>
                <w:p w14:paraId="5390E215">
                  <w:pPr>
                    <w:pStyle w:val="59"/>
                    <w:keepNext w:val="0"/>
                    <w:keepLines/>
                    <w:pageBreakBefore w:val="0"/>
                    <w:widowControl w:val="0"/>
                    <w:kinsoku/>
                    <w:wordWrap w:val="0"/>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bCs/>
                      <w:strike w:val="0"/>
                      <w:dstrike w:val="0"/>
                      <w:color w:val="auto"/>
                      <w:sz w:val="21"/>
                      <w:szCs w:val="21"/>
                      <w:highlight w:val="none"/>
                      <w:lang w:val="en-US" w:eastAsia="zh-CN"/>
                    </w:rPr>
                  </w:pPr>
                  <w:r>
                    <w:rPr>
                      <w:rFonts w:hint="eastAsia" w:ascii="宋体" w:hAnsi="宋体" w:eastAsia="宋体" w:cs="宋体"/>
                      <w:b/>
                      <w:bCs/>
                      <w:strike w:val="0"/>
                      <w:dstrike w:val="0"/>
                      <w:color w:val="auto"/>
                      <w:sz w:val="21"/>
                      <w:szCs w:val="21"/>
                      <w:highlight w:val="none"/>
                      <w:lang w:val="en-US" w:eastAsia="zh-CN"/>
                    </w:rPr>
                    <w:t>产品票证名称</w:t>
                  </w:r>
                </w:p>
              </w:tc>
              <w:tc>
                <w:tcPr>
                  <w:tcW w:w="3114" w:type="dxa"/>
                  <w:noWrap w:val="0"/>
                  <w:vAlign w:val="center"/>
                </w:tcPr>
                <w:p w14:paraId="16C9E027">
                  <w:pPr>
                    <w:pStyle w:val="59"/>
                    <w:keepNext w:val="0"/>
                    <w:keepLines/>
                    <w:pageBreakBefore w:val="0"/>
                    <w:widowControl w:val="0"/>
                    <w:kinsoku/>
                    <w:wordWrap w:val="0"/>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bCs/>
                      <w:strike w:val="0"/>
                      <w:dstrike w:val="0"/>
                      <w:color w:val="auto"/>
                      <w:sz w:val="21"/>
                      <w:szCs w:val="21"/>
                      <w:highlight w:val="none"/>
                      <w:lang w:val="en-US" w:eastAsia="zh-CN"/>
                    </w:rPr>
                  </w:pPr>
                  <w:r>
                    <w:rPr>
                      <w:rFonts w:hint="eastAsia" w:ascii="宋体" w:hAnsi="宋体" w:eastAsia="宋体" w:cs="宋体"/>
                      <w:b/>
                      <w:bCs/>
                      <w:strike w:val="0"/>
                      <w:dstrike w:val="0"/>
                      <w:color w:val="auto"/>
                      <w:sz w:val="21"/>
                      <w:szCs w:val="21"/>
                      <w:highlight w:val="none"/>
                      <w:lang w:val="en-US" w:eastAsia="zh-CN"/>
                    </w:rPr>
                    <w:t>验收索证要求</w:t>
                  </w:r>
                </w:p>
              </w:tc>
            </w:tr>
            <w:tr w14:paraId="5B35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0" w:type="dxa"/>
                  <w:vMerge w:val="restart"/>
                  <w:noWrap w:val="0"/>
                  <w:vAlign w:val="center"/>
                </w:tcPr>
                <w:p w14:paraId="06A9F13A">
                  <w:pPr>
                    <w:pStyle w:val="59"/>
                    <w:keepNext w:val="0"/>
                    <w:keepLines/>
                    <w:pageBreakBefore w:val="0"/>
                    <w:widowControl w:val="0"/>
                    <w:kinsoku/>
                    <w:wordWrap w:val="0"/>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猪、牛肉类、家禽类</w:t>
                  </w:r>
                </w:p>
              </w:tc>
              <w:tc>
                <w:tcPr>
                  <w:tcW w:w="2567" w:type="dxa"/>
                  <w:noWrap w:val="0"/>
                  <w:vAlign w:val="center"/>
                </w:tcPr>
                <w:p w14:paraId="117C37E1">
                  <w:pPr>
                    <w:pStyle w:val="59"/>
                    <w:keepNext w:val="0"/>
                    <w:keepLines/>
                    <w:pageBreakBefore w:val="0"/>
                    <w:widowControl w:val="0"/>
                    <w:kinsoku/>
                    <w:wordWrap w:val="0"/>
                    <w:overflowPunct/>
                    <w:topLinePunct w:val="0"/>
                    <w:autoSpaceDE/>
                    <w:autoSpaceDN/>
                    <w:bidi w:val="0"/>
                    <w:adjustRightInd/>
                    <w:snapToGrid/>
                    <w:spacing w:after="0" w:line="360" w:lineRule="auto"/>
                    <w:ind w:left="0" w:leftChars="0" w:firstLine="0" w:firstLineChars="0"/>
                    <w:jc w:val="left"/>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1.《食品生产许可证》</w:t>
                  </w:r>
                </w:p>
              </w:tc>
              <w:tc>
                <w:tcPr>
                  <w:tcW w:w="3114" w:type="dxa"/>
                  <w:noWrap w:val="0"/>
                  <w:vAlign w:val="center"/>
                </w:tcPr>
                <w:p w14:paraId="0C8C9B64">
                  <w:pPr>
                    <w:pStyle w:val="59"/>
                    <w:keepNext w:val="0"/>
                    <w:keepLines/>
                    <w:pageBreakBefore w:val="0"/>
                    <w:widowControl w:val="0"/>
                    <w:kinsoku/>
                    <w:wordWrap w:val="0"/>
                    <w:overflowPunct/>
                    <w:topLinePunct w:val="0"/>
                    <w:autoSpaceDE/>
                    <w:autoSpaceDN/>
                    <w:bidi w:val="0"/>
                    <w:adjustRightInd/>
                    <w:snapToGrid/>
                    <w:spacing w:after="0" w:line="360" w:lineRule="auto"/>
                    <w:ind w:left="0" w:leftChars="0" w:firstLine="0" w:firstLineChars="0"/>
                    <w:jc w:val="left"/>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交货时提交所供应畜禽冻肉类和肉制品生产厂家的肉制品《食品生产许可证》。</w:t>
                  </w:r>
                </w:p>
              </w:tc>
            </w:tr>
            <w:tr w14:paraId="0B13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200" w:type="dxa"/>
                  <w:vMerge w:val="continue"/>
                  <w:noWrap w:val="0"/>
                  <w:vAlign w:val="center"/>
                </w:tcPr>
                <w:p w14:paraId="7C829190">
                  <w:pPr>
                    <w:pStyle w:val="59"/>
                    <w:keepNext w:val="0"/>
                    <w:keepLines/>
                    <w:pageBreakBefore w:val="0"/>
                    <w:widowControl w:val="0"/>
                    <w:kinsoku/>
                    <w:wordWrap w:val="0"/>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strike w:val="0"/>
                      <w:dstrike w:val="0"/>
                      <w:color w:val="auto"/>
                      <w:sz w:val="21"/>
                      <w:szCs w:val="21"/>
                      <w:highlight w:val="none"/>
                      <w:lang w:val="en-US" w:eastAsia="zh-CN"/>
                    </w:rPr>
                  </w:pPr>
                </w:p>
              </w:tc>
              <w:tc>
                <w:tcPr>
                  <w:tcW w:w="2567" w:type="dxa"/>
                  <w:noWrap w:val="0"/>
                  <w:vAlign w:val="center"/>
                </w:tcPr>
                <w:p w14:paraId="3FDBF341">
                  <w:pPr>
                    <w:pStyle w:val="59"/>
                    <w:keepNext w:val="0"/>
                    <w:keepLines/>
                    <w:pageBreakBefore w:val="0"/>
                    <w:widowControl w:val="0"/>
                    <w:kinsoku/>
                    <w:wordWrap w:val="0"/>
                    <w:overflowPunct/>
                    <w:topLinePunct w:val="0"/>
                    <w:autoSpaceDE/>
                    <w:autoSpaceDN/>
                    <w:bidi w:val="0"/>
                    <w:adjustRightInd/>
                    <w:snapToGrid/>
                    <w:spacing w:after="0" w:line="360" w:lineRule="auto"/>
                    <w:ind w:left="0" w:leftChars="0" w:firstLine="0" w:firstLineChars="0"/>
                    <w:jc w:val="left"/>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2.《出入境动物产品检疫合格证》</w:t>
                  </w:r>
                </w:p>
              </w:tc>
              <w:tc>
                <w:tcPr>
                  <w:tcW w:w="3114" w:type="dxa"/>
                  <w:noWrap w:val="0"/>
                  <w:vAlign w:val="center"/>
                </w:tcPr>
                <w:p w14:paraId="332020A8">
                  <w:pPr>
                    <w:pStyle w:val="59"/>
                    <w:keepNext w:val="0"/>
                    <w:keepLines/>
                    <w:pageBreakBefore w:val="0"/>
                    <w:widowControl w:val="0"/>
                    <w:kinsoku/>
                    <w:wordWrap w:val="0"/>
                    <w:overflowPunct/>
                    <w:topLinePunct w:val="0"/>
                    <w:autoSpaceDE/>
                    <w:autoSpaceDN/>
                    <w:bidi w:val="0"/>
                    <w:adjustRightInd/>
                    <w:snapToGrid/>
                    <w:spacing w:after="0" w:line="360" w:lineRule="auto"/>
                    <w:ind w:left="0" w:leftChars="0" w:firstLine="0" w:firstLineChars="0"/>
                    <w:jc w:val="left"/>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由政府动植物检疫部门出具，用于跨区销售检查。</w:t>
                  </w:r>
                </w:p>
              </w:tc>
            </w:tr>
            <w:tr w14:paraId="5C96C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00" w:type="dxa"/>
                  <w:vMerge w:val="continue"/>
                  <w:noWrap w:val="0"/>
                  <w:vAlign w:val="center"/>
                </w:tcPr>
                <w:p w14:paraId="1DD6DEAE">
                  <w:pPr>
                    <w:pStyle w:val="59"/>
                    <w:keepNext w:val="0"/>
                    <w:keepLines/>
                    <w:pageBreakBefore w:val="0"/>
                    <w:widowControl w:val="0"/>
                    <w:kinsoku/>
                    <w:wordWrap w:val="0"/>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strike w:val="0"/>
                      <w:dstrike w:val="0"/>
                      <w:color w:val="auto"/>
                      <w:sz w:val="21"/>
                      <w:szCs w:val="21"/>
                      <w:highlight w:val="none"/>
                      <w:lang w:val="en-US" w:eastAsia="zh-CN"/>
                    </w:rPr>
                  </w:pPr>
                </w:p>
              </w:tc>
              <w:tc>
                <w:tcPr>
                  <w:tcW w:w="2567" w:type="dxa"/>
                  <w:noWrap w:val="0"/>
                  <w:vAlign w:val="center"/>
                </w:tcPr>
                <w:p w14:paraId="6BA24F4A">
                  <w:pPr>
                    <w:pStyle w:val="59"/>
                    <w:keepNext w:val="0"/>
                    <w:keepLines/>
                    <w:pageBreakBefore w:val="0"/>
                    <w:widowControl w:val="0"/>
                    <w:kinsoku/>
                    <w:wordWrap w:val="0"/>
                    <w:overflowPunct/>
                    <w:topLinePunct w:val="0"/>
                    <w:autoSpaceDE/>
                    <w:autoSpaceDN/>
                    <w:bidi w:val="0"/>
                    <w:adjustRightInd/>
                    <w:snapToGrid/>
                    <w:spacing w:after="0" w:line="360" w:lineRule="auto"/>
                    <w:ind w:left="0" w:leftChars="0" w:firstLine="0" w:firstLineChars="0"/>
                    <w:jc w:val="left"/>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3.《产品合格证》</w:t>
                  </w:r>
                </w:p>
              </w:tc>
              <w:tc>
                <w:tcPr>
                  <w:tcW w:w="3114" w:type="dxa"/>
                  <w:noWrap w:val="0"/>
                  <w:vAlign w:val="center"/>
                </w:tcPr>
                <w:p w14:paraId="16134AEB">
                  <w:pPr>
                    <w:pStyle w:val="59"/>
                    <w:keepNext w:val="0"/>
                    <w:keepLines/>
                    <w:pageBreakBefore w:val="0"/>
                    <w:widowControl w:val="0"/>
                    <w:kinsoku/>
                    <w:wordWrap w:val="0"/>
                    <w:overflowPunct/>
                    <w:topLinePunct w:val="0"/>
                    <w:autoSpaceDE/>
                    <w:autoSpaceDN/>
                    <w:bidi w:val="0"/>
                    <w:adjustRightInd/>
                    <w:snapToGrid/>
                    <w:spacing w:after="0" w:line="360" w:lineRule="auto"/>
                    <w:ind w:left="0" w:leftChars="0" w:firstLine="0" w:firstLineChars="0"/>
                    <w:jc w:val="left"/>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交货时提供本批次产品的出厂(库)检验合格证明，随车同行。</w:t>
                  </w:r>
                </w:p>
              </w:tc>
            </w:tr>
            <w:tr w14:paraId="4ECAB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200" w:type="dxa"/>
                  <w:vMerge w:val="continue"/>
                  <w:noWrap w:val="0"/>
                  <w:vAlign w:val="center"/>
                </w:tcPr>
                <w:p w14:paraId="1D754A6F">
                  <w:pPr>
                    <w:pStyle w:val="59"/>
                    <w:keepNext w:val="0"/>
                    <w:keepLines/>
                    <w:pageBreakBefore w:val="0"/>
                    <w:widowControl w:val="0"/>
                    <w:kinsoku/>
                    <w:wordWrap w:val="0"/>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strike w:val="0"/>
                      <w:dstrike w:val="0"/>
                      <w:color w:val="auto"/>
                      <w:sz w:val="21"/>
                      <w:szCs w:val="21"/>
                      <w:highlight w:val="none"/>
                      <w:lang w:val="en-US" w:eastAsia="zh-CN"/>
                    </w:rPr>
                  </w:pPr>
                </w:p>
              </w:tc>
              <w:tc>
                <w:tcPr>
                  <w:tcW w:w="2567" w:type="dxa"/>
                  <w:noWrap w:val="0"/>
                  <w:vAlign w:val="center"/>
                </w:tcPr>
                <w:p w14:paraId="4AB04B5C">
                  <w:pPr>
                    <w:pStyle w:val="59"/>
                    <w:keepNext w:val="0"/>
                    <w:keepLines/>
                    <w:pageBreakBefore w:val="0"/>
                    <w:widowControl w:val="0"/>
                    <w:kinsoku/>
                    <w:wordWrap w:val="0"/>
                    <w:overflowPunct/>
                    <w:topLinePunct w:val="0"/>
                    <w:autoSpaceDE/>
                    <w:autoSpaceDN/>
                    <w:bidi w:val="0"/>
                    <w:adjustRightInd/>
                    <w:snapToGrid/>
                    <w:spacing w:after="0" w:line="360" w:lineRule="auto"/>
                    <w:ind w:left="0" w:leftChars="0" w:firstLine="0" w:firstLineChars="0"/>
                    <w:jc w:val="left"/>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4.《动物产品防疫合格证》</w:t>
                  </w:r>
                </w:p>
              </w:tc>
              <w:tc>
                <w:tcPr>
                  <w:tcW w:w="3114" w:type="dxa"/>
                  <w:noWrap w:val="0"/>
                  <w:vAlign w:val="center"/>
                </w:tcPr>
                <w:p w14:paraId="436541D0">
                  <w:pPr>
                    <w:pStyle w:val="59"/>
                    <w:keepNext w:val="0"/>
                    <w:keepLines/>
                    <w:pageBreakBefore w:val="0"/>
                    <w:widowControl w:val="0"/>
                    <w:kinsoku/>
                    <w:wordWrap w:val="0"/>
                    <w:overflowPunct/>
                    <w:topLinePunct w:val="0"/>
                    <w:autoSpaceDE/>
                    <w:autoSpaceDN/>
                    <w:bidi w:val="0"/>
                    <w:adjustRightInd/>
                    <w:snapToGrid/>
                    <w:spacing w:after="0" w:line="360" w:lineRule="auto"/>
                    <w:ind w:left="0" w:leftChars="0" w:firstLine="0" w:firstLineChars="0"/>
                    <w:jc w:val="left"/>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当批次有效，原件备查。</w:t>
                  </w:r>
                </w:p>
              </w:tc>
            </w:tr>
          </w:tbl>
          <w:p w14:paraId="5B3B98A8">
            <w:pPr>
              <w:pStyle w:val="59"/>
              <w:keepNext w:val="0"/>
              <w:keepLines/>
              <w:pageBreakBefore w:val="0"/>
              <w:widowControl w:val="0"/>
              <w:kinsoku/>
              <w:wordWrap w:val="0"/>
              <w:overflowPunct/>
              <w:topLinePunct w:val="0"/>
              <w:autoSpaceDE/>
              <w:autoSpaceDN/>
              <w:bidi w:val="0"/>
              <w:adjustRightInd/>
              <w:snapToGrid/>
              <w:spacing w:after="0" w:line="360" w:lineRule="auto"/>
              <w:ind w:left="0" w:leftChars="0"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蔬菜类执行标准：</w:t>
            </w:r>
          </w:p>
          <w:p w14:paraId="74E26308">
            <w:pPr>
              <w:pStyle w:val="59"/>
              <w:keepNext w:val="0"/>
              <w:keepLines/>
              <w:pageBreakBefore w:val="0"/>
              <w:widowControl w:val="0"/>
              <w:kinsoku/>
              <w:wordWrap w:val="0"/>
              <w:overflowPunct/>
              <w:topLinePunct w:val="0"/>
              <w:autoSpaceDE/>
              <w:autoSpaceDN/>
              <w:bidi w:val="0"/>
              <w:adjustRightInd/>
              <w:snapToGrid/>
              <w:spacing w:after="0"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①需符合《食品安全国家标准 食品中污染物限量》GB 2762-2022、《食品安全国家标准 食品中农药最大残留限量》GB 2763-2021。</w:t>
            </w:r>
          </w:p>
          <w:tbl>
            <w:tblPr>
              <w:tblStyle w:val="62"/>
              <w:tblW w:w="6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8"/>
              <w:gridCol w:w="3601"/>
            </w:tblGrid>
            <w:tr w14:paraId="4A9AE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758" w:type="dxa"/>
                  <w:noWrap w:val="0"/>
                  <w:vAlign w:val="center"/>
                </w:tcPr>
                <w:p w14:paraId="28DCAA08">
                  <w:pPr>
                    <w:pStyle w:val="59"/>
                    <w:keepNext w:val="0"/>
                    <w:keepLines/>
                    <w:pageBreakBefore w:val="0"/>
                    <w:widowControl w:val="0"/>
                    <w:kinsoku/>
                    <w:wordWrap w:val="0"/>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项目</w:t>
                  </w:r>
                </w:p>
              </w:tc>
              <w:tc>
                <w:tcPr>
                  <w:tcW w:w="3601" w:type="dxa"/>
                  <w:noWrap w:val="0"/>
                  <w:vAlign w:val="center"/>
                </w:tcPr>
                <w:p w14:paraId="086415BA">
                  <w:pPr>
                    <w:pStyle w:val="59"/>
                    <w:keepNext w:val="0"/>
                    <w:keepLines/>
                    <w:pageBreakBefore w:val="0"/>
                    <w:widowControl w:val="0"/>
                    <w:kinsoku/>
                    <w:wordWrap w:val="0"/>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指标</w:t>
                  </w:r>
                </w:p>
              </w:tc>
            </w:tr>
            <w:tr w14:paraId="2DDF4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758" w:type="dxa"/>
                  <w:noWrap w:val="0"/>
                  <w:vAlign w:val="center"/>
                </w:tcPr>
                <w:p w14:paraId="723AD3CC">
                  <w:pPr>
                    <w:keepNext w:val="0"/>
                    <w:keepLines/>
                    <w:pageBreakBefore w:val="0"/>
                    <w:kinsoku/>
                    <w:wordWrap w:val="0"/>
                    <w:overflowPunct/>
                    <w:topLinePunct w:val="0"/>
                    <w:bidi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甲胺磷</w:t>
                  </w:r>
                </w:p>
              </w:tc>
              <w:tc>
                <w:tcPr>
                  <w:tcW w:w="3601" w:type="dxa"/>
                  <w:noWrap w:val="0"/>
                  <w:vAlign w:val="center"/>
                </w:tcPr>
                <w:p w14:paraId="391ADD63">
                  <w:pPr>
                    <w:keepNext w:val="0"/>
                    <w:keepLines/>
                    <w:pageBreakBefore w:val="0"/>
                    <w:kinsoku/>
                    <w:wordWrap w:val="0"/>
                    <w:overflowPunct/>
                    <w:topLinePunct w:val="0"/>
                    <w:bidi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不得检出</w:t>
                  </w:r>
                </w:p>
              </w:tc>
            </w:tr>
            <w:tr w14:paraId="15631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758" w:type="dxa"/>
                  <w:noWrap w:val="0"/>
                  <w:vAlign w:val="center"/>
                </w:tcPr>
                <w:p w14:paraId="47FDAD2B">
                  <w:pPr>
                    <w:keepNext w:val="0"/>
                    <w:keepLines/>
                    <w:pageBreakBefore w:val="0"/>
                    <w:kinsoku/>
                    <w:wordWrap w:val="0"/>
                    <w:overflowPunct/>
                    <w:topLinePunct w:val="0"/>
                    <w:bidi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甲拌磷</w:t>
                  </w:r>
                </w:p>
              </w:tc>
              <w:tc>
                <w:tcPr>
                  <w:tcW w:w="3601" w:type="dxa"/>
                  <w:noWrap w:val="0"/>
                  <w:vAlign w:val="center"/>
                </w:tcPr>
                <w:p w14:paraId="11B6B2B9">
                  <w:pPr>
                    <w:keepNext w:val="0"/>
                    <w:keepLines/>
                    <w:pageBreakBefore w:val="0"/>
                    <w:kinsoku/>
                    <w:wordWrap w:val="0"/>
                    <w:overflowPunct/>
                    <w:topLinePunct w:val="0"/>
                    <w:bidi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不得检出</w:t>
                  </w:r>
                </w:p>
              </w:tc>
            </w:tr>
            <w:tr w14:paraId="1BF0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758" w:type="dxa"/>
                  <w:noWrap w:val="0"/>
                  <w:vAlign w:val="center"/>
                </w:tcPr>
                <w:p w14:paraId="6C72F434">
                  <w:pPr>
                    <w:keepNext w:val="0"/>
                    <w:keepLines/>
                    <w:pageBreakBefore w:val="0"/>
                    <w:kinsoku/>
                    <w:wordWrap w:val="0"/>
                    <w:overflowPunct/>
                    <w:topLinePunct w:val="0"/>
                    <w:bidi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氧化乐果</w:t>
                  </w:r>
                </w:p>
              </w:tc>
              <w:tc>
                <w:tcPr>
                  <w:tcW w:w="3601" w:type="dxa"/>
                  <w:noWrap w:val="0"/>
                  <w:vAlign w:val="center"/>
                </w:tcPr>
                <w:p w14:paraId="38C1A825">
                  <w:pPr>
                    <w:keepNext w:val="0"/>
                    <w:keepLines/>
                    <w:pageBreakBefore w:val="0"/>
                    <w:kinsoku/>
                    <w:wordWrap w:val="0"/>
                    <w:overflowPunct/>
                    <w:topLinePunct w:val="0"/>
                    <w:bidi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不得检出</w:t>
                  </w:r>
                </w:p>
              </w:tc>
            </w:tr>
            <w:tr w14:paraId="64666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758" w:type="dxa"/>
                  <w:noWrap w:val="0"/>
                  <w:vAlign w:val="center"/>
                </w:tcPr>
                <w:p w14:paraId="3CDC8656">
                  <w:pPr>
                    <w:keepNext w:val="0"/>
                    <w:keepLines/>
                    <w:pageBreakBefore w:val="0"/>
                    <w:kinsoku/>
                    <w:wordWrap w:val="0"/>
                    <w:overflowPunct/>
                    <w:topLinePunct w:val="0"/>
                    <w:bidi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甲基对硫磷</w:t>
                  </w:r>
                </w:p>
              </w:tc>
              <w:tc>
                <w:tcPr>
                  <w:tcW w:w="3601" w:type="dxa"/>
                  <w:noWrap w:val="0"/>
                  <w:vAlign w:val="center"/>
                </w:tcPr>
                <w:p w14:paraId="3B54952B">
                  <w:pPr>
                    <w:keepNext w:val="0"/>
                    <w:keepLines/>
                    <w:pageBreakBefore w:val="0"/>
                    <w:kinsoku/>
                    <w:wordWrap w:val="0"/>
                    <w:overflowPunct/>
                    <w:topLinePunct w:val="0"/>
                    <w:bidi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不得检出</w:t>
                  </w:r>
                </w:p>
              </w:tc>
            </w:tr>
            <w:tr w14:paraId="05288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758" w:type="dxa"/>
                  <w:noWrap w:val="0"/>
                  <w:vAlign w:val="center"/>
                </w:tcPr>
                <w:p w14:paraId="66F28D06">
                  <w:pPr>
                    <w:keepNext w:val="0"/>
                    <w:keepLines/>
                    <w:pageBreakBefore w:val="0"/>
                    <w:kinsoku/>
                    <w:wordWrap w:val="0"/>
                    <w:overflowPunct/>
                    <w:topLinePunct w:val="0"/>
                    <w:bidi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呋喃丹</w:t>
                  </w:r>
                </w:p>
              </w:tc>
              <w:tc>
                <w:tcPr>
                  <w:tcW w:w="3601" w:type="dxa"/>
                  <w:noWrap w:val="0"/>
                  <w:vAlign w:val="center"/>
                </w:tcPr>
                <w:p w14:paraId="4EBF929E">
                  <w:pPr>
                    <w:keepNext w:val="0"/>
                    <w:keepLines/>
                    <w:pageBreakBefore w:val="0"/>
                    <w:kinsoku/>
                    <w:wordWrap w:val="0"/>
                    <w:overflowPunct/>
                    <w:topLinePunct w:val="0"/>
                    <w:bidi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不得检出</w:t>
                  </w:r>
                </w:p>
              </w:tc>
            </w:tr>
            <w:tr w14:paraId="4A8CF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758" w:type="dxa"/>
                  <w:noWrap w:val="0"/>
                  <w:vAlign w:val="center"/>
                </w:tcPr>
                <w:p w14:paraId="16902FAF">
                  <w:pPr>
                    <w:keepNext w:val="0"/>
                    <w:keepLines/>
                    <w:pageBreakBefore w:val="0"/>
                    <w:kinsoku/>
                    <w:wordWrap w:val="0"/>
                    <w:overflowPunct/>
                    <w:topLinePunct w:val="0"/>
                    <w:bidi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百菌清</w:t>
                  </w:r>
                </w:p>
              </w:tc>
              <w:tc>
                <w:tcPr>
                  <w:tcW w:w="3601" w:type="dxa"/>
                  <w:noWrap w:val="0"/>
                  <w:vAlign w:val="center"/>
                </w:tcPr>
                <w:p w14:paraId="39CC99DB">
                  <w:pPr>
                    <w:keepNext w:val="0"/>
                    <w:keepLines/>
                    <w:pageBreakBefore w:val="0"/>
                    <w:kinsoku/>
                    <w:wordWrap w:val="0"/>
                    <w:overflowPunct/>
                    <w:topLinePunct w:val="0"/>
                    <w:bidi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≤1.0</w:t>
                  </w:r>
                </w:p>
              </w:tc>
            </w:tr>
            <w:tr w14:paraId="6992A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758" w:type="dxa"/>
                  <w:noWrap w:val="0"/>
                  <w:vAlign w:val="center"/>
                </w:tcPr>
                <w:p w14:paraId="02B920D0">
                  <w:pPr>
                    <w:keepNext w:val="0"/>
                    <w:keepLines/>
                    <w:pageBreakBefore w:val="0"/>
                    <w:kinsoku/>
                    <w:wordWrap w:val="0"/>
                    <w:overflowPunct/>
                    <w:topLinePunct w:val="0"/>
                    <w:bidi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多菌灵</w:t>
                  </w:r>
                </w:p>
              </w:tc>
              <w:tc>
                <w:tcPr>
                  <w:tcW w:w="3601" w:type="dxa"/>
                  <w:noWrap w:val="0"/>
                  <w:vAlign w:val="center"/>
                </w:tcPr>
                <w:p w14:paraId="52D62C6D">
                  <w:pPr>
                    <w:keepNext w:val="0"/>
                    <w:keepLines/>
                    <w:pageBreakBefore w:val="0"/>
                    <w:kinsoku/>
                    <w:wordWrap w:val="0"/>
                    <w:overflowPunct/>
                    <w:topLinePunct w:val="0"/>
                    <w:bidi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≤0.5</w:t>
                  </w:r>
                </w:p>
              </w:tc>
            </w:tr>
            <w:tr w14:paraId="2788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758" w:type="dxa"/>
                  <w:noWrap w:val="0"/>
                  <w:vAlign w:val="center"/>
                </w:tcPr>
                <w:p w14:paraId="05D01348">
                  <w:pPr>
                    <w:keepNext w:val="0"/>
                    <w:keepLines/>
                    <w:pageBreakBefore w:val="0"/>
                    <w:kinsoku/>
                    <w:wordWrap w:val="0"/>
                    <w:overflowPunct/>
                    <w:topLinePunct w:val="0"/>
                    <w:bidi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汞(以Hg计)</w:t>
                  </w:r>
                </w:p>
              </w:tc>
              <w:tc>
                <w:tcPr>
                  <w:tcW w:w="3601" w:type="dxa"/>
                  <w:noWrap w:val="0"/>
                  <w:vAlign w:val="center"/>
                </w:tcPr>
                <w:p w14:paraId="38C1A98E">
                  <w:pPr>
                    <w:keepNext w:val="0"/>
                    <w:keepLines/>
                    <w:pageBreakBefore w:val="0"/>
                    <w:kinsoku/>
                    <w:wordWrap w:val="0"/>
                    <w:overflowPunct/>
                    <w:topLinePunct w:val="0"/>
                    <w:bidi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≤0.01</w:t>
                  </w:r>
                </w:p>
              </w:tc>
            </w:tr>
            <w:tr w14:paraId="01159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758" w:type="dxa"/>
                  <w:noWrap w:val="0"/>
                  <w:vAlign w:val="center"/>
                </w:tcPr>
                <w:p w14:paraId="6F54E591">
                  <w:pPr>
                    <w:keepNext w:val="0"/>
                    <w:keepLines/>
                    <w:pageBreakBefore w:val="0"/>
                    <w:kinsoku/>
                    <w:wordWrap w:val="0"/>
                    <w:overflowPunct/>
                    <w:topLinePunct w:val="0"/>
                    <w:bidi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铅(以Bb计)</w:t>
                  </w:r>
                </w:p>
              </w:tc>
              <w:tc>
                <w:tcPr>
                  <w:tcW w:w="3601" w:type="dxa"/>
                  <w:noWrap w:val="0"/>
                  <w:vAlign w:val="center"/>
                </w:tcPr>
                <w:p w14:paraId="572DE0CE">
                  <w:pPr>
                    <w:keepNext w:val="0"/>
                    <w:keepLines/>
                    <w:pageBreakBefore w:val="0"/>
                    <w:kinsoku/>
                    <w:wordWrap w:val="0"/>
                    <w:overflowPunct/>
                    <w:topLinePunct w:val="0"/>
                    <w:bidi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≤0.2</w:t>
                  </w:r>
                </w:p>
              </w:tc>
            </w:tr>
            <w:tr w14:paraId="58DAD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758" w:type="dxa"/>
                  <w:noWrap w:val="0"/>
                  <w:vAlign w:val="center"/>
                </w:tcPr>
                <w:p w14:paraId="307FE3B6">
                  <w:pPr>
                    <w:keepNext w:val="0"/>
                    <w:keepLines/>
                    <w:pageBreakBefore w:val="0"/>
                    <w:kinsoku/>
                    <w:wordWrap w:val="0"/>
                    <w:overflowPunct/>
                    <w:topLinePunct w:val="0"/>
                    <w:bidi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砷（以As）计</w:t>
                  </w:r>
                </w:p>
              </w:tc>
              <w:tc>
                <w:tcPr>
                  <w:tcW w:w="3601" w:type="dxa"/>
                  <w:noWrap w:val="0"/>
                  <w:vAlign w:val="center"/>
                </w:tcPr>
                <w:p w14:paraId="028B9A64">
                  <w:pPr>
                    <w:keepNext w:val="0"/>
                    <w:keepLines/>
                    <w:pageBreakBefore w:val="0"/>
                    <w:kinsoku/>
                    <w:wordWrap w:val="0"/>
                    <w:overflowPunct/>
                    <w:topLinePunct w:val="0"/>
                    <w:bidi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≤0.5</w:t>
                  </w:r>
                </w:p>
              </w:tc>
            </w:tr>
            <w:tr w14:paraId="5A1F5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758" w:type="dxa"/>
                  <w:noWrap w:val="0"/>
                  <w:vAlign w:val="center"/>
                </w:tcPr>
                <w:p w14:paraId="3C905198">
                  <w:pPr>
                    <w:keepNext w:val="0"/>
                    <w:keepLines/>
                    <w:pageBreakBefore w:val="0"/>
                    <w:kinsoku/>
                    <w:wordWrap w:val="0"/>
                    <w:overflowPunct/>
                    <w:topLinePunct w:val="0"/>
                    <w:bidi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氟（以F计）</w:t>
                  </w:r>
                </w:p>
              </w:tc>
              <w:tc>
                <w:tcPr>
                  <w:tcW w:w="3601" w:type="dxa"/>
                  <w:noWrap w:val="0"/>
                  <w:vAlign w:val="center"/>
                </w:tcPr>
                <w:p w14:paraId="41E3C285">
                  <w:pPr>
                    <w:keepNext w:val="0"/>
                    <w:keepLines/>
                    <w:pageBreakBefore w:val="0"/>
                    <w:kinsoku/>
                    <w:wordWrap w:val="0"/>
                    <w:overflowPunct/>
                    <w:topLinePunct w:val="0"/>
                    <w:bidi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≤0.5</w:t>
                  </w:r>
                </w:p>
              </w:tc>
            </w:tr>
            <w:tr w14:paraId="7CAE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2758" w:type="dxa"/>
                  <w:noWrap w:val="0"/>
                  <w:vAlign w:val="center"/>
                </w:tcPr>
                <w:p w14:paraId="49200351">
                  <w:pPr>
                    <w:keepNext w:val="0"/>
                    <w:keepLines/>
                    <w:pageBreakBefore w:val="0"/>
                    <w:kinsoku/>
                    <w:wordWrap w:val="0"/>
                    <w:overflowPunct/>
                    <w:topLinePunct w:val="0"/>
                    <w:bidi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硝酸盐（以NaNO2计）</w:t>
                  </w:r>
                </w:p>
              </w:tc>
              <w:tc>
                <w:tcPr>
                  <w:tcW w:w="3601" w:type="dxa"/>
                  <w:noWrap w:val="0"/>
                  <w:vAlign w:val="center"/>
                </w:tcPr>
                <w:p w14:paraId="19F11052">
                  <w:pPr>
                    <w:keepNext w:val="0"/>
                    <w:keepLines/>
                    <w:pageBreakBefore w:val="0"/>
                    <w:kinsoku/>
                    <w:wordWrap w:val="0"/>
                    <w:overflowPunct/>
                    <w:topLinePunct w:val="0"/>
                    <w:bidi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瓜果类≤600，叶菜根茎类≤1200</w:t>
                  </w:r>
                </w:p>
              </w:tc>
            </w:tr>
            <w:tr w14:paraId="79CCB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758" w:type="dxa"/>
                  <w:noWrap w:val="0"/>
                  <w:vAlign w:val="center"/>
                </w:tcPr>
                <w:p w14:paraId="5D490DC4">
                  <w:pPr>
                    <w:keepNext w:val="0"/>
                    <w:keepLines/>
                    <w:pageBreakBefore w:val="0"/>
                    <w:kinsoku/>
                    <w:wordWrap w:val="0"/>
                    <w:overflowPunct/>
                    <w:topLinePunct w:val="0"/>
                    <w:bidi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亚硝酸盐（以NaNO2计）</w:t>
                  </w:r>
                </w:p>
              </w:tc>
              <w:tc>
                <w:tcPr>
                  <w:tcW w:w="3601" w:type="dxa"/>
                  <w:noWrap w:val="0"/>
                  <w:vAlign w:val="center"/>
                </w:tcPr>
                <w:p w14:paraId="330001F3">
                  <w:pPr>
                    <w:keepNext w:val="0"/>
                    <w:keepLines/>
                    <w:pageBreakBefore w:val="0"/>
                    <w:kinsoku/>
                    <w:wordWrap w:val="0"/>
                    <w:overflowPunct/>
                    <w:topLinePunct w:val="0"/>
                    <w:bidi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≤4</w:t>
                  </w:r>
                </w:p>
              </w:tc>
            </w:tr>
            <w:tr w14:paraId="3939A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359" w:type="dxa"/>
                  <w:gridSpan w:val="2"/>
                  <w:noWrap w:val="0"/>
                  <w:vAlign w:val="top"/>
                </w:tcPr>
                <w:p w14:paraId="19B2BA54">
                  <w:pPr>
                    <w:pStyle w:val="59"/>
                    <w:keepNext w:val="0"/>
                    <w:keepLines/>
                    <w:pageBreakBefore w:val="0"/>
                    <w:widowControl w:val="0"/>
                    <w:kinsoku/>
                    <w:wordWrap w:val="0"/>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0"/>
                      <w:sz w:val="21"/>
                      <w:szCs w:val="21"/>
                      <w:highlight w:val="none"/>
                    </w:rPr>
                    <w:t>国家规定其他必检项目必须符合国家标准</w:t>
                  </w:r>
                </w:p>
              </w:tc>
            </w:tr>
          </w:tbl>
          <w:p w14:paraId="58333128">
            <w:pPr>
              <w:pStyle w:val="639"/>
              <w:keepNext w:val="0"/>
              <w:keepLines/>
              <w:pageBreakBefore w:val="0"/>
              <w:widowControl w:val="0"/>
              <w:kinsoku/>
              <w:wordWrap w:val="0"/>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②</w:t>
            </w:r>
            <w:r>
              <w:rPr>
                <w:rFonts w:hint="eastAsia" w:ascii="宋体" w:hAnsi="宋体" w:eastAsia="宋体" w:cs="宋体"/>
                <w:b w:val="0"/>
                <w:bCs w:val="0"/>
                <w:color w:val="auto"/>
                <w:sz w:val="21"/>
                <w:szCs w:val="21"/>
                <w:highlight w:val="none"/>
                <w:lang w:eastAsia="zh-CN"/>
              </w:rPr>
              <w:t>蔬菜</w:t>
            </w:r>
            <w:r>
              <w:rPr>
                <w:rFonts w:hint="eastAsia" w:ascii="宋体" w:hAnsi="宋体" w:eastAsia="宋体" w:cs="宋体"/>
                <w:b w:val="0"/>
                <w:bCs w:val="0"/>
                <w:color w:val="auto"/>
                <w:sz w:val="21"/>
                <w:szCs w:val="21"/>
                <w:highlight w:val="none"/>
                <w:lang w:val="en-US" w:eastAsia="zh-CN"/>
              </w:rPr>
              <w:t>需具</w:t>
            </w:r>
            <w:r>
              <w:rPr>
                <w:rFonts w:hint="eastAsia" w:ascii="宋体" w:hAnsi="宋体" w:eastAsia="宋体" w:cs="宋体"/>
                <w:b w:val="0"/>
                <w:bCs w:val="0"/>
                <w:color w:val="auto"/>
                <w:sz w:val="21"/>
                <w:szCs w:val="21"/>
                <w:highlight w:val="none"/>
                <w:lang w:eastAsia="zh-CN"/>
              </w:rPr>
              <w:t>有检测报告，可以是公司自检报告，</w:t>
            </w:r>
            <w:r>
              <w:rPr>
                <w:rFonts w:hint="eastAsia" w:ascii="宋体" w:hAnsi="宋体" w:eastAsia="宋体" w:cs="宋体"/>
                <w:b w:val="0"/>
                <w:bCs w:val="0"/>
                <w:color w:val="auto"/>
                <w:sz w:val="21"/>
                <w:szCs w:val="21"/>
                <w:highlight w:val="none"/>
                <w:lang w:val="en-US" w:eastAsia="zh-CN"/>
              </w:rPr>
              <w:t>在派送时随货提供，若未能及时得出检测结果，可在配送</w:t>
            </w:r>
            <w:r>
              <w:rPr>
                <w:rFonts w:hint="eastAsia" w:ascii="宋体" w:hAnsi="宋体" w:eastAsia="宋体" w:cs="宋体"/>
                <w:b w:val="0"/>
                <w:bCs w:val="0"/>
                <w:color w:val="auto"/>
                <w:sz w:val="21"/>
                <w:szCs w:val="21"/>
                <w:highlight w:val="none"/>
                <w:lang w:eastAsia="zh-CN"/>
              </w:rPr>
              <w:t>当天（配送时间之后）</w:t>
            </w:r>
            <w:r>
              <w:rPr>
                <w:rFonts w:hint="eastAsia" w:ascii="宋体" w:hAnsi="宋体" w:eastAsia="宋体" w:cs="宋体"/>
                <w:b w:val="0"/>
                <w:bCs w:val="0"/>
                <w:color w:val="auto"/>
                <w:sz w:val="21"/>
                <w:szCs w:val="21"/>
                <w:highlight w:val="none"/>
                <w:lang w:val="en-US" w:eastAsia="zh-CN"/>
              </w:rPr>
              <w:t>或</w:t>
            </w:r>
            <w:r>
              <w:rPr>
                <w:rFonts w:hint="eastAsia" w:ascii="宋体" w:hAnsi="宋体" w:eastAsia="宋体" w:cs="宋体"/>
                <w:b w:val="0"/>
                <w:bCs w:val="0"/>
                <w:color w:val="auto"/>
                <w:sz w:val="21"/>
                <w:szCs w:val="21"/>
                <w:highlight w:val="none"/>
                <w:lang w:eastAsia="zh-CN"/>
              </w:rPr>
              <w:t>第二天补</w:t>
            </w:r>
            <w:r>
              <w:rPr>
                <w:rFonts w:hint="eastAsia" w:ascii="宋体" w:hAnsi="宋体" w:eastAsia="宋体" w:cs="宋体"/>
                <w:b w:val="0"/>
                <w:bCs w:val="0"/>
                <w:color w:val="auto"/>
                <w:sz w:val="21"/>
                <w:szCs w:val="21"/>
                <w:highlight w:val="none"/>
                <w:lang w:val="en-US" w:eastAsia="zh-CN"/>
              </w:rPr>
              <w:t>送</w:t>
            </w:r>
            <w:r>
              <w:rPr>
                <w:rFonts w:hint="eastAsia" w:ascii="宋体" w:hAnsi="宋体" w:eastAsia="宋体" w:cs="宋体"/>
                <w:b w:val="0"/>
                <w:bCs w:val="0"/>
                <w:color w:val="auto"/>
                <w:sz w:val="21"/>
                <w:szCs w:val="21"/>
                <w:highlight w:val="none"/>
                <w:lang w:eastAsia="zh-CN"/>
              </w:rPr>
              <w:t>权威机构的检测报告。</w:t>
            </w:r>
          </w:p>
        </w:tc>
      </w:tr>
      <w:tr w14:paraId="7914E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96" w:type="dxa"/>
            <w:gridSpan w:val="2"/>
            <w:noWrap w:val="0"/>
            <w:vAlign w:val="center"/>
          </w:tcPr>
          <w:p w14:paraId="0BED3755">
            <w:pPr>
              <w:keepNext w:val="0"/>
              <w:keepLines/>
              <w:pageBreakBefore w:val="0"/>
              <w:kinsoku/>
              <w:wordWrap w:val="0"/>
              <w:overflowPunct/>
              <w:topLinePunct w:val="0"/>
              <w:bidi w:val="0"/>
              <w:spacing w:line="40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服务质量</w:t>
            </w:r>
            <w:r>
              <w:rPr>
                <w:rFonts w:hint="eastAsia" w:ascii="宋体" w:hAnsi="宋体" w:eastAsia="宋体" w:cs="宋体"/>
                <w:b/>
                <w:bCs/>
                <w:color w:val="auto"/>
                <w:sz w:val="21"/>
                <w:szCs w:val="21"/>
                <w:highlight w:val="none"/>
              </w:rPr>
              <w:t>考核</w:t>
            </w:r>
          </w:p>
        </w:tc>
        <w:tc>
          <w:tcPr>
            <w:tcW w:w="7184" w:type="dxa"/>
            <w:gridSpan w:val="2"/>
            <w:noWrap w:val="0"/>
            <w:vAlign w:val="center"/>
          </w:tcPr>
          <w:p w14:paraId="02BCBFD9">
            <w:pPr>
              <w:keepNext w:val="0"/>
              <w:keepLines/>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1.当日送达菜品非采购人原因而出现质量不达标、缺斤少两、配送错误等问题，由成交供应商负责60分钟之内补换货，包换或包退，并承担因此而产生的一切费用。</w:t>
            </w:r>
          </w:p>
          <w:p w14:paraId="7A24C078">
            <w:pPr>
              <w:keepNext w:val="0"/>
              <w:keepLines/>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2.要求安排固定专人及配送员与采购人专职人员对接，及时处理解决如下单、加订、提前、延后、质量不符合、缺斤短两等实际问题。</w:t>
            </w:r>
          </w:p>
          <w:p w14:paraId="3824C09A">
            <w:pPr>
              <w:keepNext w:val="0"/>
              <w:keepLines/>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3.需粗加工的菜品(如去皮、砍斩等)，按采购人需求应当提前处理好或自带工具现场处理。</w:t>
            </w:r>
          </w:p>
          <w:p w14:paraId="24F7B353">
            <w:pPr>
              <w:keepNext w:val="0"/>
              <w:keepLines/>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4.成交供应商在供应过程中，如果发生出现质量问题或造成食物中毒，如变质等情况，经查实后确属成交供应商责任，成交供应商应承担全部责任。</w:t>
            </w:r>
          </w:p>
          <w:p w14:paraId="4613F827">
            <w:pPr>
              <w:keepNext w:val="0"/>
              <w:keepLines/>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5.质保期内，非采购人的人为原因而出现食材质量问题，由成交供应商负责包换或包退，并承担因此而产生的一切费用。</w:t>
            </w:r>
          </w:p>
          <w:p w14:paraId="718FD3EA">
            <w:pPr>
              <w:keepNext w:val="0"/>
              <w:keepLines/>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6.自觉接受采购人对食品配送质量、服务、价格等进行督导评议，认真履行本合同的各项义务，妥善处理各方意见，定期回访，把服务工作做好。</w:t>
            </w:r>
          </w:p>
          <w:p w14:paraId="6C71D1DE">
            <w:pPr>
              <w:keepNext w:val="0"/>
              <w:keepLines/>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采购人对</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的配送服务进行考核，针对</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配送时出现的供货超时、所提供产品不符合质量要求、未按</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下浮率进行下浮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询价价格</w:t>
            </w:r>
            <w:r>
              <w:rPr>
                <w:rFonts w:hint="eastAsia" w:ascii="宋体" w:hAnsi="宋体" w:eastAsia="宋体" w:cs="宋体"/>
                <w:color w:val="auto"/>
                <w:sz w:val="21"/>
                <w:szCs w:val="21"/>
                <w:highlight w:val="none"/>
              </w:rPr>
              <w:t>的价格进行供货、出现缺斤少两行为等所有未按招标要求规定的违规行为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所有违规事项，无论种类，都按累计式记录在案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按以下程序处理</w:t>
            </w:r>
            <w:r>
              <w:rPr>
                <w:rFonts w:hint="eastAsia" w:ascii="宋体" w:hAnsi="宋体" w:eastAsia="宋体" w:cs="宋体"/>
                <w:color w:val="auto"/>
                <w:sz w:val="21"/>
                <w:szCs w:val="21"/>
                <w:highlight w:val="none"/>
                <w:lang w:eastAsia="zh-CN"/>
              </w:rPr>
              <w:t>：</w:t>
            </w:r>
          </w:p>
          <w:p w14:paraId="4EE7FEDD">
            <w:pPr>
              <w:keepNext w:val="0"/>
              <w:keepLines w:val="0"/>
              <w:pageBreakBefore w:val="0"/>
              <w:widowControl w:val="0"/>
              <w:kinsoku/>
              <w:wordWrap/>
              <w:overflowPunct/>
              <w:topLinePunct w:val="0"/>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成交供应商须接受月度考核，考核基本分为100分，由采购人对食品配送质量、服务、价格等进行督导评议。成交供应商对评议结果有异议，可提出申诉并提供证据。对确有不合格之处，成交供应商应积极沟通、妥善解决、按期整改。</w:t>
            </w:r>
            <w:r>
              <w:rPr>
                <w:rFonts w:hint="eastAsia" w:ascii="宋体" w:hAnsi="宋体" w:cs="宋体"/>
                <w:color w:val="auto"/>
                <w:szCs w:val="21"/>
                <w:highlight w:val="none"/>
              </w:rPr>
              <w:t>出现</w:t>
            </w:r>
            <w:r>
              <w:rPr>
                <w:rFonts w:hint="eastAsia" w:ascii="宋体" w:hAnsi="宋体" w:cs="宋体"/>
                <w:color w:val="auto"/>
                <w:szCs w:val="21"/>
                <w:highlight w:val="none"/>
                <w:lang w:val="en-US" w:eastAsia="zh-CN"/>
              </w:rPr>
              <w:t>考核分数低于60分的，</w:t>
            </w:r>
            <w:r>
              <w:rPr>
                <w:rFonts w:hint="eastAsia" w:ascii="宋体" w:hAnsi="宋体" w:cs="宋体"/>
                <w:color w:val="auto"/>
                <w:szCs w:val="21"/>
                <w:highlight w:val="none"/>
              </w:rPr>
              <w:t>采购人对</w:t>
            </w:r>
            <w:r>
              <w:rPr>
                <w:rFonts w:hint="eastAsia" w:ascii="宋体" w:hAnsi="宋体" w:cs="宋体"/>
                <w:color w:val="auto"/>
                <w:szCs w:val="21"/>
                <w:highlight w:val="none"/>
                <w:lang w:val="en-US" w:eastAsia="zh-CN"/>
              </w:rPr>
              <w:t>成交供应商</w:t>
            </w:r>
            <w:r>
              <w:rPr>
                <w:rFonts w:hint="eastAsia" w:ascii="宋体" w:hAnsi="宋体" w:cs="宋体"/>
                <w:color w:val="auto"/>
                <w:szCs w:val="21"/>
                <w:highlight w:val="none"/>
              </w:rPr>
              <w:t>提出</w:t>
            </w:r>
            <w:r>
              <w:rPr>
                <w:rFonts w:hint="eastAsia" w:ascii="宋体" w:hAnsi="宋体" w:cs="宋体"/>
                <w:color w:val="auto"/>
                <w:szCs w:val="21"/>
                <w:highlight w:val="none"/>
                <w:lang w:val="en-US" w:eastAsia="zh-CN"/>
              </w:rPr>
              <w:t>书面</w:t>
            </w:r>
            <w:r>
              <w:rPr>
                <w:rFonts w:hint="eastAsia" w:ascii="宋体" w:hAnsi="宋体" w:cs="宋体"/>
                <w:color w:val="auto"/>
                <w:szCs w:val="21"/>
                <w:highlight w:val="none"/>
              </w:rPr>
              <w:t>警告。</w:t>
            </w:r>
            <w:r>
              <w:rPr>
                <w:rFonts w:hint="eastAsia" w:ascii="宋体" w:hAnsi="宋体" w:cs="宋体"/>
                <w:color w:val="auto"/>
                <w:szCs w:val="21"/>
                <w:highlight w:val="none"/>
                <w:lang w:eastAsia="zh-CN"/>
              </w:rPr>
              <w:t>如整改后月度考核仍无法合格，累计三月均低于80分或累计两月均低于60分，采购人有权解除合同，双方对合同的履约有异议的，可提交北海市仲裁委员会裁决</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lang w:val="en-US" w:eastAsia="zh-CN"/>
              </w:rPr>
              <w:t>具体考核内容详见本节附件</w:t>
            </w:r>
            <w:r>
              <w:rPr>
                <w:rFonts w:hint="eastAsia" w:ascii="宋体" w:hAnsi="宋体" w:eastAsia="宋体" w:cs="宋体"/>
                <w:color w:val="auto"/>
                <w:sz w:val="21"/>
                <w:szCs w:val="21"/>
                <w:highlight w:val="none"/>
                <w:lang w:val="en-US" w:eastAsia="zh-CN"/>
              </w:rPr>
              <w:t>《服务质量考核细则表》。</w:t>
            </w:r>
          </w:p>
        </w:tc>
      </w:tr>
      <w:tr w14:paraId="6222E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96" w:type="dxa"/>
            <w:gridSpan w:val="2"/>
            <w:noWrap w:val="0"/>
            <w:vAlign w:val="center"/>
          </w:tcPr>
          <w:p w14:paraId="4FAAA9A0">
            <w:pPr>
              <w:keepNext w:val="0"/>
              <w:keepLines/>
              <w:pageBreakBefore w:val="0"/>
              <w:kinsoku/>
              <w:wordWrap w:val="0"/>
              <w:overflowPunct/>
              <w:topLinePunct w:val="0"/>
              <w:bidi w:val="0"/>
              <w:spacing w:line="40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产品验收要求</w:t>
            </w:r>
          </w:p>
        </w:tc>
        <w:tc>
          <w:tcPr>
            <w:tcW w:w="7184" w:type="dxa"/>
            <w:gridSpan w:val="2"/>
            <w:noWrap w:val="0"/>
            <w:vAlign w:val="center"/>
          </w:tcPr>
          <w:p w14:paraId="74454F48">
            <w:pPr>
              <w:keepNext w:val="0"/>
              <w:keepLines w:val="0"/>
              <w:pageBreakBefore w:val="0"/>
              <w:widowControl w:val="0"/>
              <w:kinsoku/>
              <w:wordWrap/>
              <w:overflowPunct/>
              <w:topLinePunct w:val="0"/>
              <w:autoSpaceDE/>
              <w:autoSpaceDN/>
              <w:bidi w:val="0"/>
              <w:adjustRightInd w:val="0"/>
              <w:snapToGrid/>
              <w:spacing w:line="400" w:lineRule="exact"/>
              <w:ind w:firstLine="42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1.验收流程</w:t>
            </w:r>
          </w:p>
          <w:p w14:paraId="54D9A9E3">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做好卸货前的检查。双方验收人员卸货前应对场地和验收设备做好准备，并对食材的外观质量进行初步了解。食材运输必须采用符合卫生标准的外包装和运输工具，保持清洁和定期消毒，车厢内无不良气味、异味。食品应清洁，无损伤、腐烂现象，外包装完整，无寄生虫或已受虫害现象。</w:t>
            </w:r>
          </w:p>
          <w:p w14:paraId="7588735C">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采取现场验收的方式，双方验收人员应认真检查物资的质量，按索票--验证--普查--计数--入库的程序完成验收，供应商可提供原件的留原件，原件只有一份而无法提供给采购人的查验原件后，索取复印件留存。</w:t>
            </w:r>
          </w:p>
          <w:p w14:paraId="152631CF">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验收人员应按竞争性磋商文件产品质量要求对货物质量进行抽查，比较相关文件，以确保货物品种符合要求。如确定有所差异，应即刻通知送货人员。如发现物品有损坏的情况，应在相关单据上记录所有损坏情况。建议对物品损坏情况进行拍照并存档。对于物品验收的全部信息数据，采购人使用单位验收人员应和投标人送货人员一起确认，并保留双方签字单据。</w:t>
            </w:r>
          </w:p>
          <w:p w14:paraId="185E0CBF">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（4）抽查发现物品安全质量问题的处理：</w:t>
            </w:r>
          </w:p>
          <w:p w14:paraId="72100871">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①对危及人身安全的物品质量问题采取零容忍措施，一经发现，当日所送同批次产品全部退货。</w:t>
            </w:r>
          </w:p>
          <w:p w14:paraId="35E9CB98">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②若抽查未发现问题，而在加工食用前发现部分物品质量问题，应立即通知配送商，将问题产品退货处理。</w:t>
            </w:r>
          </w:p>
          <w:p w14:paraId="3999725D">
            <w:pPr>
              <w:keepNext w:val="0"/>
              <w:keepLines w:val="0"/>
              <w:pageBreakBefore w:val="0"/>
              <w:widowControl w:val="0"/>
              <w:kinsoku/>
              <w:wordWrap/>
              <w:overflowPunct/>
              <w:topLinePunct w:val="0"/>
              <w:autoSpaceDE/>
              <w:autoSpaceDN/>
              <w:bidi w:val="0"/>
              <w:adjustRightInd w:val="0"/>
              <w:snapToGrid/>
              <w:spacing w:line="400" w:lineRule="exact"/>
              <w:ind w:firstLine="42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2.退(补)货流程</w:t>
            </w:r>
          </w:p>
          <w:p w14:paraId="09EACF30">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对不符合质量要求的货物由采购人验收人员提出清退，如双方对质量或重量有争议的可送具有检验资质的部门检测，同时留样备检，对数量不足或部分退货的，责成供应商以不影响物品供应为前提尽快补送。在退货过程中，对有碍公共卫生安全的食品，应按国家有关规定处理或进行协议销毁，不退货给供应商。</w:t>
            </w:r>
          </w:p>
          <w:p w14:paraId="55D00FF6">
            <w:pPr>
              <w:keepNext w:val="0"/>
              <w:keepLines w:val="0"/>
              <w:pageBreakBefore w:val="0"/>
              <w:widowControl w:val="0"/>
              <w:kinsoku/>
              <w:wordWrap/>
              <w:overflowPunct/>
              <w:topLinePunct w:val="0"/>
              <w:autoSpaceDE/>
              <w:autoSpaceDN/>
              <w:bidi w:val="0"/>
              <w:adjustRightInd w:val="0"/>
              <w:snapToGrid/>
              <w:spacing w:line="400" w:lineRule="exact"/>
              <w:ind w:firstLine="42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3.验收记录</w:t>
            </w:r>
          </w:p>
          <w:p w14:paraId="0C9EBD1D">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每天随货提供物品配送单，对每次验收的物品均记录货物名称、数量、验收情况等事项，并由双方验收人员签名确认（后附电子版清单）。</w:t>
            </w:r>
          </w:p>
          <w:p w14:paraId="38DBDB2D">
            <w:pPr>
              <w:keepNext w:val="0"/>
              <w:keepLines w:val="0"/>
              <w:pageBreakBefore w:val="0"/>
              <w:widowControl w:val="0"/>
              <w:kinsoku/>
              <w:wordWrap/>
              <w:overflowPunct/>
              <w:topLinePunct w:val="0"/>
              <w:autoSpaceDE/>
              <w:autoSpaceDN/>
              <w:bidi w:val="0"/>
              <w:adjustRightInd w:val="0"/>
              <w:snapToGrid/>
              <w:spacing w:line="400" w:lineRule="exact"/>
              <w:ind w:firstLine="42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 xml:space="preserve">4.验收条款 </w:t>
            </w:r>
          </w:p>
          <w:p w14:paraId="5C38F53A">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（1）供应商所提供的物品必须符合《中华人民共和国食品卫生法》、《中华人民共和国食品安全法》要求。</w:t>
            </w:r>
          </w:p>
          <w:p w14:paraId="7FBE6916">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（2）供应商所提供的物品必须符合国家行业生产及经营标准，货真价实，均能提供相应批次的合格检验证明。</w:t>
            </w:r>
          </w:p>
          <w:p w14:paraId="284C31B5">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（3）供应商所提供的物品必须各项技术指标完全符合国家强制性标准，符合国家有关质量检测、环保标准及产品出厂标准。</w:t>
            </w:r>
          </w:p>
          <w:p w14:paraId="55F1BA69">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（4）供应商必须负责中标货物的运输、质量检测等工作，所产生的费用由配送商负责。</w:t>
            </w:r>
          </w:p>
          <w:p w14:paraId="3496845D">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供应商配送货物必须按时按量按质送到指定地点，并当面核实数量，验收完毕后，双方必须在货物收货清单(格式自定，但必须包括货物单价、数量、重量、合价等内容)上签名确认，货物收货清单作为采购人支付货款的依据之一。</w:t>
            </w:r>
          </w:p>
        </w:tc>
      </w:tr>
      <w:tr w14:paraId="43C5A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96" w:type="dxa"/>
            <w:gridSpan w:val="2"/>
            <w:noWrap w:val="0"/>
            <w:vAlign w:val="center"/>
          </w:tcPr>
          <w:p w14:paraId="6C053114">
            <w:pPr>
              <w:keepNext w:val="0"/>
              <w:keepLines/>
              <w:pageBreakBefore w:val="0"/>
              <w:kinsoku/>
              <w:wordWrap w:val="0"/>
              <w:overflowPunct/>
              <w:topLinePunct w:val="0"/>
              <w:bidi w:val="0"/>
              <w:spacing w:line="40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数量及验货方面要求</w:t>
            </w:r>
          </w:p>
        </w:tc>
        <w:tc>
          <w:tcPr>
            <w:tcW w:w="7184" w:type="dxa"/>
            <w:gridSpan w:val="2"/>
            <w:noWrap w:val="0"/>
            <w:vAlign w:val="center"/>
          </w:tcPr>
          <w:p w14:paraId="2EF93FAB">
            <w:pPr>
              <w:keepNext w:val="0"/>
              <w:keepLines/>
              <w:pageBreakBefore w:val="0"/>
              <w:widowControl w:val="0"/>
              <w:kinsoku/>
              <w:wordWrap w:val="0"/>
              <w:overflowPunct/>
              <w:topLinePunct w:val="0"/>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必须保证配送货物品种、数量的准确性，并以采购人的验货数量为准；</w:t>
            </w:r>
          </w:p>
          <w:p w14:paraId="2A9E1979">
            <w:pPr>
              <w:keepNext w:val="0"/>
              <w:keepLines/>
              <w:pageBreakBefore w:val="0"/>
              <w:widowControl w:val="0"/>
              <w:kinsoku/>
              <w:wordWrap w:val="0"/>
              <w:overflowPunct/>
              <w:topLinePunct w:val="0"/>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每次供货时必须提供送货清单，供双方验货后签字确认(格式自定，但必须包括货物单价、数量、重量、合价等内容)，清单作为采购人支付货款的依据之一。</w:t>
            </w:r>
          </w:p>
        </w:tc>
      </w:tr>
      <w:tr w14:paraId="57981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96" w:type="dxa"/>
            <w:gridSpan w:val="2"/>
            <w:noWrap w:val="0"/>
            <w:vAlign w:val="center"/>
          </w:tcPr>
          <w:p w14:paraId="01F894FF">
            <w:pPr>
              <w:keepNext w:val="0"/>
              <w:keepLines/>
              <w:pageBreakBefore w:val="0"/>
              <w:kinsoku/>
              <w:wordWrap w:val="0"/>
              <w:overflowPunct/>
              <w:topLinePunct w:val="0"/>
              <w:bidi w:val="0"/>
              <w:spacing w:line="40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配送价格要求</w:t>
            </w:r>
          </w:p>
        </w:tc>
        <w:tc>
          <w:tcPr>
            <w:tcW w:w="7184" w:type="dxa"/>
            <w:gridSpan w:val="2"/>
            <w:noWrap w:val="0"/>
            <w:vAlign w:val="center"/>
          </w:tcPr>
          <w:p w14:paraId="229855DA">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highlight w:val="none"/>
                <w:lang w:val="en-US" w:eastAsia="zh-CN"/>
              </w:rPr>
              <w:t>.本项目以北海市大润发超市食材价格为</w:t>
            </w:r>
            <w:r>
              <w:rPr>
                <w:rFonts w:hint="eastAsia" w:ascii="宋体" w:hAnsi="宋体" w:eastAsia="宋体" w:cs="宋体"/>
                <w:color w:val="auto"/>
                <w:highlight w:val="none"/>
                <w:lang w:val="en-US" w:eastAsia="zh-CN"/>
              </w:rPr>
              <w:t>基准价</w:t>
            </w:r>
            <w:r>
              <w:rPr>
                <w:rFonts w:hint="eastAsia" w:ascii="宋体" w:hAnsi="宋体" w:eastAsia="宋体" w:cs="宋体"/>
                <w:color w:val="auto"/>
                <w:highlight w:val="none"/>
                <w:lang w:val="en-US" w:eastAsia="zh-CN"/>
              </w:rPr>
              <w:t>（大润发超市未上架或打折促销的食材，以</w:t>
            </w:r>
            <w:r>
              <w:rPr>
                <w:rFonts w:hint="eastAsia" w:ascii="宋体" w:hAnsi="宋体" w:eastAsia="宋体" w:cs="宋体"/>
                <w:color w:val="auto"/>
                <w:highlight w:val="none"/>
                <w:lang w:val="en-US" w:eastAsia="zh-CN"/>
              </w:rPr>
              <w:t>南珠市场食材价格</w:t>
            </w:r>
            <w:r>
              <w:rPr>
                <w:rFonts w:hint="eastAsia" w:ascii="宋体" w:hAnsi="宋体" w:eastAsia="宋体" w:cs="宋体"/>
                <w:color w:val="auto"/>
                <w:highlight w:val="none"/>
                <w:lang w:val="en-US" w:eastAsia="zh-CN"/>
              </w:rPr>
              <w:t>为基准价</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w:t>
            </w:r>
          </w:p>
          <w:p w14:paraId="45A44E05">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定价时间：以15天为一周期，每月1、16日前选定一日作为定价日（因故顺延），以定价日的价格做为每一期的结算基准价，如当月1日-15日采购的品种，按当月1日的价格结算。结算价以大润发超市食材调研价格为基准（大润发超市未上架的食材，以</w:t>
            </w:r>
            <w:r>
              <w:rPr>
                <w:rFonts w:hint="eastAsia" w:ascii="宋体" w:hAnsi="宋体" w:eastAsia="宋体" w:cs="宋体"/>
                <w:color w:val="auto"/>
                <w:highlight w:val="none"/>
                <w:lang w:val="en-US" w:eastAsia="zh-CN"/>
              </w:rPr>
              <w:t>南珠市场食材价格</w:t>
            </w:r>
            <w:r>
              <w:rPr>
                <w:rFonts w:hint="eastAsia" w:ascii="宋体" w:hAnsi="宋体" w:eastAsia="宋体" w:cs="宋体"/>
                <w:color w:val="auto"/>
                <w:highlight w:val="none"/>
                <w:lang w:val="en-US" w:eastAsia="zh-CN"/>
              </w:rPr>
              <w:t>为基准</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，按照</w:t>
            </w:r>
            <w:r>
              <w:rPr>
                <w:rFonts w:hint="eastAsia" w:ascii="宋体" w:hAnsi="宋体" w:eastAsia="宋体" w:cs="宋体"/>
                <w:color w:val="auto"/>
                <w:highlight w:val="none"/>
                <w:lang w:val="en-US" w:eastAsia="zh-CN"/>
              </w:rPr>
              <w:t>成交下浮率</w:t>
            </w:r>
            <w:r>
              <w:rPr>
                <w:rFonts w:hint="eastAsia" w:ascii="宋体" w:hAnsi="宋体" w:eastAsia="宋体" w:cs="宋体"/>
                <w:color w:val="auto"/>
                <w:highlight w:val="none"/>
                <w:lang w:val="en-US" w:eastAsia="zh-CN"/>
              </w:rPr>
              <w:t>分别进行价格核定。如遇食材价格上涨或下降都均以定价日的价格为准，不再另行调整，采购人与供应商双方各自承担由此带来的经济风险。</w:t>
            </w:r>
          </w:p>
          <w:p w14:paraId="003B5F78">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采购人每月1、16日前组织人员对大润发超市、南珠市场进行食材价格调研，成交供应商安排1人配合采购人参加调研，对采购人调研价格予以签字确认。采购人调研后，成交供应商如对调研价格存有疑义，应当现场提出，共同到市场内核验。调研价格一经签字确认，双方不得修改。</w:t>
            </w:r>
          </w:p>
          <w:p w14:paraId="01B42959">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lang w:val="en-US" w:eastAsia="zh-CN"/>
              </w:rPr>
              <w:t>4.结算公式：</w:t>
            </w:r>
            <w:r>
              <w:rPr>
                <w:rFonts w:hint="eastAsia" w:ascii="宋体" w:hAnsi="宋体" w:eastAsia="宋体" w:cs="宋体"/>
                <w:strike w:val="0"/>
                <w:dstrike w:val="0"/>
                <w:color w:val="auto"/>
                <w:highlight w:val="none"/>
                <w:lang w:val="en-US" w:eastAsia="zh-CN"/>
              </w:rPr>
              <w:t>食材调研基准价</w:t>
            </w:r>
            <w:r>
              <w:rPr>
                <w:rFonts w:hint="eastAsia" w:ascii="宋体" w:hAnsi="宋体" w:eastAsia="宋体" w:cs="宋体"/>
                <w:color w:val="auto"/>
                <w:highlight w:val="none"/>
                <w:lang w:val="en-US" w:eastAsia="zh-CN"/>
              </w:rPr>
              <w:t>×(1-成交下浮率)×实际供货量=结算价格</w:t>
            </w:r>
          </w:p>
        </w:tc>
      </w:tr>
      <w:tr w14:paraId="6732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96" w:type="dxa"/>
            <w:gridSpan w:val="2"/>
            <w:noWrap w:val="0"/>
            <w:vAlign w:val="center"/>
          </w:tcPr>
          <w:p w14:paraId="16CF0AED">
            <w:pPr>
              <w:keepNext w:val="0"/>
              <w:keepLines/>
              <w:pageBreakBefore w:val="0"/>
              <w:kinsoku/>
              <w:wordWrap w:val="0"/>
              <w:overflowPunct/>
              <w:topLinePunct w:val="0"/>
              <w:bidi w:val="0"/>
              <w:spacing w:line="40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结算要求</w:t>
            </w:r>
          </w:p>
        </w:tc>
        <w:tc>
          <w:tcPr>
            <w:tcW w:w="7184" w:type="dxa"/>
            <w:gridSpan w:val="2"/>
            <w:noWrap w:val="0"/>
            <w:vAlign w:val="top"/>
          </w:tcPr>
          <w:p w14:paraId="08A25092">
            <w:pPr>
              <w:keepNext w:val="0"/>
              <w:keepLines/>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1.费用按月结算，双方根据当月采购清单与配送清单于次月进行结算，未</w:t>
            </w:r>
            <w:r>
              <w:rPr>
                <w:rFonts w:hint="eastAsia" w:ascii="宋体" w:hAnsi="宋体" w:eastAsia="宋体" w:cs="宋体"/>
                <w:color w:val="auto"/>
                <w:sz w:val="21"/>
                <w:szCs w:val="21"/>
                <w:highlight w:val="none"/>
                <w:lang w:val="en-US" w:eastAsia="zh-CN"/>
              </w:rPr>
              <w:t>按</w:t>
            </w:r>
            <w:r>
              <w:rPr>
                <w:rFonts w:hint="eastAsia" w:ascii="宋体" w:hAnsi="宋体" w:eastAsia="宋体" w:cs="宋体"/>
                <w:color w:val="auto"/>
                <w:sz w:val="21"/>
                <w:szCs w:val="21"/>
                <w:highlight w:val="none"/>
              </w:rPr>
              <w:t>要求提供材料的不予结算。</w:t>
            </w:r>
          </w:p>
          <w:p w14:paraId="29AE1244">
            <w:pPr>
              <w:keepNext w:val="0"/>
              <w:keepLines/>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.未经采购人同意采购的物资以及验收不合格的货品，采购人不予结算。</w:t>
            </w:r>
          </w:p>
          <w:p w14:paraId="236FFD87">
            <w:pPr>
              <w:keepNext w:val="0"/>
              <w:keepLines/>
              <w:pageBreakBefore w:val="0"/>
              <w:widowControl w:val="0"/>
              <w:kinsoku/>
              <w:wordWrap w:val="0"/>
              <w:overflowPunct/>
              <w:topLinePunct w:val="0"/>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.采购人对</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的结算有异议的，在三日内提出重审要求，由</w:t>
            </w:r>
            <w:r>
              <w:rPr>
                <w:rFonts w:hint="eastAsia" w:ascii="宋体" w:hAnsi="宋体" w:eastAsia="宋体" w:cs="宋体"/>
                <w:color w:val="auto"/>
                <w:sz w:val="21"/>
                <w:szCs w:val="21"/>
                <w:highlight w:val="none"/>
                <w:lang w:val="en-US" w:eastAsia="zh-CN"/>
              </w:rPr>
              <w:t>采购人抽调相关部门人员</w:t>
            </w:r>
            <w:r>
              <w:rPr>
                <w:rFonts w:hint="eastAsia" w:ascii="宋体" w:hAnsi="宋体" w:eastAsia="宋体" w:cs="宋体"/>
                <w:color w:val="auto"/>
                <w:sz w:val="21"/>
                <w:szCs w:val="21"/>
                <w:highlight w:val="none"/>
              </w:rPr>
              <w:t>组成联合工作组，对</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供货价格进行查验，十日内（提出重审要求日起算）对结算报价进行重新审核结算。</w:t>
            </w:r>
          </w:p>
        </w:tc>
      </w:tr>
      <w:tr w14:paraId="5526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96" w:type="dxa"/>
            <w:gridSpan w:val="2"/>
            <w:noWrap w:val="0"/>
            <w:vAlign w:val="center"/>
          </w:tcPr>
          <w:p w14:paraId="688157B5">
            <w:pPr>
              <w:keepNext w:val="0"/>
              <w:keepLines/>
              <w:pageBreakBefore w:val="0"/>
              <w:kinsoku/>
              <w:wordWrap w:val="0"/>
              <w:overflowPunct/>
              <w:topLinePunct w:val="0"/>
              <w:bidi w:val="0"/>
              <w:spacing w:line="40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付款方式</w:t>
            </w:r>
          </w:p>
        </w:tc>
        <w:tc>
          <w:tcPr>
            <w:tcW w:w="7184" w:type="dxa"/>
            <w:gridSpan w:val="2"/>
            <w:noWrap w:val="0"/>
            <w:vAlign w:val="center"/>
          </w:tcPr>
          <w:p w14:paraId="05F300E9">
            <w:pPr>
              <w:keepNext w:val="0"/>
              <w:keepLines/>
              <w:pageBreakBefore w:val="0"/>
              <w:widowControl w:val="0"/>
              <w:kinsoku/>
              <w:wordWrap w:val="0"/>
              <w:overflowPunct/>
              <w:topLinePunct w:val="0"/>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结算期限：食材款项由成交供应商先垫付、后结算，每月结算一次成交供应商于每月20日前凭食材配送清单等材料向采购人申请付款，采购人收到申请后在30个工作日内完成支付。遇有特殊情况，可以推迟结算(如审批权限人出差、封账及其他无法预测情况等)。</w:t>
            </w:r>
          </w:p>
          <w:p w14:paraId="5DA8AECB">
            <w:pPr>
              <w:keepNext w:val="0"/>
              <w:keepLines/>
              <w:pageBreakBefore w:val="0"/>
              <w:widowControl w:val="0"/>
              <w:kinsoku/>
              <w:wordWrap w:val="0"/>
              <w:overflowPunct/>
              <w:topLinePunct w:val="0"/>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2.结算方式：采购人采用银行</w:t>
            </w:r>
            <w:r>
              <w:rPr>
                <w:rFonts w:hint="eastAsia" w:ascii="宋体" w:hAnsi="宋体" w:cs="宋体"/>
                <w:color w:val="auto"/>
                <w:kern w:val="2"/>
                <w:sz w:val="21"/>
                <w:szCs w:val="21"/>
                <w:highlight w:val="none"/>
                <w:lang w:val="en-US" w:eastAsia="zh-CN" w:bidi="ar-SA"/>
              </w:rPr>
              <w:t>转账</w:t>
            </w:r>
            <w:r>
              <w:rPr>
                <w:rFonts w:hint="eastAsia" w:ascii="宋体" w:hAnsi="宋体" w:eastAsia="宋体" w:cs="宋体"/>
                <w:color w:val="auto"/>
                <w:kern w:val="2"/>
                <w:sz w:val="21"/>
                <w:szCs w:val="21"/>
                <w:highlight w:val="none"/>
                <w:lang w:val="en-US" w:eastAsia="zh-CN" w:bidi="ar-SA"/>
              </w:rPr>
              <w:t>的形式支付食材款项，不得出现任何现金交易。未经采购人同意采购的物资以及验收不合格的货品，采购人不予付款。</w:t>
            </w:r>
          </w:p>
          <w:p w14:paraId="17DCDD28">
            <w:pPr>
              <w:keepNext w:val="0"/>
              <w:keepLines/>
              <w:pageBreakBefore w:val="0"/>
              <w:widowControl w:val="0"/>
              <w:kinsoku/>
              <w:wordWrap w:val="0"/>
              <w:overflowPunct/>
              <w:topLinePunct w:val="0"/>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3.成交供应商必须能够按时提供当月足额发票以及该票据对应清单明细，附电子菜单等。</w:t>
            </w:r>
          </w:p>
        </w:tc>
      </w:tr>
      <w:tr w14:paraId="5618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96" w:type="dxa"/>
            <w:gridSpan w:val="2"/>
            <w:noWrap w:val="0"/>
            <w:vAlign w:val="center"/>
          </w:tcPr>
          <w:p w14:paraId="2FD9853A">
            <w:pPr>
              <w:pStyle w:val="32"/>
              <w:keepNext w:val="0"/>
              <w:keepLines/>
              <w:pageBreakBefore w:val="0"/>
              <w:kinsoku/>
              <w:wordWrap w:val="0"/>
              <w:overflowPunct/>
              <w:topLinePunct w:val="0"/>
              <w:bidi w:val="0"/>
              <w:snapToGrid w:val="0"/>
              <w:spacing w:line="40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报价方式及要求</w:t>
            </w:r>
          </w:p>
        </w:tc>
        <w:tc>
          <w:tcPr>
            <w:tcW w:w="7184" w:type="dxa"/>
            <w:gridSpan w:val="2"/>
            <w:noWrap w:val="0"/>
            <w:vAlign w:val="center"/>
          </w:tcPr>
          <w:p w14:paraId="3477A810">
            <w:pPr>
              <w:keepNext w:val="0"/>
              <w:keepLines/>
              <w:pageBreakBefore w:val="0"/>
              <w:widowControl w:val="0"/>
              <w:kinsoku/>
              <w:wordWrap w:val="0"/>
              <w:overflowPunct/>
              <w:topLinePunct w:val="0"/>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1.本项目采用</w:t>
            </w:r>
            <w:r>
              <w:rPr>
                <w:rFonts w:hint="eastAsia" w:ascii="宋体" w:hAnsi="宋体" w:eastAsia="宋体" w:cs="宋体"/>
                <w:b/>
                <w:color w:val="auto"/>
                <w:sz w:val="21"/>
                <w:szCs w:val="21"/>
                <w:highlight w:val="none"/>
                <w:lang w:val="en-US" w:eastAsia="zh-CN"/>
              </w:rPr>
              <w:t>整体</w:t>
            </w:r>
            <w:r>
              <w:rPr>
                <w:rFonts w:hint="eastAsia" w:ascii="宋体" w:hAnsi="宋体" w:eastAsia="宋体" w:cs="宋体"/>
                <w:b/>
                <w:color w:val="auto"/>
                <w:sz w:val="21"/>
                <w:szCs w:val="21"/>
                <w:highlight w:val="none"/>
              </w:rPr>
              <w:t>下浮率报价</w:t>
            </w:r>
            <w:r>
              <w:rPr>
                <w:rFonts w:hint="eastAsia" w:ascii="宋体" w:hAnsi="宋体" w:eastAsia="宋体" w:cs="宋体"/>
                <w:b/>
                <w:color w:val="auto"/>
                <w:sz w:val="21"/>
                <w:szCs w:val="21"/>
                <w:highlight w:val="none"/>
                <w:lang w:val="en-US" w:eastAsia="zh-CN"/>
              </w:rPr>
              <w:t>且只有唯一报价</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本项目</w:t>
            </w:r>
            <w:r>
              <w:rPr>
                <w:rFonts w:hint="eastAsia" w:ascii="宋体" w:hAnsi="宋体" w:eastAsia="宋体" w:cs="宋体"/>
                <w:b/>
                <w:color w:val="auto"/>
                <w:sz w:val="21"/>
                <w:szCs w:val="21"/>
                <w:highlight w:val="none"/>
              </w:rPr>
              <w:t>下浮率不低于</w:t>
            </w:r>
            <w:r>
              <w:rPr>
                <w:rFonts w:hint="eastAsia" w:ascii="宋体" w:hAnsi="宋体" w:eastAsia="宋体" w:cs="宋体"/>
                <w:b/>
                <w:color w:val="auto"/>
                <w:sz w:val="21"/>
                <w:szCs w:val="21"/>
                <w:highlight w:val="none"/>
                <w:lang w:val="en-US" w:eastAsia="zh-CN"/>
              </w:rPr>
              <w:t>10</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rPr>
              <w:t>供应商</w:t>
            </w:r>
            <w:r>
              <w:rPr>
                <w:rFonts w:hint="eastAsia" w:ascii="宋体" w:hAnsi="宋体" w:eastAsia="宋体" w:cs="宋体"/>
                <w:b/>
                <w:color w:val="auto"/>
                <w:sz w:val="21"/>
                <w:szCs w:val="21"/>
                <w:highlight w:val="none"/>
                <w:lang w:val="en-US" w:eastAsia="zh-CN"/>
              </w:rPr>
              <w:t>须</w:t>
            </w:r>
            <w:r>
              <w:rPr>
                <w:rFonts w:hint="eastAsia" w:ascii="宋体" w:hAnsi="宋体" w:eastAsia="宋体" w:cs="宋体"/>
                <w:b/>
                <w:color w:val="auto"/>
                <w:sz w:val="21"/>
                <w:szCs w:val="21"/>
                <w:highlight w:val="none"/>
              </w:rPr>
              <w:t>审慎报价，采购人严格执行竞标下浮率。</w:t>
            </w:r>
          </w:p>
          <w:p w14:paraId="0873E33D">
            <w:pPr>
              <w:keepNext w:val="0"/>
              <w:keepLines/>
              <w:pageBreakBefore w:val="0"/>
              <w:widowControl w:val="0"/>
              <w:kinsoku/>
              <w:wordWrap w:val="0"/>
              <w:overflowPunct/>
              <w:topLinePunct w:val="0"/>
              <w:bidi w:val="0"/>
              <w:adjustRightInd/>
              <w:snapToGrid/>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本项目实际配送量以</w:t>
            </w:r>
            <w:r>
              <w:rPr>
                <w:rFonts w:hint="eastAsia" w:ascii="宋体" w:hAnsi="宋体" w:eastAsia="宋体" w:cs="宋体"/>
                <w:bCs/>
                <w:color w:val="auto"/>
                <w:sz w:val="21"/>
                <w:szCs w:val="21"/>
                <w:highlight w:val="none"/>
              </w:rPr>
              <w:t>采购人</w:t>
            </w:r>
            <w:r>
              <w:rPr>
                <w:rFonts w:hint="eastAsia" w:ascii="宋体" w:hAnsi="宋体" w:eastAsia="宋体" w:cs="宋体"/>
                <w:bCs/>
                <w:color w:val="auto"/>
                <w:sz w:val="21"/>
                <w:szCs w:val="21"/>
                <w:highlight w:val="none"/>
                <w:lang w:val="en-US" w:eastAsia="zh-CN"/>
              </w:rPr>
              <w:t>每日货品采购清单为准</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具体按实际结算</w:t>
            </w:r>
            <w:r>
              <w:rPr>
                <w:rFonts w:hint="eastAsia" w:ascii="宋体" w:hAnsi="宋体" w:eastAsia="宋体" w:cs="宋体"/>
                <w:bCs/>
                <w:color w:val="auto"/>
                <w:sz w:val="21"/>
                <w:szCs w:val="21"/>
                <w:highlight w:val="none"/>
              </w:rPr>
              <w:t>。</w:t>
            </w:r>
          </w:p>
          <w:p w14:paraId="2FE12AEF">
            <w:pPr>
              <w:keepNext w:val="0"/>
              <w:keepLines/>
              <w:pageBreakBefore w:val="0"/>
              <w:widowControl w:val="0"/>
              <w:kinsoku/>
              <w:wordWrap w:val="0"/>
              <w:overflowPunct/>
              <w:topLinePunct w:val="0"/>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 w:val="21"/>
                <w:szCs w:val="21"/>
                <w:highlight w:val="none"/>
              </w:rPr>
              <w:t>3.</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报价包括食品原材料成本、生产、检验检测、包装、运输、仓储、配送、服务、人工、保险、培训、利润、税金等完成本项目服务所需的一切费用。</w:t>
            </w:r>
          </w:p>
        </w:tc>
      </w:tr>
      <w:tr w14:paraId="281A0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96" w:type="dxa"/>
            <w:gridSpan w:val="2"/>
            <w:noWrap w:val="0"/>
            <w:vAlign w:val="center"/>
          </w:tcPr>
          <w:p w14:paraId="7A13BA2B">
            <w:pPr>
              <w:pStyle w:val="32"/>
              <w:keepNext w:val="0"/>
              <w:keepLines/>
              <w:pageBreakBefore w:val="0"/>
              <w:kinsoku/>
              <w:wordWrap w:val="0"/>
              <w:overflowPunct/>
              <w:topLinePunct w:val="0"/>
              <w:bidi w:val="0"/>
              <w:snapToGrid w:val="0"/>
              <w:spacing w:line="40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安全责任</w:t>
            </w:r>
          </w:p>
        </w:tc>
        <w:tc>
          <w:tcPr>
            <w:tcW w:w="7184" w:type="dxa"/>
            <w:gridSpan w:val="2"/>
            <w:noWrap w:val="0"/>
            <w:vAlign w:val="center"/>
          </w:tcPr>
          <w:p w14:paraId="411B15F5">
            <w:pPr>
              <w:keepNext w:val="0"/>
              <w:keepLines/>
              <w:pageBreakBefore w:val="0"/>
              <w:widowControl w:val="0"/>
              <w:kinsoku/>
              <w:wordWrap w:val="0"/>
              <w:overflowPunct/>
              <w:topLinePunct w:val="0"/>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必须依法接受市场监督管理等职能部门的监督管理，并接受、配合相关职能部门的检测。因产品卫生和质量不合格而发生安全事故</w:t>
            </w:r>
            <w:r>
              <w:rPr>
                <w:rFonts w:hint="eastAsia" w:ascii="宋体" w:hAnsi="宋体" w:eastAsia="宋体" w:cs="宋体"/>
                <w:color w:val="auto"/>
                <w:sz w:val="21"/>
                <w:szCs w:val="21"/>
                <w:highlight w:val="none"/>
                <w:lang w:val="en-US" w:eastAsia="zh-CN"/>
              </w:rPr>
              <w:t>或遭受行政处罚</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无条件承担全部责任，有关职能部门依法追究其责任，并取消</w:t>
            </w:r>
            <w:r>
              <w:rPr>
                <w:rFonts w:hint="eastAsia" w:ascii="宋体" w:hAnsi="宋体" w:eastAsia="宋体" w:cs="宋体"/>
                <w:color w:val="auto"/>
                <w:sz w:val="21"/>
                <w:szCs w:val="21"/>
                <w:highlight w:val="none"/>
                <w:lang w:val="en-US" w:eastAsia="zh-CN"/>
              </w:rPr>
              <w:t>供货</w:t>
            </w:r>
            <w:r>
              <w:rPr>
                <w:rFonts w:hint="eastAsia" w:ascii="宋体" w:hAnsi="宋体" w:eastAsia="宋体" w:cs="宋体"/>
                <w:color w:val="auto"/>
                <w:sz w:val="21"/>
                <w:szCs w:val="21"/>
                <w:highlight w:val="none"/>
              </w:rPr>
              <w:t>资格。</w:t>
            </w:r>
          </w:p>
        </w:tc>
      </w:tr>
      <w:tr w14:paraId="2FF48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96" w:type="dxa"/>
            <w:gridSpan w:val="2"/>
            <w:noWrap w:val="0"/>
            <w:vAlign w:val="center"/>
          </w:tcPr>
          <w:p w14:paraId="540945A8">
            <w:pPr>
              <w:pStyle w:val="32"/>
              <w:keepNext w:val="0"/>
              <w:keepLines/>
              <w:pageBreakBefore w:val="0"/>
              <w:kinsoku/>
              <w:wordWrap w:val="0"/>
              <w:overflowPunct/>
              <w:topLinePunct w:val="0"/>
              <w:bidi w:val="0"/>
              <w:snapToGrid w:val="0"/>
              <w:spacing w:line="40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rPr>
              <w:t>保密要求</w:t>
            </w:r>
          </w:p>
        </w:tc>
        <w:tc>
          <w:tcPr>
            <w:tcW w:w="7184" w:type="dxa"/>
            <w:gridSpan w:val="2"/>
            <w:noWrap w:val="0"/>
            <w:vAlign w:val="center"/>
          </w:tcPr>
          <w:p w14:paraId="169FF157">
            <w:pPr>
              <w:keepNext w:val="0"/>
              <w:keepLines/>
              <w:pageBreakBefore w:val="0"/>
              <w:widowControl w:val="0"/>
              <w:kinsoku/>
              <w:wordWrap w:val="0"/>
              <w:overflowPunct/>
              <w:topLinePunct w:val="0"/>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成交供应商提供对本项目采购人的内部资料、情况等内容进行保密，未经采购人许可，成交供应商不得以任何形式向第三方透露本项目服务时的任何内容。如有泄密，需承担相应的法律责任。成交供应商</w:t>
            </w:r>
            <w:r>
              <w:rPr>
                <w:rFonts w:hint="eastAsia" w:ascii="宋体" w:hAnsi="宋体" w:eastAsia="宋体" w:cs="宋体"/>
                <w:color w:val="auto"/>
                <w:sz w:val="21"/>
                <w:szCs w:val="21"/>
                <w:highlight w:val="none"/>
              </w:rPr>
              <w:t>必须指派相对固定的人员完成货物配送服务，并需将配送人员的详细资料报采购人备案，货物配送人员必须遵纪守法、品行良好。如需要更换配送人员，必须事先通知采购人并将其个人资料送采购人审批，审批合格者才能更换。</w:t>
            </w:r>
          </w:p>
        </w:tc>
      </w:tr>
      <w:tr w14:paraId="59AAD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96" w:type="dxa"/>
            <w:gridSpan w:val="2"/>
            <w:noWrap w:val="0"/>
            <w:vAlign w:val="center"/>
          </w:tcPr>
          <w:p w14:paraId="3A5A524B">
            <w:pPr>
              <w:pStyle w:val="32"/>
              <w:keepNext w:val="0"/>
              <w:keepLines/>
              <w:pageBreakBefore w:val="0"/>
              <w:kinsoku/>
              <w:wordWrap w:val="0"/>
              <w:overflowPunct/>
              <w:topLinePunct w:val="0"/>
              <w:bidi w:val="0"/>
              <w:snapToGrid w:val="0"/>
              <w:spacing w:line="400" w:lineRule="exact"/>
              <w:jc w:val="center"/>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其他要求</w:t>
            </w:r>
          </w:p>
        </w:tc>
        <w:tc>
          <w:tcPr>
            <w:tcW w:w="7184" w:type="dxa"/>
            <w:gridSpan w:val="2"/>
            <w:noWrap w:val="0"/>
            <w:vAlign w:val="center"/>
          </w:tcPr>
          <w:p w14:paraId="254C823E">
            <w:pPr>
              <w:keepNext w:val="0"/>
              <w:keepLines/>
              <w:pageBreakBefore w:val="0"/>
              <w:widowControl w:val="0"/>
              <w:kinsoku/>
              <w:wordWrap w:val="0"/>
              <w:overflowPunct/>
              <w:topLinePunct w:val="0"/>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如有需求，成交供应商必须依法接受质量技术监督、工商、卫生、食品药品监督等职能部门的监督管理，并接受、配合相关职能部门的检测。因产品卫生和质量不合格而发生安全事故，成交供应商无条件承担全部责任，有关职能部门依法追究其责任，采购人并终止合同。</w:t>
            </w:r>
          </w:p>
        </w:tc>
      </w:tr>
    </w:tbl>
    <w:p w14:paraId="6AC3CF9D">
      <w:pP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tbl>
      <w:tblPr>
        <w:tblStyle w:val="61"/>
        <w:tblW w:w="9728" w:type="dxa"/>
        <w:jc w:val="center"/>
        <w:tblLayout w:type="fixed"/>
        <w:tblCellMar>
          <w:top w:w="15" w:type="dxa"/>
          <w:left w:w="15" w:type="dxa"/>
          <w:bottom w:w="15" w:type="dxa"/>
          <w:right w:w="15" w:type="dxa"/>
        </w:tblCellMar>
      </w:tblPr>
      <w:tblGrid>
        <w:gridCol w:w="731"/>
        <w:gridCol w:w="8997"/>
      </w:tblGrid>
      <w:tr w14:paraId="6E63AE8A">
        <w:tblPrEx>
          <w:tblCellMar>
            <w:top w:w="15" w:type="dxa"/>
            <w:left w:w="15" w:type="dxa"/>
            <w:bottom w:w="15" w:type="dxa"/>
            <w:right w:w="15" w:type="dxa"/>
          </w:tblCellMar>
        </w:tblPrEx>
        <w:trPr>
          <w:trHeight w:val="774" w:hRule="atLeast"/>
          <w:jc w:val="center"/>
        </w:trPr>
        <w:tc>
          <w:tcPr>
            <w:tcW w:w="9728" w:type="dxa"/>
            <w:gridSpan w:val="2"/>
            <w:noWrap w:val="0"/>
            <w:vAlign w:val="center"/>
          </w:tcPr>
          <w:p w14:paraId="4C410D04">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cs="仿宋_GB2312"/>
                <w:b/>
                <w:color w:val="auto"/>
                <w:szCs w:val="21"/>
                <w:highlight w:val="none"/>
              </w:rPr>
            </w:pPr>
            <w:r>
              <w:rPr>
                <w:rFonts w:hint="eastAsia" w:ascii="宋体" w:hAnsi="宋体" w:cs="仿宋_GB2312"/>
                <w:b/>
                <w:color w:val="auto"/>
                <w:sz w:val="28"/>
                <w:szCs w:val="28"/>
                <w:highlight w:val="none"/>
              </w:rPr>
              <w:t>服务质量考核细则表</w:t>
            </w:r>
          </w:p>
        </w:tc>
      </w:tr>
      <w:tr w14:paraId="6063FAD7">
        <w:tblPrEx>
          <w:tblCellMar>
            <w:top w:w="15" w:type="dxa"/>
            <w:left w:w="15" w:type="dxa"/>
            <w:bottom w:w="15" w:type="dxa"/>
            <w:right w:w="15" w:type="dxa"/>
          </w:tblCellMar>
        </w:tblPrEx>
        <w:trPr>
          <w:trHeight w:val="569" w:hRule="atLeast"/>
          <w:jc w:val="center"/>
        </w:trPr>
        <w:tc>
          <w:tcPr>
            <w:tcW w:w="731" w:type="dxa"/>
            <w:tcBorders>
              <w:top w:val="single" w:color="000000" w:sz="4" w:space="0"/>
              <w:left w:val="single" w:color="000000" w:sz="4" w:space="0"/>
              <w:bottom w:val="single" w:color="000000" w:sz="4" w:space="0"/>
              <w:right w:val="single" w:color="000000" w:sz="4" w:space="0"/>
            </w:tcBorders>
            <w:noWrap w:val="0"/>
            <w:vAlign w:val="center"/>
          </w:tcPr>
          <w:p w14:paraId="2FC933BF">
            <w:pPr>
              <w:spacing w:line="600" w:lineRule="exact"/>
              <w:ind w:left="0" w:leftChars="0" w:firstLine="0" w:firstLineChars="0"/>
              <w:jc w:val="center"/>
              <w:rPr>
                <w:rFonts w:hint="eastAsia" w:ascii="宋体" w:hAnsi="宋体" w:cs="仿宋_GB2312"/>
                <w:b/>
                <w:bCs/>
                <w:color w:val="auto"/>
                <w:szCs w:val="21"/>
                <w:highlight w:val="none"/>
              </w:rPr>
            </w:pPr>
            <w:r>
              <w:rPr>
                <w:rFonts w:hint="eastAsia" w:ascii="宋体" w:hAnsi="宋体" w:cs="仿宋_GB2312"/>
                <w:b/>
                <w:bCs/>
                <w:color w:val="auto"/>
                <w:szCs w:val="21"/>
                <w:highlight w:val="none"/>
              </w:rPr>
              <w:t>序号</w:t>
            </w:r>
          </w:p>
        </w:tc>
        <w:tc>
          <w:tcPr>
            <w:tcW w:w="8997" w:type="dxa"/>
            <w:tcBorders>
              <w:top w:val="single" w:color="000000" w:sz="4" w:space="0"/>
              <w:left w:val="single" w:color="000000" w:sz="4" w:space="0"/>
              <w:bottom w:val="single" w:color="000000" w:sz="4" w:space="0"/>
              <w:right w:val="single" w:color="000000" w:sz="4" w:space="0"/>
            </w:tcBorders>
            <w:noWrap w:val="0"/>
            <w:vAlign w:val="center"/>
          </w:tcPr>
          <w:p w14:paraId="63A6F16F">
            <w:pPr>
              <w:spacing w:line="600" w:lineRule="exact"/>
              <w:ind w:left="0" w:leftChars="0" w:firstLine="0" w:firstLineChars="0"/>
              <w:jc w:val="center"/>
              <w:rPr>
                <w:rFonts w:hint="eastAsia" w:ascii="宋体" w:hAnsi="宋体" w:cs="仿宋_GB2312"/>
                <w:b/>
                <w:bCs/>
                <w:color w:val="auto"/>
                <w:szCs w:val="21"/>
                <w:highlight w:val="none"/>
              </w:rPr>
            </w:pPr>
            <w:r>
              <w:rPr>
                <w:rFonts w:hint="eastAsia" w:ascii="宋体" w:hAnsi="宋体" w:cs="仿宋_GB2312"/>
                <w:b/>
                <w:bCs/>
                <w:color w:val="auto"/>
                <w:szCs w:val="21"/>
                <w:highlight w:val="none"/>
              </w:rPr>
              <w:t>内  容</w:t>
            </w:r>
          </w:p>
        </w:tc>
      </w:tr>
      <w:tr w14:paraId="30231A47">
        <w:tblPrEx>
          <w:tblCellMar>
            <w:top w:w="15" w:type="dxa"/>
            <w:left w:w="15" w:type="dxa"/>
            <w:bottom w:w="15" w:type="dxa"/>
            <w:right w:w="15" w:type="dxa"/>
          </w:tblCellMar>
        </w:tblPrEx>
        <w:trPr>
          <w:trHeight w:val="1102" w:hRule="atLeast"/>
          <w:jc w:val="center"/>
        </w:trPr>
        <w:tc>
          <w:tcPr>
            <w:tcW w:w="731" w:type="dxa"/>
            <w:tcBorders>
              <w:top w:val="single" w:color="000000" w:sz="4" w:space="0"/>
              <w:left w:val="single" w:color="000000" w:sz="4" w:space="0"/>
              <w:bottom w:val="single" w:color="000000" w:sz="4" w:space="0"/>
              <w:right w:val="single" w:color="000000" w:sz="4" w:space="0"/>
            </w:tcBorders>
            <w:noWrap w:val="0"/>
            <w:vAlign w:val="center"/>
          </w:tcPr>
          <w:p w14:paraId="0D8D49C3">
            <w:pPr>
              <w:spacing w:line="600" w:lineRule="exact"/>
              <w:ind w:left="0" w:leftChars="0" w:firstLine="0" w:firstLineChars="0"/>
              <w:jc w:val="center"/>
              <w:rPr>
                <w:rFonts w:hint="eastAsia" w:ascii="宋体" w:hAnsi="宋体" w:cs="仿宋_GB2312"/>
                <w:color w:val="auto"/>
                <w:szCs w:val="21"/>
                <w:highlight w:val="none"/>
              </w:rPr>
            </w:pPr>
            <w:r>
              <w:rPr>
                <w:rFonts w:hint="eastAsia" w:ascii="宋体" w:hAnsi="宋体" w:cs="仿宋_GB2312"/>
                <w:color w:val="auto"/>
                <w:szCs w:val="21"/>
                <w:highlight w:val="none"/>
              </w:rPr>
              <w:t>1</w:t>
            </w:r>
          </w:p>
        </w:tc>
        <w:tc>
          <w:tcPr>
            <w:tcW w:w="8997" w:type="dxa"/>
            <w:tcBorders>
              <w:top w:val="single" w:color="000000" w:sz="4" w:space="0"/>
              <w:left w:val="single" w:color="000000" w:sz="4" w:space="0"/>
              <w:bottom w:val="single" w:color="000000" w:sz="4" w:space="0"/>
              <w:right w:val="single" w:color="000000" w:sz="4" w:space="0"/>
            </w:tcBorders>
            <w:noWrap w:val="0"/>
            <w:vAlign w:val="center"/>
          </w:tcPr>
          <w:p w14:paraId="6599E3DC">
            <w:pPr>
              <w:spacing w:line="600" w:lineRule="exact"/>
              <w:ind w:left="0" w:leftChars="0" w:firstLine="0" w:firstLineChars="0"/>
              <w:jc w:val="left"/>
              <w:rPr>
                <w:rFonts w:hint="eastAsia" w:ascii="宋体" w:hAnsi="宋体" w:cs="仿宋_GB2312"/>
                <w:color w:val="auto"/>
                <w:szCs w:val="21"/>
                <w:highlight w:val="none"/>
              </w:rPr>
            </w:pPr>
            <w:r>
              <w:rPr>
                <w:rFonts w:hint="eastAsia" w:ascii="宋体" w:hAnsi="宋体" w:cs="仿宋_GB2312"/>
                <w:color w:val="auto"/>
                <w:szCs w:val="21"/>
                <w:highlight w:val="none"/>
              </w:rPr>
              <w:t>当日送达菜品非采购人原因而出现质量不达标、缺斤少两等问题，每次扣5分；60分钟之内未能及时调货合格的，加扣1分。</w:t>
            </w:r>
          </w:p>
        </w:tc>
      </w:tr>
      <w:tr w14:paraId="796ADFED">
        <w:tblPrEx>
          <w:tblCellMar>
            <w:top w:w="15" w:type="dxa"/>
            <w:left w:w="15" w:type="dxa"/>
            <w:bottom w:w="15" w:type="dxa"/>
            <w:right w:w="15" w:type="dxa"/>
          </w:tblCellMar>
        </w:tblPrEx>
        <w:trPr>
          <w:trHeight w:val="791" w:hRule="atLeast"/>
          <w:jc w:val="center"/>
        </w:trPr>
        <w:tc>
          <w:tcPr>
            <w:tcW w:w="731" w:type="dxa"/>
            <w:tcBorders>
              <w:top w:val="single" w:color="000000" w:sz="4" w:space="0"/>
              <w:left w:val="single" w:color="000000" w:sz="4" w:space="0"/>
              <w:bottom w:val="single" w:color="000000" w:sz="4" w:space="0"/>
              <w:right w:val="single" w:color="000000" w:sz="4" w:space="0"/>
            </w:tcBorders>
            <w:noWrap w:val="0"/>
            <w:vAlign w:val="center"/>
          </w:tcPr>
          <w:p w14:paraId="5F9BBC83">
            <w:pPr>
              <w:spacing w:line="600" w:lineRule="exact"/>
              <w:ind w:left="0" w:leftChars="0" w:firstLine="0" w:firstLineChars="0"/>
              <w:jc w:val="center"/>
              <w:rPr>
                <w:rFonts w:hint="eastAsia" w:ascii="宋体" w:hAnsi="宋体" w:cs="仿宋_GB2312"/>
                <w:color w:val="auto"/>
                <w:szCs w:val="21"/>
                <w:highlight w:val="none"/>
              </w:rPr>
            </w:pPr>
            <w:r>
              <w:rPr>
                <w:rFonts w:hint="eastAsia" w:ascii="宋体" w:hAnsi="宋体" w:cs="仿宋_GB2312"/>
                <w:color w:val="auto"/>
                <w:szCs w:val="21"/>
                <w:highlight w:val="none"/>
              </w:rPr>
              <w:t>2</w:t>
            </w:r>
          </w:p>
        </w:tc>
        <w:tc>
          <w:tcPr>
            <w:tcW w:w="8997" w:type="dxa"/>
            <w:tcBorders>
              <w:top w:val="single" w:color="000000" w:sz="4" w:space="0"/>
              <w:left w:val="single" w:color="000000" w:sz="4" w:space="0"/>
              <w:bottom w:val="single" w:color="000000" w:sz="4" w:space="0"/>
              <w:right w:val="single" w:color="000000" w:sz="4" w:space="0"/>
            </w:tcBorders>
            <w:noWrap w:val="0"/>
            <w:vAlign w:val="center"/>
          </w:tcPr>
          <w:p w14:paraId="08D21184">
            <w:pPr>
              <w:spacing w:line="600" w:lineRule="exact"/>
              <w:ind w:left="0" w:leftChars="0" w:firstLine="0" w:firstLineChars="0"/>
              <w:jc w:val="left"/>
              <w:rPr>
                <w:rFonts w:hint="eastAsia" w:ascii="宋体" w:hAnsi="宋体" w:cs="仿宋_GB2312"/>
                <w:color w:val="auto"/>
                <w:szCs w:val="21"/>
                <w:highlight w:val="none"/>
              </w:rPr>
            </w:pPr>
            <w:r>
              <w:rPr>
                <w:rFonts w:hint="eastAsia" w:ascii="宋体" w:hAnsi="宋体" w:cs="仿宋_GB2312"/>
                <w:color w:val="auto"/>
                <w:szCs w:val="21"/>
                <w:highlight w:val="none"/>
              </w:rPr>
              <w:t>供应商擅自更改货物品牌、规格等，每次扣2分；</w:t>
            </w:r>
          </w:p>
        </w:tc>
      </w:tr>
      <w:tr w14:paraId="05576163">
        <w:tblPrEx>
          <w:tblCellMar>
            <w:top w:w="15" w:type="dxa"/>
            <w:left w:w="15" w:type="dxa"/>
            <w:bottom w:w="15" w:type="dxa"/>
            <w:right w:w="15" w:type="dxa"/>
          </w:tblCellMar>
        </w:tblPrEx>
        <w:trPr>
          <w:trHeight w:val="791" w:hRule="atLeast"/>
          <w:jc w:val="center"/>
        </w:trPr>
        <w:tc>
          <w:tcPr>
            <w:tcW w:w="731" w:type="dxa"/>
            <w:tcBorders>
              <w:top w:val="single" w:color="000000" w:sz="4" w:space="0"/>
              <w:left w:val="single" w:color="000000" w:sz="4" w:space="0"/>
              <w:bottom w:val="single" w:color="000000" w:sz="4" w:space="0"/>
              <w:right w:val="single" w:color="000000" w:sz="4" w:space="0"/>
            </w:tcBorders>
            <w:noWrap w:val="0"/>
            <w:vAlign w:val="center"/>
          </w:tcPr>
          <w:p w14:paraId="543E83B7">
            <w:pPr>
              <w:spacing w:line="600" w:lineRule="exact"/>
              <w:ind w:left="0" w:leftChars="0" w:firstLine="0" w:firstLineChars="0"/>
              <w:jc w:val="center"/>
              <w:rPr>
                <w:rFonts w:hint="eastAsia" w:ascii="宋体" w:hAnsi="宋体" w:cs="仿宋_GB2312"/>
                <w:color w:val="auto"/>
                <w:szCs w:val="21"/>
                <w:highlight w:val="none"/>
              </w:rPr>
            </w:pPr>
            <w:r>
              <w:rPr>
                <w:rFonts w:hint="eastAsia" w:ascii="宋体" w:hAnsi="宋体" w:cs="仿宋_GB2312"/>
                <w:color w:val="auto"/>
                <w:szCs w:val="21"/>
                <w:highlight w:val="none"/>
              </w:rPr>
              <w:t>3</w:t>
            </w:r>
          </w:p>
        </w:tc>
        <w:tc>
          <w:tcPr>
            <w:tcW w:w="8997" w:type="dxa"/>
            <w:tcBorders>
              <w:top w:val="single" w:color="000000" w:sz="4" w:space="0"/>
              <w:left w:val="single" w:color="000000" w:sz="4" w:space="0"/>
              <w:bottom w:val="single" w:color="000000" w:sz="4" w:space="0"/>
              <w:right w:val="single" w:color="000000" w:sz="4" w:space="0"/>
            </w:tcBorders>
            <w:noWrap w:val="0"/>
            <w:vAlign w:val="center"/>
          </w:tcPr>
          <w:p w14:paraId="3120012E">
            <w:pPr>
              <w:spacing w:line="600" w:lineRule="exact"/>
              <w:ind w:left="0" w:leftChars="0" w:firstLine="0" w:firstLineChars="0"/>
              <w:jc w:val="left"/>
              <w:rPr>
                <w:rFonts w:hint="eastAsia" w:ascii="宋体" w:hAnsi="宋体" w:cs="仿宋_GB2312"/>
                <w:color w:val="auto"/>
                <w:szCs w:val="21"/>
                <w:highlight w:val="none"/>
              </w:rPr>
            </w:pPr>
            <w:r>
              <w:rPr>
                <w:rFonts w:hint="eastAsia" w:ascii="宋体" w:hAnsi="宋体" w:cs="仿宋_GB2312"/>
                <w:color w:val="auto"/>
                <w:szCs w:val="21"/>
                <w:highlight w:val="none"/>
              </w:rPr>
              <w:t>供应商未按采购人规定时间供货的，每次扣2分。</w:t>
            </w:r>
          </w:p>
        </w:tc>
      </w:tr>
      <w:tr w14:paraId="1F5EC88F">
        <w:tblPrEx>
          <w:tblCellMar>
            <w:top w:w="15" w:type="dxa"/>
            <w:left w:w="15" w:type="dxa"/>
            <w:bottom w:w="15" w:type="dxa"/>
            <w:right w:w="15" w:type="dxa"/>
          </w:tblCellMar>
        </w:tblPrEx>
        <w:trPr>
          <w:trHeight w:val="791" w:hRule="atLeast"/>
          <w:jc w:val="center"/>
        </w:trPr>
        <w:tc>
          <w:tcPr>
            <w:tcW w:w="731" w:type="dxa"/>
            <w:tcBorders>
              <w:top w:val="single" w:color="000000" w:sz="4" w:space="0"/>
              <w:left w:val="single" w:color="000000" w:sz="4" w:space="0"/>
              <w:bottom w:val="single" w:color="000000" w:sz="4" w:space="0"/>
              <w:right w:val="single" w:color="000000" w:sz="4" w:space="0"/>
            </w:tcBorders>
            <w:noWrap w:val="0"/>
            <w:vAlign w:val="center"/>
          </w:tcPr>
          <w:p w14:paraId="6C6A648D">
            <w:pPr>
              <w:spacing w:line="600" w:lineRule="exact"/>
              <w:ind w:left="0" w:leftChars="0" w:firstLine="0" w:firstLineChars="0"/>
              <w:jc w:val="center"/>
              <w:rPr>
                <w:rFonts w:hint="eastAsia" w:ascii="宋体" w:hAnsi="宋体" w:cs="仿宋_GB2312"/>
                <w:color w:val="auto"/>
                <w:szCs w:val="21"/>
                <w:highlight w:val="none"/>
              </w:rPr>
            </w:pPr>
            <w:r>
              <w:rPr>
                <w:rFonts w:hint="eastAsia" w:ascii="宋体" w:hAnsi="宋体" w:cs="仿宋_GB2312"/>
                <w:color w:val="auto"/>
                <w:szCs w:val="21"/>
                <w:highlight w:val="none"/>
              </w:rPr>
              <w:t>4</w:t>
            </w:r>
          </w:p>
        </w:tc>
        <w:tc>
          <w:tcPr>
            <w:tcW w:w="8997" w:type="dxa"/>
            <w:tcBorders>
              <w:top w:val="single" w:color="000000" w:sz="4" w:space="0"/>
              <w:left w:val="single" w:color="000000" w:sz="4" w:space="0"/>
              <w:bottom w:val="single" w:color="000000" w:sz="4" w:space="0"/>
              <w:right w:val="single" w:color="000000" w:sz="4" w:space="0"/>
            </w:tcBorders>
            <w:noWrap w:val="0"/>
            <w:vAlign w:val="center"/>
          </w:tcPr>
          <w:p w14:paraId="2C45B813">
            <w:pPr>
              <w:spacing w:line="600" w:lineRule="exact"/>
              <w:ind w:left="0" w:leftChars="0" w:firstLine="0" w:firstLineChars="0"/>
              <w:jc w:val="left"/>
              <w:rPr>
                <w:rFonts w:hint="eastAsia" w:ascii="宋体" w:hAnsi="宋体" w:cs="仿宋_GB2312"/>
                <w:color w:val="auto"/>
                <w:szCs w:val="21"/>
                <w:highlight w:val="none"/>
              </w:rPr>
            </w:pPr>
            <w:r>
              <w:rPr>
                <w:rFonts w:hint="eastAsia" w:ascii="宋体" w:hAnsi="宋体" w:cs="仿宋_GB2312"/>
                <w:color w:val="auto"/>
                <w:szCs w:val="21"/>
                <w:highlight w:val="none"/>
              </w:rPr>
              <w:t>供应商未按要求随货提供物品配送单每次扣2分，提供虚假配送单的，每次扣20分。</w:t>
            </w:r>
          </w:p>
        </w:tc>
      </w:tr>
      <w:tr w14:paraId="6326A88D">
        <w:tblPrEx>
          <w:tblCellMar>
            <w:top w:w="15" w:type="dxa"/>
            <w:left w:w="15" w:type="dxa"/>
            <w:bottom w:w="15" w:type="dxa"/>
            <w:right w:w="15" w:type="dxa"/>
          </w:tblCellMar>
        </w:tblPrEx>
        <w:trPr>
          <w:trHeight w:val="791" w:hRule="atLeast"/>
          <w:jc w:val="center"/>
        </w:trPr>
        <w:tc>
          <w:tcPr>
            <w:tcW w:w="731" w:type="dxa"/>
            <w:tcBorders>
              <w:top w:val="single" w:color="000000" w:sz="4" w:space="0"/>
              <w:left w:val="single" w:color="000000" w:sz="4" w:space="0"/>
              <w:bottom w:val="single" w:color="000000" w:sz="4" w:space="0"/>
              <w:right w:val="single" w:color="000000" w:sz="4" w:space="0"/>
            </w:tcBorders>
            <w:noWrap w:val="0"/>
            <w:vAlign w:val="center"/>
          </w:tcPr>
          <w:p w14:paraId="2A95831E">
            <w:pPr>
              <w:spacing w:line="600" w:lineRule="exact"/>
              <w:ind w:left="0" w:leftChars="0" w:firstLine="0" w:firstLineChars="0"/>
              <w:jc w:val="center"/>
              <w:rPr>
                <w:rFonts w:hint="eastAsia" w:ascii="宋体" w:hAnsi="宋体" w:cs="仿宋_GB2312"/>
                <w:color w:val="auto"/>
                <w:szCs w:val="21"/>
                <w:highlight w:val="none"/>
              </w:rPr>
            </w:pPr>
            <w:r>
              <w:rPr>
                <w:rFonts w:hint="eastAsia" w:ascii="宋体" w:hAnsi="宋体" w:cs="仿宋_GB2312"/>
                <w:color w:val="auto"/>
                <w:szCs w:val="21"/>
                <w:highlight w:val="none"/>
              </w:rPr>
              <w:t>5</w:t>
            </w:r>
          </w:p>
        </w:tc>
        <w:tc>
          <w:tcPr>
            <w:tcW w:w="8997" w:type="dxa"/>
            <w:tcBorders>
              <w:top w:val="single" w:color="000000" w:sz="4" w:space="0"/>
              <w:left w:val="single" w:color="000000" w:sz="4" w:space="0"/>
              <w:bottom w:val="single" w:color="000000" w:sz="4" w:space="0"/>
              <w:right w:val="single" w:color="000000" w:sz="4" w:space="0"/>
            </w:tcBorders>
            <w:noWrap w:val="0"/>
            <w:vAlign w:val="center"/>
          </w:tcPr>
          <w:p w14:paraId="6225A9C4">
            <w:pPr>
              <w:spacing w:line="600" w:lineRule="exact"/>
              <w:ind w:left="0" w:leftChars="0" w:firstLine="0" w:firstLineChars="0"/>
              <w:jc w:val="left"/>
              <w:rPr>
                <w:rFonts w:hint="eastAsia" w:ascii="宋体" w:hAnsi="宋体" w:cs="仿宋_GB2312"/>
                <w:color w:val="auto"/>
                <w:szCs w:val="21"/>
                <w:highlight w:val="none"/>
              </w:rPr>
            </w:pPr>
            <w:r>
              <w:rPr>
                <w:rFonts w:hint="eastAsia" w:ascii="宋体" w:hAnsi="宋体" w:cs="仿宋_GB2312"/>
                <w:color w:val="auto"/>
                <w:szCs w:val="21"/>
                <w:highlight w:val="none"/>
              </w:rPr>
              <w:t>因发生退换货情况，补货不及时造成采购人无法按时供应伙食，每次扣5分。</w:t>
            </w:r>
          </w:p>
        </w:tc>
      </w:tr>
      <w:tr w14:paraId="5C2101CC">
        <w:tblPrEx>
          <w:tblCellMar>
            <w:top w:w="15" w:type="dxa"/>
            <w:left w:w="15" w:type="dxa"/>
            <w:bottom w:w="15" w:type="dxa"/>
            <w:right w:w="15" w:type="dxa"/>
          </w:tblCellMar>
        </w:tblPrEx>
        <w:trPr>
          <w:trHeight w:val="791" w:hRule="atLeast"/>
          <w:jc w:val="center"/>
        </w:trPr>
        <w:tc>
          <w:tcPr>
            <w:tcW w:w="731" w:type="dxa"/>
            <w:tcBorders>
              <w:top w:val="single" w:color="000000" w:sz="4" w:space="0"/>
              <w:left w:val="single" w:color="000000" w:sz="4" w:space="0"/>
              <w:bottom w:val="single" w:color="000000" w:sz="4" w:space="0"/>
              <w:right w:val="single" w:color="000000" w:sz="4" w:space="0"/>
            </w:tcBorders>
            <w:noWrap w:val="0"/>
            <w:vAlign w:val="center"/>
          </w:tcPr>
          <w:p w14:paraId="2F371026">
            <w:pPr>
              <w:spacing w:line="600" w:lineRule="exact"/>
              <w:ind w:left="0" w:leftChars="0" w:firstLine="0" w:firstLineChars="0"/>
              <w:jc w:val="center"/>
              <w:rPr>
                <w:rFonts w:hint="eastAsia" w:ascii="宋体" w:hAnsi="宋体" w:cs="仿宋_GB2312"/>
                <w:color w:val="auto"/>
                <w:szCs w:val="21"/>
                <w:highlight w:val="none"/>
              </w:rPr>
            </w:pPr>
            <w:r>
              <w:rPr>
                <w:rFonts w:hint="eastAsia" w:ascii="宋体" w:hAnsi="宋体" w:cs="仿宋_GB2312"/>
                <w:color w:val="auto"/>
                <w:szCs w:val="21"/>
                <w:highlight w:val="none"/>
              </w:rPr>
              <w:t>6</w:t>
            </w:r>
          </w:p>
        </w:tc>
        <w:tc>
          <w:tcPr>
            <w:tcW w:w="8997" w:type="dxa"/>
            <w:tcBorders>
              <w:top w:val="single" w:color="000000" w:sz="4" w:space="0"/>
              <w:left w:val="single" w:color="000000" w:sz="4" w:space="0"/>
              <w:bottom w:val="single" w:color="000000" w:sz="4" w:space="0"/>
              <w:right w:val="single" w:color="000000" w:sz="4" w:space="0"/>
            </w:tcBorders>
            <w:noWrap w:val="0"/>
            <w:vAlign w:val="center"/>
          </w:tcPr>
          <w:p w14:paraId="2C2CC1A2">
            <w:pPr>
              <w:spacing w:line="600" w:lineRule="exact"/>
              <w:ind w:left="0" w:leftChars="0" w:firstLine="0" w:firstLineChars="0"/>
              <w:jc w:val="left"/>
              <w:rPr>
                <w:rFonts w:hint="eastAsia" w:ascii="宋体" w:hAnsi="宋体" w:cs="仿宋_GB2312"/>
                <w:color w:val="auto"/>
                <w:szCs w:val="21"/>
                <w:highlight w:val="none"/>
              </w:rPr>
            </w:pPr>
            <w:r>
              <w:rPr>
                <w:rFonts w:hint="eastAsia" w:ascii="宋体" w:hAnsi="宋体" w:cs="仿宋_GB2312"/>
                <w:color w:val="auto"/>
                <w:szCs w:val="21"/>
                <w:highlight w:val="none"/>
              </w:rPr>
              <w:t>供应商把验收不合格退货的货物重新配送的，每发现一次扣10分。</w:t>
            </w:r>
          </w:p>
        </w:tc>
      </w:tr>
      <w:tr w14:paraId="1668418F">
        <w:tblPrEx>
          <w:tblCellMar>
            <w:top w:w="15" w:type="dxa"/>
            <w:left w:w="15" w:type="dxa"/>
            <w:bottom w:w="15" w:type="dxa"/>
            <w:right w:w="15" w:type="dxa"/>
          </w:tblCellMar>
        </w:tblPrEx>
        <w:trPr>
          <w:trHeight w:val="1235" w:hRule="atLeast"/>
          <w:jc w:val="center"/>
        </w:trPr>
        <w:tc>
          <w:tcPr>
            <w:tcW w:w="731" w:type="dxa"/>
            <w:tcBorders>
              <w:top w:val="single" w:color="000000" w:sz="4" w:space="0"/>
              <w:left w:val="single" w:color="000000" w:sz="4" w:space="0"/>
              <w:bottom w:val="single" w:color="000000" w:sz="4" w:space="0"/>
              <w:right w:val="single" w:color="000000" w:sz="4" w:space="0"/>
            </w:tcBorders>
            <w:noWrap w:val="0"/>
            <w:vAlign w:val="center"/>
          </w:tcPr>
          <w:p w14:paraId="754C6608">
            <w:pPr>
              <w:spacing w:line="600" w:lineRule="exact"/>
              <w:ind w:left="0" w:leftChars="0" w:firstLine="0" w:firstLineChars="0"/>
              <w:jc w:val="center"/>
              <w:rPr>
                <w:rFonts w:hint="eastAsia" w:ascii="宋体" w:hAnsi="宋体" w:cs="仿宋_GB2312"/>
                <w:color w:val="auto"/>
                <w:szCs w:val="21"/>
                <w:highlight w:val="none"/>
              </w:rPr>
            </w:pPr>
            <w:r>
              <w:rPr>
                <w:rFonts w:hint="eastAsia" w:ascii="宋体" w:hAnsi="宋体" w:cs="仿宋_GB2312"/>
                <w:color w:val="auto"/>
                <w:szCs w:val="21"/>
                <w:highlight w:val="none"/>
              </w:rPr>
              <w:t>7</w:t>
            </w:r>
          </w:p>
        </w:tc>
        <w:tc>
          <w:tcPr>
            <w:tcW w:w="8997" w:type="dxa"/>
            <w:tcBorders>
              <w:top w:val="single" w:color="000000" w:sz="4" w:space="0"/>
              <w:left w:val="single" w:color="000000" w:sz="4" w:space="0"/>
              <w:bottom w:val="single" w:color="000000" w:sz="4" w:space="0"/>
              <w:right w:val="single" w:color="000000" w:sz="4" w:space="0"/>
            </w:tcBorders>
            <w:noWrap w:val="0"/>
            <w:vAlign w:val="center"/>
          </w:tcPr>
          <w:p w14:paraId="5D21E146">
            <w:pPr>
              <w:spacing w:line="600" w:lineRule="exact"/>
              <w:ind w:left="0" w:leftChars="0" w:firstLine="0" w:firstLineChars="0"/>
              <w:jc w:val="left"/>
              <w:rPr>
                <w:rFonts w:hint="eastAsia" w:ascii="宋体" w:hAnsi="宋体" w:cs="仿宋_GB2312"/>
                <w:color w:val="auto"/>
                <w:szCs w:val="21"/>
                <w:highlight w:val="none"/>
              </w:rPr>
            </w:pPr>
            <w:r>
              <w:rPr>
                <w:rFonts w:hint="eastAsia" w:ascii="宋体" w:hAnsi="宋体" w:cs="仿宋_GB2312"/>
                <w:color w:val="auto"/>
                <w:szCs w:val="21"/>
                <w:highlight w:val="none"/>
              </w:rPr>
              <w:t>供应商服务配合度，即应变配合采购能力、特殊需求配合程度。货物出现问题积极配合查找原因的，不及时反馈处理结果的，每次扣2分</w:t>
            </w:r>
          </w:p>
        </w:tc>
      </w:tr>
      <w:tr w14:paraId="00492EA0">
        <w:tblPrEx>
          <w:tblCellMar>
            <w:top w:w="15" w:type="dxa"/>
            <w:left w:w="15" w:type="dxa"/>
            <w:bottom w:w="15" w:type="dxa"/>
            <w:right w:w="15" w:type="dxa"/>
          </w:tblCellMar>
        </w:tblPrEx>
        <w:trPr>
          <w:trHeight w:val="791" w:hRule="atLeast"/>
          <w:jc w:val="center"/>
        </w:trPr>
        <w:tc>
          <w:tcPr>
            <w:tcW w:w="731" w:type="dxa"/>
            <w:tcBorders>
              <w:top w:val="single" w:color="000000" w:sz="4" w:space="0"/>
              <w:left w:val="single" w:color="000000" w:sz="4" w:space="0"/>
              <w:bottom w:val="single" w:color="000000" w:sz="4" w:space="0"/>
              <w:right w:val="single" w:color="000000" w:sz="4" w:space="0"/>
            </w:tcBorders>
            <w:noWrap w:val="0"/>
            <w:vAlign w:val="center"/>
          </w:tcPr>
          <w:p w14:paraId="4743B0B9">
            <w:pPr>
              <w:spacing w:line="600" w:lineRule="exact"/>
              <w:ind w:left="0" w:leftChars="0" w:firstLine="0" w:firstLineChars="0"/>
              <w:jc w:val="center"/>
              <w:rPr>
                <w:rFonts w:hint="eastAsia" w:ascii="宋体" w:hAnsi="宋体" w:cs="仿宋_GB2312"/>
                <w:color w:val="auto"/>
                <w:szCs w:val="21"/>
                <w:highlight w:val="none"/>
              </w:rPr>
            </w:pPr>
            <w:r>
              <w:rPr>
                <w:rFonts w:hint="eastAsia" w:ascii="宋体" w:hAnsi="宋体" w:cs="仿宋_GB2312"/>
                <w:color w:val="auto"/>
                <w:szCs w:val="21"/>
                <w:highlight w:val="none"/>
              </w:rPr>
              <w:t>8</w:t>
            </w:r>
          </w:p>
        </w:tc>
        <w:tc>
          <w:tcPr>
            <w:tcW w:w="8997" w:type="dxa"/>
            <w:tcBorders>
              <w:top w:val="single" w:color="000000" w:sz="4" w:space="0"/>
              <w:left w:val="single" w:color="000000" w:sz="4" w:space="0"/>
              <w:bottom w:val="single" w:color="000000" w:sz="4" w:space="0"/>
              <w:right w:val="single" w:color="000000" w:sz="4" w:space="0"/>
            </w:tcBorders>
            <w:noWrap w:val="0"/>
            <w:vAlign w:val="center"/>
          </w:tcPr>
          <w:p w14:paraId="7EBE4C48">
            <w:pPr>
              <w:spacing w:line="600" w:lineRule="exact"/>
              <w:ind w:left="0" w:leftChars="0" w:firstLine="0" w:firstLineChars="0"/>
              <w:jc w:val="left"/>
              <w:rPr>
                <w:rFonts w:hint="eastAsia" w:ascii="宋体" w:hAnsi="宋体" w:cs="仿宋_GB2312"/>
                <w:color w:val="auto"/>
                <w:szCs w:val="21"/>
                <w:highlight w:val="none"/>
              </w:rPr>
            </w:pPr>
            <w:r>
              <w:rPr>
                <w:rFonts w:hint="eastAsia" w:ascii="宋体" w:hAnsi="宋体" w:cs="仿宋_GB2312"/>
                <w:color w:val="auto"/>
                <w:szCs w:val="21"/>
                <w:highlight w:val="none"/>
              </w:rPr>
              <w:t>供应商不遵守采购方各项管理规定或泄露采购人内部情况，每次扣5分</w:t>
            </w:r>
          </w:p>
        </w:tc>
      </w:tr>
      <w:tr w14:paraId="6F20A621">
        <w:tblPrEx>
          <w:tblCellMar>
            <w:top w:w="15" w:type="dxa"/>
            <w:left w:w="15" w:type="dxa"/>
            <w:bottom w:w="15" w:type="dxa"/>
            <w:right w:w="15" w:type="dxa"/>
          </w:tblCellMar>
        </w:tblPrEx>
        <w:trPr>
          <w:trHeight w:val="1145" w:hRule="atLeast"/>
          <w:jc w:val="center"/>
        </w:trPr>
        <w:tc>
          <w:tcPr>
            <w:tcW w:w="731" w:type="dxa"/>
            <w:tcBorders>
              <w:top w:val="single" w:color="000000" w:sz="4" w:space="0"/>
              <w:left w:val="single" w:color="000000" w:sz="4" w:space="0"/>
              <w:bottom w:val="single" w:color="000000" w:sz="4" w:space="0"/>
              <w:right w:val="single" w:color="000000" w:sz="4" w:space="0"/>
            </w:tcBorders>
            <w:noWrap w:val="0"/>
            <w:vAlign w:val="center"/>
          </w:tcPr>
          <w:p w14:paraId="734C3EA3">
            <w:pPr>
              <w:spacing w:line="600" w:lineRule="exact"/>
              <w:ind w:left="0" w:leftChars="0" w:firstLine="0" w:firstLineChars="0"/>
              <w:jc w:val="center"/>
              <w:rPr>
                <w:rFonts w:hint="eastAsia" w:ascii="宋体" w:hAnsi="宋体" w:cs="仿宋_GB2312"/>
                <w:color w:val="auto"/>
                <w:szCs w:val="21"/>
                <w:highlight w:val="none"/>
              </w:rPr>
            </w:pPr>
            <w:r>
              <w:rPr>
                <w:rFonts w:hint="eastAsia" w:ascii="宋体" w:hAnsi="宋体" w:cs="仿宋_GB2312"/>
                <w:color w:val="auto"/>
                <w:szCs w:val="21"/>
                <w:highlight w:val="none"/>
              </w:rPr>
              <w:t>9</w:t>
            </w:r>
          </w:p>
        </w:tc>
        <w:tc>
          <w:tcPr>
            <w:tcW w:w="8997" w:type="dxa"/>
            <w:tcBorders>
              <w:top w:val="single" w:color="000000" w:sz="4" w:space="0"/>
              <w:left w:val="single" w:color="000000" w:sz="4" w:space="0"/>
              <w:bottom w:val="single" w:color="000000" w:sz="4" w:space="0"/>
              <w:right w:val="single" w:color="000000" w:sz="4" w:space="0"/>
            </w:tcBorders>
            <w:noWrap w:val="0"/>
            <w:vAlign w:val="center"/>
          </w:tcPr>
          <w:p w14:paraId="5D204F1E">
            <w:pPr>
              <w:spacing w:line="600" w:lineRule="exact"/>
              <w:ind w:left="0" w:leftChars="0" w:firstLine="0" w:firstLineChars="0"/>
              <w:jc w:val="left"/>
              <w:rPr>
                <w:rFonts w:hint="eastAsia" w:ascii="宋体" w:hAnsi="宋体" w:cs="仿宋_GB2312"/>
                <w:color w:val="auto"/>
                <w:szCs w:val="21"/>
                <w:highlight w:val="none"/>
              </w:rPr>
            </w:pPr>
            <w:r>
              <w:rPr>
                <w:rFonts w:hint="eastAsia" w:ascii="宋体" w:hAnsi="宋体" w:cs="仿宋_GB2312"/>
                <w:color w:val="auto"/>
                <w:szCs w:val="21"/>
                <w:highlight w:val="none"/>
              </w:rPr>
              <w:t>供应商在评标时所承诺事项（人员、车辆等事项）未按要求落实的，除不可抗力因素外，每次扣5分。</w:t>
            </w:r>
          </w:p>
        </w:tc>
      </w:tr>
      <w:tr w14:paraId="2A4D7356">
        <w:tblPrEx>
          <w:tblCellMar>
            <w:top w:w="15" w:type="dxa"/>
            <w:left w:w="15" w:type="dxa"/>
            <w:bottom w:w="15" w:type="dxa"/>
            <w:right w:w="15" w:type="dxa"/>
          </w:tblCellMar>
        </w:tblPrEx>
        <w:trPr>
          <w:trHeight w:val="2666" w:hRule="atLeast"/>
          <w:jc w:val="center"/>
        </w:trPr>
        <w:tc>
          <w:tcPr>
            <w:tcW w:w="9728" w:type="dxa"/>
            <w:gridSpan w:val="2"/>
            <w:tcBorders>
              <w:top w:val="single" w:color="000000" w:sz="4" w:space="0"/>
              <w:left w:val="single" w:color="000000" w:sz="4" w:space="0"/>
              <w:bottom w:val="single" w:color="000000" w:sz="4" w:space="0"/>
              <w:right w:val="single" w:color="000000" w:sz="4" w:space="0"/>
            </w:tcBorders>
            <w:noWrap w:val="0"/>
            <w:vAlign w:val="center"/>
          </w:tcPr>
          <w:p w14:paraId="6F914BD9">
            <w:pPr>
              <w:spacing w:line="600" w:lineRule="exact"/>
              <w:ind w:left="0" w:leftChars="0" w:firstLine="420" w:firstLineChars="200"/>
              <w:jc w:val="left"/>
              <w:rPr>
                <w:rFonts w:hint="eastAsia" w:ascii="宋体" w:hAnsi="宋体" w:cs="仿宋_GB2312"/>
                <w:color w:val="auto"/>
                <w:szCs w:val="21"/>
                <w:highlight w:val="none"/>
              </w:rPr>
            </w:pPr>
            <w:r>
              <w:rPr>
                <w:rFonts w:hint="eastAsia" w:ascii="宋体" w:hAnsi="宋体" w:cs="仿宋_GB2312"/>
                <w:color w:val="auto"/>
                <w:szCs w:val="21"/>
                <w:highlight w:val="none"/>
              </w:rPr>
              <w:t>考核基本分为100分，</w:t>
            </w:r>
            <w:r>
              <w:rPr>
                <w:rFonts w:hint="eastAsia" w:ascii="宋体" w:hAnsi="宋体" w:cs="宋体"/>
                <w:color w:val="auto"/>
                <w:szCs w:val="21"/>
                <w:highlight w:val="none"/>
              </w:rPr>
              <w:t>出现</w:t>
            </w:r>
            <w:r>
              <w:rPr>
                <w:rFonts w:hint="eastAsia" w:ascii="宋体" w:hAnsi="宋体" w:cs="宋体"/>
                <w:color w:val="auto"/>
                <w:szCs w:val="21"/>
                <w:highlight w:val="none"/>
                <w:lang w:val="en-US" w:eastAsia="zh-CN"/>
              </w:rPr>
              <w:t>考核分数低于60分的，</w:t>
            </w:r>
            <w:r>
              <w:rPr>
                <w:rFonts w:hint="eastAsia" w:ascii="宋体" w:hAnsi="宋体" w:cs="宋体"/>
                <w:color w:val="auto"/>
                <w:szCs w:val="21"/>
                <w:highlight w:val="none"/>
              </w:rPr>
              <w:t>采购人对</w:t>
            </w:r>
            <w:r>
              <w:rPr>
                <w:rFonts w:hint="eastAsia" w:ascii="宋体" w:hAnsi="宋体" w:cs="宋体"/>
                <w:color w:val="auto"/>
                <w:szCs w:val="21"/>
                <w:highlight w:val="none"/>
                <w:lang w:val="en-US" w:eastAsia="zh-CN"/>
              </w:rPr>
              <w:t>成交供应商</w:t>
            </w:r>
            <w:r>
              <w:rPr>
                <w:rFonts w:hint="eastAsia" w:ascii="宋体" w:hAnsi="宋体" w:cs="宋体"/>
                <w:color w:val="auto"/>
                <w:szCs w:val="21"/>
                <w:highlight w:val="none"/>
              </w:rPr>
              <w:t>提出</w:t>
            </w:r>
            <w:r>
              <w:rPr>
                <w:rFonts w:hint="eastAsia" w:ascii="宋体" w:hAnsi="宋体" w:cs="宋体"/>
                <w:color w:val="auto"/>
                <w:szCs w:val="21"/>
                <w:highlight w:val="none"/>
                <w:lang w:val="en-US" w:eastAsia="zh-CN"/>
              </w:rPr>
              <w:t>书面</w:t>
            </w:r>
            <w:r>
              <w:rPr>
                <w:rFonts w:hint="eastAsia" w:ascii="宋体" w:hAnsi="宋体" w:cs="宋体"/>
                <w:color w:val="auto"/>
                <w:szCs w:val="21"/>
                <w:highlight w:val="none"/>
              </w:rPr>
              <w:t>警告。</w:t>
            </w:r>
            <w:r>
              <w:rPr>
                <w:rFonts w:hint="eastAsia" w:ascii="宋体" w:hAnsi="宋体" w:cs="宋体"/>
                <w:color w:val="auto"/>
                <w:szCs w:val="21"/>
                <w:highlight w:val="none"/>
                <w:lang w:eastAsia="zh-CN"/>
              </w:rPr>
              <w:t>如整改后月度考核仍无法合格，累计三月均低于80分或累计两月均低于60分，采购人有权解除合同，双方对合同的履约有异议的，可提交北海市仲裁委员会裁决</w:t>
            </w:r>
            <w:r>
              <w:rPr>
                <w:rFonts w:hint="eastAsia" w:ascii="宋体" w:hAnsi="宋体" w:eastAsia="宋体" w:cs="宋体"/>
                <w:color w:val="auto"/>
                <w:kern w:val="2"/>
                <w:sz w:val="21"/>
                <w:szCs w:val="21"/>
                <w:highlight w:val="none"/>
                <w:lang w:val="en-US" w:eastAsia="zh-CN" w:bidi="ar-SA"/>
              </w:rPr>
              <w:t>，可提交北海市仲裁委员会裁决</w:t>
            </w:r>
            <w:r>
              <w:rPr>
                <w:rFonts w:hint="eastAsia" w:ascii="宋体" w:hAnsi="宋体" w:cs="宋体"/>
                <w:color w:val="auto"/>
                <w:kern w:val="2"/>
                <w:sz w:val="21"/>
                <w:szCs w:val="21"/>
                <w:highlight w:val="none"/>
                <w:lang w:val="en-US" w:eastAsia="zh-CN" w:bidi="ar-SA"/>
              </w:rPr>
              <w:t>。</w:t>
            </w:r>
          </w:p>
        </w:tc>
      </w:tr>
    </w:tbl>
    <w:p w14:paraId="41EECF3F">
      <w:pPr>
        <w:widowControl/>
        <w:adjustRightInd/>
        <w:jc w:val="left"/>
        <w:rPr>
          <w:rFonts w:hint="eastAsia" w:ascii="宋体" w:hAnsi="宋体" w:eastAsia="宋体" w:cs="宋体"/>
          <w:b/>
          <w:color w:val="auto"/>
          <w:sz w:val="36"/>
          <w:szCs w:val="36"/>
          <w:highlight w:val="none"/>
        </w:rPr>
      </w:pPr>
    </w:p>
    <w:p w14:paraId="2DBFC595">
      <w:pPr>
        <w:widowControl/>
        <w:adjustRightInd/>
        <w:jc w:val="left"/>
        <w:rPr>
          <w:rFonts w:hint="eastAsia" w:ascii="宋体" w:hAnsi="宋体" w:eastAsia="宋体" w:cs="宋体"/>
          <w:b/>
          <w:color w:val="auto"/>
          <w:sz w:val="36"/>
          <w:szCs w:val="36"/>
          <w:highlight w:val="none"/>
        </w:rPr>
      </w:pPr>
    </w:p>
    <w:p w14:paraId="0B8BD8AD">
      <w:pPr>
        <w:rPr>
          <w:rFonts w:hint="eastAsia" w:ascii="宋体" w:hAnsi="宋体" w:eastAsia="宋体" w:cs="宋体"/>
          <w:b/>
          <w:bCs/>
          <w:color w:val="auto"/>
          <w:highlight w:val="none"/>
          <w:lang w:val="en-US" w:eastAsia="zh-CN"/>
        </w:rPr>
      </w:pPr>
      <w:r>
        <w:rPr>
          <w:rFonts w:hint="eastAsia" w:ascii="宋体" w:hAnsi="宋体" w:eastAsia="宋体" w:cs="宋体"/>
          <w:b/>
          <w:color w:val="auto"/>
          <w:sz w:val="36"/>
          <w:szCs w:val="36"/>
          <w:highlight w:val="none"/>
        </w:rPr>
        <w:br w:type="page"/>
      </w:r>
    </w:p>
    <w:p w14:paraId="5776EF2A">
      <w:pPr>
        <w:adjustRightInd/>
        <w:spacing w:line="360" w:lineRule="auto"/>
        <w:jc w:val="center"/>
        <w:outlineLvl w:val="0"/>
        <w:rPr>
          <w:rFonts w:hint="eastAsia" w:ascii="宋体" w:hAnsi="宋体" w:eastAsia="宋体" w:cs="宋体"/>
          <w:b/>
          <w:color w:val="auto"/>
          <w:sz w:val="36"/>
          <w:szCs w:val="36"/>
          <w:highlight w:val="none"/>
        </w:rPr>
      </w:pPr>
      <w:bookmarkStart w:id="60" w:name="_Toc23455"/>
      <w:r>
        <w:rPr>
          <w:rFonts w:hint="eastAsia" w:ascii="宋体" w:hAnsi="宋体" w:eastAsia="宋体" w:cs="宋体"/>
          <w:b/>
          <w:color w:val="auto"/>
          <w:sz w:val="36"/>
          <w:szCs w:val="36"/>
          <w:highlight w:val="none"/>
        </w:rPr>
        <w:t xml:space="preserve">第五部分  </w:t>
      </w:r>
      <w:bookmarkEnd w:id="56"/>
      <w:bookmarkEnd w:id="57"/>
      <w:bookmarkStart w:id="61" w:name="第四部分"/>
      <w:r>
        <w:rPr>
          <w:rFonts w:hint="eastAsia" w:ascii="宋体" w:hAnsi="宋体" w:eastAsia="宋体" w:cs="宋体"/>
          <w:b/>
          <w:color w:val="auto"/>
          <w:sz w:val="36"/>
          <w:szCs w:val="36"/>
          <w:highlight w:val="none"/>
        </w:rPr>
        <w:t>评审方法及评审标准</w:t>
      </w:r>
      <w:bookmarkEnd w:id="60"/>
    </w:p>
    <w:p w14:paraId="4C715504">
      <w:pPr>
        <w:snapToGrid w:val="0"/>
        <w:spacing w:line="360" w:lineRule="auto"/>
        <w:jc w:val="center"/>
        <w:outlineLvl w:val="1"/>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评标办法前附表</w:t>
      </w:r>
    </w:p>
    <w:tbl>
      <w:tblPr>
        <w:tblStyle w:val="62"/>
        <w:tblW w:w="0" w:type="auto"/>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5838"/>
        <w:gridCol w:w="899"/>
        <w:gridCol w:w="1214"/>
      </w:tblGrid>
      <w:tr w14:paraId="5847D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center"/>
          </w:tcPr>
          <w:p w14:paraId="30BBB0DB">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5838" w:type="dxa"/>
            <w:noWrap w:val="0"/>
            <w:vAlign w:val="center"/>
          </w:tcPr>
          <w:p w14:paraId="494DCBE8">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评标标准</w:t>
            </w:r>
          </w:p>
        </w:tc>
        <w:tc>
          <w:tcPr>
            <w:tcW w:w="899" w:type="dxa"/>
            <w:noWrap w:val="0"/>
            <w:vAlign w:val="center"/>
          </w:tcPr>
          <w:p w14:paraId="0BAC49C5">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权重</w:t>
            </w:r>
          </w:p>
        </w:tc>
        <w:tc>
          <w:tcPr>
            <w:tcW w:w="1214" w:type="dxa"/>
            <w:noWrap w:val="0"/>
            <w:vAlign w:val="center"/>
          </w:tcPr>
          <w:p w14:paraId="6330D50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主观分/客观分属性</w:t>
            </w:r>
          </w:p>
        </w:tc>
      </w:tr>
      <w:tr w14:paraId="4D8C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center"/>
          </w:tcPr>
          <w:p w14:paraId="633F73FA">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838" w:type="dxa"/>
            <w:noWrap w:val="0"/>
            <w:vAlign w:val="center"/>
          </w:tcPr>
          <w:p w14:paraId="65D6ABDF">
            <w:pPr>
              <w:pStyle w:val="38"/>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磋商报价（10分）</w:t>
            </w:r>
          </w:p>
          <w:p w14:paraId="5DF314E2">
            <w:pPr>
              <w:pStyle w:val="38"/>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（1）本项目为专门面向小微企业采购的项目，按照《政府采购促进中小企业发展管理办法》（财库〔2020〕46号）的规定，对供应商最后报价不再执行价格评审优惠的扶持政策。</w:t>
            </w:r>
          </w:p>
          <w:p w14:paraId="59D3B263">
            <w:pPr>
              <w:pStyle w:val="38"/>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（2）评审价为供应商的最后报价，评审价只是作为评审时使用。最终成交供应商的成交金额等于最后报价（如有修正，以确认修正后的最后报价为准）。</w:t>
            </w:r>
          </w:p>
          <w:p w14:paraId="5F162C17">
            <w:pPr>
              <w:pStyle w:val="38"/>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b w:val="0"/>
                <w:bCs/>
                <w:color w:val="auto"/>
                <w:sz w:val="21"/>
                <w:szCs w:val="21"/>
                <w:highlight w:val="none"/>
              </w:rPr>
              <w:t>满足</w:t>
            </w:r>
            <w:r>
              <w:rPr>
                <w:rFonts w:hint="eastAsia" w:ascii="宋体" w:hAnsi="宋体" w:eastAsia="宋体" w:cs="宋体"/>
                <w:b w:val="0"/>
                <w:bCs/>
                <w:color w:val="auto"/>
                <w:sz w:val="21"/>
                <w:szCs w:val="21"/>
                <w:highlight w:val="none"/>
                <w:lang w:val="en-US" w:eastAsia="zh-CN"/>
              </w:rPr>
              <w:t>采购</w:t>
            </w:r>
            <w:r>
              <w:rPr>
                <w:rFonts w:hint="eastAsia" w:ascii="宋体" w:hAnsi="宋体" w:eastAsia="宋体" w:cs="宋体"/>
                <w:b w:val="0"/>
                <w:bCs/>
                <w:color w:val="auto"/>
                <w:sz w:val="21"/>
                <w:szCs w:val="21"/>
                <w:highlight w:val="none"/>
              </w:rPr>
              <w:t>文件要求且</w:t>
            </w:r>
            <w:r>
              <w:rPr>
                <w:rFonts w:hint="eastAsia" w:ascii="宋体" w:hAnsi="宋体" w:eastAsia="宋体" w:cs="宋体"/>
                <w:b w:val="0"/>
                <w:bCs/>
                <w:color w:val="auto"/>
                <w:sz w:val="21"/>
                <w:szCs w:val="21"/>
                <w:highlight w:val="none"/>
                <w:lang w:val="en-US" w:eastAsia="zh-CN"/>
              </w:rPr>
              <w:t>评审</w:t>
            </w:r>
            <w:r>
              <w:rPr>
                <w:rFonts w:hint="eastAsia" w:ascii="宋体" w:hAnsi="宋体" w:eastAsia="宋体" w:cs="宋体"/>
                <w:b w:val="0"/>
                <w:bCs/>
                <w:color w:val="auto"/>
                <w:sz w:val="21"/>
                <w:szCs w:val="21"/>
                <w:highlight w:val="none"/>
              </w:rPr>
              <w:t>报价最低的</w:t>
            </w:r>
            <w:r>
              <w:rPr>
                <w:rFonts w:hint="eastAsia" w:ascii="宋体" w:hAnsi="宋体" w:eastAsia="宋体" w:cs="宋体"/>
                <w:b w:val="0"/>
                <w:bCs/>
                <w:color w:val="auto"/>
                <w:sz w:val="21"/>
                <w:szCs w:val="21"/>
                <w:highlight w:val="none"/>
                <w:lang w:val="en-US" w:eastAsia="zh-CN"/>
              </w:rPr>
              <w:t>评审</w:t>
            </w:r>
            <w:r>
              <w:rPr>
                <w:rFonts w:hint="eastAsia" w:ascii="宋体" w:hAnsi="宋体" w:eastAsia="宋体" w:cs="宋体"/>
                <w:b w:val="0"/>
                <w:bCs/>
                <w:color w:val="auto"/>
                <w:sz w:val="21"/>
                <w:szCs w:val="21"/>
                <w:highlight w:val="none"/>
              </w:rPr>
              <w:t>报价为</w:t>
            </w:r>
            <w:r>
              <w:rPr>
                <w:rFonts w:hint="eastAsia" w:ascii="宋体" w:hAnsi="宋体" w:eastAsia="宋体" w:cs="宋体"/>
                <w:b w:val="0"/>
                <w:bCs/>
                <w:color w:val="auto"/>
                <w:sz w:val="21"/>
                <w:szCs w:val="21"/>
                <w:highlight w:val="none"/>
                <w:lang w:val="en-US" w:eastAsia="zh-CN"/>
              </w:rPr>
              <w:t>评审</w:t>
            </w:r>
            <w:r>
              <w:rPr>
                <w:rFonts w:hint="eastAsia" w:ascii="宋体" w:hAnsi="宋体" w:eastAsia="宋体" w:cs="宋体"/>
                <w:b w:val="0"/>
                <w:bCs/>
                <w:color w:val="auto"/>
                <w:sz w:val="21"/>
                <w:szCs w:val="21"/>
                <w:highlight w:val="none"/>
              </w:rPr>
              <w:t>基准价，基准价得分为</w:t>
            </w:r>
            <w:r>
              <w:rPr>
                <w:rFonts w:hint="eastAsia" w:ascii="宋体" w:hAnsi="宋体" w:eastAsia="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rPr>
              <w:t>分</w:t>
            </w:r>
            <w:r>
              <w:rPr>
                <w:rFonts w:hint="eastAsia" w:ascii="宋体" w:hAnsi="宋体" w:eastAsia="宋体" w:cs="宋体"/>
                <w:color w:val="auto"/>
                <w:kern w:val="0"/>
                <w:sz w:val="21"/>
                <w:szCs w:val="21"/>
                <w:highlight w:val="none"/>
                <w:lang w:val="en-US" w:eastAsia="zh-CN"/>
              </w:rPr>
              <w:t>。</w:t>
            </w:r>
          </w:p>
          <w:p w14:paraId="4E5E66D6">
            <w:pPr>
              <w:pStyle w:val="38"/>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b w:val="0"/>
                <w:bCs/>
                <w:color w:val="auto"/>
                <w:sz w:val="21"/>
                <w:szCs w:val="21"/>
                <w:highlight w:val="none"/>
                <w:lang w:val="en-US" w:eastAsia="zh-CN"/>
              </w:rPr>
              <w:t>评审</w:t>
            </w:r>
            <w:r>
              <w:rPr>
                <w:rFonts w:hint="eastAsia" w:ascii="宋体" w:hAnsi="宋体" w:eastAsia="宋体" w:cs="宋体"/>
                <w:b w:val="0"/>
                <w:bCs/>
                <w:color w:val="auto"/>
                <w:sz w:val="21"/>
                <w:szCs w:val="21"/>
                <w:highlight w:val="none"/>
                <w:lang w:eastAsia="zh-CN"/>
              </w:rPr>
              <w:t>价＝（</w:t>
            </w:r>
            <w:r>
              <w:rPr>
                <w:rFonts w:hint="eastAsia" w:ascii="宋体" w:hAnsi="宋体" w:eastAsia="宋体" w:cs="宋体"/>
                <w:b w:val="0"/>
                <w:bCs/>
                <w:color w:val="auto"/>
                <w:sz w:val="21"/>
                <w:szCs w:val="21"/>
                <w:highlight w:val="none"/>
                <w:lang w:val="en-US" w:eastAsia="zh-CN"/>
              </w:rPr>
              <w:t>1-磋商</w:t>
            </w:r>
            <w:r>
              <w:rPr>
                <w:rFonts w:hint="eastAsia" w:ascii="宋体" w:hAnsi="宋体" w:eastAsia="宋体" w:cs="宋体"/>
                <w:b w:val="0"/>
                <w:bCs/>
                <w:color w:val="auto"/>
                <w:sz w:val="21"/>
                <w:szCs w:val="21"/>
                <w:highlight w:val="none"/>
              </w:rPr>
              <w:t>报价</w:t>
            </w:r>
            <w:r>
              <w:rPr>
                <w:rFonts w:hint="eastAsia" w:ascii="宋体" w:hAnsi="宋体" w:eastAsia="宋体" w:cs="宋体"/>
                <w:b w:val="0"/>
                <w:bCs/>
                <w:color w:val="auto"/>
                <w:sz w:val="21"/>
                <w:szCs w:val="21"/>
                <w:highlight w:val="none"/>
                <w:lang w:eastAsia="zh-CN"/>
              </w:rPr>
              <w:t>）</w:t>
            </w:r>
          </w:p>
          <w:p w14:paraId="24114F57">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价格分计算公式：</w:t>
            </w:r>
          </w:p>
          <w:p w14:paraId="7DAD951B">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某</w:t>
            </w:r>
            <w:r>
              <w:rPr>
                <w:rFonts w:hint="eastAsia" w:ascii="宋体" w:hAnsi="宋体" w:eastAsia="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rPr>
              <w:t>价格分 =评</w:t>
            </w:r>
            <w:r>
              <w:rPr>
                <w:rFonts w:hint="eastAsia" w:ascii="宋体" w:hAnsi="宋体" w:eastAsia="宋体" w:cs="宋体"/>
                <w:b w:val="0"/>
                <w:bCs/>
                <w:color w:val="auto"/>
                <w:sz w:val="21"/>
                <w:szCs w:val="21"/>
                <w:highlight w:val="none"/>
                <w:lang w:val="en-US" w:eastAsia="zh-CN"/>
              </w:rPr>
              <w:t>审</w:t>
            </w:r>
            <w:r>
              <w:rPr>
                <w:rFonts w:hint="eastAsia" w:ascii="宋体" w:hAnsi="宋体" w:eastAsia="宋体" w:cs="宋体"/>
                <w:b w:val="0"/>
                <w:bCs/>
                <w:color w:val="auto"/>
                <w:sz w:val="21"/>
                <w:szCs w:val="21"/>
                <w:highlight w:val="none"/>
              </w:rPr>
              <w:t>基准价÷某</w:t>
            </w:r>
            <w:r>
              <w:rPr>
                <w:rFonts w:hint="eastAsia" w:ascii="宋体" w:hAnsi="宋体" w:eastAsia="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rPr>
              <w:t>评</w:t>
            </w:r>
            <w:r>
              <w:rPr>
                <w:rFonts w:hint="eastAsia" w:ascii="宋体" w:hAnsi="宋体" w:eastAsia="宋体" w:cs="宋体"/>
                <w:b w:val="0"/>
                <w:bCs/>
                <w:color w:val="auto"/>
                <w:sz w:val="21"/>
                <w:szCs w:val="21"/>
                <w:highlight w:val="none"/>
                <w:lang w:val="en-US" w:eastAsia="zh-CN"/>
              </w:rPr>
              <w:t>审</w:t>
            </w:r>
            <w:r>
              <w:rPr>
                <w:rFonts w:hint="eastAsia" w:ascii="宋体" w:hAnsi="宋体" w:eastAsia="宋体" w:cs="宋体"/>
                <w:b w:val="0"/>
                <w:bCs/>
                <w:color w:val="auto"/>
                <w:sz w:val="21"/>
                <w:szCs w:val="21"/>
                <w:highlight w:val="none"/>
              </w:rPr>
              <w:t>报价×</w:t>
            </w:r>
            <w:r>
              <w:rPr>
                <w:rFonts w:hint="eastAsia" w:ascii="宋体" w:hAnsi="宋体" w:eastAsia="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rPr>
              <w:t>分。</w:t>
            </w:r>
          </w:p>
        </w:tc>
        <w:tc>
          <w:tcPr>
            <w:tcW w:w="899" w:type="dxa"/>
            <w:noWrap w:val="0"/>
            <w:vAlign w:val="center"/>
          </w:tcPr>
          <w:p w14:paraId="52DF25A9">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10</w:t>
            </w:r>
          </w:p>
        </w:tc>
        <w:tc>
          <w:tcPr>
            <w:tcW w:w="1214" w:type="dxa"/>
            <w:noWrap w:val="0"/>
            <w:vAlign w:val="center"/>
          </w:tcPr>
          <w:p w14:paraId="05123949">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客观分</w:t>
            </w:r>
          </w:p>
        </w:tc>
      </w:tr>
      <w:tr w14:paraId="09CF7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center"/>
          </w:tcPr>
          <w:p w14:paraId="129B5F59">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p>
        </w:tc>
        <w:tc>
          <w:tcPr>
            <w:tcW w:w="5838" w:type="dxa"/>
            <w:noWrap w:val="0"/>
            <w:vAlign w:val="center"/>
          </w:tcPr>
          <w:p w14:paraId="1AA6825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技术分</w:t>
            </w:r>
          </w:p>
        </w:tc>
        <w:tc>
          <w:tcPr>
            <w:tcW w:w="899" w:type="dxa"/>
            <w:noWrap w:val="0"/>
            <w:vAlign w:val="center"/>
          </w:tcPr>
          <w:p w14:paraId="43260DAC">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w:t>
            </w:r>
            <w:r>
              <w:rPr>
                <w:rFonts w:hint="eastAsia" w:ascii="宋体" w:hAnsi="宋体" w:cs="宋体"/>
                <w:b/>
                <w:bCs/>
                <w:color w:val="auto"/>
                <w:sz w:val="21"/>
                <w:szCs w:val="21"/>
                <w:highlight w:val="none"/>
                <w:lang w:val="en-US" w:eastAsia="zh-CN"/>
              </w:rPr>
              <w:t>4</w:t>
            </w:r>
          </w:p>
        </w:tc>
        <w:tc>
          <w:tcPr>
            <w:tcW w:w="1214" w:type="dxa"/>
            <w:noWrap w:val="0"/>
            <w:vAlign w:val="center"/>
          </w:tcPr>
          <w:p w14:paraId="005A1044">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b/>
                <w:bCs/>
                <w:color w:val="auto"/>
                <w:sz w:val="21"/>
                <w:szCs w:val="21"/>
                <w:highlight w:val="none"/>
              </w:rPr>
            </w:pPr>
          </w:p>
        </w:tc>
      </w:tr>
      <w:tr w14:paraId="42A9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center"/>
          </w:tcPr>
          <w:p w14:paraId="51E0C8AB">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5838" w:type="dxa"/>
            <w:noWrap w:val="0"/>
            <w:vAlign w:val="center"/>
          </w:tcPr>
          <w:p w14:paraId="06E5E914">
            <w:pPr>
              <w:pStyle w:val="38"/>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val="en-US" w:eastAsia="zh-CN"/>
              </w:rPr>
              <w:t>项目实施方案</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1</w:t>
            </w:r>
            <w:r>
              <w:rPr>
                <w:rFonts w:hint="eastAsia" w:ascii="宋体" w:hAnsi="宋体" w:cs="宋体"/>
                <w:b/>
                <w:bCs w:val="0"/>
                <w:color w:val="auto"/>
                <w:sz w:val="21"/>
                <w:szCs w:val="21"/>
                <w:highlight w:val="none"/>
                <w:lang w:val="en-US" w:eastAsia="zh-CN"/>
              </w:rPr>
              <w:t>4</w:t>
            </w:r>
            <w:r>
              <w:rPr>
                <w:rFonts w:hint="eastAsia" w:ascii="宋体" w:hAnsi="宋体" w:eastAsia="宋体" w:cs="宋体"/>
                <w:b/>
                <w:bCs w:val="0"/>
                <w:color w:val="auto"/>
                <w:sz w:val="21"/>
                <w:szCs w:val="21"/>
                <w:highlight w:val="none"/>
              </w:rPr>
              <w:t>分</w:t>
            </w:r>
            <w:r>
              <w:rPr>
                <w:rFonts w:hint="eastAsia" w:ascii="宋体" w:hAnsi="宋体" w:eastAsia="宋体" w:cs="宋体"/>
                <w:b/>
                <w:bCs w:val="0"/>
                <w:color w:val="auto"/>
                <w:sz w:val="21"/>
                <w:szCs w:val="21"/>
                <w:highlight w:val="none"/>
                <w:lang w:eastAsia="zh-CN"/>
              </w:rPr>
              <w:t>）</w:t>
            </w:r>
          </w:p>
          <w:p w14:paraId="2DA8A438">
            <w:pPr>
              <w:pStyle w:val="38"/>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一档（0分）</w:t>
            </w:r>
            <w:r>
              <w:rPr>
                <w:rFonts w:hint="eastAsia" w:ascii="宋体" w:hAnsi="宋体" w:eastAsia="宋体" w:cs="宋体"/>
                <w:b w:val="0"/>
                <w:bCs/>
                <w:color w:val="auto"/>
                <w:sz w:val="21"/>
                <w:szCs w:val="21"/>
                <w:highlight w:val="none"/>
                <w:lang w:val="en-US" w:eastAsia="zh-CN"/>
              </w:rPr>
              <w:t>：磋商响应文件中未提供项目实施方案不得分。</w:t>
            </w:r>
          </w:p>
          <w:p w14:paraId="5479C4DF">
            <w:pPr>
              <w:pStyle w:val="38"/>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二</w:t>
            </w:r>
            <w:r>
              <w:rPr>
                <w:rFonts w:hint="eastAsia" w:ascii="宋体" w:hAnsi="宋体" w:eastAsia="宋体" w:cs="宋体"/>
                <w:b/>
                <w:bCs w:val="0"/>
                <w:color w:val="auto"/>
                <w:sz w:val="21"/>
                <w:szCs w:val="21"/>
                <w:highlight w:val="none"/>
              </w:rPr>
              <w:t>档（</w:t>
            </w:r>
            <w:r>
              <w:rPr>
                <w:rFonts w:hint="eastAsia" w:ascii="宋体" w:hAnsi="宋体" w:eastAsia="宋体"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rPr>
              <w:t>分）</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提供</w:t>
            </w:r>
            <w:r>
              <w:rPr>
                <w:rFonts w:hint="eastAsia" w:ascii="宋体" w:hAnsi="宋体" w:eastAsia="宋体" w:cs="宋体"/>
                <w:b w:val="0"/>
                <w:bCs/>
                <w:color w:val="auto"/>
                <w:sz w:val="21"/>
                <w:szCs w:val="21"/>
                <w:highlight w:val="none"/>
                <w:lang w:eastAsia="zh-CN"/>
              </w:rPr>
              <w:t>项目</w:t>
            </w:r>
            <w:r>
              <w:rPr>
                <w:rFonts w:hint="eastAsia" w:ascii="宋体" w:hAnsi="宋体" w:eastAsia="宋体" w:cs="宋体"/>
                <w:b w:val="0"/>
                <w:bCs/>
                <w:color w:val="auto"/>
                <w:sz w:val="21"/>
                <w:szCs w:val="21"/>
                <w:highlight w:val="none"/>
                <w:lang w:val="en-US" w:eastAsia="zh-CN"/>
              </w:rPr>
              <w:t>实施方案，包含供货流程、卫生管理措施，提供</w:t>
            </w:r>
            <w:r>
              <w:rPr>
                <w:rFonts w:hint="eastAsia" w:ascii="宋体" w:hAnsi="宋体" w:eastAsia="宋体" w:cs="宋体"/>
                <w:b w:val="0"/>
                <w:bCs/>
                <w:color w:val="auto"/>
                <w:sz w:val="21"/>
                <w:szCs w:val="21"/>
                <w:highlight w:val="none"/>
                <w:lang w:eastAsia="zh-CN"/>
              </w:rPr>
              <w:t>基本的项目</w:t>
            </w:r>
            <w:r>
              <w:rPr>
                <w:rFonts w:hint="eastAsia" w:ascii="宋体" w:hAnsi="宋体" w:eastAsia="宋体" w:cs="宋体"/>
                <w:b w:val="0"/>
                <w:bCs/>
                <w:color w:val="auto"/>
                <w:sz w:val="21"/>
                <w:szCs w:val="21"/>
                <w:highlight w:val="none"/>
                <w:lang w:val="en-US" w:eastAsia="zh-CN"/>
              </w:rPr>
              <w:t>采购</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装卸、配送流程措施，制定配送计划。</w:t>
            </w:r>
          </w:p>
          <w:p w14:paraId="42E14EB5">
            <w:pPr>
              <w:pStyle w:val="38"/>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val="0"/>
                <w:bCs/>
                <w:color w:val="auto"/>
                <w:sz w:val="21"/>
                <w:szCs w:val="21"/>
                <w:highlight w:val="none"/>
                <w:lang w:val="en-US"/>
              </w:rPr>
            </w:pPr>
            <w:r>
              <w:rPr>
                <w:rFonts w:hint="eastAsia" w:ascii="宋体" w:hAnsi="宋体" w:eastAsia="宋体" w:cs="宋体"/>
                <w:b/>
                <w:bCs w:val="0"/>
                <w:color w:val="auto"/>
                <w:sz w:val="21"/>
                <w:szCs w:val="21"/>
                <w:highlight w:val="none"/>
                <w:lang w:val="en-US" w:eastAsia="zh-CN"/>
              </w:rPr>
              <w:t>三</w:t>
            </w:r>
            <w:r>
              <w:rPr>
                <w:rFonts w:hint="eastAsia" w:ascii="宋体" w:hAnsi="宋体" w:eastAsia="宋体" w:cs="宋体"/>
                <w:b/>
                <w:bCs w:val="0"/>
                <w:color w:val="auto"/>
                <w:sz w:val="21"/>
                <w:szCs w:val="21"/>
                <w:highlight w:val="none"/>
              </w:rPr>
              <w:t>档（</w:t>
            </w:r>
            <w:r>
              <w:rPr>
                <w:rFonts w:hint="eastAsia" w:ascii="宋体" w:hAnsi="宋体" w:eastAsia="宋体" w:cs="宋体"/>
                <w:b/>
                <w:bCs w:val="0"/>
                <w:color w:val="auto"/>
                <w:sz w:val="21"/>
                <w:szCs w:val="21"/>
                <w:highlight w:val="none"/>
                <w:lang w:val="en-US" w:eastAsia="zh-CN"/>
              </w:rPr>
              <w:t>6</w:t>
            </w:r>
            <w:r>
              <w:rPr>
                <w:rFonts w:hint="eastAsia" w:ascii="宋体" w:hAnsi="宋体" w:eastAsia="宋体" w:cs="宋体"/>
                <w:b/>
                <w:bCs w:val="0"/>
                <w:color w:val="auto"/>
                <w:sz w:val="21"/>
                <w:szCs w:val="21"/>
                <w:highlight w:val="none"/>
              </w:rPr>
              <w:t>分）</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提供</w:t>
            </w:r>
            <w:r>
              <w:rPr>
                <w:rFonts w:hint="eastAsia" w:ascii="宋体" w:hAnsi="宋体" w:eastAsia="宋体" w:cs="宋体"/>
                <w:b w:val="0"/>
                <w:bCs/>
                <w:color w:val="auto"/>
                <w:sz w:val="21"/>
                <w:szCs w:val="21"/>
                <w:highlight w:val="none"/>
                <w:lang w:eastAsia="zh-CN"/>
              </w:rPr>
              <w:t>项目</w:t>
            </w:r>
            <w:r>
              <w:rPr>
                <w:rFonts w:hint="eastAsia" w:ascii="宋体" w:hAnsi="宋体" w:eastAsia="宋体" w:cs="宋体"/>
                <w:b w:val="0"/>
                <w:bCs/>
                <w:color w:val="auto"/>
                <w:sz w:val="21"/>
                <w:szCs w:val="21"/>
                <w:highlight w:val="none"/>
                <w:lang w:val="en-US" w:eastAsia="zh-CN"/>
              </w:rPr>
              <w:t>实施方案，包含供货流程、卫生管理措施，提供</w:t>
            </w:r>
            <w:r>
              <w:rPr>
                <w:rFonts w:hint="eastAsia" w:ascii="宋体" w:hAnsi="宋体" w:eastAsia="宋体" w:cs="宋体"/>
                <w:b w:val="0"/>
                <w:bCs/>
                <w:color w:val="auto"/>
                <w:sz w:val="21"/>
                <w:szCs w:val="21"/>
                <w:highlight w:val="none"/>
                <w:lang w:eastAsia="zh-CN"/>
              </w:rPr>
              <w:t>基本的项目</w:t>
            </w:r>
            <w:r>
              <w:rPr>
                <w:rFonts w:hint="eastAsia" w:ascii="宋体" w:hAnsi="宋体" w:eastAsia="宋体" w:cs="宋体"/>
                <w:b w:val="0"/>
                <w:bCs/>
                <w:color w:val="auto"/>
                <w:sz w:val="21"/>
                <w:szCs w:val="21"/>
                <w:highlight w:val="none"/>
                <w:lang w:val="en-US" w:eastAsia="zh-CN"/>
              </w:rPr>
              <w:t>采购</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装卸、配送流程措施，提供供货流程图</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制定配送计划，</w:t>
            </w:r>
            <w:r>
              <w:rPr>
                <w:rFonts w:hint="eastAsia" w:ascii="宋体" w:hAnsi="宋体" w:eastAsia="宋体" w:cs="宋体"/>
                <w:b w:val="0"/>
                <w:bCs/>
                <w:color w:val="auto"/>
                <w:sz w:val="21"/>
                <w:szCs w:val="21"/>
                <w:highlight w:val="none"/>
                <w:lang w:eastAsia="zh-CN"/>
              </w:rPr>
              <w:t>能明确配送时间、</w:t>
            </w:r>
            <w:r>
              <w:rPr>
                <w:rFonts w:hint="eastAsia" w:ascii="宋体" w:hAnsi="宋体" w:eastAsia="宋体" w:cs="宋体"/>
                <w:b w:val="0"/>
                <w:bCs/>
                <w:color w:val="auto"/>
                <w:sz w:val="21"/>
                <w:szCs w:val="21"/>
                <w:highlight w:val="none"/>
              </w:rPr>
              <w:t>进度安排</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提供公司卫生管理办法。</w:t>
            </w:r>
          </w:p>
          <w:p w14:paraId="5FCD58D7">
            <w:pPr>
              <w:pStyle w:val="38"/>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四</w:t>
            </w:r>
            <w:r>
              <w:rPr>
                <w:rFonts w:hint="eastAsia" w:ascii="宋体" w:hAnsi="宋体" w:eastAsia="宋体" w:cs="宋体"/>
                <w:b/>
                <w:bCs w:val="0"/>
                <w:color w:val="auto"/>
                <w:sz w:val="21"/>
                <w:szCs w:val="21"/>
                <w:highlight w:val="none"/>
              </w:rPr>
              <w:t>档（</w:t>
            </w:r>
            <w:r>
              <w:rPr>
                <w:rFonts w:hint="eastAsia" w:ascii="宋体" w:hAnsi="宋体" w:cs="宋体"/>
                <w:b/>
                <w:bCs w:val="0"/>
                <w:color w:val="auto"/>
                <w:sz w:val="21"/>
                <w:szCs w:val="21"/>
                <w:highlight w:val="none"/>
                <w:lang w:val="en-US" w:eastAsia="zh-CN"/>
              </w:rPr>
              <w:t>10</w:t>
            </w:r>
            <w:r>
              <w:rPr>
                <w:rFonts w:hint="eastAsia" w:ascii="宋体" w:hAnsi="宋体" w:eastAsia="宋体" w:cs="宋体"/>
                <w:b/>
                <w:bCs w:val="0"/>
                <w:color w:val="auto"/>
                <w:sz w:val="21"/>
                <w:szCs w:val="21"/>
                <w:highlight w:val="none"/>
              </w:rPr>
              <w:t>分）</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提供</w:t>
            </w:r>
            <w:r>
              <w:rPr>
                <w:rFonts w:hint="eastAsia" w:ascii="宋体" w:hAnsi="宋体" w:eastAsia="宋体" w:cs="宋体"/>
                <w:b w:val="0"/>
                <w:bCs/>
                <w:color w:val="auto"/>
                <w:sz w:val="21"/>
                <w:szCs w:val="21"/>
                <w:highlight w:val="none"/>
                <w:lang w:eastAsia="zh-CN"/>
              </w:rPr>
              <w:t>项目</w:t>
            </w:r>
            <w:r>
              <w:rPr>
                <w:rFonts w:hint="eastAsia" w:ascii="宋体" w:hAnsi="宋体" w:eastAsia="宋体" w:cs="宋体"/>
                <w:b w:val="0"/>
                <w:bCs/>
                <w:color w:val="auto"/>
                <w:sz w:val="21"/>
                <w:szCs w:val="21"/>
                <w:highlight w:val="none"/>
                <w:lang w:val="en-US" w:eastAsia="zh-CN"/>
              </w:rPr>
              <w:t>实施方案，包含供货流程、卫生管理措施，提供</w:t>
            </w:r>
            <w:r>
              <w:rPr>
                <w:rFonts w:hint="eastAsia" w:ascii="宋体" w:hAnsi="宋体" w:cs="宋体"/>
                <w:b w:val="0"/>
                <w:bCs/>
                <w:color w:val="auto"/>
                <w:sz w:val="21"/>
                <w:szCs w:val="21"/>
                <w:highlight w:val="none"/>
                <w:lang w:val="en-US" w:eastAsia="zh-CN"/>
              </w:rPr>
              <w:t>详细的</w:t>
            </w:r>
            <w:r>
              <w:rPr>
                <w:rFonts w:hint="eastAsia" w:ascii="宋体" w:hAnsi="宋体" w:eastAsia="宋体" w:cs="宋体"/>
                <w:b w:val="0"/>
                <w:bCs/>
                <w:color w:val="auto"/>
                <w:sz w:val="21"/>
                <w:szCs w:val="21"/>
                <w:highlight w:val="none"/>
                <w:lang w:eastAsia="zh-CN"/>
              </w:rPr>
              <w:t>项目</w:t>
            </w:r>
            <w:r>
              <w:rPr>
                <w:rFonts w:hint="eastAsia" w:ascii="宋体" w:hAnsi="宋体" w:eastAsia="宋体" w:cs="宋体"/>
                <w:b w:val="0"/>
                <w:bCs/>
                <w:color w:val="auto"/>
                <w:sz w:val="21"/>
                <w:szCs w:val="21"/>
                <w:highlight w:val="none"/>
                <w:lang w:val="en-US" w:eastAsia="zh-CN"/>
              </w:rPr>
              <w:t>采购</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装卸、配送流程措施，提供供货流程图，流程规范</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制定配送计划，能描述</w:t>
            </w:r>
            <w:r>
              <w:rPr>
                <w:rFonts w:hint="eastAsia" w:ascii="宋体" w:hAnsi="宋体" w:eastAsia="宋体" w:cs="宋体"/>
                <w:b w:val="0"/>
                <w:bCs/>
                <w:color w:val="auto"/>
                <w:sz w:val="21"/>
                <w:szCs w:val="21"/>
                <w:highlight w:val="none"/>
              </w:rPr>
              <w:t>具体实施步骤，</w:t>
            </w:r>
            <w:r>
              <w:rPr>
                <w:rFonts w:hint="eastAsia" w:ascii="宋体" w:hAnsi="宋体" w:eastAsia="宋体" w:cs="宋体"/>
                <w:b w:val="0"/>
                <w:bCs/>
                <w:color w:val="auto"/>
                <w:sz w:val="21"/>
                <w:szCs w:val="21"/>
                <w:highlight w:val="none"/>
                <w:lang w:eastAsia="zh-CN"/>
              </w:rPr>
              <w:t>明确配送时间、</w:t>
            </w:r>
            <w:r>
              <w:rPr>
                <w:rFonts w:hint="eastAsia" w:ascii="宋体" w:hAnsi="宋体" w:eastAsia="宋体" w:cs="宋体"/>
                <w:b w:val="0"/>
                <w:bCs/>
                <w:color w:val="auto"/>
                <w:sz w:val="21"/>
                <w:szCs w:val="21"/>
                <w:highlight w:val="none"/>
              </w:rPr>
              <w:t>进度</w:t>
            </w:r>
            <w:r>
              <w:rPr>
                <w:rFonts w:hint="eastAsia" w:ascii="宋体" w:hAnsi="宋体" w:eastAsia="宋体" w:cs="宋体"/>
                <w:b w:val="0"/>
                <w:bCs/>
                <w:color w:val="auto"/>
                <w:sz w:val="21"/>
                <w:szCs w:val="21"/>
                <w:highlight w:val="none"/>
                <w:lang w:eastAsia="zh-CN"/>
              </w:rPr>
              <w:t>、车辆选择、</w:t>
            </w:r>
            <w:r>
              <w:rPr>
                <w:rFonts w:hint="eastAsia" w:ascii="宋体" w:hAnsi="宋体" w:eastAsia="宋体" w:cs="宋体"/>
                <w:b w:val="0"/>
                <w:bCs/>
                <w:color w:val="auto"/>
                <w:sz w:val="21"/>
                <w:szCs w:val="21"/>
                <w:highlight w:val="none"/>
                <w:lang w:val="en-US" w:eastAsia="zh-CN"/>
              </w:rPr>
              <w:t>食材</w:t>
            </w:r>
            <w:r>
              <w:rPr>
                <w:rFonts w:hint="eastAsia" w:ascii="宋体" w:hAnsi="宋体" w:eastAsia="宋体" w:cs="宋体"/>
                <w:b w:val="0"/>
                <w:bCs/>
                <w:color w:val="auto"/>
                <w:sz w:val="21"/>
                <w:szCs w:val="21"/>
                <w:highlight w:val="none"/>
                <w:lang w:eastAsia="zh-CN"/>
              </w:rPr>
              <w:t>装载、</w:t>
            </w:r>
            <w:r>
              <w:rPr>
                <w:rFonts w:hint="eastAsia" w:ascii="宋体" w:hAnsi="宋体" w:eastAsia="宋体" w:cs="宋体"/>
                <w:b w:val="0"/>
                <w:bCs/>
                <w:color w:val="auto"/>
                <w:sz w:val="21"/>
                <w:szCs w:val="21"/>
                <w:highlight w:val="none"/>
                <w:lang w:val="en-US" w:eastAsia="zh-CN"/>
              </w:rPr>
              <w:t>路线选择等规划安排</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提供公司卫生管理办法。</w:t>
            </w:r>
          </w:p>
          <w:p w14:paraId="72FBC625">
            <w:pPr>
              <w:pStyle w:val="38"/>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lang w:val="en-US" w:eastAsia="zh-CN"/>
              </w:rPr>
              <w:t>五</w:t>
            </w:r>
            <w:r>
              <w:rPr>
                <w:rFonts w:hint="eastAsia" w:ascii="宋体" w:hAnsi="宋体" w:eastAsia="宋体" w:cs="宋体"/>
                <w:b/>
                <w:bCs w:val="0"/>
                <w:color w:val="auto"/>
                <w:sz w:val="21"/>
                <w:szCs w:val="21"/>
                <w:highlight w:val="none"/>
              </w:rPr>
              <w:t>档（</w:t>
            </w:r>
            <w:r>
              <w:rPr>
                <w:rFonts w:hint="eastAsia" w:ascii="宋体" w:hAnsi="宋体" w:eastAsia="宋体" w:cs="宋体"/>
                <w:b/>
                <w:bCs w:val="0"/>
                <w:color w:val="auto"/>
                <w:sz w:val="21"/>
                <w:szCs w:val="21"/>
                <w:highlight w:val="none"/>
                <w:lang w:val="en-US" w:eastAsia="zh-CN"/>
              </w:rPr>
              <w:t>1</w:t>
            </w:r>
            <w:r>
              <w:rPr>
                <w:rFonts w:hint="eastAsia" w:ascii="宋体" w:hAnsi="宋体" w:cs="宋体"/>
                <w:b/>
                <w:bCs w:val="0"/>
                <w:color w:val="auto"/>
                <w:sz w:val="21"/>
                <w:szCs w:val="21"/>
                <w:highlight w:val="none"/>
                <w:lang w:val="en-US" w:eastAsia="zh-CN"/>
              </w:rPr>
              <w:t>4</w:t>
            </w:r>
            <w:r>
              <w:rPr>
                <w:rFonts w:hint="eastAsia" w:ascii="宋体" w:hAnsi="宋体" w:eastAsia="宋体" w:cs="宋体"/>
                <w:b/>
                <w:bCs w:val="0"/>
                <w:color w:val="auto"/>
                <w:sz w:val="21"/>
                <w:szCs w:val="21"/>
                <w:highlight w:val="none"/>
              </w:rPr>
              <w:t>分）</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提供</w:t>
            </w:r>
            <w:r>
              <w:rPr>
                <w:rFonts w:hint="eastAsia" w:ascii="宋体" w:hAnsi="宋体" w:eastAsia="宋体" w:cs="宋体"/>
                <w:b w:val="0"/>
                <w:bCs/>
                <w:color w:val="auto"/>
                <w:sz w:val="21"/>
                <w:szCs w:val="21"/>
                <w:highlight w:val="none"/>
                <w:lang w:eastAsia="zh-CN"/>
              </w:rPr>
              <w:t>项目</w:t>
            </w:r>
            <w:r>
              <w:rPr>
                <w:rFonts w:hint="eastAsia" w:ascii="宋体" w:hAnsi="宋体" w:eastAsia="宋体" w:cs="宋体"/>
                <w:b w:val="0"/>
                <w:bCs/>
                <w:color w:val="auto"/>
                <w:sz w:val="21"/>
                <w:szCs w:val="21"/>
                <w:highlight w:val="none"/>
                <w:lang w:val="en-US" w:eastAsia="zh-CN"/>
              </w:rPr>
              <w:t>实施方案，包含供货流程、卫生管理措施，提供</w:t>
            </w:r>
            <w:r>
              <w:rPr>
                <w:rFonts w:hint="eastAsia" w:ascii="宋体" w:hAnsi="宋体" w:cs="宋体"/>
                <w:b w:val="0"/>
                <w:bCs/>
                <w:color w:val="auto"/>
                <w:sz w:val="21"/>
                <w:szCs w:val="21"/>
                <w:highlight w:val="none"/>
                <w:lang w:val="en-US" w:eastAsia="zh-CN"/>
              </w:rPr>
              <w:t>详细的</w:t>
            </w:r>
            <w:r>
              <w:rPr>
                <w:rFonts w:hint="eastAsia" w:ascii="宋体" w:hAnsi="宋体" w:eastAsia="宋体" w:cs="宋体"/>
                <w:b w:val="0"/>
                <w:bCs/>
                <w:color w:val="auto"/>
                <w:sz w:val="21"/>
                <w:szCs w:val="21"/>
                <w:highlight w:val="none"/>
                <w:lang w:eastAsia="zh-CN"/>
              </w:rPr>
              <w:t>项目</w:t>
            </w:r>
            <w:r>
              <w:rPr>
                <w:rFonts w:hint="eastAsia" w:ascii="宋体" w:hAnsi="宋体" w:eastAsia="宋体" w:cs="宋体"/>
                <w:b w:val="0"/>
                <w:bCs/>
                <w:color w:val="auto"/>
                <w:sz w:val="21"/>
                <w:szCs w:val="21"/>
                <w:highlight w:val="none"/>
                <w:lang w:val="en-US" w:eastAsia="zh-CN"/>
              </w:rPr>
              <w:t>采购</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装卸、配送流程措施，提供供货流程图，流程规范</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制定配送计划，能描述</w:t>
            </w:r>
            <w:r>
              <w:rPr>
                <w:rFonts w:hint="eastAsia" w:ascii="宋体" w:hAnsi="宋体" w:eastAsia="宋体" w:cs="宋体"/>
                <w:b w:val="0"/>
                <w:bCs/>
                <w:color w:val="auto"/>
                <w:sz w:val="21"/>
                <w:szCs w:val="21"/>
                <w:highlight w:val="none"/>
              </w:rPr>
              <w:t>具体实施步骤，</w:t>
            </w:r>
            <w:r>
              <w:rPr>
                <w:rFonts w:hint="eastAsia" w:ascii="宋体" w:hAnsi="宋体" w:eastAsia="宋体" w:cs="宋体"/>
                <w:b w:val="0"/>
                <w:bCs/>
                <w:color w:val="auto"/>
                <w:sz w:val="21"/>
                <w:szCs w:val="21"/>
                <w:highlight w:val="none"/>
                <w:lang w:eastAsia="zh-CN"/>
              </w:rPr>
              <w:t>明确配送时间、</w:t>
            </w:r>
            <w:r>
              <w:rPr>
                <w:rFonts w:hint="eastAsia" w:ascii="宋体" w:hAnsi="宋体" w:eastAsia="宋体" w:cs="宋体"/>
                <w:b w:val="0"/>
                <w:bCs/>
                <w:color w:val="auto"/>
                <w:sz w:val="21"/>
                <w:szCs w:val="21"/>
                <w:highlight w:val="none"/>
              </w:rPr>
              <w:t>进度</w:t>
            </w:r>
            <w:r>
              <w:rPr>
                <w:rFonts w:hint="eastAsia" w:ascii="宋体" w:hAnsi="宋体" w:eastAsia="宋体" w:cs="宋体"/>
                <w:b w:val="0"/>
                <w:bCs/>
                <w:color w:val="auto"/>
                <w:sz w:val="21"/>
                <w:szCs w:val="21"/>
                <w:highlight w:val="none"/>
                <w:lang w:eastAsia="zh-CN"/>
              </w:rPr>
              <w:t>、车辆选择、</w:t>
            </w:r>
            <w:r>
              <w:rPr>
                <w:rFonts w:hint="eastAsia" w:ascii="宋体" w:hAnsi="宋体" w:eastAsia="宋体" w:cs="宋体"/>
                <w:b w:val="0"/>
                <w:bCs/>
                <w:color w:val="auto"/>
                <w:sz w:val="21"/>
                <w:szCs w:val="21"/>
                <w:highlight w:val="none"/>
                <w:lang w:val="en-US" w:eastAsia="zh-CN"/>
              </w:rPr>
              <w:t>食材</w:t>
            </w:r>
            <w:r>
              <w:rPr>
                <w:rFonts w:hint="eastAsia" w:ascii="宋体" w:hAnsi="宋体" w:eastAsia="宋体" w:cs="宋体"/>
                <w:b w:val="0"/>
                <w:bCs/>
                <w:color w:val="auto"/>
                <w:sz w:val="21"/>
                <w:szCs w:val="21"/>
                <w:highlight w:val="none"/>
                <w:lang w:eastAsia="zh-CN"/>
              </w:rPr>
              <w:t>装载、</w:t>
            </w:r>
            <w:r>
              <w:rPr>
                <w:rFonts w:hint="eastAsia" w:ascii="宋体" w:hAnsi="宋体" w:eastAsia="宋体" w:cs="宋体"/>
                <w:b w:val="0"/>
                <w:bCs/>
                <w:color w:val="auto"/>
                <w:sz w:val="21"/>
                <w:szCs w:val="21"/>
                <w:highlight w:val="none"/>
                <w:lang w:val="en-US" w:eastAsia="zh-CN"/>
              </w:rPr>
              <w:t>路线选择等规划安排</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提供公司卫生管理办法，针对配送场地卫生消杀、车辆清洁及用具清洁及消毒有规范的计划及安排。</w:t>
            </w:r>
          </w:p>
        </w:tc>
        <w:tc>
          <w:tcPr>
            <w:tcW w:w="899" w:type="dxa"/>
            <w:noWrap w:val="0"/>
            <w:vAlign w:val="center"/>
          </w:tcPr>
          <w:p w14:paraId="031E70CD">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4</w:t>
            </w:r>
          </w:p>
        </w:tc>
        <w:tc>
          <w:tcPr>
            <w:tcW w:w="1214" w:type="dxa"/>
            <w:noWrap w:val="0"/>
            <w:vAlign w:val="center"/>
          </w:tcPr>
          <w:p w14:paraId="6590CCCC">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主观分</w:t>
            </w:r>
          </w:p>
        </w:tc>
      </w:tr>
      <w:tr w14:paraId="1E49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center"/>
          </w:tcPr>
          <w:p w14:paraId="0E0A74D9">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5838" w:type="dxa"/>
            <w:noWrap w:val="0"/>
            <w:vAlign w:val="center"/>
          </w:tcPr>
          <w:p w14:paraId="417E2D2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食材安全措施方案（16分）</w:t>
            </w:r>
          </w:p>
          <w:p w14:paraId="4D65402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一档（0分）：</w:t>
            </w:r>
            <w:r>
              <w:rPr>
                <w:rFonts w:hint="eastAsia" w:ascii="宋体" w:hAnsi="宋体" w:eastAsia="宋体" w:cs="宋体"/>
                <w:b w:val="0"/>
                <w:bCs/>
                <w:color w:val="auto"/>
                <w:sz w:val="21"/>
                <w:szCs w:val="21"/>
                <w:highlight w:val="none"/>
                <w:lang w:val="en-US" w:eastAsia="zh-CN"/>
              </w:rPr>
              <w:t>磋商响应文件中未提供食材安全措施方案不得分。</w:t>
            </w:r>
          </w:p>
          <w:p w14:paraId="1F90AAB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r>
              <w:rPr>
                <w:rFonts w:hint="eastAsia" w:ascii="宋体" w:hAnsi="宋体" w:eastAsia="宋体" w:cs="宋体"/>
                <w:b w:val="0"/>
                <w:bCs/>
                <w:color w:val="auto"/>
                <w:sz w:val="21"/>
                <w:szCs w:val="21"/>
                <w:highlight w:val="none"/>
                <w:lang w:val="en-US" w:eastAsia="zh-CN"/>
              </w:rPr>
              <w:t>提供食材安全措施方案，</w:t>
            </w:r>
            <w:r>
              <w:rPr>
                <w:rFonts w:hint="eastAsia" w:ascii="宋体" w:hAnsi="宋体" w:eastAsia="宋体" w:cs="宋体"/>
                <w:b w:val="0"/>
                <w:bCs w:val="0"/>
                <w:color w:val="auto"/>
                <w:sz w:val="21"/>
                <w:szCs w:val="21"/>
                <w:highlight w:val="none"/>
                <w:lang w:eastAsia="zh-CN"/>
              </w:rPr>
              <w:t>对</w:t>
            </w:r>
            <w:r>
              <w:rPr>
                <w:rFonts w:hint="eastAsia" w:ascii="宋体" w:hAnsi="宋体" w:eastAsia="宋体" w:cs="宋体"/>
                <w:color w:val="auto"/>
                <w:sz w:val="21"/>
                <w:szCs w:val="21"/>
                <w:highlight w:val="none"/>
                <w:lang w:val="zh-CN" w:eastAsia="zh-CN" w:bidi="zh-CN"/>
              </w:rPr>
              <w:t>进货采购渠道、食材安全</w:t>
            </w:r>
            <w:r>
              <w:rPr>
                <w:rFonts w:hint="eastAsia" w:ascii="宋体" w:hAnsi="宋体" w:cs="宋体"/>
                <w:color w:val="auto"/>
                <w:sz w:val="21"/>
                <w:szCs w:val="21"/>
                <w:highlight w:val="none"/>
                <w:lang w:val="en-US" w:eastAsia="zh-CN" w:bidi="zh-CN"/>
              </w:rPr>
              <w:t>有简单的</w:t>
            </w:r>
            <w:r>
              <w:rPr>
                <w:rFonts w:hint="eastAsia" w:ascii="宋体" w:hAnsi="宋体" w:eastAsia="宋体" w:cs="宋体"/>
                <w:color w:val="auto"/>
                <w:sz w:val="21"/>
                <w:szCs w:val="21"/>
                <w:highlight w:val="none"/>
                <w:lang w:val="zh-CN" w:eastAsia="zh-CN" w:bidi="zh-CN"/>
              </w:rPr>
              <w:t>控制管理措施、检验检疫措施、食材质量标准等方面有描述，承诺有固定且稳定的进货渠道。</w:t>
            </w:r>
          </w:p>
          <w:p w14:paraId="5A12C7E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分）：</w:t>
            </w:r>
            <w:r>
              <w:rPr>
                <w:rFonts w:hint="eastAsia" w:ascii="宋体" w:hAnsi="宋体" w:eastAsia="宋体" w:cs="宋体"/>
                <w:b w:val="0"/>
                <w:bCs/>
                <w:color w:val="auto"/>
                <w:sz w:val="21"/>
                <w:szCs w:val="21"/>
                <w:highlight w:val="none"/>
                <w:lang w:val="en-US" w:eastAsia="zh-CN"/>
              </w:rPr>
              <w:t>提供食材安全措施方案，</w:t>
            </w:r>
            <w:r>
              <w:rPr>
                <w:rFonts w:hint="eastAsia" w:ascii="宋体" w:hAnsi="宋体" w:eastAsia="宋体" w:cs="宋体"/>
                <w:b w:val="0"/>
                <w:bCs w:val="0"/>
                <w:color w:val="auto"/>
                <w:sz w:val="21"/>
                <w:szCs w:val="21"/>
                <w:highlight w:val="none"/>
                <w:lang w:eastAsia="zh-CN"/>
              </w:rPr>
              <w:t>对</w:t>
            </w:r>
            <w:r>
              <w:rPr>
                <w:rFonts w:hint="eastAsia" w:ascii="宋体" w:hAnsi="宋体" w:eastAsia="宋体" w:cs="宋体"/>
                <w:color w:val="auto"/>
                <w:sz w:val="21"/>
                <w:szCs w:val="21"/>
                <w:highlight w:val="none"/>
                <w:lang w:val="zh-CN" w:eastAsia="zh-CN" w:bidi="zh-CN"/>
              </w:rPr>
              <w:t>进货采购渠道、食材安全</w:t>
            </w:r>
            <w:r>
              <w:rPr>
                <w:rFonts w:hint="eastAsia" w:ascii="宋体" w:hAnsi="宋体" w:cs="宋体"/>
                <w:color w:val="auto"/>
                <w:sz w:val="21"/>
                <w:szCs w:val="21"/>
                <w:highlight w:val="none"/>
                <w:lang w:val="en-US" w:eastAsia="zh-CN" w:bidi="zh-CN"/>
              </w:rPr>
              <w:t>有简单的</w:t>
            </w:r>
            <w:r>
              <w:rPr>
                <w:rFonts w:hint="eastAsia" w:ascii="宋体" w:hAnsi="宋体" w:eastAsia="宋体" w:cs="宋体"/>
                <w:color w:val="auto"/>
                <w:sz w:val="21"/>
                <w:szCs w:val="21"/>
                <w:highlight w:val="none"/>
                <w:lang w:val="zh-CN" w:eastAsia="zh-CN" w:bidi="zh-CN"/>
              </w:rPr>
              <w:t>控制管理措施、检验检疫措施、食材质量标准等方面有描述，承诺有固定且稳定的进货渠道；建立相应的追溯体系，</w:t>
            </w:r>
            <w:r>
              <w:rPr>
                <w:rFonts w:hint="eastAsia" w:ascii="宋体" w:hAnsi="宋体" w:eastAsia="宋体" w:cs="宋体"/>
                <w:color w:val="auto"/>
                <w:sz w:val="21"/>
                <w:szCs w:val="21"/>
                <w:highlight w:val="none"/>
                <w:lang w:val="en-US" w:eastAsia="zh-CN" w:bidi="zh-CN"/>
              </w:rPr>
              <w:t>具有</w:t>
            </w:r>
            <w:r>
              <w:rPr>
                <w:rFonts w:hint="eastAsia" w:ascii="宋体" w:hAnsi="宋体" w:eastAsia="宋体" w:cs="宋体"/>
                <w:color w:val="auto"/>
                <w:sz w:val="21"/>
                <w:szCs w:val="21"/>
                <w:highlight w:val="none"/>
                <w:lang w:val="zh-CN" w:eastAsia="zh-CN" w:bidi="zh-CN"/>
              </w:rPr>
              <w:t>食材安全控制管理措施及检验检疫措施，有定期保质期检查流程等内容，保证食材的卫生安全和质量稳定性。</w:t>
            </w:r>
          </w:p>
          <w:p w14:paraId="58E7C7B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分）：</w:t>
            </w:r>
            <w:r>
              <w:rPr>
                <w:rFonts w:hint="eastAsia" w:ascii="宋体" w:hAnsi="宋体" w:eastAsia="宋体" w:cs="宋体"/>
                <w:b w:val="0"/>
                <w:bCs/>
                <w:color w:val="auto"/>
                <w:sz w:val="21"/>
                <w:szCs w:val="21"/>
                <w:highlight w:val="none"/>
                <w:lang w:val="en-US" w:eastAsia="zh-CN"/>
              </w:rPr>
              <w:t>提供食材安全措施方案，</w:t>
            </w:r>
            <w:r>
              <w:rPr>
                <w:rFonts w:hint="eastAsia" w:ascii="宋体" w:hAnsi="宋体" w:eastAsia="宋体" w:cs="宋体"/>
                <w:b w:val="0"/>
                <w:bCs w:val="0"/>
                <w:color w:val="auto"/>
                <w:sz w:val="21"/>
                <w:szCs w:val="21"/>
                <w:highlight w:val="none"/>
                <w:lang w:eastAsia="zh-CN"/>
              </w:rPr>
              <w:t>对</w:t>
            </w:r>
            <w:r>
              <w:rPr>
                <w:rFonts w:hint="eastAsia" w:ascii="宋体" w:hAnsi="宋体" w:eastAsia="宋体" w:cs="宋体"/>
                <w:color w:val="auto"/>
                <w:sz w:val="21"/>
                <w:szCs w:val="21"/>
                <w:highlight w:val="none"/>
                <w:lang w:val="zh-CN" w:eastAsia="zh-CN" w:bidi="zh-CN"/>
              </w:rPr>
              <w:t>进货采购渠道、食材安全</w:t>
            </w:r>
            <w:r>
              <w:rPr>
                <w:rFonts w:hint="eastAsia" w:ascii="宋体" w:hAnsi="宋体" w:cs="宋体"/>
                <w:color w:val="auto"/>
                <w:sz w:val="21"/>
                <w:szCs w:val="21"/>
                <w:highlight w:val="none"/>
                <w:lang w:val="en-US" w:eastAsia="zh-CN" w:bidi="zh-CN"/>
              </w:rPr>
              <w:t>有详细的</w:t>
            </w:r>
            <w:r>
              <w:rPr>
                <w:rFonts w:hint="eastAsia" w:ascii="宋体" w:hAnsi="宋体" w:eastAsia="宋体" w:cs="宋体"/>
                <w:color w:val="auto"/>
                <w:sz w:val="21"/>
                <w:szCs w:val="21"/>
                <w:highlight w:val="none"/>
                <w:lang w:val="zh-CN" w:eastAsia="zh-CN" w:bidi="zh-CN"/>
              </w:rPr>
              <w:t>控制管理措施、检验检疫措施、食材质量标准等方面有描述，承诺有固定且稳定的进货渠道；建立相应的追溯体系，</w:t>
            </w:r>
            <w:r>
              <w:rPr>
                <w:rFonts w:hint="eastAsia" w:ascii="宋体" w:hAnsi="宋体" w:eastAsia="宋体" w:cs="宋体"/>
                <w:color w:val="auto"/>
                <w:sz w:val="21"/>
                <w:szCs w:val="21"/>
                <w:highlight w:val="none"/>
                <w:lang w:val="en-US" w:eastAsia="zh-CN" w:bidi="zh-CN"/>
              </w:rPr>
              <w:t>具有</w:t>
            </w:r>
            <w:r>
              <w:rPr>
                <w:rFonts w:hint="eastAsia" w:ascii="宋体" w:hAnsi="宋体" w:eastAsia="宋体" w:cs="宋体"/>
                <w:color w:val="auto"/>
                <w:sz w:val="21"/>
                <w:szCs w:val="21"/>
                <w:highlight w:val="none"/>
                <w:lang w:val="zh-CN" w:eastAsia="zh-CN" w:bidi="zh-CN"/>
              </w:rPr>
              <w:t>食材安全控制管理措施及检验检疫措施，有定期保质期检查流程等内容，保证食材的卫生安全和质量稳定性，</w:t>
            </w:r>
            <w:r>
              <w:rPr>
                <w:rFonts w:hint="eastAsia" w:ascii="宋体" w:hAnsi="宋体" w:eastAsia="宋体" w:cs="宋体"/>
                <w:b w:val="0"/>
                <w:bCs w:val="0"/>
                <w:color w:val="auto"/>
                <w:sz w:val="21"/>
                <w:szCs w:val="21"/>
                <w:highlight w:val="none"/>
                <w:lang w:val="en-US" w:eastAsia="zh-CN"/>
              </w:rPr>
              <w:t>具有</w:t>
            </w:r>
            <w:r>
              <w:rPr>
                <w:rFonts w:hint="eastAsia" w:ascii="宋体" w:hAnsi="宋体" w:eastAsia="宋体" w:cs="宋体"/>
                <w:color w:val="auto"/>
                <w:sz w:val="21"/>
                <w:szCs w:val="21"/>
                <w:highlight w:val="none"/>
                <w:lang w:val="zh-CN" w:eastAsia="zh-CN" w:bidi="zh-CN"/>
              </w:rPr>
              <w:t>进货采购渠道、食材安全控制管理措施、检验检疫措施、食材质量标准、贮存管理、运输管理等方面内容</w:t>
            </w:r>
            <w:r>
              <w:rPr>
                <w:rFonts w:hint="eastAsia" w:ascii="宋体" w:hAnsi="宋体" w:eastAsia="宋体" w:cs="宋体"/>
                <w:bCs/>
                <w:color w:val="auto"/>
                <w:sz w:val="21"/>
                <w:szCs w:val="21"/>
                <w:highlight w:val="none"/>
              </w:rPr>
              <w:t>，各项措施</w:t>
            </w:r>
            <w:r>
              <w:rPr>
                <w:rFonts w:hint="eastAsia" w:ascii="宋体" w:hAnsi="宋体" w:eastAsia="宋体" w:cs="宋体"/>
                <w:bCs/>
                <w:color w:val="auto"/>
                <w:sz w:val="21"/>
                <w:szCs w:val="21"/>
                <w:highlight w:val="none"/>
                <w:lang w:val="en-US" w:eastAsia="zh-CN"/>
              </w:rPr>
              <w:t>均具有</w:t>
            </w:r>
            <w:r>
              <w:rPr>
                <w:rFonts w:hint="eastAsia" w:ascii="宋体" w:hAnsi="宋体" w:eastAsia="宋体" w:cs="宋体"/>
                <w:bCs/>
                <w:color w:val="auto"/>
                <w:sz w:val="21"/>
                <w:szCs w:val="21"/>
                <w:highlight w:val="none"/>
              </w:rPr>
              <w:t>安排</w:t>
            </w:r>
            <w:r>
              <w:rPr>
                <w:rFonts w:hint="eastAsia" w:ascii="宋体" w:hAnsi="宋体" w:eastAsia="宋体" w:cs="宋体"/>
                <w:color w:val="auto"/>
                <w:sz w:val="21"/>
                <w:szCs w:val="21"/>
                <w:highlight w:val="none"/>
                <w:lang w:val="zh-CN" w:eastAsia="zh-CN" w:bidi="zh-CN"/>
              </w:rPr>
              <w:t>。</w:t>
            </w:r>
          </w:p>
          <w:p w14:paraId="58829ED9">
            <w:pPr>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16</w:t>
            </w:r>
            <w:r>
              <w:rPr>
                <w:rFonts w:hint="eastAsia" w:ascii="宋体" w:hAnsi="宋体" w:eastAsia="宋体" w:cs="宋体"/>
                <w:b/>
                <w:bCs/>
                <w:color w:val="auto"/>
                <w:sz w:val="21"/>
                <w:szCs w:val="21"/>
                <w:highlight w:val="none"/>
              </w:rPr>
              <w:t>分）：</w:t>
            </w:r>
            <w:r>
              <w:rPr>
                <w:rFonts w:hint="eastAsia" w:ascii="宋体" w:hAnsi="宋体" w:eastAsia="宋体" w:cs="宋体"/>
                <w:b w:val="0"/>
                <w:bCs/>
                <w:color w:val="auto"/>
                <w:sz w:val="21"/>
                <w:szCs w:val="21"/>
                <w:highlight w:val="none"/>
                <w:lang w:val="en-US" w:eastAsia="zh-CN"/>
              </w:rPr>
              <w:t>提供食材安全措施方案，</w:t>
            </w:r>
            <w:r>
              <w:rPr>
                <w:rFonts w:hint="eastAsia" w:ascii="宋体" w:hAnsi="宋体" w:eastAsia="宋体" w:cs="宋体"/>
                <w:b w:val="0"/>
                <w:bCs w:val="0"/>
                <w:color w:val="auto"/>
                <w:sz w:val="21"/>
                <w:szCs w:val="21"/>
                <w:highlight w:val="none"/>
                <w:lang w:eastAsia="zh-CN"/>
              </w:rPr>
              <w:t>对</w:t>
            </w:r>
            <w:r>
              <w:rPr>
                <w:rFonts w:hint="eastAsia" w:ascii="宋体" w:hAnsi="宋体" w:eastAsia="宋体" w:cs="宋体"/>
                <w:color w:val="auto"/>
                <w:sz w:val="21"/>
                <w:szCs w:val="21"/>
                <w:highlight w:val="none"/>
                <w:lang w:val="zh-CN" w:eastAsia="zh-CN" w:bidi="zh-CN"/>
              </w:rPr>
              <w:t>进货采购渠道、食材安全</w:t>
            </w:r>
            <w:r>
              <w:rPr>
                <w:rFonts w:hint="eastAsia" w:ascii="宋体" w:hAnsi="宋体" w:cs="宋体"/>
                <w:color w:val="auto"/>
                <w:sz w:val="21"/>
                <w:szCs w:val="21"/>
                <w:highlight w:val="none"/>
                <w:lang w:val="en-US" w:eastAsia="zh-CN" w:bidi="zh-CN"/>
              </w:rPr>
              <w:t>有详细的</w:t>
            </w:r>
            <w:r>
              <w:rPr>
                <w:rFonts w:hint="eastAsia" w:ascii="宋体" w:hAnsi="宋体" w:eastAsia="宋体" w:cs="宋体"/>
                <w:color w:val="auto"/>
                <w:sz w:val="21"/>
                <w:szCs w:val="21"/>
                <w:highlight w:val="none"/>
                <w:lang w:val="zh-CN" w:eastAsia="zh-CN" w:bidi="zh-CN"/>
              </w:rPr>
              <w:t>控制管理措施、检验检疫措施、食材质量标准等方面有描述，承诺有固定且稳定的进货渠道；建立相应的追溯体系，</w:t>
            </w:r>
            <w:r>
              <w:rPr>
                <w:rFonts w:hint="eastAsia" w:ascii="宋体" w:hAnsi="宋体" w:eastAsia="宋体" w:cs="宋体"/>
                <w:color w:val="auto"/>
                <w:sz w:val="21"/>
                <w:szCs w:val="21"/>
                <w:highlight w:val="none"/>
                <w:lang w:val="en-US" w:eastAsia="zh-CN" w:bidi="zh-CN"/>
              </w:rPr>
              <w:t>具有</w:t>
            </w:r>
            <w:r>
              <w:rPr>
                <w:rFonts w:hint="eastAsia" w:ascii="宋体" w:hAnsi="宋体" w:eastAsia="宋体" w:cs="宋体"/>
                <w:color w:val="auto"/>
                <w:sz w:val="21"/>
                <w:szCs w:val="21"/>
                <w:highlight w:val="none"/>
                <w:lang w:val="zh-CN" w:eastAsia="zh-CN" w:bidi="zh-CN"/>
              </w:rPr>
              <w:t>食材安全控制管理措施及检验检疫措施，有定期保质期检查流程等内容，保证食材的卫生安全和质量稳定性，</w:t>
            </w:r>
            <w:r>
              <w:rPr>
                <w:rFonts w:hint="eastAsia" w:ascii="宋体" w:hAnsi="宋体" w:eastAsia="宋体" w:cs="宋体"/>
                <w:b w:val="0"/>
                <w:bCs w:val="0"/>
                <w:color w:val="auto"/>
                <w:sz w:val="21"/>
                <w:szCs w:val="21"/>
                <w:highlight w:val="none"/>
                <w:lang w:val="en-US" w:eastAsia="zh-CN"/>
              </w:rPr>
              <w:t>具有</w:t>
            </w:r>
            <w:r>
              <w:rPr>
                <w:rFonts w:hint="eastAsia" w:ascii="宋体" w:hAnsi="宋体" w:eastAsia="宋体" w:cs="宋体"/>
                <w:color w:val="auto"/>
                <w:sz w:val="21"/>
                <w:szCs w:val="21"/>
                <w:highlight w:val="none"/>
                <w:lang w:val="zh-CN" w:eastAsia="zh-CN" w:bidi="zh-CN"/>
              </w:rPr>
              <w:t>进货采购渠道、食材安全控制管理措施、检验检疫措施、食材质量标准、贮存管理、运输管理等方面内容</w:t>
            </w:r>
            <w:r>
              <w:rPr>
                <w:rFonts w:hint="eastAsia" w:ascii="宋体" w:hAnsi="宋体" w:eastAsia="宋体" w:cs="宋体"/>
                <w:bCs/>
                <w:color w:val="auto"/>
                <w:sz w:val="21"/>
                <w:szCs w:val="21"/>
                <w:highlight w:val="none"/>
              </w:rPr>
              <w:t>，各项措施</w:t>
            </w:r>
            <w:r>
              <w:rPr>
                <w:rFonts w:hint="eastAsia" w:ascii="宋体" w:hAnsi="宋体" w:eastAsia="宋体" w:cs="宋体"/>
                <w:bCs/>
                <w:color w:val="auto"/>
                <w:sz w:val="21"/>
                <w:szCs w:val="21"/>
                <w:highlight w:val="none"/>
                <w:lang w:val="en-US" w:eastAsia="zh-CN"/>
              </w:rPr>
              <w:t>均具有</w:t>
            </w:r>
            <w:r>
              <w:rPr>
                <w:rFonts w:hint="eastAsia" w:ascii="宋体" w:hAnsi="宋体" w:eastAsia="宋体" w:cs="宋体"/>
                <w:bCs/>
                <w:color w:val="auto"/>
                <w:sz w:val="21"/>
                <w:szCs w:val="21"/>
                <w:highlight w:val="none"/>
              </w:rPr>
              <w:t>安排</w:t>
            </w:r>
            <w:r>
              <w:rPr>
                <w:rFonts w:hint="eastAsia" w:ascii="宋体" w:hAnsi="宋体" w:eastAsia="宋体" w:cs="宋体"/>
                <w:color w:val="auto"/>
                <w:sz w:val="21"/>
                <w:szCs w:val="21"/>
                <w:highlight w:val="none"/>
                <w:lang w:val="zh-CN" w:eastAsia="zh-CN" w:bidi="zh-CN"/>
              </w:rPr>
              <w:t>；从采购进货检查，建立追溯体系、食品质量卫生的控制与自检到食材的贮存、加工、配送，能</w:t>
            </w:r>
            <w:r>
              <w:rPr>
                <w:rFonts w:hint="eastAsia" w:ascii="宋体" w:hAnsi="宋体" w:eastAsia="宋体" w:cs="宋体"/>
                <w:color w:val="auto"/>
                <w:sz w:val="21"/>
                <w:szCs w:val="21"/>
                <w:highlight w:val="none"/>
                <w:lang w:val="en-US" w:eastAsia="zh-CN" w:bidi="zh-CN"/>
              </w:rPr>
              <w:t>形成</w:t>
            </w:r>
            <w:r>
              <w:rPr>
                <w:rFonts w:hint="eastAsia" w:ascii="宋体" w:hAnsi="宋体" w:eastAsia="宋体" w:cs="宋体"/>
                <w:color w:val="auto"/>
                <w:sz w:val="21"/>
                <w:szCs w:val="21"/>
                <w:highlight w:val="none"/>
                <w:lang w:val="zh-CN" w:eastAsia="zh-CN" w:bidi="zh-CN"/>
              </w:rPr>
              <w:t>安全措施体系。</w:t>
            </w:r>
          </w:p>
        </w:tc>
        <w:tc>
          <w:tcPr>
            <w:tcW w:w="899" w:type="dxa"/>
            <w:noWrap w:val="0"/>
            <w:vAlign w:val="center"/>
          </w:tcPr>
          <w:p w14:paraId="0AD233EC">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1214" w:type="dxa"/>
            <w:noWrap w:val="0"/>
            <w:vAlign w:val="center"/>
          </w:tcPr>
          <w:p w14:paraId="73D885A3">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主观分</w:t>
            </w:r>
          </w:p>
        </w:tc>
      </w:tr>
      <w:tr w14:paraId="0EF8E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center"/>
          </w:tcPr>
          <w:p w14:paraId="7CA4D8E5">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5838" w:type="dxa"/>
            <w:noWrap w:val="0"/>
            <w:vAlign w:val="center"/>
          </w:tcPr>
          <w:p w14:paraId="7D31E39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应急方案（12分）</w:t>
            </w:r>
          </w:p>
          <w:p w14:paraId="51CEC9DD">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val="en-US" w:eastAsia="zh-CN"/>
              </w:rPr>
              <w:t>一档（0分）：</w:t>
            </w:r>
            <w:r>
              <w:rPr>
                <w:rFonts w:hint="eastAsia" w:ascii="宋体" w:hAnsi="宋体" w:eastAsia="宋体" w:cs="宋体"/>
                <w:b w:val="0"/>
                <w:bCs/>
                <w:color w:val="auto"/>
                <w:sz w:val="21"/>
                <w:szCs w:val="21"/>
                <w:highlight w:val="none"/>
                <w:lang w:val="en-US" w:eastAsia="zh-CN"/>
              </w:rPr>
              <w:t>磋商响应文件中</w:t>
            </w:r>
            <w:r>
              <w:rPr>
                <w:rFonts w:hint="eastAsia" w:ascii="宋体" w:hAnsi="宋体" w:eastAsia="宋体" w:cs="宋体"/>
                <w:b w:val="0"/>
                <w:bCs/>
                <w:color w:val="auto"/>
                <w:sz w:val="21"/>
                <w:szCs w:val="21"/>
                <w:highlight w:val="none"/>
                <w:lang w:eastAsia="zh-CN"/>
              </w:rPr>
              <w:t>未提供应急</w:t>
            </w:r>
            <w:r>
              <w:rPr>
                <w:rFonts w:hint="eastAsia" w:ascii="宋体" w:hAnsi="宋体" w:eastAsia="宋体" w:cs="宋体"/>
                <w:b w:val="0"/>
                <w:bCs/>
                <w:color w:val="auto"/>
                <w:sz w:val="21"/>
                <w:szCs w:val="21"/>
                <w:highlight w:val="none"/>
                <w:lang w:val="en-US" w:eastAsia="zh-CN"/>
              </w:rPr>
              <w:t>方案</w:t>
            </w:r>
            <w:r>
              <w:rPr>
                <w:rFonts w:hint="eastAsia" w:ascii="宋体" w:hAnsi="宋体" w:eastAsia="宋体" w:cs="宋体"/>
                <w:b w:val="0"/>
                <w:bCs/>
                <w:color w:val="auto"/>
                <w:sz w:val="21"/>
                <w:szCs w:val="21"/>
                <w:highlight w:val="none"/>
                <w:lang w:eastAsia="zh-CN"/>
              </w:rPr>
              <w:t>不得分。</w:t>
            </w:r>
          </w:p>
          <w:p w14:paraId="1554DD1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bidi="zh-CN"/>
              </w:rPr>
            </w:pPr>
            <w:r>
              <w:rPr>
                <w:rFonts w:hint="eastAsia" w:ascii="宋体" w:hAnsi="宋体" w:eastAsia="宋体" w:cs="宋体"/>
                <w:b/>
                <w:bCs/>
                <w:color w:val="auto"/>
                <w:sz w:val="21"/>
                <w:szCs w:val="21"/>
                <w:highlight w:val="none"/>
                <w:lang w:val="en-US" w:eastAsia="zh-CN" w:bidi="zh-CN"/>
              </w:rPr>
              <w:t>二档（3分）：</w:t>
            </w:r>
            <w:r>
              <w:rPr>
                <w:rFonts w:hint="eastAsia" w:ascii="宋体" w:hAnsi="宋体" w:eastAsia="宋体" w:cs="宋体"/>
                <w:b w:val="0"/>
                <w:bCs/>
                <w:color w:val="auto"/>
                <w:sz w:val="21"/>
                <w:szCs w:val="21"/>
                <w:highlight w:val="none"/>
                <w:lang w:val="en-US" w:eastAsia="zh-CN"/>
              </w:rPr>
              <w:t>提供应急方案，</w:t>
            </w:r>
            <w:r>
              <w:rPr>
                <w:rFonts w:hint="eastAsia" w:ascii="宋体" w:hAnsi="宋体" w:eastAsia="宋体" w:cs="宋体"/>
                <w:color w:val="auto"/>
                <w:sz w:val="21"/>
                <w:szCs w:val="21"/>
                <w:highlight w:val="none"/>
                <w:lang w:val="en-US" w:eastAsia="zh-CN" w:bidi="zh-CN"/>
              </w:rPr>
              <w:t>对</w:t>
            </w:r>
            <w:r>
              <w:rPr>
                <w:rFonts w:hint="eastAsia" w:ascii="宋体" w:hAnsi="宋体" w:eastAsia="宋体" w:cs="宋体"/>
                <w:color w:val="auto"/>
                <w:sz w:val="21"/>
                <w:szCs w:val="21"/>
                <w:highlight w:val="none"/>
                <w:lang w:val="zh-CN" w:eastAsia="zh-CN" w:bidi="zh-CN"/>
              </w:rPr>
              <w:t>食材短缺、紧急食材配送</w:t>
            </w:r>
            <w:r>
              <w:rPr>
                <w:rFonts w:hint="eastAsia" w:ascii="宋体" w:hAnsi="宋体" w:eastAsia="宋体" w:cs="宋体"/>
                <w:color w:val="auto"/>
                <w:sz w:val="21"/>
                <w:szCs w:val="21"/>
                <w:highlight w:val="none"/>
                <w:lang w:val="en-US" w:eastAsia="zh-CN" w:bidi="zh-CN"/>
              </w:rPr>
              <w:t>、天气问题、问题食材等特殊情况制定</w:t>
            </w:r>
            <w:r>
              <w:rPr>
                <w:rFonts w:hint="eastAsia" w:ascii="宋体" w:hAnsi="宋体" w:cs="宋体"/>
                <w:color w:val="auto"/>
                <w:sz w:val="21"/>
                <w:szCs w:val="21"/>
                <w:highlight w:val="none"/>
                <w:lang w:val="en-US" w:eastAsia="zh-CN" w:bidi="zh-CN"/>
              </w:rPr>
              <w:t>简单的</w:t>
            </w:r>
            <w:r>
              <w:rPr>
                <w:rFonts w:hint="eastAsia" w:ascii="宋体" w:hAnsi="宋体" w:eastAsia="宋体" w:cs="宋体"/>
                <w:color w:val="auto"/>
                <w:sz w:val="21"/>
                <w:szCs w:val="21"/>
                <w:highlight w:val="none"/>
                <w:lang w:val="en-US" w:eastAsia="zh-CN" w:bidi="zh-CN"/>
              </w:rPr>
              <w:t>应急预案。</w:t>
            </w:r>
          </w:p>
          <w:p w14:paraId="4E5CC03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bidi="zh-CN"/>
              </w:rPr>
            </w:pPr>
            <w:r>
              <w:rPr>
                <w:rFonts w:hint="eastAsia" w:ascii="宋体" w:hAnsi="宋体" w:eastAsia="宋体" w:cs="宋体"/>
                <w:b/>
                <w:bCs/>
                <w:color w:val="auto"/>
                <w:sz w:val="21"/>
                <w:szCs w:val="21"/>
                <w:highlight w:val="none"/>
                <w:lang w:val="en-US" w:eastAsia="zh-CN" w:bidi="zh-CN"/>
              </w:rPr>
              <w:t>三档（6分）：</w:t>
            </w:r>
            <w:r>
              <w:rPr>
                <w:rFonts w:hint="eastAsia" w:ascii="宋体" w:hAnsi="宋体" w:eastAsia="宋体" w:cs="宋体"/>
                <w:b w:val="0"/>
                <w:bCs/>
                <w:color w:val="auto"/>
                <w:sz w:val="21"/>
                <w:szCs w:val="21"/>
                <w:highlight w:val="none"/>
                <w:lang w:val="en-US" w:eastAsia="zh-CN"/>
              </w:rPr>
              <w:t>提供应急方案，</w:t>
            </w:r>
            <w:r>
              <w:rPr>
                <w:rFonts w:hint="eastAsia" w:ascii="宋体" w:hAnsi="宋体" w:eastAsia="宋体" w:cs="宋体"/>
                <w:color w:val="auto"/>
                <w:sz w:val="21"/>
                <w:szCs w:val="21"/>
                <w:highlight w:val="none"/>
                <w:lang w:val="en-US" w:eastAsia="zh-CN" w:bidi="zh-CN"/>
              </w:rPr>
              <w:t>对</w:t>
            </w:r>
            <w:r>
              <w:rPr>
                <w:rFonts w:hint="eastAsia" w:ascii="宋体" w:hAnsi="宋体" w:eastAsia="宋体" w:cs="宋体"/>
                <w:color w:val="auto"/>
                <w:sz w:val="21"/>
                <w:szCs w:val="21"/>
                <w:highlight w:val="none"/>
                <w:lang w:val="zh-CN" w:eastAsia="zh-CN" w:bidi="zh-CN"/>
              </w:rPr>
              <w:t>食材短缺情况、紧急食材配送</w:t>
            </w:r>
            <w:r>
              <w:rPr>
                <w:rFonts w:hint="eastAsia" w:ascii="宋体" w:hAnsi="宋体" w:eastAsia="宋体" w:cs="宋体"/>
                <w:color w:val="auto"/>
                <w:sz w:val="21"/>
                <w:szCs w:val="21"/>
                <w:highlight w:val="none"/>
                <w:lang w:val="en-US" w:eastAsia="zh-CN" w:bidi="zh-CN"/>
              </w:rPr>
              <w:t>、天气问题、问题食材等特殊情况制定</w:t>
            </w:r>
            <w:r>
              <w:rPr>
                <w:rFonts w:hint="eastAsia" w:ascii="宋体" w:hAnsi="宋体" w:cs="宋体"/>
                <w:color w:val="auto"/>
                <w:sz w:val="21"/>
                <w:szCs w:val="21"/>
                <w:highlight w:val="none"/>
                <w:lang w:val="en-US" w:eastAsia="zh-CN" w:bidi="zh-CN"/>
              </w:rPr>
              <w:t>简单的</w:t>
            </w:r>
            <w:r>
              <w:rPr>
                <w:rFonts w:hint="eastAsia" w:ascii="宋体" w:hAnsi="宋体" w:eastAsia="宋体" w:cs="宋体"/>
                <w:color w:val="auto"/>
                <w:sz w:val="21"/>
                <w:szCs w:val="21"/>
                <w:highlight w:val="none"/>
                <w:lang w:val="en-US" w:eastAsia="zh-CN" w:bidi="zh-CN"/>
              </w:rPr>
              <w:t>应急预案，且配置有机动人员用于对紧急事件处理。</w:t>
            </w:r>
          </w:p>
          <w:p w14:paraId="5595190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bidi="zh-CN"/>
              </w:rPr>
            </w:pPr>
            <w:r>
              <w:rPr>
                <w:rFonts w:hint="eastAsia" w:ascii="宋体" w:hAnsi="宋体" w:eastAsia="宋体" w:cs="宋体"/>
                <w:b/>
                <w:bCs/>
                <w:color w:val="auto"/>
                <w:sz w:val="21"/>
                <w:szCs w:val="21"/>
                <w:highlight w:val="none"/>
                <w:lang w:val="en-US" w:eastAsia="zh-CN" w:bidi="zh-CN"/>
              </w:rPr>
              <w:t>四档（9分）：</w:t>
            </w:r>
            <w:r>
              <w:rPr>
                <w:rFonts w:hint="eastAsia" w:ascii="宋体" w:hAnsi="宋体" w:eastAsia="宋体" w:cs="宋体"/>
                <w:b w:val="0"/>
                <w:bCs/>
                <w:color w:val="auto"/>
                <w:sz w:val="21"/>
                <w:szCs w:val="21"/>
                <w:highlight w:val="none"/>
                <w:lang w:val="en-US" w:eastAsia="zh-CN"/>
              </w:rPr>
              <w:t>提供应急方案，</w:t>
            </w:r>
            <w:r>
              <w:rPr>
                <w:rFonts w:hint="eastAsia" w:ascii="宋体" w:hAnsi="宋体" w:eastAsia="宋体" w:cs="宋体"/>
                <w:color w:val="auto"/>
                <w:sz w:val="21"/>
                <w:szCs w:val="21"/>
                <w:highlight w:val="none"/>
                <w:lang w:val="en-US" w:eastAsia="zh-CN" w:bidi="zh-CN"/>
              </w:rPr>
              <w:t>对</w:t>
            </w:r>
            <w:r>
              <w:rPr>
                <w:rFonts w:hint="eastAsia" w:ascii="宋体" w:hAnsi="宋体" w:eastAsia="宋体" w:cs="宋体"/>
                <w:color w:val="auto"/>
                <w:sz w:val="21"/>
                <w:szCs w:val="21"/>
                <w:highlight w:val="none"/>
                <w:lang w:val="zh-CN" w:eastAsia="zh-CN" w:bidi="zh-CN"/>
              </w:rPr>
              <w:t>食材短缺情况、紧急食材配送</w:t>
            </w:r>
            <w:r>
              <w:rPr>
                <w:rFonts w:hint="eastAsia" w:ascii="宋体" w:hAnsi="宋体" w:eastAsia="宋体" w:cs="宋体"/>
                <w:color w:val="auto"/>
                <w:sz w:val="21"/>
                <w:szCs w:val="21"/>
                <w:highlight w:val="none"/>
                <w:lang w:val="en-US" w:eastAsia="zh-CN" w:bidi="zh-CN"/>
              </w:rPr>
              <w:t>、天气问题、问题食材等特殊情况制定</w:t>
            </w:r>
            <w:r>
              <w:rPr>
                <w:rFonts w:hint="eastAsia" w:ascii="宋体" w:hAnsi="宋体" w:cs="宋体"/>
                <w:color w:val="auto"/>
                <w:sz w:val="21"/>
                <w:szCs w:val="21"/>
                <w:highlight w:val="none"/>
                <w:lang w:val="en-US" w:eastAsia="zh-CN" w:bidi="zh-CN"/>
              </w:rPr>
              <w:t>详细的</w:t>
            </w:r>
            <w:r>
              <w:rPr>
                <w:rFonts w:hint="eastAsia" w:ascii="宋体" w:hAnsi="宋体" w:eastAsia="宋体" w:cs="宋体"/>
                <w:color w:val="auto"/>
                <w:sz w:val="21"/>
                <w:szCs w:val="21"/>
                <w:highlight w:val="none"/>
                <w:lang w:val="en-US" w:eastAsia="zh-CN" w:bidi="zh-CN"/>
              </w:rPr>
              <w:t>应急预案，承诺配备充足的配送人员，配置有机动人员用于对紧急事件处理，具有对应急处理的响应，能保证在特殊情况时可立即更换条件符合的配送员，保障配送服务的质量</w:t>
            </w:r>
            <w:r>
              <w:rPr>
                <w:rFonts w:hint="eastAsia" w:ascii="宋体" w:hAnsi="宋体" w:eastAsia="宋体" w:cs="宋体"/>
                <w:color w:val="auto"/>
                <w:kern w:val="0"/>
                <w:sz w:val="21"/>
                <w:szCs w:val="21"/>
                <w:highlight w:val="none"/>
                <w:lang w:val="en-US" w:eastAsia="zh-CN" w:bidi="ar-SA"/>
              </w:rPr>
              <w:t>。</w:t>
            </w:r>
          </w:p>
          <w:p w14:paraId="6EE9F8F8">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bidi="zh-CN"/>
              </w:rPr>
              <w:t>五档（12分）：</w:t>
            </w:r>
            <w:r>
              <w:rPr>
                <w:rFonts w:hint="eastAsia" w:ascii="宋体" w:hAnsi="宋体" w:eastAsia="宋体" w:cs="宋体"/>
                <w:b w:val="0"/>
                <w:bCs/>
                <w:color w:val="auto"/>
                <w:sz w:val="21"/>
                <w:szCs w:val="21"/>
                <w:highlight w:val="none"/>
                <w:lang w:val="en-US" w:eastAsia="zh-CN"/>
              </w:rPr>
              <w:t>提供应急方案，</w:t>
            </w:r>
            <w:r>
              <w:rPr>
                <w:rFonts w:hint="eastAsia" w:ascii="宋体" w:hAnsi="宋体" w:eastAsia="宋体" w:cs="宋体"/>
                <w:color w:val="auto"/>
                <w:sz w:val="21"/>
                <w:szCs w:val="21"/>
                <w:highlight w:val="none"/>
                <w:lang w:val="en-US" w:eastAsia="zh-CN" w:bidi="zh-CN"/>
              </w:rPr>
              <w:t>对</w:t>
            </w:r>
            <w:r>
              <w:rPr>
                <w:rFonts w:hint="eastAsia" w:ascii="宋体" w:hAnsi="宋体" w:eastAsia="宋体" w:cs="宋体"/>
                <w:color w:val="auto"/>
                <w:sz w:val="21"/>
                <w:szCs w:val="21"/>
                <w:highlight w:val="none"/>
                <w:lang w:val="zh-CN" w:eastAsia="zh-CN" w:bidi="zh-CN"/>
              </w:rPr>
              <w:t>食材短缺情况、紧急食材配送</w:t>
            </w:r>
            <w:r>
              <w:rPr>
                <w:rFonts w:hint="eastAsia" w:ascii="宋体" w:hAnsi="宋体" w:eastAsia="宋体" w:cs="宋体"/>
                <w:color w:val="auto"/>
                <w:sz w:val="21"/>
                <w:szCs w:val="21"/>
                <w:highlight w:val="none"/>
                <w:lang w:val="en-US" w:eastAsia="zh-CN" w:bidi="zh-CN"/>
              </w:rPr>
              <w:t>、天气问题、问题食材等特殊情况制定</w:t>
            </w:r>
            <w:r>
              <w:rPr>
                <w:rFonts w:hint="eastAsia" w:ascii="宋体" w:hAnsi="宋体" w:cs="宋体"/>
                <w:color w:val="auto"/>
                <w:sz w:val="21"/>
                <w:szCs w:val="21"/>
                <w:highlight w:val="none"/>
                <w:lang w:val="en-US" w:eastAsia="zh-CN" w:bidi="zh-CN"/>
              </w:rPr>
              <w:t>详细的</w:t>
            </w:r>
            <w:r>
              <w:rPr>
                <w:rFonts w:hint="eastAsia" w:ascii="宋体" w:hAnsi="宋体" w:eastAsia="宋体" w:cs="宋体"/>
                <w:color w:val="auto"/>
                <w:sz w:val="21"/>
                <w:szCs w:val="21"/>
                <w:highlight w:val="none"/>
                <w:lang w:val="en-US" w:eastAsia="zh-CN" w:bidi="zh-CN"/>
              </w:rPr>
              <w:t>应急预案，承诺配备充足的配送人员，配置有机动人员用于对紧急事件处理，具有对应急处理的响应，能保证在特殊情况时可立即更换条件符合的配送员、配送车辆，保障配送服务的质量；有食品安全突发事件应急处置方案、特殊应急期间保障方案</w:t>
            </w:r>
            <w:r>
              <w:rPr>
                <w:rFonts w:hint="eastAsia" w:ascii="宋体" w:hAnsi="宋体" w:eastAsia="宋体" w:cs="宋体"/>
                <w:color w:val="auto"/>
                <w:kern w:val="0"/>
                <w:sz w:val="21"/>
                <w:szCs w:val="21"/>
                <w:highlight w:val="none"/>
                <w:lang w:val="en-US" w:eastAsia="zh-CN" w:bidi="ar-SA"/>
              </w:rPr>
              <w:t>。</w:t>
            </w:r>
          </w:p>
        </w:tc>
        <w:tc>
          <w:tcPr>
            <w:tcW w:w="899" w:type="dxa"/>
            <w:noWrap w:val="0"/>
            <w:vAlign w:val="center"/>
          </w:tcPr>
          <w:p w14:paraId="13F46BED">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1214" w:type="dxa"/>
            <w:noWrap w:val="0"/>
            <w:vAlign w:val="center"/>
          </w:tcPr>
          <w:p w14:paraId="796133EB">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主观分</w:t>
            </w:r>
          </w:p>
        </w:tc>
      </w:tr>
      <w:tr w14:paraId="26C8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center"/>
          </w:tcPr>
          <w:p w14:paraId="0135E73A">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5838" w:type="dxa"/>
            <w:noWrap w:val="0"/>
            <w:vAlign w:val="center"/>
          </w:tcPr>
          <w:p w14:paraId="122D324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服务保障方案（20分）</w:t>
            </w:r>
          </w:p>
          <w:p w14:paraId="25F85DB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一档（0分）：</w:t>
            </w:r>
            <w:r>
              <w:rPr>
                <w:rFonts w:hint="eastAsia" w:ascii="宋体" w:hAnsi="宋体" w:eastAsia="宋体" w:cs="宋体"/>
                <w:b w:val="0"/>
                <w:bCs/>
                <w:color w:val="auto"/>
                <w:sz w:val="21"/>
                <w:szCs w:val="21"/>
                <w:highlight w:val="none"/>
                <w:lang w:val="en-US" w:eastAsia="zh-CN"/>
              </w:rPr>
              <w:t>磋商响应文件中</w:t>
            </w:r>
            <w:r>
              <w:rPr>
                <w:rFonts w:hint="eastAsia" w:ascii="宋体" w:hAnsi="宋体" w:eastAsia="宋体" w:cs="宋体"/>
                <w:b w:val="0"/>
                <w:bCs/>
                <w:color w:val="auto"/>
                <w:sz w:val="21"/>
                <w:szCs w:val="21"/>
                <w:highlight w:val="none"/>
                <w:lang w:eastAsia="zh-CN"/>
              </w:rPr>
              <w:t>未提供</w:t>
            </w:r>
            <w:r>
              <w:rPr>
                <w:rFonts w:hint="eastAsia" w:ascii="宋体" w:hAnsi="宋体" w:eastAsia="宋体" w:cs="宋体"/>
                <w:b w:val="0"/>
                <w:bCs/>
                <w:color w:val="auto"/>
                <w:sz w:val="21"/>
                <w:szCs w:val="21"/>
                <w:highlight w:val="none"/>
              </w:rPr>
              <w:t>服务</w:t>
            </w:r>
            <w:r>
              <w:rPr>
                <w:rFonts w:hint="eastAsia" w:ascii="宋体" w:hAnsi="宋体" w:eastAsia="宋体" w:cs="宋体"/>
                <w:b w:val="0"/>
                <w:bCs/>
                <w:color w:val="auto"/>
                <w:sz w:val="21"/>
                <w:szCs w:val="21"/>
                <w:highlight w:val="none"/>
                <w:lang w:val="en-US" w:eastAsia="zh-CN"/>
              </w:rPr>
              <w:t>保障</w:t>
            </w:r>
            <w:r>
              <w:rPr>
                <w:rFonts w:hint="eastAsia" w:ascii="宋体" w:hAnsi="宋体" w:eastAsia="宋体" w:cs="宋体"/>
                <w:b w:val="0"/>
                <w:bCs/>
                <w:color w:val="auto"/>
                <w:sz w:val="21"/>
                <w:szCs w:val="21"/>
                <w:highlight w:val="none"/>
              </w:rPr>
              <w:t>方案</w:t>
            </w:r>
            <w:r>
              <w:rPr>
                <w:rFonts w:hint="eastAsia" w:ascii="宋体" w:hAnsi="宋体" w:eastAsia="宋体" w:cs="宋体"/>
                <w:b w:val="0"/>
                <w:bCs/>
                <w:color w:val="auto"/>
                <w:sz w:val="21"/>
                <w:szCs w:val="21"/>
                <w:highlight w:val="none"/>
                <w:lang w:eastAsia="zh-CN"/>
              </w:rPr>
              <w:t>不得分。</w:t>
            </w:r>
          </w:p>
          <w:p w14:paraId="5096692B">
            <w:pPr>
              <w:pStyle w:val="19"/>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bidi="zh-CN"/>
              </w:rPr>
            </w:pPr>
            <w:r>
              <w:rPr>
                <w:rFonts w:hint="eastAsia" w:ascii="宋体" w:hAnsi="宋体" w:eastAsia="宋体" w:cs="宋体"/>
                <w:b/>
                <w:bCs/>
                <w:color w:val="auto"/>
                <w:sz w:val="21"/>
                <w:szCs w:val="21"/>
                <w:highlight w:val="none"/>
                <w:lang w:val="en-US" w:eastAsia="zh-CN" w:bidi="zh-CN"/>
              </w:rPr>
              <w:t>二档（5分）：</w:t>
            </w:r>
            <w:r>
              <w:rPr>
                <w:rFonts w:hint="eastAsia" w:ascii="宋体" w:hAnsi="宋体" w:eastAsia="宋体" w:cs="宋体"/>
                <w:b w:val="0"/>
                <w:bCs/>
                <w:color w:val="auto"/>
                <w:sz w:val="21"/>
                <w:szCs w:val="21"/>
                <w:highlight w:val="none"/>
                <w:lang w:val="en-US" w:eastAsia="zh-CN"/>
              </w:rPr>
              <w:t>提供服务保障方案，基本满足采购需求，</w:t>
            </w:r>
            <w:r>
              <w:rPr>
                <w:rFonts w:hint="eastAsia" w:ascii="宋体" w:hAnsi="宋体" w:eastAsia="宋体" w:cs="宋体"/>
                <w:color w:val="auto"/>
                <w:sz w:val="21"/>
                <w:szCs w:val="21"/>
                <w:highlight w:val="none"/>
                <w:lang w:val="en-US" w:eastAsia="zh-CN" w:bidi="zh-CN"/>
              </w:rPr>
              <w:t>服务保障方案包含</w:t>
            </w:r>
            <w:r>
              <w:rPr>
                <w:rFonts w:hint="eastAsia" w:ascii="宋体" w:hAnsi="宋体" w:cs="宋体"/>
                <w:color w:val="auto"/>
                <w:sz w:val="21"/>
                <w:szCs w:val="21"/>
                <w:highlight w:val="none"/>
                <w:lang w:val="en-US" w:eastAsia="zh-CN" w:bidi="zh-CN"/>
              </w:rPr>
              <w:t>简单的</w:t>
            </w:r>
            <w:r>
              <w:rPr>
                <w:rFonts w:hint="eastAsia" w:ascii="宋体" w:hAnsi="宋体" w:eastAsia="宋体" w:cs="宋体"/>
                <w:color w:val="auto"/>
                <w:sz w:val="21"/>
                <w:szCs w:val="21"/>
                <w:highlight w:val="none"/>
                <w:lang w:val="en-US" w:eastAsia="zh-CN" w:bidi="zh-CN"/>
              </w:rPr>
              <w:t>服务承诺书及售前服务措施</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bidi="zh-CN"/>
              </w:rPr>
              <w:t>售前服务措施含</w:t>
            </w:r>
            <w:r>
              <w:rPr>
                <w:rFonts w:hint="eastAsia" w:ascii="宋体" w:hAnsi="宋体" w:eastAsia="宋体" w:cs="宋体"/>
                <w:color w:val="auto"/>
                <w:sz w:val="21"/>
                <w:szCs w:val="21"/>
                <w:highlight w:val="none"/>
                <w:lang w:val="en-US" w:eastAsia="zh-CN"/>
              </w:rPr>
              <w:t>对食材加工、卫生管理等方面的内容；拟投入至少1辆</w:t>
            </w:r>
            <w:r>
              <w:rPr>
                <w:rFonts w:hint="eastAsia" w:ascii="宋体" w:hAnsi="宋体" w:eastAsia="宋体" w:cs="宋体"/>
                <w:color w:val="auto"/>
                <w:sz w:val="21"/>
                <w:szCs w:val="21"/>
                <w:highlight w:val="none"/>
                <w:lang w:val="en-US" w:eastAsia="zh-CN"/>
              </w:rPr>
              <w:t>厢式冷藏货车。</w:t>
            </w:r>
          </w:p>
          <w:p w14:paraId="4AE21AD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bidi="zh-CN"/>
              </w:rPr>
            </w:pPr>
            <w:r>
              <w:rPr>
                <w:rFonts w:hint="eastAsia" w:ascii="宋体" w:hAnsi="宋体" w:eastAsia="宋体" w:cs="宋体"/>
                <w:b/>
                <w:bCs/>
                <w:color w:val="auto"/>
                <w:sz w:val="21"/>
                <w:szCs w:val="21"/>
                <w:highlight w:val="none"/>
                <w:lang w:val="en-US" w:eastAsia="zh-CN" w:bidi="zh-CN"/>
              </w:rPr>
              <w:t>三档（10分）：</w:t>
            </w:r>
            <w:r>
              <w:rPr>
                <w:rFonts w:hint="eastAsia" w:ascii="宋体" w:hAnsi="宋体" w:eastAsia="宋体" w:cs="宋体"/>
                <w:b w:val="0"/>
                <w:bCs/>
                <w:color w:val="auto"/>
                <w:sz w:val="21"/>
                <w:szCs w:val="21"/>
                <w:highlight w:val="none"/>
                <w:lang w:val="en-US" w:eastAsia="zh-CN"/>
              </w:rPr>
              <w:t>提供服务保障方案，基本满足采购需求，</w:t>
            </w:r>
            <w:r>
              <w:rPr>
                <w:rFonts w:hint="eastAsia" w:ascii="宋体" w:hAnsi="宋体" w:eastAsia="宋体" w:cs="宋体"/>
                <w:color w:val="auto"/>
                <w:sz w:val="21"/>
                <w:szCs w:val="21"/>
                <w:highlight w:val="none"/>
                <w:lang w:val="en-US" w:eastAsia="zh-CN" w:bidi="zh-CN"/>
              </w:rPr>
              <w:t>服务保障方案包含</w:t>
            </w:r>
            <w:r>
              <w:rPr>
                <w:rFonts w:hint="eastAsia" w:ascii="宋体" w:hAnsi="宋体" w:cs="宋体"/>
                <w:color w:val="auto"/>
                <w:sz w:val="21"/>
                <w:szCs w:val="21"/>
                <w:highlight w:val="none"/>
                <w:lang w:val="en-US" w:eastAsia="zh-CN" w:bidi="zh-CN"/>
              </w:rPr>
              <w:t>简单的</w:t>
            </w:r>
            <w:r>
              <w:rPr>
                <w:rFonts w:hint="eastAsia" w:ascii="宋体" w:hAnsi="宋体" w:eastAsia="宋体" w:cs="宋体"/>
                <w:color w:val="auto"/>
                <w:sz w:val="21"/>
                <w:szCs w:val="21"/>
                <w:highlight w:val="none"/>
                <w:lang w:val="en-US" w:eastAsia="zh-CN" w:bidi="zh-CN"/>
              </w:rPr>
              <w:t>服务承诺书及售前、售中服务措施</w:t>
            </w:r>
            <w:r>
              <w:rPr>
                <w:rFonts w:hint="eastAsia" w:ascii="宋体" w:hAnsi="宋体" w:eastAsia="宋体" w:cs="宋体"/>
                <w:color w:val="auto"/>
                <w:sz w:val="21"/>
                <w:szCs w:val="21"/>
                <w:highlight w:val="none"/>
                <w:lang w:val="en-US" w:eastAsia="zh-CN"/>
              </w:rPr>
              <w:t>，售前（食材加工、卫生管理等）、售中（产品出现的质量及安全问题、退货处理、台账管理等）制定有相应措施；拟投入至少1辆</w:t>
            </w:r>
            <w:r>
              <w:rPr>
                <w:rFonts w:hint="eastAsia" w:ascii="宋体" w:hAnsi="宋体" w:eastAsia="宋体" w:cs="宋体"/>
                <w:color w:val="auto"/>
                <w:sz w:val="21"/>
                <w:szCs w:val="21"/>
                <w:highlight w:val="none"/>
                <w:lang w:val="en-US" w:eastAsia="zh-CN"/>
              </w:rPr>
              <w:t>厢式货车，</w:t>
            </w:r>
            <w:r>
              <w:rPr>
                <w:rFonts w:hint="eastAsia" w:ascii="宋体" w:hAnsi="宋体" w:eastAsia="宋体" w:cs="宋体"/>
                <w:color w:val="auto"/>
                <w:sz w:val="21"/>
                <w:szCs w:val="21"/>
                <w:highlight w:val="none"/>
                <w:lang w:val="en-US" w:eastAsia="zh-CN"/>
              </w:rPr>
              <w:t>1辆</w:t>
            </w:r>
            <w:r>
              <w:rPr>
                <w:rFonts w:hint="eastAsia" w:ascii="宋体" w:hAnsi="宋体" w:eastAsia="宋体" w:cs="宋体"/>
                <w:color w:val="auto"/>
                <w:sz w:val="21"/>
                <w:szCs w:val="21"/>
                <w:highlight w:val="none"/>
                <w:lang w:val="en-US" w:eastAsia="zh-CN"/>
              </w:rPr>
              <w:t>厢式冷藏货车</w:t>
            </w:r>
            <w:r>
              <w:rPr>
                <w:rFonts w:hint="eastAsia" w:ascii="宋体" w:hAnsi="宋体" w:eastAsia="宋体" w:cs="宋体"/>
                <w:color w:val="auto"/>
                <w:sz w:val="21"/>
                <w:szCs w:val="21"/>
                <w:highlight w:val="none"/>
                <w:lang w:val="en-US" w:eastAsia="zh-CN" w:bidi="zh-CN"/>
              </w:rPr>
              <w:t>。</w:t>
            </w:r>
          </w:p>
          <w:p w14:paraId="1CD9512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bidi="zh-CN"/>
              </w:rPr>
            </w:pPr>
            <w:r>
              <w:rPr>
                <w:rFonts w:hint="eastAsia" w:ascii="宋体" w:hAnsi="宋体" w:eastAsia="宋体" w:cs="宋体"/>
                <w:b/>
                <w:bCs/>
                <w:color w:val="auto"/>
                <w:sz w:val="21"/>
                <w:szCs w:val="21"/>
                <w:highlight w:val="none"/>
                <w:lang w:val="en-US" w:eastAsia="zh-CN" w:bidi="zh-CN"/>
              </w:rPr>
              <w:t>四档（15分）：</w:t>
            </w:r>
            <w:r>
              <w:rPr>
                <w:rFonts w:hint="eastAsia" w:ascii="宋体" w:hAnsi="宋体" w:eastAsia="宋体" w:cs="宋体"/>
                <w:b w:val="0"/>
                <w:bCs/>
                <w:color w:val="auto"/>
                <w:sz w:val="21"/>
                <w:szCs w:val="21"/>
                <w:highlight w:val="none"/>
                <w:lang w:val="en-US" w:eastAsia="zh-CN"/>
              </w:rPr>
              <w:t>提供服务保障方案，</w:t>
            </w:r>
            <w:r>
              <w:rPr>
                <w:rFonts w:hint="eastAsia" w:ascii="宋体" w:hAnsi="宋体" w:eastAsia="宋体" w:cs="宋体"/>
                <w:color w:val="auto"/>
                <w:sz w:val="21"/>
                <w:szCs w:val="21"/>
                <w:highlight w:val="none"/>
                <w:lang w:val="en-US" w:eastAsia="zh-CN" w:bidi="zh-CN"/>
              </w:rPr>
              <w:t>服务保障方案包含</w:t>
            </w:r>
            <w:r>
              <w:rPr>
                <w:rFonts w:hint="eastAsia" w:ascii="宋体" w:hAnsi="宋体" w:cs="宋体"/>
                <w:color w:val="auto"/>
                <w:sz w:val="21"/>
                <w:szCs w:val="21"/>
                <w:highlight w:val="none"/>
                <w:lang w:val="en-US" w:eastAsia="zh-CN" w:bidi="zh-CN"/>
              </w:rPr>
              <w:t>详细的</w:t>
            </w:r>
            <w:r>
              <w:rPr>
                <w:rFonts w:hint="eastAsia" w:ascii="宋体" w:hAnsi="宋体" w:eastAsia="宋体" w:cs="宋体"/>
                <w:color w:val="auto"/>
                <w:sz w:val="21"/>
                <w:szCs w:val="21"/>
                <w:highlight w:val="none"/>
                <w:lang w:val="en-US" w:eastAsia="zh-CN" w:bidi="zh-CN"/>
              </w:rPr>
              <w:t>服务承诺书及售前、售中、售后服务措施</w:t>
            </w:r>
            <w:r>
              <w:rPr>
                <w:rFonts w:hint="eastAsia" w:ascii="宋体" w:hAnsi="宋体" w:eastAsia="宋体" w:cs="宋体"/>
                <w:b w:val="0"/>
                <w:bCs w:val="0"/>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rPr>
              <w:t>售前（食材加工、卫生管理等）、售中（产品出现的质量及安全问题、退货处理、台账管理等）、售后（</w:t>
            </w:r>
            <w:r>
              <w:rPr>
                <w:rFonts w:hint="eastAsia" w:ascii="宋体" w:hAnsi="宋体" w:eastAsia="宋体" w:cs="宋体"/>
                <w:color w:val="auto"/>
                <w:sz w:val="21"/>
                <w:szCs w:val="21"/>
                <w:highlight w:val="none"/>
              </w:rPr>
              <w:t>售后服务监督</w:t>
            </w:r>
            <w:r>
              <w:rPr>
                <w:rFonts w:hint="eastAsia" w:ascii="宋体" w:hAnsi="宋体" w:eastAsia="宋体" w:cs="宋体"/>
                <w:color w:val="auto"/>
                <w:sz w:val="21"/>
                <w:szCs w:val="21"/>
                <w:highlight w:val="none"/>
                <w:lang w:eastAsia="zh-CN"/>
              </w:rPr>
              <w:t>、评价和定期回访等</w:t>
            </w:r>
            <w:r>
              <w:rPr>
                <w:rFonts w:hint="eastAsia" w:ascii="宋体" w:hAnsi="宋体" w:eastAsia="宋体" w:cs="宋体"/>
                <w:color w:val="auto"/>
                <w:sz w:val="21"/>
                <w:szCs w:val="21"/>
                <w:highlight w:val="none"/>
                <w:lang w:val="en-US" w:eastAsia="zh-CN"/>
              </w:rPr>
              <w:t>）制定有相应措施</w:t>
            </w:r>
            <w:r>
              <w:rPr>
                <w:rFonts w:hint="eastAsia" w:ascii="宋体" w:hAnsi="宋体" w:eastAsia="宋体" w:cs="宋体"/>
                <w:color w:val="auto"/>
                <w:sz w:val="21"/>
                <w:szCs w:val="21"/>
                <w:highlight w:val="none"/>
                <w:lang w:val="en-US" w:eastAsia="zh-CN" w:bidi="zh-CN"/>
              </w:rPr>
              <w:t>；提供本地化服务，能保证在</w:t>
            </w:r>
            <w:r>
              <w:rPr>
                <w:rFonts w:hint="eastAsia" w:ascii="宋体" w:hAnsi="宋体" w:eastAsia="宋体" w:cs="宋体"/>
                <w:color w:val="auto"/>
                <w:sz w:val="21"/>
                <w:szCs w:val="21"/>
                <w:highlight w:val="none"/>
                <w:lang w:val="en-US" w:eastAsia="zh-CN"/>
              </w:rPr>
              <w:t>服务过程中不断优化服务</w:t>
            </w:r>
            <w:r>
              <w:rPr>
                <w:rFonts w:hint="eastAsia" w:ascii="宋体" w:hAnsi="宋体" w:eastAsia="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rPr>
              <w:t>拟投入</w:t>
            </w:r>
            <w:r>
              <w:rPr>
                <w:rFonts w:hint="eastAsia" w:ascii="宋体" w:hAnsi="宋体" w:eastAsia="宋体" w:cs="宋体"/>
                <w:color w:val="auto"/>
                <w:sz w:val="21"/>
                <w:szCs w:val="21"/>
                <w:highlight w:val="none"/>
                <w:lang w:eastAsia="zh-CN"/>
              </w:rPr>
              <w:t>至少</w:t>
            </w:r>
            <w:r>
              <w:rPr>
                <w:rFonts w:hint="eastAsia" w:ascii="宋体" w:hAnsi="宋体" w:eastAsia="宋体" w:cs="宋体"/>
                <w:color w:val="auto"/>
                <w:sz w:val="21"/>
                <w:szCs w:val="21"/>
                <w:highlight w:val="none"/>
                <w:lang w:val="en-US" w:eastAsia="zh-CN"/>
              </w:rPr>
              <w:t>1辆厢式货车、1辆厢式冷藏车，1辆厢式货车或厢式冷藏车作为机动应急车辆</w:t>
            </w:r>
            <w:r>
              <w:rPr>
                <w:rFonts w:hint="eastAsia" w:ascii="宋体" w:hAnsi="宋体" w:eastAsia="宋体" w:cs="宋体"/>
                <w:color w:val="auto"/>
                <w:sz w:val="21"/>
                <w:szCs w:val="21"/>
                <w:highlight w:val="none"/>
                <w:lang w:val="en-US" w:eastAsia="zh-CN" w:bidi="zh-CN"/>
              </w:rPr>
              <w:t>。</w:t>
            </w:r>
          </w:p>
          <w:p w14:paraId="01D0024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bidi="zh-CN"/>
              </w:rPr>
            </w:pPr>
            <w:r>
              <w:rPr>
                <w:rFonts w:hint="eastAsia" w:ascii="宋体" w:hAnsi="宋体" w:eastAsia="宋体" w:cs="宋体"/>
                <w:b/>
                <w:bCs/>
                <w:color w:val="auto"/>
                <w:sz w:val="21"/>
                <w:szCs w:val="21"/>
                <w:highlight w:val="none"/>
                <w:lang w:val="en-US" w:eastAsia="zh-CN" w:bidi="zh-CN"/>
              </w:rPr>
              <w:t>五档（20分）：</w:t>
            </w:r>
            <w:r>
              <w:rPr>
                <w:rFonts w:hint="eastAsia" w:ascii="宋体" w:hAnsi="宋体" w:eastAsia="宋体" w:cs="宋体"/>
                <w:b w:val="0"/>
                <w:bCs/>
                <w:color w:val="auto"/>
                <w:sz w:val="21"/>
                <w:szCs w:val="21"/>
                <w:highlight w:val="none"/>
                <w:lang w:val="en-US" w:eastAsia="zh-CN"/>
              </w:rPr>
              <w:t>提供服务保障方案，满足采购需求，</w:t>
            </w:r>
            <w:r>
              <w:rPr>
                <w:rFonts w:hint="eastAsia" w:ascii="宋体" w:hAnsi="宋体" w:eastAsia="宋体" w:cs="宋体"/>
                <w:color w:val="auto"/>
                <w:sz w:val="21"/>
                <w:szCs w:val="21"/>
                <w:highlight w:val="none"/>
                <w:lang w:val="en-US" w:eastAsia="zh-CN" w:bidi="zh-CN"/>
              </w:rPr>
              <w:t>服务保障方案包含</w:t>
            </w:r>
            <w:r>
              <w:rPr>
                <w:rFonts w:hint="eastAsia" w:ascii="宋体" w:hAnsi="宋体" w:cs="宋体"/>
                <w:color w:val="auto"/>
                <w:sz w:val="21"/>
                <w:szCs w:val="21"/>
                <w:highlight w:val="none"/>
                <w:lang w:val="en-US" w:eastAsia="zh-CN" w:bidi="zh-CN"/>
              </w:rPr>
              <w:t>详细的</w:t>
            </w:r>
            <w:r>
              <w:rPr>
                <w:rFonts w:hint="eastAsia" w:ascii="宋体" w:hAnsi="宋体" w:eastAsia="宋体" w:cs="宋体"/>
                <w:color w:val="auto"/>
                <w:sz w:val="21"/>
                <w:szCs w:val="21"/>
                <w:highlight w:val="none"/>
                <w:lang w:val="en-US" w:eastAsia="zh-CN" w:bidi="zh-CN"/>
              </w:rPr>
              <w:t>服务承诺书及售前、售中、售后服务措施</w:t>
            </w:r>
            <w:r>
              <w:rPr>
                <w:rFonts w:hint="eastAsia" w:ascii="宋体" w:hAnsi="宋体" w:eastAsia="宋体" w:cs="宋体"/>
                <w:b w:val="0"/>
                <w:bCs w:val="0"/>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rPr>
              <w:t>售前（食材加工、卫生管理等）、售中（产品出现的质量及安全问题、退货处理、台账管理等）、售后（</w:t>
            </w:r>
            <w:r>
              <w:rPr>
                <w:rFonts w:hint="eastAsia" w:ascii="宋体" w:hAnsi="宋体" w:eastAsia="宋体" w:cs="宋体"/>
                <w:color w:val="auto"/>
                <w:sz w:val="21"/>
                <w:szCs w:val="21"/>
                <w:highlight w:val="none"/>
              </w:rPr>
              <w:t>售后服务监督</w:t>
            </w:r>
            <w:r>
              <w:rPr>
                <w:rFonts w:hint="eastAsia" w:ascii="宋体" w:hAnsi="宋体" w:eastAsia="宋体" w:cs="宋体"/>
                <w:color w:val="auto"/>
                <w:sz w:val="21"/>
                <w:szCs w:val="21"/>
                <w:highlight w:val="none"/>
                <w:lang w:eastAsia="zh-CN"/>
              </w:rPr>
              <w:t>、评价和定期回访等</w:t>
            </w:r>
            <w:r>
              <w:rPr>
                <w:rFonts w:hint="eastAsia" w:ascii="宋体" w:hAnsi="宋体" w:eastAsia="宋体" w:cs="宋体"/>
                <w:color w:val="auto"/>
                <w:sz w:val="21"/>
                <w:szCs w:val="21"/>
                <w:highlight w:val="none"/>
                <w:lang w:val="en-US" w:eastAsia="zh-CN"/>
              </w:rPr>
              <w:t>）制定有相应措施</w:t>
            </w:r>
            <w:r>
              <w:rPr>
                <w:rFonts w:hint="eastAsia" w:ascii="宋体" w:hAnsi="宋体" w:eastAsia="宋体" w:cs="宋体"/>
                <w:color w:val="auto"/>
                <w:sz w:val="21"/>
                <w:szCs w:val="21"/>
                <w:highlight w:val="none"/>
                <w:lang w:val="en-US" w:eastAsia="zh-CN" w:bidi="zh-CN"/>
              </w:rPr>
              <w:t>；提供本地化服务，能保证在</w:t>
            </w:r>
            <w:r>
              <w:rPr>
                <w:rFonts w:hint="eastAsia" w:ascii="宋体" w:hAnsi="宋体" w:eastAsia="宋体" w:cs="宋体"/>
                <w:color w:val="auto"/>
                <w:sz w:val="21"/>
                <w:szCs w:val="21"/>
                <w:highlight w:val="none"/>
                <w:lang w:val="en-US" w:eastAsia="zh-CN"/>
              </w:rPr>
              <w:t>服务过程中不断优化服务</w:t>
            </w:r>
            <w:r>
              <w:rPr>
                <w:rFonts w:hint="eastAsia" w:ascii="宋体" w:hAnsi="宋体" w:eastAsia="宋体" w:cs="宋体"/>
                <w:color w:val="auto"/>
                <w:sz w:val="21"/>
                <w:szCs w:val="21"/>
                <w:highlight w:val="none"/>
                <w:lang w:val="en-US" w:eastAsia="zh-CN" w:bidi="zh-CN"/>
              </w:rPr>
              <w:t>。严格进行蔬菜质量与安全把关，主动开展检验工作，每月到农产品质量安全监督检验部门或其它国家承认的检测机构进行检测工作；</w:t>
            </w:r>
            <w:r>
              <w:rPr>
                <w:rFonts w:hint="eastAsia" w:ascii="宋体" w:hAnsi="宋体" w:eastAsia="宋体" w:cs="宋体"/>
                <w:color w:val="auto"/>
                <w:sz w:val="21"/>
                <w:szCs w:val="21"/>
                <w:highlight w:val="none"/>
                <w:lang w:val="en-US" w:eastAsia="zh-CN"/>
              </w:rPr>
              <w:t>拟投入</w:t>
            </w:r>
            <w:r>
              <w:rPr>
                <w:rFonts w:hint="eastAsia" w:ascii="宋体" w:hAnsi="宋体" w:eastAsia="宋体" w:cs="宋体"/>
                <w:color w:val="auto"/>
                <w:sz w:val="21"/>
                <w:szCs w:val="21"/>
                <w:highlight w:val="none"/>
                <w:lang w:eastAsia="zh-CN"/>
              </w:rPr>
              <w:t>至少</w:t>
            </w:r>
            <w:r>
              <w:rPr>
                <w:rFonts w:hint="eastAsia" w:ascii="宋体" w:hAnsi="宋体" w:eastAsia="宋体" w:cs="宋体"/>
                <w:color w:val="auto"/>
                <w:sz w:val="21"/>
                <w:szCs w:val="21"/>
                <w:highlight w:val="none"/>
                <w:lang w:val="en-US" w:eastAsia="zh-CN"/>
              </w:rPr>
              <w:t>1辆厢式货车、1辆厢式冷藏车，1辆厢式货车或厢式冷藏车作为机动应急车辆。</w:t>
            </w:r>
          </w:p>
          <w:p w14:paraId="331F7C19">
            <w:pPr>
              <w:keepNext w:val="0"/>
              <w:keepLines w:val="0"/>
              <w:pageBreakBefore w:val="0"/>
              <w:kinsoku/>
              <w:wordWrap/>
              <w:overflowPunct/>
              <w:topLinePunct w:val="0"/>
              <w:bidi w:val="0"/>
              <w:snapToGrid w:val="0"/>
              <w:spacing w:line="400" w:lineRule="exact"/>
              <w:jc w:val="both"/>
              <w:textAlignment w:val="auto"/>
              <w:rPr>
                <w:rFonts w:hint="eastAsia" w:ascii="宋体" w:hAnsi="宋体" w:eastAsia="宋体" w:cs="宋体"/>
                <w:b/>
                <w:bCs/>
                <w:color w:val="auto"/>
                <w:sz w:val="21"/>
                <w:szCs w:val="21"/>
                <w:highlight w:val="none"/>
                <w:lang w:val="en-US" w:eastAsia="zh-CN" w:bidi="zh-CN"/>
              </w:rPr>
            </w:pPr>
            <w:r>
              <w:rPr>
                <w:rFonts w:hint="eastAsia" w:ascii="宋体" w:hAnsi="宋体" w:eastAsia="宋体" w:cs="宋体"/>
                <w:b/>
                <w:bCs/>
                <w:color w:val="auto"/>
                <w:sz w:val="21"/>
                <w:szCs w:val="21"/>
                <w:highlight w:val="none"/>
                <w:lang w:val="en-US" w:eastAsia="zh-CN" w:bidi="zh-CN"/>
              </w:rPr>
              <w:t>注：</w:t>
            </w:r>
          </w:p>
          <w:p w14:paraId="3CB907FC">
            <w:pPr>
              <w:keepNext w:val="0"/>
              <w:keepLines w:val="0"/>
              <w:pageBreakBefore w:val="0"/>
              <w:kinsoku/>
              <w:wordWrap/>
              <w:overflowPunct/>
              <w:topLinePunct w:val="0"/>
              <w:bidi w:val="0"/>
              <w:snapToGrid w:val="0"/>
              <w:spacing w:line="400" w:lineRule="exact"/>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b/>
                <w:bCs/>
                <w:color w:val="auto"/>
                <w:sz w:val="21"/>
                <w:szCs w:val="21"/>
                <w:highlight w:val="none"/>
                <w:lang w:val="en-US" w:eastAsia="zh-CN" w:bidi="zh-CN"/>
              </w:rPr>
              <w:t>所有车辆提供有效期内的行驶证复印件，如车辆非供应商名下或法定代表人名下的须提供有效的车辆租赁合同复印件，未提供不得分。</w:t>
            </w:r>
          </w:p>
        </w:tc>
        <w:tc>
          <w:tcPr>
            <w:tcW w:w="899" w:type="dxa"/>
            <w:noWrap w:val="0"/>
            <w:vAlign w:val="center"/>
          </w:tcPr>
          <w:p w14:paraId="2EE87D08">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1214" w:type="dxa"/>
            <w:noWrap w:val="0"/>
            <w:vAlign w:val="center"/>
          </w:tcPr>
          <w:p w14:paraId="4DE24224">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主观分</w:t>
            </w:r>
          </w:p>
        </w:tc>
      </w:tr>
      <w:tr w14:paraId="16603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center"/>
          </w:tcPr>
          <w:p w14:paraId="08A08864">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5838" w:type="dxa"/>
            <w:noWrap w:val="0"/>
            <w:vAlign w:val="center"/>
          </w:tcPr>
          <w:p w14:paraId="0C05DDED">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kern w:val="2"/>
                <w:sz w:val="21"/>
                <w:szCs w:val="21"/>
                <w:highlight w:val="none"/>
                <w:lang w:val="en-US" w:eastAsia="zh-CN" w:bidi="ar-SA"/>
              </w:rPr>
              <w:t>拟投入人员配置及管理方案（1</w:t>
            </w:r>
            <w:r>
              <w:rPr>
                <w:rFonts w:hint="eastAsia" w:ascii="宋体" w:hAnsi="宋体" w:cs="宋体"/>
                <w:b/>
                <w:bCs w:val="0"/>
                <w:color w:val="auto"/>
                <w:kern w:val="2"/>
                <w:sz w:val="21"/>
                <w:szCs w:val="21"/>
                <w:highlight w:val="none"/>
                <w:lang w:val="en-US" w:eastAsia="zh-CN" w:bidi="ar-SA"/>
              </w:rPr>
              <w:t>2</w:t>
            </w:r>
            <w:r>
              <w:rPr>
                <w:rFonts w:hint="eastAsia" w:ascii="宋体" w:hAnsi="宋体" w:eastAsia="宋体" w:cs="宋体"/>
                <w:b/>
                <w:bCs w:val="0"/>
                <w:color w:val="auto"/>
                <w:kern w:val="2"/>
                <w:sz w:val="21"/>
                <w:szCs w:val="21"/>
                <w:highlight w:val="none"/>
                <w:lang w:val="en-US" w:eastAsia="zh-CN" w:bidi="ar-SA"/>
              </w:rPr>
              <w:t>分）</w:t>
            </w:r>
          </w:p>
          <w:p w14:paraId="7EF6D64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一档（0分）：</w:t>
            </w:r>
            <w:r>
              <w:rPr>
                <w:rFonts w:hint="eastAsia" w:ascii="宋体" w:hAnsi="宋体" w:eastAsia="宋体" w:cs="宋体"/>
                <w:b w:val="0"/>
                <w:bCs/>
                <w:color w:val="auto"/>
                <w:sz w:val="21"/>
                <w:szCs w:val="21"/>
                <w:highlight w:val="none"/>
                <w:lang w:val="en-US" w:eastAsia="zh-CN"/>
              </w:rPr>
              <w:t>磋商响应文件中未提供拟投入人员配置及管理方案不得分。</w:t>
            </w:r>
          </w:p>
          <w:p w14:paraId="3FD81A45">
            <w:pPr>
              <w:keepNext w:val="0"/>
              <w:keepLines w:val="0"/>
              <w:pageBreakBefore w:val="0"/>
              <w:widowControl w:val="0"/>
              <w:kinsoku/>
              <w:wordWrap/>
              <w:overflowPunct/>
              <w:topLinePunct w:val="0"/>
              <w:autoSpaceDE/>
              <w:autoSpaceDN/>
              <w:bidi w:val="0"/>
              <w:adjustRightInd/>
              <w:snapToGrid/>
              <w:spacing w:beforeAutospacing="0" w:after="100" w:afterLines="32" w:afterAutospacing="0"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r>
              <w:rPr>
                <w:rFonts w:hint="eastAsia" w:ascii="宋体" w:hAnsi="宋体" w:eastAsia="宋体" w:cs="宋体"/>
                <w:b w:val="0"/>
                <w:bCs/>
                <w:color w:val="auto"/>
                <w:sz w:val="21"/>
                <w:szCs w:val="21"/>
                <w:highlight w:val="none"/>
                <w:lang w:val="en-US" w:eastAsia="zh-CN"/>
              </w:rPr>
              <w:t>提供拟投入人员配置及管理方案，</w:t>
            </w:r>
            <w:r>
              <w:rPr>
                <w:rFonts w:hint="eastAsia" w:ascii="宋体" w:hAnsi="宋体" w:eastAsia="宋体" w:cs="宋体"/>
                <w:color w:val="auto"/>
                <w:kern w:val="0"/>
                <w:sz w:val="21"/>
                <w:szCs w:val="21"/>
                <w:highlight w:val="none"/>
                <w:lang w:val="en-US" w:eastAsia="zh-CN" w:bidi="ar-SA"/>
              </w:rPr>
              <w:t>对本项目设置有项目管理组织机构图，提供人员岗位规划安排表，拟投入项目负责人不少于1人、项目实施人员不少于3人，具有采购、食材分拣、运输配送等岗位安排；并制定</w:t>
            </w:r>
            <w:r>
              <w:rPr>
                <w:rFonts w:hint="eastAsia" w:ascii="宋体" w:hAnsi="宋体" w:cs="宋体"/>
                <w:color w:val="auto"/>
                <w:kern w:val="0"/>
                <w:sz w:val="21"/>
                <w:szCs w:val="21"/>
                <w:highlight w:val="none"/>
                <w:lang w:val="en-US" w:eastAsia="zh-CN" w:bidi="ar-SA"/>
              </w:rPr>
              <w:t>简单的</w:t>
            </w:r>
            <w:r>
              <w:rPr>
                <w:rFonts w:hint="eastAsia" w:ascii="宋体" w:hAnsi="宋体" w:eastAsia="宋体" w:cs="宋体"/>
                <w:color w:val="auto"/>
                <w:kern w:val="0"/>
                <w:sz w:val="21"/>
                <w:szCs w:val="21"/>
                <w:highlight w:val="none"/>
                <w:lang w:val="en-US" w:eastAsia="zh-CN" w:bidi="ar-SA"/>
              </w:rPr>
              <w:t>相应岗位职责分工说明；制定人员管理制度，包含文明服务制度、从业人员培训管理制度，并针对本项目制定人员考核制度。</w:t>
            </w:r>
          </w:p>
          <w:p w14:paraId="191FE904">
            <w:pPr>
              <w:pStyle w:val="100"/>
              <w:keepNext w:val="0"/>
              <w:keepLines w:val="0"/>
              <w:pageBreakBefore w:val="0"/>
              <w:widowControl w:val="0"/>
              <w:kinsoku/>
              <w:wordWrap/>
              <w:overflowPunct/>
              <w:topLinePunct w:val="0"/>
              <w:autoSpaceDE w:val="0"/>
              <w:autoSpaceDN w:val="0"/>
              <w:bidi w:val="0"/>
              <w:adjustRightInd w:val="0"/>
              <w:snapToGrid/>
              <w:spacing w:beforeAutospacing="0" w:after="103" w:afterLines="33" w:afterAutospacing="0"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分）：</w:t>
            </w:r>
            <w:r>
              <w:rPr>
                <w:rFonts w:hint="eastAsia" w:ascii="宋体" w:hAnsi="宋体" w:eastAsia="宋体" w:cs="宋体"/>
                <w:b w:val="0"/>
                <w:bCs/>
                <w:color w:val="auto"/>
                <w:sz w:val="21"/>
                <w:szCs w:val="21"/>
                <w:highlight w:val="none"/>
                <w:lang w:val="en-US" w:eastAsia="zh-CN"/>
              </w:rPr>
              <w:t>提供拟投入人员配置及管理方案，</w:t>
            </w:r>
            <w:r>
              <w:rPr>
                <w:rFonts w:hint="eastAsia" w:ascii="宋体" w:hAnsi="宋体" w:eastAsia="宋体" w:cs="宋体"/>
                <w:color w:val="auto"/>
                <w:kern w:val="0"/>
                <w:sz w:val="21"/>
                <w:szCs w:val="21"/>
                <w:highlight w:val="none"/>
                <w:lang w:val="en-US" w:eastAsia="zh-CN" w:bidi="ar-SA"/>
              </w:rPr>
              <w:t>对本项目设置有项目管理组织机构图，提供各项工作的人员岗位规划安排表，拟投入项目负责人不少于1人、项目实施人员不少于4人，具有采购、食材分拣、运输配送</w:t>
            </w:r>
            <w:r>
              <w:rPr>
                <w:rFonts w:hint="eastAsia" w:ascii="宋体" w:hAnsi="宋体" w:eastAsia="宋体" w:cs="宋体"/>
                <w:color w:val="auto"/>
                <w:sz w:val="21"/>
                <w:szCs w:val="21"/>
                <w:highlight w:val="none"/>
                <w:lang w:val="en-US" w:eastAsia="zh-CN"/>
              </w:rPr>
              <w:t>、质量管理</w:t>
            </w:r>
            <w:r>
              <w:rPr>
                <w:rFonts w:hint="eastAsia" w:ascii="宋体" w:hAnsi="宋体" w:eastAsia="宋体" w:cs="宋体"/>
                <w:color w:val="auto"/>
                <w:kern w:val="0"/>
                <w:sz w:val="21"/>
                <w:szCs w:val="21"/>
                <w:highlight w:val="none"/>
                <w:lang w:val="en-US" w:eastAsia="zh-CN" w:bidi="ar-SA"/>
              </w:rPr>
              <w:t>等岗位安排；并制定</w:t>
            </w:r>
            <w:r>
              <w:rPr>
                <w:rFonts w:hint="eastAsia" w:ascii="宋体" w:hAnsi="宋体" w:eastAsia="宋体" w:cs="宋体"/>
                <w:color w:val="auto"/>
                <w:kern w:val="0"/>
                <w:sz w:val="21"/>
                <w:szCs w:val="21"/>
                <w:highlight w:val="none"/>
                <w:lang w:val="en-US" w:eastAsia="zh-CN" w:bidi="ar-SA"/>
              </w:rPr>
              <w:t>简单的</w:t>
            </w:r>
            <w:r>
              <w:rPr>
                <w:rFonts w:hint="eastAsia" w:ascii="宋体" w:hAnsi="宋体" w:eastAsia="宋体" w:cs="宋体"/>
                <w:color w:val="auto"/>
                <w:kern w:val="0"/>
                <w:sz w:val="21"/>
                <w:szCs w:val="21"/>
                <w:highlight w:val="none"/>
                <w:lang w:val="en-US" w:eastAsia="zh-CN" w:bidi="ar-SA"/>
              </w:rPr>
              <w:t>相应岗位职责分工说明；制定人员管理制度，包含文明服务制度、从业人员培训管理制度、人事管理制度及财务管理制度。</w:t>
            </w:r>
          </w:p>
          <w:p w14:paraId="625DC653">
            <w:pPr>
              <w:keepNext w:val="0"/>
              <w:keepLines w:val="0"/>
              <w:pageBreakBefore w:val="0"/>
              <w:kinsoku/>
              <w:wordWrap/>
              <w:overflowPunct/>
              <w:topLinePunct w:val="0"/>
              <w:bidi w:val="0"/>
              <w:snapToGrid w:val="0"/>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1</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分）：</w:t>
            </w:r>
            <w:r>
              <w:rPr>
                <w:rFonts w:hint="eastAsia" w:ascii="宋体" w:hAnsi="宋体" w:eastAsia="宋体" w:cs="宋体"/>
                <w:b w:val="0"/>
                <w:bCs/>
                <w:color w:val="auto"/>
                <w:sz w:val="21"/>
                <w:szCs w:val="21"/>
                <w:highlight w:val="none"/>
                <w:lang w:val="en-US" w:eastAsia="zh-CN"/>
              </w:rPr>
              <w:t>提供拟投入人员配置及管理方案，</w:t>
            </w:r>
            <w:r>
              <w:rPr>
                <w:rFonts w:hint="eastAsia" w:ascii="宋体" w:hAnsi="宋体" w:eastAsia="宋体" w:cs="宋体"/>
                <w:color w:val="auto"/>
                <w:kern w:val="0"/>
                <w:sz w:val="21"/>
                <w:szCs w:val="21"/>
                <w:highlight w:val="none"/>
                <w:lang w:val="en-US" w:eastAsia="zh-CN" w:bidi="ar-SA"/>
              </w:rPr>
              <w:t>对本项目</w:t>
            </w:r>
            <w:r>
              <w:rPr>
                <w:rFonts w:hint="eastAsia" w:ascii="宋体" w:hAnsi="宋体" w:eastAsia="宋体" w:cs="宋体"/>
                <w:color w:val="auto"/>
                <w:sz w:val="21"/>
                <w:szCs w:val="21"/>
                <w:highlight w:val="none"/>
                <w:lang w:eastAsia="zh-CN"/>
              </w:rPr>
              <w:t>设置有项目管理组织机构图，</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各项工作的人员岗位规划安排表，拟投入项目负责人不少于1人、项目实施人员不少于5人，</w:t>
            </w:r>
            <w:r>
              <w:rPr>
                <w:rFonts w:hint="eastAsia" w:ascii="宋体" w:hAnsi="宋体" w:eastAsia="宋体" w:cs="宋体"/>
                <w:color w:val="auto"/>
                <w:sz w:val="21"/>
                <w:szCs w:val="21"/>
                <w:highlight w:val="none"/>
                <w:lang w:val="en-US" w:eastAsia="zh-CN"/>
              </w:rPr>
              <w:t>具有采购、仓管、食材分拣、运输配送、安全管理、质量管理、机动等岗位安排；并制定</w:t>
            </w:r>
            <w:r>
              <w:rPr>
                <w:rFonts w:hint="eastAsia" w:ascii="宋体" w:hAnsi="宋体" w:cs="宋体"/>
                <w:color w:val="auto"/>
                <w:sz w:val="21"/>
                <w:szCs w:val="21"/>
                <w:highlight w:val="none"/>
                <w:lang w:val="en-US" w:eastAsia="zh-CN" w:bidi="zh-CN"/>
              </w:rPr>
              <w:t>详细的</w:t>
            </w:r>
            <w:r>
              <w:rPr>
                <w:rFonts w:hint="eastAsia" w:ascii="宋体" w:hAnsi="宋体" w:eastAsia="宋体" w:cs="宋体"/>
                <w:color w:val="auto"/>
                <w:sz w:val="21"/>
                <w:szCs w:val="21"/>
                <w:highlight w:val="none"/>
                <w:lang w:val="en-US" w:eastAsia="zh-CN"/>
              </w:rPr>
              <w:t>相应岗位职责分工说明；制定人员管理制度，包含文明服务制度、从业人员培训管理制度、人员健康管理制度、人事管理制度及财务管理制度，并针对本项目制定人员</w:t>
            </w:r>
            <w:r>
              <w:rPr>
                <w:rFonts w:hint="eastAsia" w:ascii="宋体" w:hAnsi="宋体" w:eastAsia="宋体" w:cs="宋体"/>
                <w:color w:val="auto"/>
                <w:sz w:val="21"/>
                <w:szCs w:val="21"/>
                <w:highlight w:val="none"/>
                <w:lang w:eastAsia="zh-CN"/>
              </w:rPr>
              <w:t>考核</w:t>
            </w:r>
            <w:r>
              <w:rPr>
                <w:rFonts w:hint="eastAsia" w:ascii="宋体" w:hAnsi="宋体" w:eastAsia="宋体" w:cs="宋体"/>
                <w:color w:val="auto"/>
                <w:sz w:val="21"/>
                <w:szCs w:val="21"/>
                <w:highlight w:val="none"/>
                <w:lang w:val="en-US" w:eastAsia="zh-CN"/>
              </w:rPr>
              <w:t>制度及奖惩制度；</w:t>
            </w:r>
            <w:r>
              <w:rPr>
                <w:rFonts w:hint="eastAsia" w:ascii="宋体" w:hAnsi="宋体" w:eastAsia="宋体" w:cs="宋体"/>
                <w:bCs/>
                <w:color w:val="auto"/>
                <w:sz w:val="21"/>
                <w:szCs w:val="21"/>
                <w:highlight w:val="none"/>
                <w:lang w:val="en-US" w:eastAsia="zh-CN"/>
              </w:rPr>
              <w:t>设立督查小组，对所有拟投入实施项目的工作人员的工作进行监督检查</w:t>
            </w:r>
            <w:r>
              <w:rPr>
                <w:rFonts w:hint="eastAsia" w:ascii="宋体" w:hAnsi="宋体" w:eastAsia="宋体" w:cs="宋体"/>
                <w:color w:val="auto"/>
                <w:sz w:val="21"/>
                <w:szCs w:val="21"/>
                <w:highlight w:val="none"/>
              </w:rPr>
              <w:t>。</w:t>
            </w:r>
          </w:p>
        </w:tc>
        <w:tc>
          <w:tcPr>
            <w:tcW w:w="899" w:type="dxa"/>
            <w:noWrap w:val="0"/>
            <w:vAlign w:val="center"/>
          </w:tcPr>
          <w:p w14:paraId="6B9B126F">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2</w:t>
            </w:r>
          </w:p>
        </w:tc>
        <w:tc>
          <w:tcPr>
            <w:tcW w:w="1214" w:type="dxa"/>
            <w:noWrap w:val="0"/>
            <w:vAlign w:val="center"/>
          </w:tcPr>
          <w:p w14:paraId="2FD26C9D">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主观分</w:t>
            </w:r>
          </w:p>
        </w:tc>
      </w:tr>
      <w:tr w14:paraId="5074A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center"/>
          </w:tcPr>
          <w:p w14:paraId="4E4479B6">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5838" w:type="dxa"/>
            <w:noWrap w:val="0"/>
            <w:vAlign w:val="center"/>
          </w:tcPr>
          <w:p w14:paraId="5AFAB72F">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商务分</w:t>
            </w:r>
          </w:p>
        </w:tc>
        <w:tc>
          <w:tcPr>
            <w:tcW w:w="899" w:type="dxa"/>
            <w:noWrap w:val="0"/>
            <w:vAlign w:val="center"/>
          </w:tcPr>
          <w:p w14:paraId="155FFC00">
            <w:pPr>
              <w:keepNext w:val="0"/>
              <w:keepLines w:val="0"/>
              <w:pageBreakBefore w:val="0"/>
              <w:kinsoku/>
              <w:wordWrap/>
              <w:overflowPunct/>
              <w:topLinePunct w:val="0"/>
              <w:bidi w:val="0"/>
              <w:snapToGrid w:val="0"/>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16</w:t>
            </w:r>
          </w:p>
        </w:tc>
        <w:tc>
          <w:tcPr>
            <w:tcW w:w="1214" w:type="dxa"/>
            <w:noWrap w:val="0"/>
            <w:vAlign w:val="center"/>
          </w:tcPr>
          <w:p w14:paraId="18E1AD9B">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sz w:val="21"/>
                <w:szCs w:val="21"/>
                <w:highlight w:val="none"/>
              </w:rPr>
            </w:pPr>
          </w:p>
        </w:tc>
      </w:tr>
      <w:tr w14:paraId="289C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center"/>
          </w:tcPr>
          <w:p w14:paraId="0D4855C0">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w:t>
            </w:r>
          </w:p>
        </w:tc>
        <w:tc>
          <w:tcPr>
            <w:tcW w:w="5838" w:type="dxa"/>
            <w:noWrap w:val="0"/>
            <w:vAlign w:val="center"/>
          </w:tcPr>
          <w:p w14:paraId="09ACCCD1">
            <w:pPr>
              <w:keepNext w:val="0"/>
              <w:keepLines w:val="0"/>
              <w:pageBreakBefore w:val="0"/>
              <w:kinsoku/>
              <w:wordWrap/>
              <w:overflowPunct/>
              <w:topLinePunct w:val="0"/>
              <w:bidi w:val="0"/>
              <w:snapToGrid w:val="0"/>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val="0"/>
                <w:color w:val="auto"/>
                <w:kern w:val="2"/>
                <w:sz w:val="21"/>
                <w:szCs w:val="21"/>
                <w:highlight w:val="none"/>
                <w:lang w:val="en-US" w:eastAsia="zh-CN" w:bidi="ar-SA"/>
              </w:rPr>
              <w:t>业绩（</w:t>
            </w:r>
            <w:r>
              <w:rPr>
                <w:rFonts w:hint="eastAsia" w:ascii="宋体" w:hAnsi="宋体" w:cs="宋体"/>
                <w:b/>
                <w:bCs w:val="0"/>
                <w:color w:val="auto"/>
                <w:kern w:val="2"/>
                <w:sz w:val="21"/>
                <w:szCs w:val="21"/>
                <w:highlight w:val="none"/>
                <w:lang w:val="en-US" w:eastAsia="zh-CN" w:bidi="ar-SA"/>
              </w:rPr>
              <w:t>3</w:t>
            </w:r>
            <w:r>
              <w:rPr>
                <w:rFonts w:hint="eastAsia" w:ascii="宋体" w:hAnsi="宋体" w:eastAsia="宋体" w:cs="宋体"/>
                <w:b/>
                <w:bCs w:val="0"/>
                <w:color w:val="auto"/>
                <w:kern w:val="2"/>
                <w:sz w:val="21"/>
                <w:szCs w:val="21"/>
                <w:highlight w:val="none"/>
                <w:lang w:val="en-US" w:eastAsia="zh-CN" w:bidi="ar-SA"/>
              </w:rPr>
              <w:t>分）</w:t>
            </w:r>
          </w:p>
          <w:p w14:paraId="5AEE7AD4">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供应商2022年1月1日至磋商响应文件截止时间</w:t>
            </w:r>
            <w:r>
              <w:rPr>
                <w:rFonts w:hint="eastAsia" w:ascii="宋体" w:hAnsi="宋体" w:cs="宋体"/>
                <w:color w:val="auto"/>
                <w:sz w:val="21"/>
                <w:szCs w:val="21"/>
                <w:highlight w:val="none"/>
                <w:lang w:val="en-US" w:eastAsia="zh-CN"/>
              </w:rPr>
              <w:t>止</w:t>
            </w:r>
            <w:r>
              <w:rPr>
                <w:rFonts w:hint="eastAsia" w:ascii="宋体" w:hAnsi="宋体" w:eastAsia="宋体" w:cs="宋体"/>
                <w:color w:val="auto"/>
                <w:sz w:val="21"/>
                <w:szCs w:val="21"/>
                <w:highlight w:val="none"/>
                <w:lang w:val="en-US" w:eastAsia="zh-CN"/>
              </w:rPr>
              <w:t>（以合同签订时间为准)具有与采购内容相关的业绩，每提供一个项目业绩得2分，满分</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r>
              <w:rPr>
                <w:rFonts w:hint="eastAsia" w:ascii="宋体" w:hAnsi="宋体" w:eastAsia="宋体" w:cs="宋体"/>
                <w:b/>
                <w:bCs/>
                <w:color w:val="auto"/>
                <w:sz w:val="21"/>
                <w:szCs w:val="21"/>
                <w:highlight w:val="none"/>
                <w:lang w:val="en-US" w:eastAsia="zh-CN"/>
              </w:rPr>
              <w:t>[提供合同或中标（成交）通知书复印件并</w:t>
            </w:r>
            <w:r>
              <w:rPr>
                <w:rFonts w:hint="eastAsia" w:ascii="宋体" w:hAnsi="宋体" w:eastAsia="宋体" w:cs="宋体"/>
                <w:b/>
                <w:bCs/>
                <w:color w:val="auto"/>
                <w:sz w:val="21"/>
                <w:szCs w:val="21"/>
                <w:highlight w:val="none"/>
              </w:rPr>
              <w:t>加盖</w:t>
            </w:r>
            <w:r>
              <w:rPr>
                <w:rFonts w:hint="eastAsia" w:ascii="宋体" w:hAnsi="宋体" w:eastAsia="宋体" w:cs="宋体"/>
                <w:b/>
                <w:bCs/>
                <w:color w:val="auto"/>
                <w:sz w:val="21"/>
                <w:szCs w:val="21"/>
                <w:highlight w:val="none"/>
                <w:lang w:val="en-US" w:eastAsia="zh-CN"/>
              </w:rPr>
              <w:t>供应商电子</w:t>
            </w:r>
            <w:r>
              <w:rPr>
                <w:rFonts w:hint="eastAsia" w:ascii="宋体" w:hAnsi="宋体" w:eastAsia="宋体" w:cs="宋体"/>
                <w:b/>
                <w:bCs/>
                <w:color w:val="auto"/>
                <w:sz w:val="21"/>
                <w:szCs w:val="21"/>
                <w:highlight w:val="none"/>
              </w:rPr>
              <w:t>公章</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w:t>
            </w:r>
          </w:p>
        </w:tc>
        <w:tc>
          <w:tcPr>
            <w:tcW w:w="899" w:type="dxa"/>
            <w:noWrap w:val="0"/>
            <w:vAlign w:val="center"/>
          </w:tcPr>
          <w:p w14:paraId="46ED6019">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214" w:type="dxa"/>
            <w:noWrap w:val="0"/>
            <w:vAlign w:val="center"/>
          </w:tcPr>
          <w:p w14:paraId="19E02074">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客观分</w:t>
            </w:r>
          </w:p>
        </w:tc>
      </w:tr>
      <w:tr w14:paraId="1AA9D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center"/>
          </w:tcPr>
          <w:p w14:paraId="6BCE8A7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w:t>
            </w:r>
          </w:p>
        </w:tc>
        <w:tc>
          <w:tcPr>
            <w:tcW w:w="5838" w:type="dxa"/>
            <w:shd w:val="clear" w:color="auto" w:fill="auto"/>
            <w:noWrap w:val="0"/>
            <w:vAlign w:val="center"/>
          </w:tcPr>
          <w:p w14:paraId="15C60E81">
            <w:pPr>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strike w:val="0"/>
                <w:dstrike w:val="0"/>
                <w:color w:val="auto"/>
                <w:kern w:val="2"/>
                <w:sz w:val="21"/>
                <w:szCs w:val="21"/>
                <w:highlight w:val="none"/>
                <w:lang w:val="en-US" w:eastAsia="zh-CN" w:bidi="ar-SA"/>
              </w:rPr>
            </w:pPr>
            <w:r>
              <w:rPr>
                <w:rFonts w:hint="eastAsia" w:ascii="宋体" w:hAnsi="宋体" w:eastAsia="宋体" w:cs="宋体"/>
                <w:b/>
                <w:bCs/>
                <w:strike w:val="0"/>
                <w:dstrike w:val="0"/>
                <w:color w:val="auto"/>
                <w:kern w:val="2"/>
                <w:sz w:val="21"/>
                <w:szCs w:val="21"/>
                <w:highlight w:val="none"/>
                <w:lang w:val="en-US" w:eastAsia="zh-CN" w:bidi="ar-SA"/>
              </w:rPr>
              <w:t>供应商具有及时保供能力（10分）</w:t>
            </w:r>
          </w:p>
          <w:p w14:paraId="566A17A1">
            <w:pPr>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lang w:val="en-US" w:eastAsia="zh-CN"/>
              </w:rPr>
              <w:t>1</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lang w:val="en-US" w:eastAsia="zh-CN"/>
              </w:rPr>
              <w:t>具有食品分拣配送中心；</w:t>
            </w:r>
          </w:p>
          <w:p w14:paraId="42D1FAAF">
            <w:pPr>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（2）食品分拣配送中心具有独立食材操作间，操作间包含食材清洗、分类、加工功能分区；</w:t>
            </w:r>
          </w:p>
          <w:p w14:paraId="074A3542">
            <w:pPr>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（3）食品分拣配送中心具有独立留样室，留样室具备</w:t>
            </w:r>
            <w:r>
              <w:rPr>
                <w:rFonts w:hint="eastAsia" w:ascii="宋体" w:hAnsi="宋体" w:eastAsia="宋体" w:cs="宋体"/>
                <w:color w:val="auto"/>
                <w:sz w:val="21"/>
                <w:szCs w:val="21"/>
                <w:highlight w:val="none"/>
                <w:lang w:val="en-US" w:eastAsia="zh-CN"/>
              </w:rPr>
              <w:t>冷藏、食材分类保管功能</w:t>
            </w:r>
            <w:r>
              <w:rPr>
                <w:rFonts w:hint="eastAsia" w:ascii="宋体" w:hAnsi="宋体" w:eastAsia="宋体" w:cs="宋体"/>
                <w:strike w:val="0"/>
                <w:dstrike w:val="0"/>
                <w:color w:val="auto"/>
                <w:sz w:val="21"/>
                <w:szCs w:val="21"/>
                <w:highlight w:val="none"/>
                <w:lang w:val="en-US" w:eastAsia="zh-CN"/>
              </w:rPr>
              <w:t>；</w:t>
            </w:r>
          </w:p>
          <w:p w14:paraId="6D41DB34">
            <w:pPr>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（4）具备自有或者合作的</w:t>
            </w:r>
            <w:r>
              <w:rPr>
                <w:rFonts w:hint="eastAsia" w:ascii="宋体" w:hAnsi="宋体" w:eastAsia="宋体" w:cs="宋体"/>
                <w:strike w:val="0"/>
                <w:dstrike w:val="0"/>
                <w:color w:val="auto"/>
                <w:sz w:val="21"/>
                <w:szCs w:val="21"/>
                <w:highlight w:val="none"/>
                <w:lang w:val="en-US" w:eastAsia="zh-CN"/>
              </w:rPr>
              <w:t>种植基地</w:t>
            </w:r>
            <w:r>
              <w:rPr>
                <w:rFonts w:hint="eastAsia" w:ascii="宋体" w:hAnsi="宋体" w:eastAsia="宋体" w:cs="宋体"/>
                <w:strike w:val="0"/>
                <w:dstrike w:val="0"/>
                <w:color w:val="auto"/>
                <w:sz w:val="21"/>
                <w:szCs w:val="21"/>
                <w:highlight w:val="none"/>
                <w:lang w:val="en-US" w:eastAsia="zh-CN"/>
              </w:rPr>
              <w:t>；</w:t>
            </w:r>
          </w:p>
          <w:p w14:paraId="1205D8B8">
            <w:pPr>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（5）具备自有或者合作的</w:t>
            </w:r>
            <w:r>
              <w:rPr>
                <w:rFonts w:hint="eastAsia" w:ascii="宋体" w:hAnsi="宋体" w:eastAsia="宋体" w:cs="宋体"/>
                <w:strike w:val="0"/>
                <w:dstrike w:val="0"/>
                <w:color w:val="auto"/>
                <w:sz w:val="21"/>
                <w:szCs w:val="21"/>
                <w:highlight w:val="none"/>
                <w:lang w:val="en-US" w:eastAsia="zh-CN"/>
              </w:rPr>
              <w:t>养殖基地</w:t>
            </w:r>
            <w:r>
              <w:rPr>
                <w:rFonts w:hint="eastAsia" w:ascii="宋体" w:hAnsi="宋体" w:eastAsia="宋体" w:cs="宋体"/>
                <w:strike w:val="0"/>
                <w:dstrike w:val="0"/>
                <w:color w:val="auto"/>
                <w:sz w:val="21"/>
                <w:szCs w:val="21"/>
                <w:highlight w:val="none"/>
                <w:lang w:val="en-US" w:eastAsia="zh-CN"/>
              </w:rPr>
              <w:t>；</w:t>
            </w:r>
          </w:p>
          <w:p w14:paraId="7B993179">
            <w:pPr>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以上内容供应商每提供一项的2分，满分10分</w:t>
            </w:r>
            <w:r>
              <w:rPr>
                <w:rFonts w:hint="eastAsia" w:ascii="宋体" w:hAnsi="宋体" w:eastAsia="宋体" w:cs="宋体"/>
                <w:b w:val="0"/>
                <w:bCs w:val="0"/>
                <w:strike w:val="0"/>
                <w:dstrike w:val="0"/>
                <w:color w:val="auto"/>
                <w:sz w:val="21"/>
                <w:szCs w:val="21"/>
                <w:highlight w:val="none"/>
                <w:lang w:val="en-US" w:eastAsia="zh-CN"/>
              </w:rPr>
              <w:t>。</w:t>
            </w:r>
          </w:p>
          <w:p w14:paraId="39B5A738">
            <w:pPr>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w:t>
            </w:r>
          </w:p>
          <w:p w14:paraId="6AF5F168">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eastAsia="zh-CN"/>
              </w:rPr>
              <w:t>上述证明材料包括但不限于：</w:t>
            </w:r>
            <w:r>
              <w:rPr>
                <w:rFonts w:hint="eastAsia" w:ascii="宋体" w:hAnsi="宋体" w:eastAsia="宋体" w:cs="宋体"/>
                <w:b/>
                <w:bCs/>
                <w:strike w:val="0"/>
                <w:dstrike w:val="0"/>
                <w:color w:val="auto"/>
                <w:sz w:val="21"/>
                <w:szCs w:val="21"/>
                <w:highlight w:val="none"/>
              </w:rPr>
              <w:t>①</w:t>
            </w:r>
            <w:r>
              <w:rPr>
                <w:rFonts w:hint="eastAsia" w:ascii="宋体" w:hAnsi="宋体" w:eastAsia="宋体" w:cs="宋体"/>
                <w:b/>
                <w:bCs/>
                <w:color w:val="auto"/>
                <w:sz w:val="21"/>
                <w:szCs w:val="21"/>
                <w:highlight w:val="none"/>
                <w:lang w:val="en-US" w:eastAsia="zh-CN"/>
              </w:rPr>
              <w:t>分拣场地</w:t>
            </w:r>
            <w:r>
              <w:rPr>
                <w:rFonts w:hint="eastAsia" w:ascii="宋体" w:hAnsi="宋体" w:eastAsia="宋体" w:cs="宋体"/>
                <w:b/>
                <w:bCs/>
                <w:color w:val="auto"/>
                <w:sz w:val="21"/>
                <w:szCs w:val="21"/>
                <w:highlight w:val="none"/>
                <w:lang w:eastAsia="zh-CN"/>
              </w:rPr>
              <w:t>证明材料</w:t>
            </w:r>
            <w:r>
              <w:rPr>
                <w:rFonts w:hint="eastAsia" w:ascii="宋体" w:hAnsi="宋体" w:eastAsia="宋体" w:cs="宋体"/>
                <w:b/>
                <w:bCs/>
                <w:color w:val="auto"/>
                <w:sz w:val="21"/>
                <w:szCs w:val="21"/>
                <w:highlight w:val="none"/>
                <w:lang w:val="en-US" w:eastAsia="zh-CN"/>
              </w:rPr>
              <w:t>及</w:t>
            </w:r>
            <w:r>
              <w:rPr>
                <w:rFonts w:hint="eastAsia" w:ascii="宋体" w:hAnsi="宋体" w:eastAsia="宋体" w:cs="宋体"/>
                <w:b/>
                <w:bCs/>
                <w:color w:val="auto"/>
                <w:sz w:val="21"/>
                <w:szCs w:val="21"/>
                <w:highlight w:val="none"/>
                <w:lang w:eastAsia="zh-CN"/>
              </w:rPr>
              <w:t>图片；</w:t>
            </w:r>
            <w:r>
              <w:rPr>
                <w:rFonts w:hint="eastAsia" w:ascii="宋体" w:hAnsi="宋体" w:eastAsia="宋体" w:cs="宋体"/>
                <w:b/>
                <w:bCs/>
                <w:strike w:val="0"/>
                <w:dstrike w:val="0"/>
                <w:color w:val="auto"/>
                <w:sz w:val="21"/>
                <w:szCs w:val="21"/>
                <w:highlight w:val="none"/>
                <w:lang w:val="en-US" w:eastAsia="zh-CN"/>
              </w:rPr>
              <w:t>②</w:t>
            </w:r>
            <w:r>
              <w:rPr>
                <w:rFonts w:hint="eastAsia" w:ascii="宋体" w:hAnsi="宋体" w:eastAsia="宋体" w:cs="宋体"/>
                <w:b/>
                <w:bCs/>
                <w:color w:val="auto"/>
                <w:sz w:val="21"/>
                <w:szCs w:val="21"/>
                <w:highlight w:val="none"/>
                <w:lang w:val="en-US" w:eastAsia="zh-CN"/>
              </w:rPr>
              <w:t>食材操作间图片；</w:t>
            </w:r>
            <w:r>
              <w:rPr>
                <w:rFonts w:hint="eastAsia" w:ascii="宋体" w:hAnsi="宋体" w:eastAsia="宋体" w:cs="宋体"/>
                <w:b/>
                <w:bCs/>
                <w:strike w:val="0"/>
                <w:dstrike w:val="0"/>
                <w:color w:val="auto"/>
                <w:sz w:val="21"/>
                <w:szCs w:val="21"/>
                <w:highlight w:val="none"/>
                <w:lang w:val="en-US" w:eastAsia="zh-CN"/>
              </w:rPr>
              <w:t>③留样室图片；④</w:t>
            </w:r>
            <w:r>
              <w:rPr>
                <w:rFonts w:hint="eastAsia" w:ascii="宋体" w:hAnsi="宋体" w:cs="宋体"/>
                <w:b/>
                <w:bCs/>
                <w:color w:val="auto"/>
                <w:sz w:val="21"/>
                <w:szCs w:val="21"/>
                <w:highlight w:val="none"/>
                <w:lang w:val="en-US" w:eastAsia="zh-CN"/>
              </w:rPr>
              <w:t>种植基地场地</w:t>
            </w:r>
            <w:r>
              <w:rPr>
                <w:rFonts w:hint="eastAsia" w:ascii="宋体" w:hAnsi="宋体" w:eastAsia="宋体" w:cs="宋体"/>
                <w:b/>
                <w:bCs/>
                <w:color w:val="auto"/>
                <w:sz w:val="21"/>
                <w:szCs w:val="21"/>
                <w:highlight w:val="none"/>
                <w:lang w:eastAsia="zh-CN"/>
              </w:rPr>
              <w:t>证明材料</w:t>
            </w:r>
            <w:r>
              <w:rPr>
                <w:rFonts w:hint="eastAsia" w:ascii="宋体" w:hAnsi="宋体" w:eastAsia="宋体" w:cs="宋体"/>
                <w:b/>
                <w:bCs/>
                <w:color w:val="auto"/>
                <w:sz w:val="21"/>
                <w:szCs w:val="21"/>
                <w:highlight w:val="none"/>
                <w:lang w:val="en-US" w:eastAsia="zh-CN"/>
              </w:rPr>
              <w:t>及</w:t>
            </w:r>
            <w:r>
              <w:rPr>
                <w:rFonts w:hint="eastAsia" w:ascii="宋体" w:hAnsi="宋体" w:eastAsia="宋体" w:cs="宋体"/>
                <w:b/>
                <w:bCs/>
                <w:color w:val="auto"/>
                <w:sz w:val="21"/>
                <w:szCs w:val="21"/>
                <w:highlight w:val="none"/>
                <w:lang w:eastAsia="zh-CN"/>
              </w:rPr>
              <w:t>图片；</w:t>
            </w:r>
            <w:r>
              <w:rPr>
                <w:rFonts w:hint="eastAsia" w:ascii="宋体" w:hAnsi="宋体" w:eastAsia="宋体" w:cs="宋体"/>
                <w:b/>
                <w:bCs/>
                <w:strike w:val="0"/>
                <w:dstrike w:val="0"/>
                <w:color w:val="auto"/>
                <w:sz w:val="21"/>
                <w:szCs w:val="21"/>
                <w:highlight w:val="none"/>
                <w:lang w:val="en-US" w:eastAsia="zh-CN"/>
              </w:rPr>
              <w:t>⑤</w:t>
            </w:r>
            <w:r>
              <w:rPr>
                <w:rFonts w:hint="eastAsia" w:ascii="宋体" w:hAnsi="宋体" w:cs="宋体"/>
                <w:b/>
                <w:bCs/>
                <w:strike w:val="0"/>
                <w:dstrike w:val="0"/>
                <w:color w:val="auto"/>
                <w:sz w:val="21"/>
                <w:szCs w:val="21"/>
                <w:highlight w:val="none"/>
                <w:lang w:val="en-US" w:eastAsia="zh-CN"/>
              </w:rPr>
              <w:t>养殖</w:t>
            </w:r>
            <w:r>
              <w:rPr>
                <w:rFonts w:hint="eastAsia" w:ascii="宋体" w:hAnsi="宋体" w:eastAsia="宋体" w:cs="宋体"/>
                <w:b/>
                <w:bCs/>
                <w:color w:val="auto"/>
                <w:sz w:val="21"/>
                <w:szCs w:val="21"/>
                <w:highlight w:val="none"/>
                <w:lang w:val="en-US" w:eastAsia="zh-CN"/>
              </w:rPr>
              <w:t>基地场地</w:t>
            </w:r>
            <w:r>
              <w:rPr>
                <w:rFonts w:hint="eastAsia" w:ascii="宋体" w:hAnsi="宋体" w:eastAsia="宋体" w:cs="宋体"/>
                <w:b/>
                <w:bCs/>
                <w:color w:val="auto"/>
                <w:sz w:val="21"/>
                <w:szCs w:val="21"/>
                <w:highlight w:val="none"/>
                <w:lang w:val="en-US" w:eastAsia="zh-CN"/>
              </w:rPr>
              <w:t>证明材料及图片等</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未提供不得分</w:t>
            </w:r>
            <w:r>
              <w:rPr>
                <w:rFonts w:hint="eastAsia" w:ascii="宋体" w:hAnsi="宋体" w:eastAsia="宋体" w:cs="宋体"/>
                <w:b/>
                <w:bCs/>
                <w:color w:val="auto"/>
                <w:sz w:val="21"/>
                <w:szCs w:val="21"/>
                <w:highlight w:val="none"/>
                <w:lang w:eastAsia="zh-CN"/>
              </w:rPr>
              <w:t>。</w:t>
            </w:r>
          </w:p>
          <w:p w14:paraId="6E7BE453">
            <w:pPr>
              <w:pStyle w:val="3"/>
              <w:keepNext w:val="0"/>
              <w:keepLines w:val="0"/>
              <w:pageBreakBefore w:val="0"/>
              <w:widowControl w:val="0"/>
              <w:numPr>
                <w:ilvl w:val="0"/>
                <w:numId w:val="0"/>
              </w:numPr>
              <w:kinsoku/>
              <w:wordWrap/>
              <w:overflowPunct/>
              <w:topLinePunct w:val="0"/>
              <w:autoSpaceDE/>
              <w:autoSpaceDN/>
              <w:bidi w:val="0"/>
              <w:adjustRightInd/>
              <w:spacing w:line="400" w:lineRule="exact"/>
              <w:ind w:leftChars="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strike w:val="0"/>
                <w:dstrike w:val="0"/>
                <w:color w:val="auto"/>
                <w:sz w:val="21"/>
                <w:szCs w:val="21"/>
                <w:highlight w:val="none"/>
              </w:rPr>
              <w:t>①</w:t>
            </w:r>
            <w:r>
              <w:rPr>
                <w:rFonts w:hint="eastAsia" w:ascii="宋体" w:hAnsi="宋体" w:eastAsia="宋体" w:cs="宋体"/>
                <w:b/>
                <w:bCs/>
                <w:color w:val="auto"/>
                <w:sz w:val="21"/>
                <w:szCs w:val="21"/>
                <w:highlight w:val="none"/>
                <w:lang w:val="en-US" w:eastAsia="zh-CN"/>
              </w:rPr>
              <w:t>所有场地、基地为供应商自有的，</w:t>
            </w:r>
            <w:r>
              <w:rPr>
                <w:rFonts w:hint="eastAsia" w:ascii="宋体" w:hAnsi="宋体" w:eastAsia="宋体" w:cs="宋体"/>
                <w:b/>
                <w:bCs/>
                <w:color w:val="auto"/>
                <w:sz w:val="21"/>
                <w:szCs w:val="21"/>
                <w:highlight w:val="none"/>
                <w:lang w:eastAsia="zh-CN"/>
              </w:rPr>
              <w:t>提供房产证明或其它有效证明材料复印件；</w:t>
            </w:r>
            <w:r>
              <w:rPr>
                <w:rFonts w:hint="eastAsia" w:ascii="宋体" w:hAnsi="宋体" w:eastAsia="宋体" w:cs="宋体"/>
                <w:b/>
                <w:bCs/>
                <w:strike w:val="0"/>
                <w:dstrike w:val="0"/>
                <w:color w:val="auto"/>
                <w:sz w:val="21"/>
                <w:szCs w:val="21"/>
                <w:highlight w:val="none"/>
                <w:lang w:val="en-US" w:eastAsia="zh-CN"/>
              </w:rPr>
              <w:t>②供应商</w:t>
            </w:r>
            <w:r>
              <w:rPr>
                <w:rFonts w:hint="eastAsia" w:ascii="宋体" w:hAnsi="宋体" w:eastAsia="宋体" w:cs="宋体"/>
                <w:b/>
                <w:bCs/>
                <w:color w:val="auto"/>
                <w:sz w:val="21"/>
                <w:szCs w:val="21"/>
                <w:highlight w:val="none"/>
                <w:lang w:val="en-US" w:eastAsia="zh-CN"/>
              </w:rPr>
              <w:t>与场地、基地合作的，提供合作协议复印件</w:t>
            </w:r>
            <w:r>
              <w:rPr>
                <w:rFonts w:hint="eastAsia" w:ascii="宋体" w:hAnsi="宋体" w:eastAsia="宋体" w:cs="宋体"/>
                <w:b/>
                <w:bCs/>
                <w:color w:val="auto"/>
                <w:sz w:val="21"/>
                <w:szCs w:val="21"/>
                <w:highlight w:val="none"/>
                <w:lang w:eastAsia="zh-CN"/>
              </w:rPr>
              <w:t>或其它有效证明材料。</w:t>
            </w:r>
          </w:p>
          <w:p w14:paraId="68BE4C87">
            <w:pPr>
              <w:pStyle w:val="3"/>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firstLine="0" w:firstLineChars="0"/>
              <w:textAlignment w:val="auto"/>
              <w:rPr>
                <w:rFonts w:hint="eastAsia" w:ascii="宋体" w:hAnsi="宋体" w:eastAsia="宋体" w:cs="宋体"/>
                <w:b/>
                <w:bCs/>
                <w:color w:val="auto"/>
                <w:kern w:val="2"/>
                <w:sz w:val="21"/>
                <w:szCs w:val="21"/>
                <w:highlight w:val="none"/>
                <w:lang w:val="zh-CN" w:eastAsia="zh-CN" w:bidi="ar-SA"/>
              </w:rPr>
            </w:pPr>
            <w:r>
              <w:rPr>
                <w:rFonts w:hint="eastAsia" w:ascii="宋体" w:hAnsi="宋体" w:eastAsia="宋体" w:cs="宋体"/>
                <w:b/>
                <w:bCs/>
                <w:color w:val="auto"/>
                <w:sz w:val="21"/>
                <w:szCs w:val="21"/>
                <w:highlight w:val="none"/>
                <w:lang w:eastAsia="zh-CN"/>
              </w:rPr>
              <w:t>以上证明材料均需加盖供应商电子公章。</w:t>
            </w:r>
          </w:p>
        </w:tc>
        <w:tc>
          <w:tcPr>
            <w:tcW w:w="899" w:type="dxa"/>
            <w:shd w:val="clear" w:color="auto" w:fill="auto"/>
            <w:noWrap w:val="0"/>
            <w:vAlign w:val="center"/>
          </w:tcPr>
          <w:p w14:paraId="632182A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10</w:t>
            </w:r>
          </w:p>
        </w:tc>
        <w:tc>
          <w:tcPr>
            <w:tcW w:w="1214" w:type="dxa"/>
            <w:shd w:val="clear" w:color="auto" w:fill="auto"/>
            <w:noWrap w:val="0"/>
            <w:vAlign w:val="center"/>
          </w:tcPr>
          <w:p w14:paraId="0618C6A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客观分</w:t>
            </w:r>
          </w:p>
        </w:tc>
      </w:tr>
    </w:tbl>
    <w:p w14:paraId="65F6088A">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b/>
          <w:color w:val="auto"/>
          <w:sz w:val="24"/>
          <w:highlight w:val="none"/>
        </w:rPr>
        <w:t>备注</w:t>
      </w:r>
      <w:r>
        <w:rPr>
          <w:rFonts w:hint="eastAsia" w:ascii="宋体" w:hAnsi="宋体" w:eastAsia="宋体" w:cs="宋体"/>
          <w:b/>
          <w:color w:val="auto"/>
          <w:sz w:val="24"/>
          <w:highlight w:val="none"/>
          <w:lang w:eastAsia="zh-CN"/>
        </w:rPr>
        <w:t>：</w:t>
      </w:r>
      <w:r>
        <w:rPr>
          <w:rFonts w:hint="eastAsia" w:ascii="宋体" w:hAnsi="宋体" w:eastAsia="宋体" w:cs="宋体"/>
          <w:color w:val="auto"/>
          <w:sz w:val="24"/>
          <w:highlight w:val="none"/>
        </w:rPr>
        <w:t>供应商编制响应文件（商务技术文件部分）时，建议按此目录（序号和内容）提供评标标准相应的商务技术资料。</w:t>
      </w:r>
    </w:p>
    <w:p w14:paraId="6F2E612D">
      <w:pPr>
        <w:adjustRightInd/>
        <w:spacing w:line="360" w:lineRule="auto"/>
        <w:ind w:firstLine="482" w:firstLineChars="200"/>
        <w:rPr>
          <w:rFonts w:hint="eastAsia" w:ascii="宋体" w:hAnsi="宋体" w:eastAsia="宋体" w:cs="宋体"/>
          <w:b/>
          <w:color w:val="auto"/>
          <w:kern w:val="0"/>
          <w:sz w:val="24"/>
          <w:highlight w:val="none"/>
        </w:rPr>
      </w:pPr>
    </w:p>
    <w:p w14:paraId="412A7BFC">
      <w:pPr>
        <w:rPr>
          <w:rFonts w:hint="eastAsia" w:ascii="宋体" w:hAnsi="宋体" w:eastAsia="宋体" w:cs="宋体"/>
          <w:b/>
          <w:color w:val="auto"/>
          <w:sz w:val="32"/>
          <w:highlight w:val="none"/>
        </w:rPr>
      </w:pPr>
      <w:r>
        <w:rPr>
          <w:rFonts w:hint="eastAsia" w:ascii="宋体" w:hAnsi="宋体" w:eastAsia="宋体" w:cs="宋体"/>
          <w:b/>
          <w:color w:val="auto"/>
          <w:sz w:val="32"/>
          <w:highlight w:val="none"/>
        </w:rPr>
        <w:br w:type="page"/>
      </w:r>
    </w:p>
    <w:p w14:paraId="06C09A27">
      <w:pPr>
        <w:pStyle w:val="394"/>
        <w:spacing w:before="0"/>
        <w:ind w:firstLine="643"/>
        <w:jc w:val="center"/>
        <w:outlineLvl w:val="9"/>
        <w:rPr>
          <w:rFonts w:hint="eastAsia" w:ascii="宋体" w:hAnsi="宋体" w:eastAsia="宋体" w:cs="宋体"/>
          <w:b/>
          <w:color w:val="auto"/>
          <w:highlight w:val="none"/>
        </w:rPr>
      </w:pPr>
      <w:r>
        <w:rPr>
          <w:rFonts w:hint="eastAsia" w:ascii="宋体" w:hAnsi="宋体" w:eastAsia="宋体" w:cs="宋体"/>
          <w:b/>
          <w:color w:val="auto"/>
          <w:sz w:val="32"/>
          <w:highlight w:val="none"/>
        </w:rPr>
        <w:t>一、评审方法</w:t>
      </w:r>
    </w:p>
    <w:p w14:paraId="19131C8F">
      <w:pPr>
        <w:adjustRightInd/>
        <w:spacing w:line="360" w:lineRule="auto"/>
        <w:outlineLvl w:val="9"/>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1.综合评分法。</w:t>
      </w:r>
      <w:r>
        <w:rPr>
          <w:rFonts w:hint="eastAsia" w:ascii="宋体" w:hAnsi="宋体" w:eastAsia="宋体" w:cs="宋体"/>
          <w:color w:val="auto"/>
          <w:kern w:val="0"/>
          <w:sz w:val="24"/>
          <w:highlight w:val="none"/>
        </w:rPr>
        <w:t>综合评分法，是指响应文件满足磋商文件全部实质性要求，且按照评审因素的量化指标评审得分最高的供应商为成交候选人的评审方法。</w:t>
      </w:r>
    </w:p>
    <w:p w14:paraId="56479934">
      <w:pPr>
        <w:adjustRightInd/>
        <w:spacing w:line="360" w:lineRule="auto"/>
        <w:outlineLvl w:val="9"/>
        <w:rPr>
          <w:rFonts w:hint="eastAsia" w:ascii="宋体" w:hAnsi="宋体" w:eastAsia="宋体" w:cs="宋体"/>
          <w:color w:val="auto"/>
          <w:kern w:val="0"/>
          <w:sz w:val="24"/>
          <w:highlight w:val="none"/>
        </w:rPr>
      </w:pPr>
    </w:p>
    <w:p w14:paraId="111ED5F6">
      <w:pPr>
        <w:snapToGrid w:val="0"/>
        <w:spacing w:line="360" w:lineRule="auto"/>
        <w:ind w:left="120" w:leftChars="57" w:firstLine="482" w:firstLineChars="150"/>
        <w:jc w:val="center"/>
        <w:outlineLvl w:val="9"/>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二、磋商小组的组成</w:t>
      </w:r>
    </w:p>
    <w:p w14:paraId="290827B6">
      <w:pPr>
        <w:pStyle w:val="394"/>
        <w:spacing w:before="0"/>
        <w:ind w:firstLine="0" w:firstLineChars="0"/>
        <w:outlineLvl w:val="9"/>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1.磋商小组的组成。</w:t>
      </w:r>
    </w:p>
    <w:p w14:paraId="3E017511">
      <w:pPr>
        <w:pStyle w:val="394"/>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2EEEDAA5">
      <w:pPr>
        <w:pStyle w:val="394"/>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44273A66">
      <w:pPr>
        <w:snapToGrid w:val="0"/>
        <w:spacing w:line="360" w:lineRule="auto"/>
        <w:outlineLvl w:val="9"/>
        <w:rPr>
          <w:rFonts w:hint="eastAsia" w:ascii="宋体" w:hAnsi="宋体" w:eastAsia="宋体" w:cs="宋体"/>
          <w:b/>
          <w:color w:val="auto"/>
          <w:kern w:val="0"/>
          <w:sz w:val="24"/>
          <w:szCs w:val="20"/>
          <w:highlight w:val="none"/>
        </w:rPr>
      </w:pPr>
      <w:r>
        <w:rPr>
          <w:rFonts w:hint="eastAsia" w:ascii="宋体" w:hAnsi="宋体" w:eastAsia="宋体" w:cs="宋体"/>
          <w:b/>
          <w:color w:val="auto"/>
          <w:kern w:val="0"/>
          <w:sz w:val="24"/>
          <w:szCs w:val="20"/>
          <w:highlight w:val="none"/>
        </w:rPr>
        <w:t>2.磋商小组的组成人员的回避。</w:t>
      </w:r>
    </w:p>
    <w:p w14:paraId="6CC3F267">
      <w:pPr>
        <w:pStyle w:val="394"/>
        <w:spacing w:before="0"/>
        <w:ind w:firstLine="480"/>
        <w:outlineLvl w:val="9"/>
        <w:rPr>
          <w:rFonts w:hint="eastAsia" w:ascii="宋体" w:hAnsi="宋体" w:eastAsia="宋体" w:cs="宋体"/>
          <w:color w:val="auto"/>
          <w:highlight w:val="none"/>
          <w:lang w:eastAsia="zh-CN"/>
        </w:rPr>
      </w:pPr>
      <w:r>
        <w:rPr>
          <w:rFonts w:hint="eastAsia" w:ascii="宋体" w:hAnsi="宋体" w:eastAsia="宋体" w:cs="宋体"/>
          <w:color w:val="auto"/>
          <w:highlight w:val="none"/>
        </w:rPr>
        <w:t>在政府采购活动中，磋商小组的组成人员与供应商有下列利害关系之一的，应当回避</w:t>
      </w:r>
      <w:r>
        <w:rPr>
          <w:rFonts w:hint="eastAsia" w:ascii="宋体" w:hAnsi="宋体" w:eastAsia="宋体" w:cs="宋体"/>
          <w:color w:val="auto"/>
          <w:highlight w:val="none"/>
          <w:lang w:eastAsia="zh-CN"/>
        </w:rPr>
        <w:t>：</w:t>
      </w:r>
    </w:p>
    <w:p w14:paraId="2B50DFA1">
      <w:pPr>
        <w:pStyle w:val="394"/>
        <w:spacing w:before="0"/>
        <w:ind w:firstLine="0" w:firstLineChars="0"/>
        <w:outlineLvl w:val="9"/>
        <w:rPr>
          <w:rFonts w:hint="eastAsia" w:ascii="宋体" w:hAnsi="宋体" w:eastAsia="宋体" w:cs="宋体"/>
          <w:color w:val="auto"/>
          <w:kern w:val="0"/>
          <w:highlight w:val="none"/>
        </w:rPr>
      </w:pPr>
      <w:r>
        <w:rPr>
          <w:rFonts w:hint="eastAsia" w:ascii="宋体" w:hAnsi="宋体" w:eastAsia="宋体" w:cs="宋体"/>
          <w:color w:val="auto"/>
          <w:kern w:val="0"/>
          <w:highlight w:val="none"/>
        </w:rPr>
        <w:t>　　2.1参加采购活动前3年内与供应商存在劳动关系；</w:t>
      </w:r>
    </w:p>
    <w:p w14:paraId="6FB90865">
      <w:pPr>
        <w:pStyle w:val="394"/>
        <w:spacing w:before="0"/>
        <w:ind w:firstLine="0" w:firstLineChars="0"/>
        <w:outlineLvl w:val="9"/>
        <w:rPr>
          <w:rFonts w:hint="eastAsia" w:ascii="宋体" w:hAnsi="宋体" w:eastAsia="宋体" w:cs="宋体"/>
          <w:color w:val="auto"/>
          <w:kern w:val="0"/>
          <w:highlight w:val="none"/>
        </w:rPr>
      </w:pPr>
      <w:r>
        <w:rPr>
          <w:rFonts w:hint="eastAsia" w:ascii="宋体" w:hAnsi="宋体" w:eastAsia="宋体" w:cs="宋体"/>
          <w:color w:val="auto"/>
          <w:kern w:val="0"/>
          <w:highlight w:val="none"/>
        </w:rPr>
        <w:t>　　2.2参加采购活动前3年内担任供应商的董事、监事；</w:t>
      </w:r>
    </w:p>
    <w:p w14:paraId="10542609">
      <w:pPr>
        <w:pStyle w:val="394"/>
        <w:spacing w:before="0"/>
        <w:ind w:firstLine="0" w:firstLineChars="0"/>
        <w:outlineLvl w:val="9"/>
        <w:rPr>
          <w:rFonts w:hint="eastAsia" w:ascii="宋体" w:hAnsi="宋体" w:eastAsia="宋体" w:cs="宋体"/>
          <w:color w:val="auto"/>
          <w:kern w:val="0"/>
          <w:highlight w:val="none"/>
        </w:rPr>
      </w:pPr>
      <w:r>
        <w:rPr>
          <w:rFonts w:hint="eastAsia" w:ascii="宋体" w:hAnsi="宋体" w:eastAsia="宋体" w:cs="宋体"/>
          <w:color w:val="auto"/>
          <w:kern w:val="0"/>
          <w:highlight w:val="none"/>
        </w:rPr>
        <w:t>　　2.3参加采购活动前3年内是供应商的控股股东或者实际控制人；</w:t>
      </w:r>
    </w:p>
    <w:p w14:paraId="7825968D">
      <w:pPr>
        <w:pStyle w:val="394"/>
        <w:spacing w:before="0"/>
        <w:ind w:firstLine="480" w:firstLineChars="0"/>
        <w:outlineLvl w:val="9"/>
        <w:rPr>
          <w:rFonts w:hint="eastAsia" w:ascii="宋体" w:hAnsi="宋体" w:eastAsia="宋体" w:cs="宋体"/>
          <w:color w:val="auto"/>
          <w:kern w:val="0"/>
          <w:highlight w:val="none"/>
        </w:rPr>
      </w:pPr>
      <w:r>
        <w:rPr>
          <w:rFonts w:hint="eastAsia" w:ascii="宋体" w:hAnsi="宋体" w:eastAsia="宋体" w:cs="宋体"/>
          <w:color w:val="auto"/>
          <w:kern w:val="0"/>
          <w:highlight w:val="none"/>
        </w:rPr>
        <w:t>2.4与供应商的法定代表人或者负责人有夫妻、直系血亲、三代以内旁系血亲或者近姻亲关系；</w:t>
      </w:r>
    </w:p>
    <w:p w14:paraId="0E9B744D">
      <w:pPr>
        <w:pStyle w:val="394"/>
        <w:spacing w:before="0"/>
        <w:ind w:firstLine="480" w:firstLineChars="0"/>
        <w:outlineLvl w:val="9"/>
        <w:rPr>
          <w:rFonts w:hint="eastAsia" w:ascii="宋体" w:hAnsi="宋体" w:eastAsia="宋体" w:cs="宋体"/>
          <w:color w:val="auto"/>
          <w:kern w:val="0"/>
          <w:highlight w:val="none"/>
        </w:rPr>
      </w:pPr>
      <w:r>
        <w:rPr>
          <w:rFonts w:hint="eastAsia" w:ascii="宋体" w:hAnsi="宋体" w:eastAsia="宋体" w:cs="宋体"/>
          <w:color w:val="auto"/>
          <w:kern w:val="0"/>
          <w:highlight w:val="none"/>
        </w:rPr>
        <w:t>2.5与供应商有其他可能影响政府采购活动公平、公正进行的关系。</w:t>
      </w:r>
    </w:p>
    <w:p w14:paraId="7506D9D5">
      <w:pPr>
        <w:snapToGrid w:val="0"/>
        <w:spacing w:line="360" w:lineRule="auto"/>
        <w:ind w:left="120" w:leftChars="57" w:firstLine="482" w:firstLineChars="150"/>
        <w:jc w:val="center"/>
        <w:outlineLvl w:val="9"/>
        <w:rPr>
          <w:rFonts w:hint="eastAsia" w:ascii="宋体" w:hAnsi="宋体" w:eastAsia="宋体" w:cs="宋体"/>
          <w:b/>
          <w:color w:val="auto"/>
          <w:sz w:val="32"/>
          <w:highlight w:val="none"/>
        </w:rPr>
      </w:pPr>
    </w:p>
    <w:p w14:paraId="1C39529C">
      <w:pPr>
        <w:snapToGrid w:val="0"/>
        <w:spacing w:line="360" w:lineRule="auto"/>
        <w:ind w:left="120" w:leftChars="57" w:firstLine="482" w:firstLineChars="150"/>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highlight w:val="none"/>
        </w:rPr>
        <w:t>三、磋商小组的职责</w:t>
      </w:r>
    </w:p>
    <w:p w14:paraId="55D4B171">
      <w:pPr>
        <w:pStyle w:val="394"/>
        <w:spacing w:before="0"/>
        <w:ind w:firstLine="0" w:firstLineChars="0"/>
        <w:outlineLvl w:val="9"/>
        <w:rPr>
          <w:rFonts w:hint="eastAsia" w:ascii="宋体" w:hAnsi="宋体" w:eastAsia="宋体" w:cs="宋体"/>
          <w:b/>
          <w:color w:val="auto"/>
          <w:kern w:val="0"/>
          <w:szCs w:val="24"/>
          <w:highlight w:val="none"/>
          <w:lang w:eastAsia="zh-CN"/>
        </w:rPr>
      </w:pPr>
      <w:r>
        <w:rPr>
          <w:rFonts w:hint="eastAsia" w:ascii="宋体" w:hAnsi="宋体" w:eastAsia="宋体" w:cs="宋体"/>
          <w:b/>
          <w:color w:val="auto"/>
          <w:kern w:val="0"/>
          <w:szCs w:val="24"/>
          <w:highlight w:val="none"/>
        </w:rPr>
        <w:t>1.磋商小组负责具体评审事务，并独立履行下列职责</w:t>
      </w:r>
      <w:r>
        <w:rPr>
          <w:rFonts w:hint="eastAsia" w:ascii="宋体" w:hAnsi="宋体" w:eastAsia="宋体" w:cs="宋体"/>
          <w:b/>
          <w:color w:val="auto"/>
          <w:kern w:val="0"/>
          <w:szCs w:val="24"/>
          <w:highlight w:val="none"/>
          <w:lang w:eastAsia="zh-CN"/>
        </w:rPr>
        <w:t>：</w:t>
      </w:r>
    </w:p>
    <w:p w14:paraId="685591A3">
      <w:pPr>
        <w:pStyle w:val="394"/>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1.1</w:t>
      </w:r>
      <w:r>
        <w:rPr>
          <w:rFonts w:hint="eastAsia" w:ascii="宋体" w:hAnsi="宋体" w:eastAsia="宋体" w:cs="宋体"/>
          <w:color w:val="auto"/>
          <w:szCs w:val="24"/>
          <w:highlight w:val="none"/>
        </w:rPr>
        <w:t>对供应商的资格进行审查；</w:t>
      </w:r>
      <w:r>
        <w:rPr>
          <w:rFonts w:hint="eastAsia" w:ascii="宋体" w:hAnsi="宋体" w:eastAsia="宋体" w:cs="宋体"/>
          <w:color w:val="auto"/>
          <w:highlight w:val="none"/>
        </w:rPr>
        <w:t>对响应文件的有效性、完整性和响应程度进行审查；</w:t>
      </w:r>
    </w:p>
    <w:p w14:paraId="5C7DB3EE">
      <w:pPr>
        <w:pStyle w:val="394"/>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1.2审查、评价响应文件是否符合磋商文件的商务、技术等实质性要求；</w:t>
      </w:r>
    </w:p>
    <w:p w14:paraId="021EEE43">
      <w:pPr>
        <w:pStyle w:val="394"/>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1.3要求供应商对响应文件有关事项作出澄清、说明或者更正；</w:t>
      </w:r>
    </w:p>
    <w:p w14:paraId="26D609AB">
      <w:pPr>
        <w:pStyle w:val="394"/>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1.4磋商小组集中与单一供应商分别进行磋商；</w:t>
      </w:r>
    </w:p>
    <w:p w14:paraId="55C8A13A">
      <w:pPr>
        <w:pStyle w:val="394"/>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1.5确定磋商文件的变动情况，并确定提交最后报价的供应商；</w:t>
      </w:r>
    </w:p>
    <w:p w14:paraId="4E21ECE4">
      <w:pPr>
        <w:pStyle w:val="394"/>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1.6根据磋商文件确定的评审办法及评审标准对提交最后报价的供应商的响应文件和最后报价采用综合评分法进行综合评分；</w:t>
      </w:r>
    </w:p>
    <w:p w14:paraId="18258FBB">
      <w:pPr>
        <w:pStyle w:val="394"/>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1.7编制评审报告，确定成交候选人名单，以及根据采购人委托直接确定成交人；</w:t>
      </w:r>
    </w:p>
    <w:p w14:paraId="47F035C9">
      <w:pPr>
        <w:pStyle w:val="394"/>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1.8向采购人、采购代理机构或者有关部门报告评审中发现的违法行为；</w:t>
      </w:r>
    </w:p>
    <w:p w14:paraId="2E2DA3CF">
      <w:pPr>
        <w:pStyle w:val="394"/>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1.9法律、法规、规章、磋商文件等规定的其它事项。</w:t>
      </w:r>
    </w:p>
    <w:p w14:paraId="31BD8811">
      <w:pPr>
        <w:pStyle w:val="394"/>
        <w:spacing w:before="0"/>
        <w:ind w:firstLine="0" w:firstLineChars="0"/>
        <w:outlineLvl w:val="9"/>
        <w:rPr>
          <w:rFonts w:hint="eastAsia" w:ascii="宋体" w:hAnsi="宋体" w:eastAsia="宋体" w:cs="宋体"/>
          <w:b/>
          <w:color w:val="auto"/>
          <w:kern w:val="0"/>
          <w:szCs w:val="24"/>
          <w:highlight w:val="none"/>
          <w:lang w:eastAsia="zh-CN"/>
        </w:rPr>
      </w:pPr>
      <w:r>
        <w:rPr>
          <w:rFonts w:hint="eastAsia" w:ascii="宋体" w:hAnsi="宋体" w:eastAsia="宋体" w:cs="宋体"/>
          <w:b/>
          <w:color w:val="auto"/>
          <w:kern w:val="0"/>
          <w:szCs w:val="24"/>
          <w:highlight w:val="none"/>
        </w:rPr>
        <w:t>2.磋商小组及其成员不得有下列行为</w:t>
      </w:r>
      <w:r>
        <w:rPr>
          <w:rFonts w:hint="eastAsia" w:ascii="宋体" w:hAnsi="宋体" w:eastAsia="宋体" w:cs="宋体"/>
          <w:b/>
          <w:color w:val="auto"/>
          <w:kern w:val="0"/>
          <w:szCs w:val="24"/>
          <w:highlight w:val="none"/>
          <w:lang w:eastAsia="zh-CN"/>
        </w:rPr>
        <w:t>：</w:t>
      </w:r>
    </w:p>
    <w:p w14:paraId="5708A9FA">
      <w:pPr>
        <w:pStyle w:val="394"/>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2.1确定参与本项目至评审结束前私自接触供应商；</w:t>
      </w:r>
    </w:p>
    <w:p w14:paraId="02E263E0">
      <w:pPr>
        <w:pStyle w:val="394"/>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2.2接受供应商提出的“超出响应文件的范围或者改变响应文件的实质性内容”的澄清、说明或者更正； </w:t>
      </w:r>
    </w:p>
    <w:p w14:paraId="40F73438">
      <w:pPr>
        <w:pStyle w:val="394"/>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2.3违反评审纪律发表倾向性意见或者征询采购人的倾向性意见；</w:t>
      </w:r>
    </w:p>
    <w:p w14:paraId="2816A044">
      <w:pPr>
        <w:pStyle w:val="394"/>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2.4对需要专业判断的主观评审因素协商评分；</w:t>
      </w:r>
    </w:p>
    <w:p w14:paraId="46D00DA3">
      <w:pPr>
        <w:pStyle w:val="394"/>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2.5在评审过程中擅离职守，影响评审程序正常进行的；</w:t>
      </w:r>
    </w:p>
    <w:p w14:paraId="0179E907">
      <w:pPr>
        <w:pStyle w:val="394"/>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2.6记录、复制或者带走任何评审资料；</w:t>
      </w:r>
    </w:p>
    <w:p w14:paraId="511FB43F">
      <w:pPr>
        <w:pStyle w:val="394"/>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2.7其他不遵守评审纪律的行为。</w:t>
      </w:r>
    </w:p>
    <w:p w14:paraId="3D654E59">
      <w:pPr>
        <w:pStyle w:val="394"/>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磋商小组成员有2.1-2.5行为之一的，其评审意见无效，并不得获取评审劳务报酬和报销异地评审差旅费。</w:t>
      </w:r>
    </w:p>
    <w:p w14:paraId="0DE44B92">
      <w:pPr>
        <w:pStyle w:val="394"/>
        <w:spacing w:before="0"/>
        <w:ind w:firstLine="0" w:firstLineChars="0"/>
        <w:outlineLvl w:val="9"/>
        <w:rPr>
          <w:rFonts w:hint="eastAsia" w:ascii="宋体" w:hAnsi="宋体" w:eastAsia="宋体" w:cs="宋体"/>
          <w:b/>
          <w:color w:val="auto"/>
          <w:highlight w:val="none"/>
        </w:rPr>
      </w:pPr>
    </w:p>
    <w:p w14:paraId="09309533">
      <w:pPr>
        <w:pStyle w:val="394"/>
        <w:spacing w:before="0"/>
        <w:ind w:firstLine="0" w:firstLineChars="0"/>
        <w:jc w:val="center"/>
        <w:outlineLvl w:val="9"/>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四、评审程序</w:t>
      </w:r>
    </w:p>
    <w:p w14:paraId="0D1FC919">
      <w:pPr>
        <w:pStyle w:val="394"/>
        <w:spacing w:before="0"/>
        <w:ind w:firstLine="472" w:firstLineChars="196"/>
        <w:outlineLvl w:val="9"/>
        <w:rPr>
          <w:rFonts w:hint="eastAsia" w:ascii="宋体" w:hAnsi="宋体" w:eastAsia="宋体" w:cs="宋体"/>
          <w:b/>
          <w:color w:val="auto"/>
          <w:highlight w:val="none"/>
        </w:rPr>
      </w:pPr>
      <w:r>
        <w:rPr>
          <w:rFonts w:hint="eastAsia" w:ascii="宋体" w:hAnsi="宋体" w:eastAsia="宋体" w:cs="宋体"/>
          <w:b/>
          <w:color w:val="auto"/>
          <w:highlight w:val="none"/>
        </w:rPr>
        <w:t>详见磋商文件“第二部分 竞争性磋商流程”。</w:t>
      </w:r>
    </w:p>
    <w:p w14:paraId="2DDC45EC">
      <w:pPr>
        <w:pStyle w:val="394"/>
        <w:spacing w:before="0"/>
        <w:ind w:firstLine="0" w:firstLineChars="0"/>
        <w:outlineLvl w:val="9"/>
        <w:rPr>
          <w:rFonts w:hint="eastAsia" w:ascii="宋体" w:hAnsi="宋体" w:eastAsia="宋体" w:cs="宋体"/>
          <w:b/>
          <w:color w:val="auto"/>
          <w:highlight w:val="none"/>
        </w:rPr>
      </w:pPr>
    </w:p>
    <w:p w14:paraId="31543DC3">
      <w:pPr>
        <w:pStyle w:val="394"/>
        <w:spacing w:before="0"/>
        <w:ind w:firstLine="0" w:firstLineChars="0"/>
        <w:jc w:val="center"/>
        <w:outlineLvl w:val="9"/>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五、评审须知</w:t>
      </w:r>
    </w:p>
    <w:p w14:paraId="3BCBA2EB">
      <w:pPr>
        <w:pStyle w:val="394"/>
        <w:spacing w:before="0"/>
        <w:ind w:firstLine="0" w:firstLineChars="0"/>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 响应文件的澄清</w:t>
      </w:r>
    </w:p>
    <w:p w14:paraId="16DC89D6">
      <w:pPr>
        <w:spacing w:line="360" w:lineRule="auto"/>
        <w:ind w:firstLine="48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1A7997CB">
      <w:pPr>
        <w:pStyle w:val="394"/>
        <w:spacing w:before="0"/>
        <w:ind w:firstLine="0" w:firstLineChars="0"/>
        <w:outlineLvl w:val="9"/>
        <w:rPr>
          <w:rFonts w:hint="eastAsia" w:ascii="宋体" w:hAnsi="宋体" w:eastAsia="宋体" w:cs="宋体"/>
          <w:b/>
          <w:color w:val="auto"/>
          <w:szCs w:val="24"/>
          <w:highlight w:val="none"/>
        </w:rPr>
      </w:pPr>
      <w:r>
        <w:rPr>
          <w:rFonts w:hint="eastAsia" w:ascii="宋体" w:hAnsi="宋体" w:eastAsia="宋体" w:cs="宋体"/>
          <w:b/>
          <w:color w:val="auto"/>
          <w:highlight w:val="none"/>
        </w:rPr>
        <w:t>2.最后报价的修正原则</w:t>
      </w:r>
    </w:p>
    <w:p w14:paraId="26D5FE0D">
      <w:pPr>
        <w:spacing w:line="360" w:lineRule="auto"/>
        <w:ind w:firstLine="48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磋商小组对响应文件的最后报价进行审核，对发现计算、书写等错误的，按以下原则进行修正</w:t>
      </w:r>
      <w:r>
        <w:rPr>
          <w:rFonts w:hint="eastAsia" w:ascii="宋体" w:hAnsi="宋体" w:eastAsia="宋体" w:cs="宋体"/>
          <w:color w:val="auto"/>
          <w:sz w:val="24"/>
          <w:highlight w:val="none"/>
          <w:lang w:eastAsia="zh-CN"/>
        </w:rPr>
        <w:t>：</w:t>
      </w:r>
    </w:p>
    <w:p w14:paraId="08E9DF37">
      <w:pPr>
        <w:spacing w:line="360" w:lineRule="auto"/>
        <w:ind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2.1《最后报价一览表》内容与响应文件中响应内容不一致的，以《最后报价一览表》为准</w:t>
      </w:r>
      <w:r>
        <w:rPr>
          <w:rFonts w:hint="eastAsia" w:ascii="宋体" w:hAnsi="宋体" w:eastAsia="宋体" w:cs="宋体"/>
          <w:color w:val="auto"/>
          <w:sz w:val="24"/>
          <w:highlight w:val="none"/>
          <w:lang w:eastAsia="zh-CN"/>
        </w:rPr>
        <w:t>；</w:t>
      </w:r>
    </w:p>
    <w:p w14:paraId="02EC136A">
      <w:pPr>
        <w:spacing w:line="360" w:lineRule="auto"/>
        <w:ind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2.2大写金额和小写金额不一致的，以大写金额为准</w:t>
      </w:r>
      <w:r>
        <w:rPr>
          <w:rFonts w:hint="eastAsia" w:ascii="宋体" w:hAnsi="宋体" w:eastAsia="宋体" w:cs="宋体"/>
          <w:color w:val="auto"/>
          <w:sz w:val="24"/>
          <w:highlight w:val="none"/>
          <w:lang w:eastAsia="zh-CN"/>
        </w:rPr>
        <w:t>；</w:t>
      </w:r>
    </w:p>
    <w:p w14:paraId="5F47ED0F">
      <w:pPr>
        <w:spacing w:line="360" w:lineRule="auto"/>
        <w:ind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2.3单价金额小数点或者百分比有明显错位的，以《最后报价一览表》的总价为准，并修改单价</w:t>
      </w:r>
      <w:r>
        <w:rPr>
          <w:rFonts w:hint="eastAsia" w:ascii="宋体" w:hAnsi="宋体" w:eastAsia="宋体" w:cs="宋体"/>
          <w:color w:val="auto"/>
          <w:sz w:val="24"/>
          <w:highlight w:val="none"/>
          <w:lang w:eastAsia="zh-CN"/>
        </w:rPr>
        <w:t>；</w:t>
      </w:r>
    </w:p>
    <w:p w14:paraId="71927FB4">
      <w:pPr>
        <w:spacing w:line="360" w:lineRule="auto"/>
        <w:ind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2.4总价金额与按单价汇总金额不一致的，以单价金额计算结果为准</w:t>
      </w:r>
      <w:r>
        <w:rPr>
          <w:rFonts w:hint="eastAsia" w:ascii="宋体" w:hAnsi="宋体" w:eastAsia="宋体" w:cs="宋体"/>
          <w:color w:val="auto"/>
          <w:sz w:val="24"/>
          <w:highlight w:val="none"/>
          <w:lang w:eastAsia="zh-CN"/>
        </w:rPr>
        <w:t>；</w:t>
      </w:r>
    </w:p>
    <w:p w14:paraId="07D61261">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2.5同时出现两种以上不一致的，按照前款规定的顺序修正。</w:t>
      </w:r>
    </w:p>
    <w:p w14:paraId="103B6B24">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2.6以修正后的总价作为最后报价。</w:t>
      </w:r>
    </w:p>
    <w:p w14:paraId="27FE44BC">
      <w:pPr>
        <w:spacing w:line="360" w:lineRule="auto"/>
        <w:outlineLvl w:val="9"/>
        <w:rPr>
          <w:rFonts w:hint="eastAsia" w:ascii="宋体" w:hAnsi="宋体" w:eastAsia="宋体" w:cs="宋体"/>
          <w:b/>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b/>
          <w:bCs/>
          <w:color w:val="auto"/>
          <w:sz w:val="24"/>
          <w:highlight w:val="none"/>
        </w:rPr>
        <w:t>供应商对根据修正原则修正后的最后报价不确认的，响应无效。</w:t>
      </w:r>
    </w:p>
    <w:p w14:paraId="38856B62">
      <w:pPr>
        <w:pStyle w:val="3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 评审中出现下列情形之一的，</w:t>
      </w:r>
      <w:r>
        <w:rPr>
          <w:rFonts w:hint="eastAsia" w:ascii="宋体" w:hAnsi="宋体" w:eastAsia="宋体" w:cs="宋体"/>
          <w:color w:val="auto"/>
          <w:sz w:val="21"/>
          <w:highlight w:val="none"/>
          <w:lang w:eastAsia="zh-CN"/>
        </w:rPr>
        <w:t>磋商小组</w:t>
      </w:r>
      <w:r>
        <w:rPr>
          <w:rFonts w:hint="eastAsia" w:ascii="宋体" w:hAnsi="宋体" w:eastAsia="宋体" w:cs="宋体"/>
          <w:color w:val="auto"/>
          <w:sz w:val="21"/>
          <w:szCs w:val="21"/>
          <w:highlight w:val="none"/>
          <w:lang w:val="en-US" w:eastAsia="zh-CN"/>
        </w:rPr>
        <w:t xml:space="preserve">应当启动异常低价投标（响应）审查程序： </w:t>
      </w:r>
    </w:p>
    <w:p w14:paraId="12C489D4">
      <w:pPr>
        <w:pStyle w:val="3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①投标（响应）报价低于全部通过符合性审查的响应供应商的投标（响应）报价平均值50%的，即投标（响应）报价＜全部通过符合性审查供应商投标（响应）报价平均值×50%； </w:t>
      </w:r>
    </w:p>
    <w:p w14:paraId="55C5DCAF">
      <w:pPr>
        <w:pStyle w:val="3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②投标（响应）报价低于通过符合性审查且报价次低供应商投标（响应）报价50%的，即投标（响应）报价＜通过符合性审查且报价次低供应商投标（响应）报价×50%； </w:t>
      </w:r>
    </w:p>
    <w:p w14:paraId="5122641C">
      <w:pPr>
        <w:pStyle w:val="3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③投标（响应）报价低于采购项目最高限价45%的，即投标（响应）报价＜采购项目最高限价×45%； </w:t>
      </w:r>
    </w:p>
    <w:p w14:paraId="48173A78">
      <w:pPr>
        <w:pStyle w:val="3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④其他</w:t>
      </w:r>
      <w:r>
        <w:rPr>
          <w:rFonts w:hint="eastAsia" w:ascii="宋体" w:hAnsi="宋体" w:eastAsia="宋体" w:cs="宋体"/>
          <w:color w:val="auto"/>
          <w:sz w:val="21"/>
          <w:highlight w:val="none"/>
          <w:lang w:eastAsia="zh-CN"/>
        </w:rPr>
        <w:t>磋商小组</w:t>
      </w:r>
      <w:r>
        <w:rPr>
          <w:rFonts w:hint="eastAsia" w:ascii="宋体" w:hAnsi="宋体" w:eastAsia="宋体" w:cs="宋体"/>
          <w:color w:val="auto"/>
          <w:sz w:val="21"/>
          <w:szCs w:val="21"/>
          <w:highlight w:val="none"/>
          <w:lang w:val="en-US" w:eastAsia="zh-CN"/>
        </w:rPr>
        <w:t xml:space="preserve">认为供应商报价过低，有可能影响产品质量或者不能诚信履约的情形。 </w:t>
      </w:r>
    </w:p>
    <w:p w14:paraId="7D0AEF6B">
      <w:pPr>
        <w:pStyle w:val="3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（4）审查工作流程。</w:t>
      </w:r>
      <w:r>
        <w:rPr>
          <w:rFonts w:hint="eastAsia" w:ascii="宋体" w:hAnsi="宋体" w:eastAsia="宋体" w:cs="宋体"/>
          <w:color w:val="auto"/>
          <w:sz w:val="21"/>
          <w:highlight w:val="none"/>
          <w:lang w:eastAsia="zh-CN"/>
        </w:rPr>
        <w:t>磋商小组</w:t>
      </w:r>
      <w:r>
        <w:rPr>
          <w:rFonts w:hint="eastAsia" w:ascii="宋体" w:hAnsi="宋体" w:eastAsia="宋体" w:cs="宋体"/>
          <w:color w:val="auto"/>
          <w:sz w:val="21"/>
          <w:szCs w:val="21"/>
          <w:highlight w:val="none"/>
          <w:lang w:val="en-US" w:eastAsia="zh-CN"/>
        </w:rPr>
        <w:t xml:space="preserve">严格按照评审现场说明、综合评估研判和出具处理结果三个步骤开展审查流程。 </w:t>
      </w:r>
    </w:p>
    <w:p w14:paraId="5FC92D80">
      <w:pPr>
        <w:pStyle w:val="3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①评审现场说明。</w:t>
      </w:r>
      <w:r>
        <w:rPr>
          <w:rFonts w:hint="eastAsia" w:ascii="宋体" w:hAnsi="宋体" w:eastAsia="宋体" w:cs="宋体"/>
          <w:color w:val="auto"/>
          <w:sz w:val="21"/>
          <w:highlight w:val="none"/>
          <w:lang w:eastAsia="zh-CN"/>
        </w:rPr>
        <w:t>磋商小组</w:t>
      </w:r>
      <w:r>
        <w:rPr>
          <w:rFonts w:hint="eastAsia" w:ascii="宋体" w:hAnsi="宋体" w:eastAsia="宋体" w:cs="宋体"/>
          <w:color w:val="auto"/>
          <w:sz w:val="21"/>
          <w:szCs w:val="21"/>
          <w:highlight w:val="none"/>
          <w:lang w:val="en-US" w:eastAsia="zh-CN"/>
        </w:rPr>
        <w:t xml:space="preserve">启动异常低价投标（响应）审查后，应当要求相关供应商在评审现场合理的时间内提供书面说明及必要的证明材料，对投标（响应）价格作出解释。书面说明、证明材料主要是项目具体成本测算等与报价合理性相关的说明、材料。 </w:t>
      </w:r>
    </w:p>
    <w:p w14:paraId="22BC42F6">
      <w:pPr>
        <w:pStyle w:val="3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②综合评估研判。</w:t>
      </w:r>
      <w:r>
        <w:rPr>
          <w:rFonts w:hint="eastAsia" w:ascii="宋体" w:hAnsi="宋体" w:eastAsia="宋体" w:cs="宋体"/>
          <w:color w:val="auto"/>
          <w:sz w:val="21"/>
          <w:highlight w:val="none"/>
          <w:lang w:eastAsia="zh-CN"/>
        </w:rPr>
        <w:t>磋商小组</w:t>
      </w:r>
      <w:r>
        <w:rPr>
          <w:rFonts w:hint="eastAsia" w:ascii="宋体" w:hAnsi="宋体" w:eastAsia="宋体" w:cs="宋体"/>
          <w:color w:val="auto"/>
          <w:sz w:val="21"/>
          <w:szCs w:val="21"/>
          <w:highlight w:val="none"/>
          <w:lang w:val="en-US" w:eastAsia="zh-CN"/>
        </w:rPr>
        <w:t xml:space="preserve">应当结合同类产品在主要电商平台的价格、该行业当地薪资水平等情况，依据专业经验对报价合理性进行判断。对异常低价存在争议的，应当按照少数服从多数的原则作出结论。 </w:t>
      </w:r>
    </w:p>
    <w:p w14:paraId="09BF7BBD">
      <w:pPr>
        <w:pStyle w:val="3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③出具处理结果。如果投标（响应）供应商不提供书面说明、证明材料，或者提供的书面说明、证明材料不能证明其报价合理性的，应当将其作为无效投标（响应）处理。审查相关情况应当在评审报告中记录。</w:t>
      </w:r>
    </w:p>
    <w:p w14:paraId="02F73892">
      <w:pPr>
        <w:pStyle w:val="32"/>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r>
        <w:rPr>
          <w:rFonts w:hint="eastAsia" w:hAnsi="宋体" w:eastAsia="宋体" w:cs="宋体"/>
          <w:color w:val="auto"/>
          <w:sz w:val="21"/>
          <w:highlight w:val="none"/>
          <w:lang w:val="en-US" w:eastAsia="zh-CN"/>
        </w:rPr>
        <w:t>5</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磋商小组</w:t>
      </w:r>
      <w:r>
        <w:rPr>
          <w:rFonts w:hint="eastAsia" w:ascii="宋体" w:hAnsi="宋体" w:eastAsia="宋体" w:cs="宋体"/>
          <w:color w:val="auto"/>
          <w:sz w:val="21"/>
          <w:highlight w:val="none"/>
        </w:rPr>
        <w:t>按照</w:t>
      </w:r>
      <w:r>
        <w:rPr>
          <w:rFonts w:hint="eastAsia" w:ascii="宋体" w:hAnsi="宋体" w:eastAsia="宋体" w:cs="宋体"/>
          <w:color w:val="auto"/>
          <w:sz w:val="21"/>
          <w:highlight w:val="none"/>
          <w:lang w:eastAsia="zh-CN"/>
        </w:rPr>
        <w:t>磋商采购文件</w:t>
      </w:r>
      <w:r>
        <w:rPr>
          <w:rFonts w:hint="eastAsia" w:ascii="宋体" w:hAnsi="宋体" w:eastAsia="宋体" w:cs="宋体"/>
          <w:color w:val="auto"/>
          <w:sz w:val="21"/>
          <w:highlight w:val="none"/>
        </w:rPr>
        <w:t>中规定的评标方法和标准计算各</w:t>
      </w:r>
      <w:r>
        <w:rPr>
          <w:rFonts w:hint="eastAsia" w:ascii="宋体" w:hAnsi="宋体" w:eastAsia="宋体" w:cs="宋体"/>
          <w:color w:val="auto"/>
          <w:sz w:val="21"/>
          <w:highlight w:val="none"/>
          <w:lang w:eastAsia="zh-CN"/>
        </w:rPr>
        <w:t>磋商响应商</w:t>
      </w:r>
      <w:r>
        <w:rPr>
          <w:rFonts w:hint="eastAsia" w:ascii="宋体" w:hAnsi="宋体" w:eastAsia="宋体" w:cs="宋体"/>
          <w:color w:val="auto"/>
          <w:sz w:val="21"/>
          <w:highlight w:val="none"/>
        </w:rPr>
        <w:t>的报价得分。在计算过程中，不得去掉最高报价或者最低报价。</w:t>
      </w:r>
    </w:p>
    <w:p w14:paraId="3CBBC5F6">
      <w:pPr>
        <w:pStyle w:val="32"/>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r>
        <w:rPr>
          <w:rFonts w:hint="eastAsia" w:hAnsi="宋体" w:eastAsia="宋体" w:cs="宋体"/>
          <w:color w:val="auto"/>
          <w:sz w:val="21"/>
          <w:highlight w:val="none"/>
          <w:lang w:val="en-US" w:eastAsia="zh-CN"/>
        </w:rPr>
        <w:t>6</w:t>
      </w:r>
      <w:r>
        <w:rPr>
          <w:rFonts w:hint="eastAsia" w:ascii="宋体" w:hAnsi="宋体" w:eastAsia="宋体" w:cs="宋体"/>
          <w:color w:val="auto"/>
          <w:sz w:val="21"/>
          <w:highlight w:val="none"/>
        </w:rPr>
        <w:t>）各</w:t>
      </w:r>
      <w:r>
        <w:rPr>
          <w:rFonts w:hint="eastAsia" w:ascii="宋体" w:hAnsi="宋体" w:eastAsia="宋体" w:cs="宋体"/>
          <w:color w:val="auto"/>
          <w:sz w:val="21"/>
          <w:highlight w:val="none"/>
          <w:lang w:eastAsia="zh-CN"/>
        </w:rPr>
        <w:t>磋商响应商</w:t>
      </w:r>
      <w:r>
        <w:rPr>
          <w:rFonts w:hint="eastAsia" w:ascii="宋体" w:hAnsi="宋体" w:eastAsia="宋体" w:cs="宋体"/>
          <w:color w:val="auto"/>
          <w:sz w:val="21"/>
          <w:highlight w:val="none"/>
        </w:rPr>
        <w:t>的得分为所有评委的有效评分的算术平均数。</w:t>
      </w:r>
    </w:p>
    <w:p w14:paraId="5239110A">
      <w:pPr>
        <w:pStyle w:val="32"/>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r>
        <w:rPr>
          <w:rFonts w:hint="eastAsia" w:hAnsi="宋体" w:eastAsia="宋体" w:cs="宋体"/>
          <w:color w:val="auto"/>
          <w:sz w:val="21"/>
          <w:highlight w:val="none"/>
          <w:lang w:val="en-US" w:eastAsia="zh-CN"/>
        </w:rPr>
        <w:t>7</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磋商小组</w:t>
      </w:r>
      <w:r>
        <w:rPr>
          <w:rFonts w:hint="eastAsia" w:ascii="宋体" w:hAnsi="宋体" w:eastAsia="宋体" w:cs="宋体"/>
          <w:color w:val="auto"/>
          <w:sz w:val="21"/>
          <w:highlight w:val="none"/>
        </w:rPr>
        <w:t>按照</w:t>
      </w:r>
      <w:r>
        <w:rPr>
          <w:rFonts w:hint="eastAsia" w:ascii="宋体" w:hAnsi="宋体" w:eastAsia="宋体" w:cs="宋体"/>
          <w:color w:val="auto"/>
          <w:sz w:val="21"/>
          <w:highlight w:val="none"/>
          <w:lang w:eastAsia="zh-CN"/>
        </w:rPr>
        <w:t>磋商采购文件</w:t>
      </w:r>
      <w:r>
        <w:rPr>
          <w:rFonts w:hint="eastAsia" w:ascii="宋体" w:hAnsi="宋体" w:eastAsia="宋体" w:cs="宋体"/>
          <w:color w:val="auto"/>
          <w:sz w:val="21"/>
          <w:highlight w:val="none"/>
        </w:rPr>
        <w:t>中的规定推荐</w:t>
      </w:r>
      <w:r>
        <w:rPr>
          <w:rFonts w:hint="eastAsia" w:ascii="宋体" w:hAnsi="宋体" w:eastAsia="宋体" w:cs="宋体"/>
          <w:color w:val="auto"/>
          <w:sz w:val="21"/>
          <w:highlight w:val="none"/>
          <w:lang w:eastAsia="zh-CN"/>
        </w:rPr>
        <w:t>成交</w:t>
      </w:r>
      <w:r>
        <w:rPr>
          <w:rFonts w:hint="eastAsia" w:ascii="宋体" w:hAnsi="宋体" w:eastAsia="宋体" w:cs="宋体"/>
          <w:color w:val="auto"/>
          <w:sz w:val="21"/>
          <w:highlight w:val="none"/>
        </w:rPr>
        <w:t>候选人。</w:t>
      </w:r>
    </w:p>
    <w:p w14:paraId="51CB1FB3">
      <w:pPr>
        <w:pStyle w:val="394"/>
        <w:spacing w:before="0"/>
        <w:ind w:firstLine="0" w:firstLineChars="0"/>
        <w:outlineLvl w:val="9"/>
        <w:rPr>
          <w:rFonts w:hint="eastAsia" w:ascii="宋体" w:hAnsi="宋体" w:eastAsia="宋体" w:cs="宋体"/>
          <w:b/>
          <w:color w:val="auto"/>
          <w:szCs w:val="24"/>
          <w:highlight w:val="none"/>
        </w:rPr>
      </w:pPr>
      <w:r>
        <w:rPr>
          <w:rFonts w:hint="eastAsia" w:ascii="宋体" w:hAnsi="宋体" w:eastAsia="宋体" w:cs="宋体"/>
          <w:color w:val="auto"/>
          <w:sz w:val="21"/>
          <w:highlight w:val="none"/>
        </w:rPr>
        <w:t>（</w:t>
      </w:r>
      <w:r>
        <w:rPr>
          <w:rFonts w:hint="eastAsia" w:hAnsi="宋体" w:eastAsia="宋体" w:cs="宋体"/>
          <w:color w:val="auto"/>
          <w:sz w:val="21"/>
          <w:highlight w:val="none"/>
          <w:lang w:val="en-US" w:eastAsia="zh-CN"/>
        </w:rPr>
        <w:t>8</w:t>
      </w:r>
      <w:r>
        <w:rPr>
          <w:rFonts w:hint="eastAsia" w:ascii="宋体" w:hAnsi="宋体" w:eastAsia="宋体" w:cs="宋体"/>
          <w:color w:val="auto"/>
          <w:sz w:val="21"/>
          <w:highlight w:val="none"/>
        </w:rPr>
        <w:t>）起草并签署评标报告。</w:t>
      </w:r>
      <w:r>
        <w:rPr>
          <w:rFonts w:hint="eastAsia" w:ascii="宋体" w:hAnsi="宋体" w:eastAsia="宋体" w:cs="宋体"/>
          <w:color w:val="auto"/>
          <w:sz w:val="21"/>
          <w:highlight w:val="none"/>
          <w:lang w:eastAsia="zh-CN"/>
        </w:rPr>
        <w:t>磋商小组</w:t>
      </w:r>
      <w:r>
        <w:rPr>
          <w:rFonts w:hint="eastAsia" w:ascii="宋体" w:hAnsi="宋体" w:eastAsia="宋体" w:cs="宋体"/>
          <w:color w:val="auto"/>
          <w:sz w:val="21"/>
          <w:highlight w:val="none"/>
        </w:rPr>
        <w:t>根据</w:t>
      </w:r>
      <w:r>
        <w:rPr>
          <w:rFonts w:hint="eastAsia" w:ascii="宋体" w:hAnsi="宋体" w:eastAsia="宋体" w:cs="宋体"/>
          <w:color w:val="auto"/>
          <w:sz w:val="21"/>
          <w:highlight w:val="none"/>
          <w:lang w:eastAsia="zh-CN"/>
        </w:rPr>
        <w:t>磋商小组</w:t>
      </w:r>
      <w:r>
        <w:rPr>
          <w:rFonts w:hint="eastAsia" w:ascii="宋体" w:hAnsi="宋体" w:eastAsia="宋体" w:cs="宋体"/>
          <w:color w:val="auto"/>
          <w:sz w:val="21"/>
          <w:highlight w:val="none"/>
        </w:rPr>
        <w:t>成员签字的原始评标记录和评标结果编写评标报告。</w:t>
      </w:r>
      <w:r>
        <w:rPr>
          <w:rFonts w:hint="eastAsia" w:ascii="宋体" w:hAnsi="宋体" w:eastAsia="宋体" w:cs="宋体"/>
          <w:color w:val="auto"/>
          <w:sz w:val="21"/>
          <w:highlight w:val="none"/>
          <w:lang w:eastAsia="zh-CN"/>
        </w:rPr>
        <w:t>磋商小组</w:t>
      </w:r>
      <w:r>
        <w:rPr>
          <w:rFonts w:hint="eastAsia" w:ascii="宋体" w:hAnsi="宋体" w:eastAsia="宋体" w:cs="宋体"/>
          <w:color w:val="auto"/>
          <w:sz w:val="21"/>
          <w:highlight w:val="none"/>
        </w:rPr>
        <w:t>成员均应当在评标报告上签字，对自己的评标意见承担法律责任。对评标过程中需要共同认定的事项存在争议的，应当按照少数服从多数的原则</w:t>
      </w:r>
      <w:r>
        <w:rPr>
          <w:rFonts w:hint="eastAsia" w:ascii="宋体" w:hAnsi="宋体" w:eastAsia="宋体" w:cs="宋体"/>
          <w:color w:val="auto"/>
          <w:sz w:val="21"/>
          <w:highlight w:val="none"/>
          <w:lang w:eastAsia="zh-CN"/>
        </w:rPr>
        <w:t>作</w:t>
      </w:r>
      <w:r>
        <w:rPr>
          <w:rFonts w:hint="eastAsia" w:ascii="宋体" w:hAnsi="宋体" w:eastAsia="宋体" w:cs="宋体"/>
          <w:color w:val="auto"/>
          <w:sz w:val="21"/>
          <w:highlight w:val="none"/>
        </w:rPr>
        <w:t>出结论。持不同意见的</w:t>
      </w:r>
      <w:r>
        <w:rPr>
          <w:rFonts w:hint="eastAsia" w:ascii="宋体" w:hAnsi="宋体" w:eastAsia="宋体" w:cs="宋体"/>
          <w:color w:val="auto"/>
          <w:sz w:val="21"/>
          <w:highlight w:val="none"/>
          <w:lang w:eastAsia="zh-CN"/>
        </w:rPr>
        <w:t>磋商小组</w:t>
      </w:r>
      <w:r>
        <w:rPr>
          <w:rFonts w:hint="eastAsia" w:ascii="宋体" w:hAnsi="宋体" w:eastAsia="宋体" w:cs="宋体"/>
          <w:color w:val="auto"/>
          <w:sz w:val="21"/>
          <w:highlight w:val="none"/>
        </w:rPr>
        <w:t>应当在评标报告上签署不同意见及理由，否则视为同意评标报告。</w:t>
      </w:r>
      <w:r>
        <w:rPr>
          <w:rFonts w:hint="eastAsia" w:ascii="宋体" w:hAnsi="宋体" w:eastAsia="宋体" w:cs="宋体"/>
          <w:b/>
          <w:color w:val="auto"/>
          <w:highlight w:val="none"/>
        </w:rPr>
        <w:t>3.</w:t>
      </w:r>
      <w:r>
        <w:rPr>
          <w:rFonts w:hint="eastAsia" w:ascii="宋体" w:hAnsi="宋体" w:eastAsia="宋体" w:cs="宋体"/>
          <w:b/>
          <w:color w:val="auto"/>
          <w:spacing w:val="20"/>
          <w:highlight w:val="none"/>
        </w:rPr>
        <w:t>响应无效</w:t>
      </w:r>
    </w:p>
    <w:p w14:paraId="7F533240">
      <w:pPr>
        <w:pStyle w:val="23"/>
        <w:spacing w:line="360" w:lineRule="auto"/>
        <w:ind w:firstLine="600" w:firstLineChars="250"/>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有下列情况之一的，响应无效</w:t>
      </w:r>
      <w:r>
        <w:rPr>
          <w:rFonts w:hint="eastAsia" w:ascii="宋体" w:hAnsi="宋体" w:eastAsia="宋体" w:cs="宋体"/>
          <w:color w:val="auto"/>
          <w:szCs w:val="21"/>
          <w:highlight w:val="none"/>
          <w:lang w:eastAsia="zh-CN"/>
        </w:rPr>
        <w:t>：</w:t>
      </w:r>
    </w:p>
    <w:p w14:paraId="480F4CC1">
      <w:pPr>
        <w:spacing w:line="360" w:lineRule="auto"/>
        <w:ind w:firstLine="480" w:firstLineChars="200"/>
        <w:outlineLvl w:val="9"/>
        <w:rPr>
          <w:rFonts w:hint="eastAsia" w:ascii="宋体" w:hAnsi="宋体" w:eastAsia="宋体" w:cs="宋体"/>
          <w:color w:val="auto"/>
          <w:sz w:val="24"/>
          <w:szCs w:val="21"/>
          <w:highlight w:val="none"/>
        </w:rPr>
      </w:pPr>
      <w:r>
        <w:rPr>
          <w:rFonts w:hint="eastAsia" w:ascii="宋体" w:hAnsi="宋体" w:eastAsia="宋体" w:cs="宋体"/>
          <w:color w:val="auto"/>
          <w:sz w:val="24"/>
          <w:highlight w:val="none"/>
        </w:rPr>
        <w:t>3.1</w:t>
      </w:r>
      <w:r>
        <w:rPr>
          <w:rFonts w:hint="eastAsia" w:ascii="宋体" w:hAnsi="宋体" w:eastAsia="宋体" w:cs="宋体"/>
          <w:color w:val="auto"/>
          <w:sz w:val="24"/>
          <w:szCs w:val="21"/>
          <w:highlight w:val="none"/>
        </w:rPr>
        <w:t>单位负责人为同一人或者存在直接控股、管理关系的不同供应商参加同一合同项下的政府采购活动的（均无效）；</w:t>
      </w:r>
    </w:p>
    <w:p w14:paraId="4603626E">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3.2为采购项目提供整体设计、规范编制或者项目管理、监理、检测等服务的供应商再参加该采购项目的其他采购活动的； </w:t>
      </w:r>
    </w:p>
    <w:p w14:paraId="38751801">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3.3供应商不具备磋商文件中规定的资格要求的（供应商未提供有效的资格证明文件的，视为供应商不具备磋商文件中规定的资格要求）；</w:t>
      </w:r>
    </w:p>
    <w:p w14:paraId="10BED32C">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3.4如以联合体形式参加政府采购活动的，联合协议不符合磋商文件规定的联合协议要求的；</w:t>
      </w:r>
    </w:p>
    <w:p w14:paraId="2E02DA1F">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3.5响应文件未按磋商文件的澄清、修改的内容编制，又不符合实质性要求的；</w:t>
      </w:r>
    </w:p>
    <w:p w14:paraId="0967EA58">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3.6响应文件组成漏项，内容不全或内容字迹模糊辨认不清的；</w:t>
      </w:r>
    </w:p>
    <w:p w14:paraId="5298FDD5">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3.7响应文件中法人授权书所载内容与本项目内容有异的；</w:t>
      </w:r>
    </w:p>
    <w:p w14:paraId="2E1ADE0D">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3.8响应文件未按照磋商文件要求签署、盖章的；</w:t>
      </w:r>
    </w:p>
    <w:p w14:paraId="263ED35A">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3.9</w:t>
      </w:r>
      <w:r>
        <w:rPr>
          <w:rFonts w:hint="eastAsia" w:ascii="宋体" w:hAnsi="宋体" w:eastAsia="宋体" w:cs="宋体"/>
          <w:color w:val="auto"/>
          <w:kern w:val="0"/>
          <w:sz w:val="24"/>
          <w:highlight w:val="none"/>
        </w:rPr>
        <w:t>采购人拟采购的产品属于政府强制采购的节能产品品目清单范围的，供应商相应的响应产品未获得国家确定的认证机构出具的、处于有效期之内的节能产品认证证书的；</w:t>
      </w:r>
    </w:p>
    <w:p w14:paraId="7CC5F7BE">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3.10响应文件含有采购人不能接受的附加条件的；</w:t>
      </w:r>
    </w:p>
    <w:p w14:paraId="6027B64E">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3.11响应文件中承诺的响应有效期少于磋商文件中载明的响应有效期的；</w:t>
      </w:r>
    </w:p>
    <w:p w14:paraId="48E07CAA">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3.12供应商所投内容不符合磋商文件中实质性要求的；</w:t>
      </w:r>
    </w:p>
    <w:p w14:paraId="48F87129">
      <w:pPr>
        <w:spacing w:line="360" w:lineRule="auto"/>
        <w:ind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3.13所提交的《最后报价一览表》中出现不是唯一的、有选择性的报价的</w:t>
      </w:r>
      <w:r>
        <w:rPr>
          <w:rFonts w:hint="eastAsia" w:ascii="宋体" w:hAnsi="宋体" w:eastAsia="宋体" w:cs="宋体"/>
          <w:color w:val="auto"/>
          <w:sz w:val="24"/>
          <w:highlight w:val="none"/>
          <w:lang w:eastAsia="zh-CN"/>
        </w:rPr>
        <w:t>；</w:t>
      </w:r>
    </w:p>
    <w:p w14:paraId="67BD19EA">
      <w:pPr>
        <w:spacing w:line="360" w:lineRule="auto"/>
        <w:ind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3.14最后报价高于本项目采购预算或者最高限价的</w:t>
      </w:r>
      <w:r>
        <w:rPr>
          <w:rFonts w:hint="eastAsia" w:ascii="宋体" w:hAnsi="宋体" w:eastAsia="宋体" w:cs="宋体"/>
          <w:color w:val="auto"/>
          <w:sz w:val="24"/>
          <w:highlight w:val="none"/>
          <w:lang w:eastAsia="zh-CN"/>
        </w:rPr>
        <w:t>；</w:t>
      </w:r>
    </w:p>
    <w:p w14:paraId="66041DBF">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3.15《最后报价一览表》填写不完整或字迹不能辨认或有漏项的；</w:t>
      </w:r>
    </w:p>
    <w:p w14:paraId="414979DD">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3.16供应商对根据修正原则修正后的最后报价不确认的；</w:t>
      </w:r>
    </w:p>
    <w:p w14:paraId="5674C5C4">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3.17供应商提供虚假材料响应的（包括但不限于以下情节）；</w:t>
      </w:r>
    </w:p>
    <w:p w14:paraId="5382A012">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3.17.1使用伪造、变造的许可证件；</w:t>
      </w:r>
    </w:p>
    <w:p w14:paraId="4121D62E">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3.17.2提供虚假的财务状况或者业绩；</w:t>
      </w:r>
    </w:p>
    <w:p w14:paraId="1F09CC17">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3.17.3提供虚假的项目负责人或者主要技术人员简历、劳动关系证明；</w:t>
      </w:r>
    </w:p>
    <w:p w14:paraId="25BF0272">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3.17.4提供虚假的信用状况；</w:t>
      </w:r>
    </w:p>
    <w:p w14:paraId="2C8EA3D3">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3.17.5其他弄虚作假的行为。</w:t>
      </w:r>
    </w:p>
    <w:p w14:paraId="4975B978">
      <w:pPr>
        <w:spacing w:line="360" w:lineRule="auto"/>
        <w:ind w:firstLine="48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3.18供应商有恶意串通、妨碍其他供应商的竞争行为、损害采购人或者其他供应商的合法权益情形的。</w:t>
      </w:r>
    </w:p>
    <w:p w14:paraId="3DFF33C1">
      <w:pPr>
        <w:spacing w:line="360" w:lineRule="auto"/>
        <w:ind w:firstLine="48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有下列情形之一的，属于或视为恶意串通，其响应无效</w:t>
      </w:r>
      <w:r>
        <w:rPr>
          <w:rFonts w:hint="eastAsia" w:ascii="宋体" w:hAnsi="宋体" w:eastAsia="宋体" w:cs="宋体"/>
          <w:color w:val="auto"/>
          <w:sz w:val="24"/>
          <w:highlight w:val="none"/>
          <w:lang w:eastAsia="zh-CN"/>
        </w:rPr>
        <w:t>：</w:t>
      </w:r>
    </w:p>
    <w:p w14:paraId="2663479A">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3.18.1供应商直接或者间接从采购人或者采购代理机构处获得其他供应商的相关情况并修改其响应文件；</w:t>
      </w:r>
    </w:p>
    <w:p w14:paraId="179C043D">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3.18.2供应商按照采购人或者采购代理机构的授意撤换、修改</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或者响应文件；</w:t>
      </w:r>
    </w:p>
    <w:p w14:paraId="7C5C2F09">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3.18.3供应商之间协商报价、技术方案等</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或者响应文件的实质性内容；</w:t>
      </w:r>
    </w:p>
    <w:p w14:paraId="6F025642">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3.18.4属于同一集团、协会、商会等组织成员的供应商按照该组织要求协同参加政府采购活动；</w:t>
      </w:r>
    </w:p>
    <w:p w14:paraId="514DD8A2">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3.18.5供应商之间事先约定由某一特定供应商中标、成交；</w:t>
      </w:r>
    </w:p>
    <w:p w14:paraId="0E8FB9D3">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3.18.6供应商之间商定部分供应商放弃参加政府采购活动或者放弃中标、成交；</w:t>
      </w:r>
    </w:p>
    <w:p w14:paraId="54BED63F">
      <w:pPr>
        <w:spacing w:line="360" w:lineRule="auto"/>
        <w:ind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3.18.7供应商与采购人或者采购代理机构之间、供应商相互之间，为谋求特定供应商中标、成交或者排斥其他供应商的其他串通行为</w:t>
      </w:r>
      <w:r>
        <w:rPr>
          <w:rFonts w:hint="eastAsia" w:ascii="宋体" w:hAnsi="宋体" w:eastAsia="宋体" w:cs="宋体"/>
          <w:color w:val="auto"/>
          <w:sz w:val="24"/>
          <w:highlight w:val="none"/>
          <w:lang w:eastAsia="zh-CN"/>
        </w:rPr>
        <w:t>；</w:t>
      </w:r>
    </w:p>
    <w:p w14:paraId="26C44DDB">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3.18.8不同供应商的响应文件由同一单位或者个人编制；</w:t>
      </w:r>
    </w:p>
    <w:p w14:paraId="7DD28721">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3.18.9不同供应商委托同一单位或者个人办理响应事宜；</w:t>
      </w:r>
    </w:p>
    <w:p w14:paraId="618F95DB">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3.18.10不同供应商的响应文件载明的项目管理成员或者联系人员为同一人；</w:t>
      </w:r>
    </w:p>
    <w:p w14:paraId="17C5FDBD">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3.18.11不同供应商的响应文件异常一致或者最后报价呈规律性差异。</w:t>
      </w:r>
    </w:p>
    <w:p w14:paraId="5360F643">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3.19供应商仅提交备份响应文件，没有在电子交易平台传输提交响应文件的，响应无效；</w:t>
      </w:r>
    </w:p>
    <w:p w14:paraId="3A89BAE0">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3.20法律、法规、规章（适用本市的）及省级以上规范性文件（适用本市的）规定的其他无效情形。</w:t>
      </w:r>
    </w:p>
    <w:p w14:paraId="35F21063">
      <w:pPr>
        <w:pStyle w:val="394"/>
        <w:spacing w:before="0"/>
        <w:ind w:firstLine="0" w:firstLineChars="0"/>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4. 重新开展采购活动</w:t>
      </w:r>
    </w:p>
    <w:p w14:paraId="7C238146">
      <w:pPr>
        <w:spacing w:line="360" w:lineRule="auto"/>
        <w:ind w:firstLine="407" w:firstLineChars="194"/>
        <w:outlineLvl w:val="9"/>
        <w:rPr>
          <w:rFonts w:hint="eastAsia" w:ascii="宋体" w:hAnsi="宋体" w:eastAsia="宋体" w:cs="宋体"/>
          <w:color w:val="auto"/>
          <w:sz w:val="24"/>
          <w:szCs w:val="21"/>
          <w:highlight w:val="none"/>
          <w:lang w:eastAsia="zh-CN"/>
        </w:rPr>
      </w:pPr>
      <w:r>
        <w:rPr>
          <w:rFonts w:hint="eastAsia" w:ascii="宋体" w:hAnsi="宋体" w:eastAsia="宋体" w:cs="宋体"/>
          <w:color w:val="auto"/>
          <w:szCs w:val="21"/>
          <w:highlight w:val="none"/>
        </w:rPr>
        <w:t xml:space="preserve"> </w:t>
      </w:r>
      <w:r>
        <w:rPr>
          <w:rFonts w:hint="eastAsia" w:ascii="宋体" w:hAnsi="宋体" w:eastAsia="宋体" w:cs="宋体"/>
          <w:color w:val="auto"/>
          <w:sz w:val="24"/>
          <w:szCs w:val="21"/>
          <w:highlight w:val="none"/>
        </w:rPr>
        <w:t>出现下列情形之一的，采购代理机构应当终止竞争性磋商采购活动，通过电子交易平台发布项目终止公告并说明原因，重新开展采购活动</w:t>
      </w:r>
      <w:r>
        <w:rPr>
          <w:rFonts w:hint="eastAsia" w:ascii="宋体" w:hAnsi="宋体" w:eastAsia="宋体" w:cs="宋体"/>
          <w:color w:val="auto"/>
          <w:sz w:val="24"/>
          <w:szCs w:val="21"/>
          <w:highlight w:val="none"/>
          <w:lang w:eastAsia="zh-CN"/>
        </w:rPr>
        <w:t>：</w:t>
      </w:r>
    </w:p>
    <w:p w14:paraId="427CAD9B">
      <w:pPr>
        <w:spacing w:line="360" w:lineRule="auto"/>
        <w:ind w:firstLine="465" w:firstLineChars="194"/>
        <w:outlineLvl w:val="9"/>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（1）因情况变化，不再符合规定的竞争性磋商采购方式适用情形的；</w:t>
      </w:r>
    </w:p>
    <w:p w14:paraId="45EE5E8C">
      <w:pPr>
        <w:spacing w:line="360" w:lineRule="auto"/>
        <w:ind w:firstLine="465" w:firstLineChars="194"/>
        <w:outlineLvl w:val="9"/>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（2）出现影响采购公正的违法、违规行为的；</w:t>
      </w:r>
    </w:p>
    <w:p w14:paraId="0C238EB7">
      <w:pPr>
        <w:spacing w:line="360" w:lineRule="auto"/>
        <w:ind w:firstLine="465" w:firstLineChars="194"/>
        <w:outlineLvl w:val="9"/>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（3）在采购过程中符合要求的供应商或者最后报价未超过采购预算的供应商不足3家的（有特殊规定的从其规定）。</w:t>
      </w:r>
    </w:p>
    <w:p w14:paraId="7970A380">
      <w:pPr>
        <w:pStyle w:val="394"/>
        <w:spacing w:before="0"/>
        <w:ind w:firstLine="0" w:firstLineChars="0"/>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5. 终止采购活动</w:t>
      </w:r>
    </w:p>
    <w:p w14:paraId="5403440E">
      <w:pPr>
        <w:spacing w:line="360" w:lineRule="auto"/>
        <w:ind w:firstLine="465" w:firstLineChars="194"/>
        <w:outlineLvl w:val="9"/>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在采购活动中因重大变故，采购任务取消的，采购代理机构将终止采购活动，通过电子交易平台通知所有参加采购活动的供应商，并将项目实施情况和采购任务取消原因报送本级财政部门。</w:t>
      </w:r>
    </w:p>
    <w:p w14:paraId="01951018">
      <w:pPr>
        <w:spacing w:line="360" w:lineRule="auto"/>
        <w:outlineLvl w:val="9"/>
        <w:rPr>
          <w:rFonts w:hint="eastAsia" w:ascii="宋体" w:hAnsi="宋体" w:eastAsia="宋体" w:cs="宋体"/>
          <w:color w:val="auto"/>
          <w:sz w:val="24"/>
          <w:highlight w:val="none"/>
        </w:rPr>
      </w:pPr>
      <w:r>
        <w:rPr>
          <w:rFonts w:hint="eastAsia" w:ascii="宋体" w:hAnsi="宋体" w:eastAsia="宋体" w:cs="宋体"/>
          <w:b/>
          <w:color w:val="auto"/>
          <w:sz w:val="24"/>
          <w:highlight w:val="none"/>
        </w:rPr>
        <w:t>6. 采购代理机构有权对磋商小组各成员的评分情况和评审意见进行合理性和合规性审查</w:t>
      </w:r>
      <w:r>
        <w:rPr>
          <w:rFonts w:hint="eastAsia" w:ascii="宋体" w:hAnsi="宋体" w:eastAsia="宋体" w:cs="宋体"/>
          <w:color w:val="auto"/>
          <w:sz w:val="24"/>
          <w:highlight w:val="none"/>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14:paraId="317497DD">
      <w:pPr>
        <w:pStyle w:val="394"/>
        <w:spacing w:before="0"/>
        <w:ind w:firstLine="0" w:firstLineChars="0"/>
        <w:outlineLvl w:val="9"/>
        <w:rPr>
          <w:rFonts w:hint="eastAsia" w:ascii="宋体" w:hAnsi="宋体" w:eastAsia="宋体" w:cs="宋体"/>
          <w:b/>
          <w:color w:val="auto"/>
          <w:highlight w:val="none"/>
        </w:rPr>
      </w:pPr>
    </w:p>
    <w:p w14:paraId="60C9CADD">
      <w:pPr>
        <w:snapToGrid w:val="0"/>
        <w:spacing w:line="360" w:lineRule="auto"/>
        <w:ind w:left="120" w:leftChars="57" w:firstLine="482" w:firstLineChars="150"/>
        <w:jc w:val="center"/>
        <w:outlineLvl w:val="9"/>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六、评审过程的保密与录像</w:t>
      </w:r>
    </w:p>
    <w:p w14:paraId="6505EAD5">
      <w:pPr>
        <w:widowControl/>
        <w:spacing w:line="360" w:lineRule="auto"/>
        <w:ind w:firstLine="482" w:firstLineChars="200"/>
        <w:outlineLvl w:val="9"/>
        <w:rPr>
          <w:rFonts w:hint="eastAsia" w:ascii="宋体" w:hAnsi="宋体" w:eastAsia="宋体" w:cs="宋体"/>
          <w:color w:val="auto"/>
          <w:sz w:val="24"/>
          <w:highlight w:val="none"/>
        </w:rPr>
      </w:pPr>
      <w:r>
        <w:rPr>
          <w:rFonts w:hint="eastAsia" w:ascii="宋体" w:hAnsi="宋体" w:eastAsia="宋体" w:cs="宋体"/>
          <w:b/>
          <w:color w:val="auto"/>
          <w:sz w:val="24"/>
          <w:highlight w:val="none"/>
        </w:rPr>
        <w:t>1.保密。</w:t>
      </w:r>
      <w:r>
        <w:rPr>
          <w:rFonts w:hint="eastAsia" w:ascii="宋体" w:hAnsi="宋体" w:eastAsia="宋体" w:cs="宋体"/>
          <w:color w:val="auto"/>
          <w:sz w:val="24"/>
          <w:highlight w:val="none"/>
        </w:rPr>
        <w:t>评审活动在严格保密的情况下进行。评审过程中凡是与响应文件评审和比较、成交人推荐等评审有关的情况，以及涉及国家秘密和商业秘密等信息，磋商小组成员、采购人和采购代理机构工作人员、相关监督人员等与评审有关的人员应当予以保密。</w:t>
      </w:r>
    </w:p>
    <w:p w14:paraId="25F28D4C">
      <w:pPr>
        <w:widowControl/>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2.录音录像。</w:t>
      </w:r>
      <w:r>
        <w:rPr>
          <w:rFonts w:hint="eastAsia" w:ascii="宋体" w:hAnsi="宋体" w:eastAsia="宋体" w:cs="宋体"/>
          <w:color w:val="auto"/>
          <w:sz w:val="24"/>
          <w:highlight w:val="none"/>
        </w:rPr>
        <w:t>采购代理机构对评审工作现场进行全过程录音录像，录音录像资料作为采购项目文件随其他文件一并存档。</w:t>
      </w:r>
    </w:p>
    <w:p w14:paraId="2D1084E2">
      <w:pPr>
        <w:widowControl/>
        <w:adjustRightInd/>
        <w:jc w:val="left"/>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70AAE8F9">
      <w:pPr>
        <w:spacing w:line="360" w:lineRule="auto"/>
        <w:jc w:val="center"/>
        <w:outlineLvl w:val="0"/>
        <w:rPr>
          <w:rFonts w:hint="eastAsia" w:ascii="宋体" w:hAnsi="宋体" w:eastAsia="宋体" w:cs="宋体"/>
          <w:b/>
          <w:color w:val="auto"/>
          <w:sz w:val="36"/>
          <w:szCs w:val="36"/>
          <w:highlight w:val="none"/>
        </w:rPr>
      </w:pPr>
      <w:bookmarkStart w:id="62" w:name="_Toc27423"/>
      <w:r>
        <w:rPr>
          <w:rFonts w:hint="eastAsia" w:ascii="宋体" w:hAnsi="宋体" w:eastAsia="宋体" w:cs="宋体"/>
          <w:b/>
          <w:color w:val="auto"/>
          <w:sz w:val="36"/>
          <w:szCs w:val="36"/>
          <w:highlight w:val="none"/>
        </w:rPr>
        <w:t>第六部分</w:t>
      </w:r>
      <w:bookmarkEnd w:id="61"/>
      <w:r>
        <w:rPr>
          <w:rFonts w:hint="eastAsia" w:ascii="宋体" w:hAnsi="宋体" w:eastAsia="宋体" w:cs="宋体"/>
          <w:b/>
          <w:color w:val="auto"/>
          <w:sz w:val="36"/>
          <w:szCs w:val="36"/>
          <w:highlight w:val="none"/>
        </w:rPr>
        <w:t xml:space="preserve">  拟签订的合同文本</w:t>
      </w:r>
      <w:bookmarkEnd w:id="62"/>
    </w:p>
    <w:p w14:paraId="1B6F36B4">
      <w:pPr>
        <w:spacing w:line="480" w:lineRule="auto"/>
        <w:jc w:val="center"/>
        <w:rPr>
          <w:rFonts w:hint="eastAsia" w:ascii="宋体" w:hAnsi="宋体" w:eastAsia="宋体" w:cs="宋体"/>
          <w:b/>
          <w:color w:val="auto"/>
          <w:sz w:val="24"/>
          <w:highlight w:val="none"/>
        </w:rPr>
      </w:pPr>
      <w:bookmarkStart w:id="63" w:name="第五部分"/>
      <w:bookmarkStart w:id="64" w:name="_Toc86217003"/>
    </w:p>
    <w:p w14:paraId="699269F4">
      <w:pPr>
        <w:spacing w:line="480" w:lineRule="auto"/>
        <w:jc w:val="center"/>
        <w:rPr>
          <w:rFonts w:hint="eastAsia" w:ascii="宋体" w:hAnsi="宋体" w:eastAsia="宋体" w:cs="宋体"/>
          <w:b/>
          <w:color w:val="auto"/>
          <w:sz w:val="24"/>
          <w:highlight w:val="none"/>
        </w:rPr>
      </w:pPr>
    </w:p>
    <w:p w14:paraId="68D4A9DD">
      <w:pPr>
        <w:pStyle w:val="633"/>
        <w:rPr>
          <w:rFonts w:hint="eastAsia" w:ascii="宋体" w:hAnsi="宋体" w:eastAsia="宋体" w:cs="宋体"/>
          <w:color w:val="auto"/>
          <w:highlight w:val="none"/>
        </w:rPr>
      </w:pPr>
    </w:p>
    <w:p w14:paraId="40F7BD2E">
      <w:pPr>
        <w:pStyle w:val="633"/>
        <w:rPr>
          <w:rFonts w:hint="eastAsia" w:ascii="宋体" w:hAnsi="宋体" w:eastAsia="宋体" w:cs="宋体"/>
          <w:color w:val="auto"/>
          <w:highlight w:val="none"/>
        </w:rPr>
      </w:pPr>
    </w:p>
    <w:p w14:paraId="1038358A">
      <w:pPr>
        <w:pStyle w:val="633"/>
        <w:rPr>
          <w:rFonts w:hint="eastAsia" w:ascii="宋体" w:hAnsi="宋体" w:eastAsia="宋体" w:cs="宋体"/>
          <w:color w:val="auto"/>
          <w:highlight w:val="none"/>
        </w:rPr>
      </w:pPr>
    </w:p>
    <w:p w14:paraId="2F3C90F1">
      <w:pPr>
        <w:spacing w:line="48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采购合同参考范本</w:t>
      </w:r>
    </w:p>
    <w:p w14:paraId="53882680">
      <w:pPr>
        <w:spacing w:line="48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（服务类）</w:t>
      </w:r>
    </w:p>
    <w:p w14:paraId="3FBBE584">
      <w:pPr>
        <w:pStyle w:val="283"/>
        <w:ind w:firstLine="2843" w:firstLineChars="1180"/>
        <w:rPr>
          <w:rFonts w:hint="eastAsia" w:ascii="宋体" w:hAnsi="宋体" w:eastAsia="宋体" w:cs="宋体"/>
          <w:b/>
          <w:color w:val="auto"/>
          <w:szCs w:val="24"/>
          <w:highlight w:val="none"/>
        </w:rPr>
      </w:pPr>
    </w:p>
    <w:p w14:paraId="1AD21788">
      <w:pPr>
        <w:pStyle w:val="23"/>
        <w:rPr>
          <w:rFonts w:hint="eastAsia" w:ascii="宋体" w:hAnsi="宋体" w:eastAsia="宋体" w:cs="宋体"/>
          <w:color w:val="auto"/>
          <w:highlight w:val="none"/>
        </w:rPr>
      </w:pPr>
    </w:p>
    <w:p w14:paraId="79B22118">
      <w:pPr>
        <w:pStyle w:val="23"/>
        <w:rPr>
          <w:rFonts w:hint="eastAsia" w:ascii="宋体" w:hAnsi="宋体" w:eastAsia="宋体" w:cs="宋体"/>
          <w:color w:val="auto"/>
          <w:highlight w:val="none"/>
        </w:rPr>
      </w:pPr>
    </w:p>
    <w:p w14:paraId="3B113C4A">
      <w:pPr>
        <w:adjustRightInd/>
        <w:spacing w:line="360" w:lineRule="auto"/>
        <w:ind w:firstLine="320" w:firstLineChars="100"/>
        <w:rPr>
          <w:rFonts w:hint="eastAsia" w:ascii="宋体" w:hAnsi="宋体" w:eastAsia="宋体" w:cs="宋体"/>
          <w:color w:val="auto"/>
          <w:sz w:val="32"/>
          <w:szCs w:val="32"/>
          <w:highlight w:val="none"/>
        </w:rPr>
      </w:pPr>
      <w:r>
        <w:rPr>
          <w:rFonts w:hint="eastAsia" w:ascii="宋体" w:hAnsi="宋体" w:eastAsia="宋体" w:cs="宋体"/>
          <w:color w:val="auto"/>
          <w:kern w:val="0"/>
          <w:sz w:val="32"/>
          <w:szCs w:val="32"/>
          <w:highlight w:val="none"/>
        </w:rPr>
        <w:t>项目名称：</w:t>
      </w:r>
      <w:r>
        <w:rPr>
          <w:rFonts w:hint="eastAsia" w:ascii="宋体" w:hAnsi="宋体" w:eastAsia="宋体" w:cs="宋体"/>
          <w:color w:val="auto"/>
          <w:sz w:val="32"/>
          <w:szCs w:val="32"/>
          <w:highlight w:val="none"/>
          <w:u w:val="single"/>
        </w:rPr>
        <w:t xml:space="preserve">                             </w:t>
      </w:r>
    </w:p>
    <w:p w14:paraId="7A50E985">
      <w:pPr>
        <w:adjustRightInd/>
        <w:spacing w:line="360" w:lineRule="auto"/>
        <w:ind w:firstLine="320" w:firstLineChars="1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合同编号：</w:t>
      </w:r>
      <w:r>
        <w:rPr>
          <w:rFonts w:hint="eastAsia" w:ascii="宋体" w:hAnsi="宋体" w:eastAsia="宋体" w:cs="宋体"/>
          <w:color w:val="auto"/>
          <w:sz w:val="32"/>
          <w:szCs w:val="32"/>
          <w:highlight w:val="none"/>
          <w:u w:val="single"/>
        </w:rPr>
        <w:t xml:space="preserve">                             </w:t>
      </w:r>
    </w:p>
    <w:p w14:paraId="7E2E66BB">
      <w:pPr>
        <w:adjustRightInd/>
        <w:spacing w:line="360" w:lineRule="auto"/>
        <w:ind w:firstLine="320" w:firstLineChars="1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甲    方：</w:t>
      </w:r>
      <w:r>
        <w:rPr>
          <w:rFonts w:hint="eastAsia" w:ascii="宋体" w:hAnsi="宋体" w:eastAsia="宋体" w:cs="宋体"/>
          <w:color w:val="auto"/>
          <w:sz w:val="32"/>
          <w:szCs w:val="32"/>
          <w:highlight w:val="none"/>
          <w:u w:val="single"/>
        </w:rPr>
        <w:t xml:space="preserve">                             </w:t>
      </w:r>
    </w:p>
    <w:p w14:paraId="450781D7">
      <w:pPr>
        <w:adjustRightInd/>
        <w:spacing w:line="360" w:lineRule="auto"/>
        <w:ind w:firstLine="320" w:firstLineChars="1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乙    方：</w:t>
      </w:r>
      <w:r>
        <w:rPr>
          <w:rFonts w:hint="eastAsia" w:ascii="宋体" w:hAnsi="宋体" w:eastAsia="宋体" w:cs="宋体"/>
          <w:color w:val="auto"/>
          <w:sz w:val="32"/>
          <w:szCs w:val="32"/>
          <w:highlight w:val="none"/>
          <w:u w:val="single"/>
        </w:rPr>
        <w:t xml:space="preserve">                             </w:t>
      </w:r>
    </w:p>
    <w:p w14:paraId="0C1F3D21">
      <w:pPr>
        <w:adjustRightInd/>
        <w:spacing w:line="360" w:lineRule="auto"/>
        <w:ind w:firstLine="320" w:firstLineChars="1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签订时间：</w:t>
      </w:r>
      <w:r>
        <w:rPr>
          <w:rFonts w:hint="eastAsia" w:ascii="宋体" w:hAnsi="宋体" w:eastAsia="宋体" w:cs="宋体"/>
          <w:color w:val="auto"/>
          <w:sz w:val="32"/>
          <w:szCs w:val="32"/>
          <w:highlight w:val="none"/>
          <w:u w:val="single"/>
        </w:rPr>
        <w:t xml:space="preserve">                             </w:t>
      </w:r>
    </w:p>
    <w:p w14:paraId="7C66DA97">
      <w:pPr>
        <w:widowControl/>
        <w:jc w:val="left"/>
        <w:rPr>
          <w:rFonts w:hint="eastAsia" w:ascii="宋体" w:hAnsi="宋体" w:eastAsia="宋体" w:cs="宋体"/>
          <w:color w:val="auto"/>
          <w:kern w:val="0"/>
          <w:sz w:val="24"/>
          <w:highlight w:val="none"/>
        </w:rPr>
        <w:sectPr>
          <w:headerReference r:id="rId3" w:type="default"/>
          <w:footerReference r:id="rId4" w:type="default"/>
          <w:pgSz w:w="11907" w:h="16840"/>
          <w:pgMar w:top="1474" w:right="1814" w:bottom="1474" w:left="1814" w:header="851" w:footer="851" w:gutter="0"/>
          <w:pgNumType w:fmt="decimal" w:start="1"/>
          <w:cols w:space="720" w:num="1"/>
        </w:sectPr>
      </w:pPr>
    </w:p>
    <w:p w14:paraId="4CACA11D">
      <w:pPr>
        <w:spacing w:line="360" w:lineRule="auto"/>
        <w:jc w:val="center"/>
        <w:outlineLvl w:val="9"/>
        <w:rPr>
          <w:rFonts w:hint="eastAsia" w:ascii="宋体" w:hAnsi="宋体" w:eastAsia="宋体" w:cs="宋体"/>
          <w:b/>
          <w:color w:val="auto"/>
          <w:sz w:val="24"/>
          <w:highlight w:val="none"/>
        </w:rPr>
      </w:pPr>
      <w:bookmarkStart w:id="65" w:name="_Toc22209"/>
      <w:r>
        <w:rPr>
          <w:rFonts w:hint="eastAsia" w:ascii="宋体" w:hAnsi="宋体" w:eastAsia="宋体" w:cs="宋体"/>
          <w:b/>
          <w:color w:val="auto"/>
          <w:sz w:val="24"/>
          <w:highlight w:val="none"/>
        </w:rPr>
        <w:t>第一节 采购合同协议书</w:t>
      </w:r>
      <w:bookmarkEnd w:id="65"/>
    </w:p>
    <w:p w14:paraId="6019FF74">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（采购人）   </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 xml:space="preserve">   （采购方式）  </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u w:val="single"/>
        </w:rPr>
        <w:t xml:space="preserve">  （项目名称）    </w:t>
      </w:r>
      <w:r>
        <w:rPr>
          <w:rFonts w:hint="eastAsia" w:ascii="宋体" w:hAnsi="宋体" w:eastAsia="宋体" w:cs="宋体"/>
          <w:color w:val="auto"/>
          <w:sz w:val="24"/>
          <w:highlight w:val="none"/>
        </w:rPr>
        <w:t>项目进行了采购。经</w:t>
      </w:r>
      <w:r>
        <w:rPr>
          <w:rFonts w:hint="eastAsia" w:ascii="宋体" w:hAnsi="宋体" w:eastAsia="宋体" w:cs="宋体"/>
          <w:color w:val="auto"/>
          <w:sz w:val="24"/>
          <w:highlight w:val="none"/>
          <w:u w:val="single"/>
        </w:rPr>
        <w:t xml:space="preserve">   （相关评定主体名称）   </w:t>
      </w:r>
      <w:r>
        <w:rPr>
          <w:rFonts w:hint="eastAsia" w:ascii="宋体" w:hAnsi="宋体" w:eastAsia="宋体" w:cs="宋体"/>
          <w:color w:val="auto"/>
          <w:sz w:val="24"/>
          <w:highlight w:val="none"/>
        </w:rPr>
        <w:t>评定，</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成交</w:t>
      </w:r>
      <w:r>
        <w:rPr>
          <w:rFonts w:hint="eastAsia" w:ascii="宋体" w:hAnsi="宋体" w:eastAsia="宋体" w:cs="宋体"/>
          <w:color w:val="auto"/>
          <w:sz w:val="24"/>
          <w:highlight w:val="none"/>
          <w:u w:val="single"/>
        </w:rPr>
        <w:t xml:space="preserve">供应商名称） </w:t>
      </w:r>
      <w:r>
        <w:rPr>
          <w:rFonts w:hint="eastAsia" w:ascii="宋体" w:hAnsi="宋体" w:eastAsia="宋体" w:cs="宋体"/>
          <w:color w:val="auto"/>
          <w:sz w:val="24"/>
          <w:highlight w:val="none"/>
        </w:rPr>
        <w:t>为该项目</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rPr>
        <w:t>供应商。现于</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rPr>
        <w:t>通知书发出之日起</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u w:val="single"/>
        </w:rPr>
        <w:t>5</w:t>
      </w:r>
      <w:r>
        <w:rPr>
          <w:rFonts w:hint="eastAsia" w:ascii="宋体" w:hAnsi="宋体" w:eastAsia="宋体" w:cs="宋体"/>
          <w:color w:val="auto"/>
          <w:sz w:val="24"/>
          <w:highlight w:val="none"/>
        </w:rPr>
        <w:t>日内，按照采购文件确定的事项签订本合同。</w:t>
      </w:r>
    </w:p>
    <w:p w14:paraId="3C673F9E">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eastAsia="宋体" w:cs="宋体"/>
          <w:color w:val="auto"/>
          <w:sz w:val="24"/>
          <w:highlight w:val="none"/>
          <w:u w:val="single"/>
        </w:rPr>
        <w:t xml:space="preserve">   （采购人）   </w:t>
      </w:r>
      <w:r>
        <w:rPr>
          <w:rFonts w:hint="eastAsia" w:ascii="宋体" w:hAnsi="宋体" w:eastAsia="宋体" w:cs="宋体"/>
          <w:color w:val="auto"/>
          <w:sz w:val="24"/>
          <w:highlight w:val="none"/>
          <w:lang w:val="zh-CN"/>
        </w:rPr>
        <w:t>(以下简称：甲方)和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成交</w:t>
      </w:r>
      <w:r>
        <w:rPr>
          <w:rFonts w:hint="eastAsia" w:ascii="宋体" w:hAnsi="宋体" w:eastAsia="宋体" w:cs="宋体"/>
          <w:color w:val="auto"/>
          <w:sz w:val="24"/>
          <w:highlight w:val="none"/>
          <w:u w:val="single"/>
        </w:rPr>
        <w:t xml:space="preserve">供应商名称）   </w:t>
      </w:r>
      <w:r>
        <w:rPr>
          <w:rFonts w:hint="eastAsia" w:ascii="宋体" w:hAnsi="宋体" w:eastAsia="宋体" w:cs="宋体"/>
          <w:color w:val="auto"/>
          <w:sz w:val="24"/>
          <w:highlight w:val="none"/>
          <w:lang w:val="zh-CN"/>
        </w:rPr>
        <w:t>(以下简称：乙方)协商一致，约定以下合同</w:t>
      </w:r>
      <w:r>
        <w:rPr>
          <w:rFonts w:hint="eastAsia" w:ascii="宋体" w:hAnsi="宋体" w:eastAsia="宋体" w:cs="宋体"/>
          <w:color w:val="auto"/>
          <w:sz w:val="24"/>
          <w:highlight w:val="none"/>
        </w:rPr>
        <w:t>条款，以兹共同遵守、全面履行。</w:t>
      </w:r>
    </w:p>
    <w:p w14:paraId="3D05F196">
      <w:pPr>
        <w:spacing w:line="360" w:lineRule="auto"/>
        <w:ind w:firstLine="482" w:firstLineChars="200"/>
        <w:outlineLvl w:val="9"/>
        <w:rPr>
          <w:rFonts w:hint="eastAsia" w:ascii="宋体" w:hAnsi="宋体" w:eastAsia="宋体" w:cs="宋体"/>
          <w:color w:val="auto"/>
          <w:sz w:val="24"/>
          <w:highlight w:val="none"/>
        </w:rPr>
      </w:pPr>
      <w:bookmarkStart w:id="66" w:name="_Toc28855"/>
      <w:bookmarkStart w:id="67" w:name="_Toc22967"/>
      <w:bookmarkStart w:id="68" w:name="_Toc20421"/>
      <w:bookmarkStart w:id="69" w:name="_Toc15367"/>
      <w:bookmarkStart w:id="70" w:name="_Toc19273"/>
      <w:r>
        <w:rPr>
          <w:rFonts w:hint="eastAsia" w:ascii="宋体" w:hAnsi="宋体" w:eastAsia="宋体" w:cs="宋体"/>
          <w:b/>
          <w:color w:val="auto"/>
          <w:sz w:val="24"/>
          <w:highlight w:val="none"/>
        </w:rPr>
        <w:t>1.1 合同组成部分</w:t>
      </w:r>
      <w:bookmarkEnd w:id="66"/>
      <w:bookmarkEnd w:id="67"/>
      <w:bookmarkEnd w:id="68"/>
      <w:bookmarkEnd w:id="69"/>
      <w:bookmarkEnd w:id="70"/>
    </w:p>
    <w:p w14:paraId="4F62DDF8">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5AAC7892">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1.1.1 本合同及其补充合同、变更协议；</w:t>
      </w:r>
    </w:p>
    <w:p w14:paraId="44AC7DB7">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1.1.2 </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rPr>
        <w:t>通知书；</w:t>
      </w:r>
    </w:p>
    <w:p w14:paraId="57E0C391">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1.1.3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文件（含澄清或者说明文件）；</w:t>
      </w:r>
    </w:p>
    <w:p w14:paraId="75C28375">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1.1.4 采购文件（含澄清或者修改文件）；</w:t>
      </w:r>
    </w:p>
    <w:p w14:paraId="3C67FC34">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1.1.5 其他相关采购文件。</w:t>
      </w:r>
    </w:p>
    <w:p w14:paraId="299639CE">
      <w:pPr>
        <w:spacing w:line="360" w:lineRule="auto"/>
        <w:ind w:firstLine="482" w:firstLineChars="200"/>
        <w:outlineLvl w:val="9"/>
        <w:rPr>
          <w:rFonts w:hint="eastAsia" w:ascii="宋体" w:hAnsi="宋体" w:eastAsia="宋体" w:cs="宋体"/>
          <w:b/>
          <w:color w:val="auto"/>
          <w:sz w:val="24"/>
          <w:highlight w:val="none"/>
        </w:rPr>
      </w:pPr>
      <w:bookmarkStart w:id="71" w:name="_Toc22185"/>
      <w:bookmarkStart w:id="72" w:name="_Toc18585"/>
      <w:bookmarkStart w:id="73" w:name="_Toc6773"/>
      <w:bookmarkStart w:id="74" w:name="_Toc6311"/>
      <w:bookmarkStart w:id="75" w:name="_Toc2918"/>
      <w:r>
        <w:rPr>
          <w:rFonts w:hint="eastAsia" w:ascii="宋体" w:hAnsi="宋体" w:eastAsia="宋体" w:cs="宋体"/>
          <w:b/>
          <w:color w:val="auto"/>
          <w:sz w:val="24"/>
          <w:highlight w:val="none"/>
        </w:rPr>
        <w:t>1.2 标的</w:t>
      </w:r>
      <w:bookmarkEnd w:id="71"/>
      <w:bookmarkEnd w:id="72"/>
      <w:bookmarkEnd w:id="73"/>
      <w:bookmarkEnd w:id="74"/>
      <w:bookmarkEnd w:id="75"/>
    </w:p>
    <w:p w14:paraId="083E82B4">
      <w:pPr>
        <w:spacing w:line="360" w:lineRule="auto"/>
        <w:ind w:firstLine="480" w:firstLineChars="200"/>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 服务内容：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4863C2D">
      <w:pPr>
        <w:spacing w:line="360" w:lineRule="auto"/>
        <w:ind w:firstLine="480" w:firstLineChars="200"/>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1.2.2 服务标准：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8D90ADF">
      <w:pPr>
        <w:spacing w:line="360" w:lineRule="auto"/>
        <w:ind w:firstLine="480" w:firstLineChars="200"/>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1.2.3 技术保障：</w:t>
      </w:r>
      <w:r>
        <w:rPr>
          <w:rFonts w:hint="eastAsia" w:ascii="宋体" w:hAnsi="宋体" w:eastAsia="宋体" w:cs="宋体"/>
          <w:color w:val="auto"/>
          <w:sz w:val="24"/>
          <w:highlight w:val="none"/>
          <w:u w:val="single"/>
        </w:rPr>
        <w:t>　　　　　　　　　                      　      ；</w:t>
      </w:r>
    </w:p>
    <w:p w14:paraId="6C1D8221">
      <w:pPr>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1.2.4 服务人员组成：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4E116B4">
      <w:pPr>
        <w:pStyle w:val="631"/>
        <w:spacing w:before="0" w:beforeAutospacing="0" w:after="0" w:afterAutospacing="0" w:line="360" w:lineRule="auto"/>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1.2.5合同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（是/否）涉及货物。若涉及货物的，则：</w:t>
      </w:r>
    </w:p>
    <w:p w14:paraId="0060E6FD">
      <w:pPr>
        <w:spacing w:line="360" w:lineRule="auto"/>
        <w:ind w:firstLine="480" w:firstLineChars="200"/>
        <w:outlineLvl w:val="9"/>
        <w:rPr>
          <w:rFonts w:hint="eastAsia" w:ascii="宋体" w:hAnsi="宋体" w:eastAsia="宋体" w:cs="宋体"/>
          <w:color w:val="auto"/>
          <w:sz w:val="24"/>
          <w:highlight w:val="none"/>
          <w:u w:val="single"/>
        </w:rPr>
      </w:pPr>
      <w:bookmarkStart w:id="76" w:name="_Toc21124"/>
      <w:bookmarkStart w:id="77" w:name="_Toc1386"/>
      <w:bookmarkStart w:id="78" w:name="_Toc5635"/>
      <w:bookmarkStart w:id="79" w:name="_Toc13918"/>
      <w:bookmarkStart w:id="80" w:name="_Toc4929"/>
      <w:r>
        <w:rPr>
          <w:rFonts w:hint="eastAsia" w:ascii="宋体" w:hAnsi="宋体" w:eastAsia="宋体" w:cs="宋体"/>
          <w:color w:val="auto"/>
          <w:sz w:val="24"/>
          <w:highlight w:val="none"/>
        </w:rPr>
        <w:t>1.2.5.1 货物名称、品牌、规格型号、花色：</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052FB52">
      <w:pPr>
        <w:spacing w:line="360" w:lineRule="auto"/>
        <w:ind w:firstLine="480" w:firstLineChars="200"/>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1.2.5.2 货物数量：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2F07A85">
      <w:pPr>
        <w:spacing w:line="360" w:lineRule="auto"/>
        <w:ind w:firstLine="480" w:firstLineChars="200"/>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1.2.5.3 货物质量：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CA36A4E">
      <w:pPr>
        <w:spacing w:line="360" w:lineRule="auto"/>
        <w:ind w:firstLine="482" w:firstLineChars="200"/>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1.3 价款</w:t>
      </w:r>
      <w:bookmarkEnd w:id="76"/>
      <w:bookmarkEnd w:id="77"/>
      <w:bookmarkEnd w:id="78"/>
      <w:bookmarkEnd w:id="79"/>
      <w:bookmarkEnd w:id="80"/>
    </w:p>
    <w:p w14:paraId="3D6CACE2">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1.3.1</w:t>
      </w:r>
      <w:r>
        <w:rPr>
          <w:rFonts w:hint="eastAsia" w:ascii="宋体" w:hAnsi="宋体" w:eastAsia="宋体" w:cs="宋体"/>
          <w:color w:val="auto"/>
          <w:sz w:val="24"/>
          <w:highlight w:val="none"/>
        </w:rPr>
        <w:t>总价合同，本合同总价（含税）为：</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元人民币）。</w:t>
      </w:r>
    </w:p>
    <w:p w14:paraId="7EFA676C">
      <w:pPr>
        <w:spacing w:line="360" w:lineRule="auto"/>
        <w:ind w:firstLine="480" w:firstLineChars="200"/>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1.3.2下浮率</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3590"/>
        <w:gridCol w:w="2301"/>
        <w:gridCol w:w="2301"/>
      </w:tblGrid>
      <w:tr w14:paraId="29C55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012" w:type="dxa"/>
            <w:noWrap w:val="0"/>
            <w:vAlign w:val="center"/>
          </w:tcPr>
          <w:p w14:paraId="1F6881DD">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vertAlign w:val="baseline"/>
              </w:rPr>
            </w:pPr>
            <w:bookmarkStart w:id="81" w:name="_Toc14993"/>
            <w:bookmarkStart w:id="82" w:name="_Toc30158"/>
            <w:bookmarkStart w:id="83" w:name="_Toc30506"/>
            <w:bookmarkStart w:id="84" w:name="_Toc26916"/>
            <w:bookmarkStart w:id="85" w:name="_Toc3654"/>
            <w:r>
              <w:rPr>
                <w:rFonts w:hint="eastAsia" w:ascii="宋体" w:hAnsi="宋体" w:eastAsia="宋体" w:cs="宋体"/>
                <w:b/>
                <w:bCs/>
                <w:color w:val="auto"/>
                <w:kern w:val="0"/>
                <w:sz w:val="21"/>
                <w:szCs w:val="21"/>
                <w:highlight w:val="none"/>
              </w:rPr>
              <w:t>项号</w:t>
            </w:r>
          </w:p>
        </w:tc>
        <w:tc>
          <w:tcPr>
            <w:tcW w:w="3590" w:type="dxa"/>
            <w:noWrap w:val="0"/>
            <w:vAlign w:val="center"/>
          </w:tcPr>
          <w:p w14:paraId="3D257382">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vertAlign w:val="baseline"/>
              </w:rPr>
            </w:pPr>
            <w:r>
              <w:rPr>
                <w:rFonts w:hint="eastAsia" w:ascii="宋体" w:hAnsi="宋体" w:eastAsia="宋体" w:cs="宋体"/>
                <w:b/>
                <w:bCs/>
                <w:color w:val="auto"/>
                <w:kern w:val="0"/>
                <w:sz w:val="21"/>
                <w:szCs w:val="21"/>
                <w:highlight w:val="none"/>
                <w:lang w:val="en-US" w:eastAsia="zh-CN"/>
              </w:rPr>
              <w:t>标的</w:t>
            </w:r>
            <w:r>
              <w:rPr>
                <w:rFonts w:hint="eastAsia" w:ascii="宋体" w:hAnsi="宋体" w:eastAsia="宋体" w:cs="宋体"/>
                <w:b/>
                <w:bCs/>
                <w:color w:val="auto"/>
                <w:kern w:val="0"/>
                <w:sz w:val="21"/>
                <w:szCs w:val="21"/>
                <w:highlight w:val="none"/>
              </w:rPr>
              <w:t>名称</w:t>
            </w:r>
          </w:p>
        </w:tc>
        <w:tc>
          <w:tcPr>
            <w:tcW w:w="2301" w:type="dxa"/>
            <w:noWrap w:val="0"/>
            <w:vAlign w:val="center"/>
          </w:tcPr>
          <w:p w14:paraId="3F9A53A4">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vertAlign w:val="baseline"/>
              </w:rPr>
            </w:pPr>
            <w:r>
              <w:rPr>
                <w:rFonts w:hint="eastAsia" w:ascii="宋体" w:hAnsi="宋体" w:eastAsia="宋体" w:cs="宋体"/>
                <w:b/>
                <w:bCs/>
                <w:color w:val="auto"/>
                <w:kern w:val="0"/>
                <w:sz w:val="21"/>
                <w:szCs w:val="21"/>
                <w:highlight w:val="none"/>
                <w:lang w:val="en-US" w:eastAsia="zh-CN"/>
              </w:rPr>
              <w:t>整体下浮率（%）</w:t>
            </w:r>
          </w:p>
        </w:tc>
        <w:tc>
          <w:tcPr>
            <w:tcW w:w="2301" w:type="dxa"/>
            <w:noWrap w:val="0"/>
            <w:vAlign w:val="center"/>
          </w:tcPr>
          <w:p w14:paraId="3C942F90">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vertAlign w:val="baseline"/>
              </w:rPr>
            </w:pPr>
            <w:r>
              <w:rPr>
                <w:rFonts w:hint="eastAsia" w:ascii="宋体" w:hAnsi="宋体" w:eastAsia="宋体" w:cs="宋体"/>
                <w:b/>
                <w:bCs/>
                <w:color w:val="auto"/>
                <w:kern w:val="0"/>
                <w:sz w:val="21"/>
                <w:szCs w:val="21"/>
                <w:highlight w:val="none"/>
                <w:lang w:val="en-US" w:eastAsia="zh-CN"/>
              </w:rPr>
              <w:t>说明</w:t>
            </w:r>
          </w:p>
        </w:tc>
      </w:tr>
      <w:tr w14:paraId="634A3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12" w:type="dxa"/>
            <w:noWrap w:val="0"/>
            <w:vAlign w:val="center"/>
          </w:tcPr>
          <w:p w14:paraId="0C078333">
            <w:pPr>
              <w:keepNext w:val="0"/>
              <w:keepLines w:val="0"/>
              <w:pageBreakBefore w:val="0"/>
              <w:kinsoku/>
              <w:wordWrap/>
              <w:overflowPunct/>
              <w:topLinePunct w:val="0"/>
              <w:autoSpaceDE/>
              <w:autoSpaceDN/>
              <w:bidi w:val="0"/>
              <w:spacing w:line="400" w:lineRule="exact"/>
              <w:jc w:val="center"/>
              <w:textAlignment w:val="auto"/>
              <w:outlineLvl w:val="9"/>
              <w:rPr>
                <w:rFonts w:hint="eastAsia" w:ascii="宋体" w:hAnsi="宋体" w:eastAsia="宋体" w:cs="宋体"/>
                <w:color w:val="auto"/>
                <w:szCs w:val="21"/>
                <w:highlight w:val="none"/>
                <w:vertAlign w:val="baseline"/>
              </w:rPr>
            </w:pPr>
            <w:r>
              <w:rPr>
                <w:rFonts w:hint="eastAsia" w:ascii="宋体" w:hAnsi="宋体" w:eastAsia="宋体" w:cs="宋体"/>
                <w:color w:val="auto"/>
                <w:sz w:val="21"/>
                <w:szCs w:val="21"/>
                <w:highlight w:val="none"/>
                <w:lang w:val="en-US" w:eastAsia="zh-CN"/>
              </w:rPr>
              <w:t>1</w:t>
            </w:r>
          </w:p>
        </w:tc>
        <w:tc>
          <w:tcPr>
            <w:tcW w:w="3590" w:type="dxa"/>
            <w:noWrap w:val="0"/>
            <w:vAlign w:val="center"/>
          </w:tcPr>
          <w:p w14:paraId="036FBFEC">
            <w:pPr>
              <w:keepNext w:val="0"/>
              <w:keepLines w:val="0"/>
              <w:pageBreakBefore w:val="0"/>
              <w:kinsoku/>
              <w:wordWrap/>
              <w:overflowPunct/>
              <w:topLinePunct w:val="0"/>
              <w:autoSpaceDE/>
              <w:autoSpaceDN/>
              <w:bidi w:val="0"/>
              <w:spacing w:line="400" w:lineRule="exact"/>
              <w:jc w:val="center"/>
              <w:textAlignment w:val="auto"/>
              <w:outlineLvl w:val="9"/>
              <w:rPr>
                <w:rFonts w:hint="eastAsia" w:ascii="宋体" w:hAnsi="宋体" w:eastAsia="宋体" w:cs="宋体"/>
                <w:color w:val="auto"/>
                <w:szCs w:val="21"/>
                <w:highlight w:val="none"/>
                <w:vertAlign w:val="baseline"/>
              </w:rPr>
            </w:pPr>
          </w:p>
        </w:tc>
        <w:tc>
          <w:tcPr>
            <w:tcW w:w="2301" w:type="dxa"/>
            <w:noWrap w:val="0"/>
            <w:vAlign w:val="center"/>
          </w:tcPr>
          <w:p w14:paraId="376918B6">
            <w:pPr>
              <w:keepNext w:val="0"/>
              <w:keepLines w:val="0"/>
              <w:pageBreakBefore w:val="0"/>
              <w:kinsoku/>
              <w:wordWrap/>
              <w:overflowPunct/>
              <w:topLinePunct w:val="0"/>
              <w:autoSpaceDE/>
              <w:autoSpaceDN/>
              <w:bidi w:val="0"/>
              <w:spacing w:line="400" w:lineRule="exact"/>
              <w:textAlignment w:val="auto"/>
              <w:outlineLvl w:val="9"/>
              <w:rPr>
                <w:rFonts w:hint="eastAsia" w:ascii="宋体" w:hAnsi="宋体" w:eastAsia="宋体" w:cs="宋体"/>
                <w:color w:val="auto"/>
                <w:szCs w:val="21"/>
                <w:highlight w:val="none"/>
                <w:vertAlign w:val="baseline"/>
              </w:rPr>
            </w:pPr>
          </w:p>
        </w:tc>
        <w:tc>
          <w:tcPr>
            <w:tcW w:w="2301" w:type="dxa"/>
            <w:noWrap w:val="0"/>
            <w:vAlign w:val="center"/>
          </w:tcPr>
          <w:p w14:paraId="538FDC35">
            <w:pPr>
              <w:keepNext w:val="0"/>
              <w:keepLines w:val="0"/>
              <w:pageBreakBefore w:val="0"/>
              <w:kinsoku/>
              <w:wordWrap/>
              <w:overflowPunct/>
              <w:topLinePunct w:val="0"/>
              <w:autoSpaceDE/>
              <w:autoSpaceDN/>
              <w:bidi w:val="0"/>
              <w:spacing w:line="400" w:lineRule="exact"/>
              <w:textAlignment w:val="auto"/>
              <w:outlineLvl w:val="9"/>
              <w:rPr>
                <w:rFonts w:hint="eastAsia" w:ascii="宋体" w:hAnsi="宋体" w:eastAsia="宋体" w:cs="宋体"/>
                <w:color w:val="auto"/>
                <w:szCs w:val="21"/>
                <w:highlight w:val="none"/>
                <w:vertAlign w:val="baseline"/>
              </w:rPr>
            </w:pPr>
          </w:p>
        </w:tc>
      </w:tr>
      <w:bookmarkEnd w:id="81"/>
      <w:bookmarkEnd w:id="82"/>
      <w:bookmarkEnd w:id="83"/>
      <w:bookmarkEnd w:id="84"/>
      <w:bookmarkEnd w:id="85"/>
    </w:tbl>
    <w:p w14:paraId="1BF5EC05">
      <w:pPr>
        <w:pStyle w:val="631"/>
        <w:spacing w:before="0" w:beforeAutospacing="0" w:after="0" w:afterAutospacing="0" w:line="360" w:lineRule="auto"/>
        <w:ind w:firstLine="480"/>
        <w:outlineLvl w:val="9"/>
        <w:rPr>
          <w:rFonts w:hint="eastAsia" w:ascii="宋体" w:hAnsi="宋体" w:eastAsia="宋体" w:cs="宋体"/>
          <w:b/>
          <w:color w:val="auto"/>
          <w:highlight w:val="none"/>
        </w:rPr>
      </w:pPr>
      <w:bookmarkStart w:id="86" w:name="_Toc10340"/>
      <w:bookmarkStart w:id="87" w:name="_Toc1814"/>
      <w:bookmarkStart w:id="88" w:name="_Toc22618"/>
      <w:bookmarkStart w:id="89" w:name="_Toc3625"/>
      <w:bookmarkStart w:id="90" w:name="_Toc31421"/>
      <w:bookmarkStart w:id="91" w:name="_Toc11108"/>
      <w:bookmarkStart w:id="92" w:name="_Toc8772"/>
      <w:bookmarkStart w:id="93" w:name="_Toc4760"/>
      <w:r>
        <w:rPr>
          <w:rFonts w:hint="eastAsia" w:ascii="宋体" w:hAnsi="宋体" w:eastAsia="宋体" w:cs="宋体"/>
          <w:b/>
          <w:color w:val="auto"/>
          <w:highlight w:val="none"/>
        </w:rPr>
        <w:t>1.4履约保证金</w:t>
      </w:r>
    </w:p>
    <w:p w14:paraId="2C3FD28A">
      <w:pPr>
        <w:pStyle w:val="631"/>
        <w:spacing w:before="0" w:beforeAutospacing="0" w:after="0" w:afterAutospacing="0" w:line="360" w:lineRule="auto"/>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乙方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（是/否）需要支付履约保证金。若需要支付履约保证金的，则：</w:t>
      </w:r>
    </w:p>
    <w:p w14:paraId="35BF8C7B">
      <w:pPr>
        <w:spacing w:line="360" w:lineRule="auto"/>
        <w:ind w:firstLine="480" w:firstLineChars="20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1.4.1履约保证金的比例为合同金额的</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6ADDEC59">
      <w:pPr>
        <w:spacing w:line="360" w:lineRule="auto"/>
        <w:ind w:firstLine="480" w:firstLineChars="20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1.4.2履约保证金支付方式详见</w:t>
      </w:r>
      <w:r>
        <w:rPr>
          <w:rFonts w:hint="eastAsia" w:ascii="宋体" w:hAnsi="宋体" w:eastAsia="宋体" w:cs="宋体"/>
          <w:color w:val="auto"/>
          <w:kern w:val="0"/>
          <w:sz w:val="24"/>
          <w:highlight w:val="none"/>
          <w:u w:val="single"/>
        </w:rPr>
        <w:t xml:space="preserve">    </w:t>
      </w:r>
      <w:r>
        <w:rPr>
          <w:rFonts w:hint="eastAsia" w:ascii="宋体" w:hAnsi="宋体" w:eastAsia="宋体" w:cs="宋体"/>
          <w:b/>
          <w:color w:val="auto"/>
          <w:sz w:val="24"/>
          <w:highlight w:val="none"/>
          <w:u w:val="single"/>
        </w:rPr>
        <w:t>合同专用条款</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065DC049">
      <w:pPr>
        <w:pStyle w:val="633"/>
        <w:outlineLvl w:val="9"/>
        <w:rPr>
          <w:rFonts w:hint="eastAsia" w:ascii="宋体" w:hAnsi="宋体" w:eastAsia="宋体" w:cs="宋体"/>
          <w:color w:val="auto"/>
          <w:highlight w:val="none"/>
        </w:rPr>
      </w:pPr>
      <w:r>
        <w:rPr>
          <w:rFonts w:hint="eastAsia" w:ascii="宋体" w:hAnsi="宋体" w:eastAsia="宋体" w:cs="宋体"/>
          <w:color w:val="auto"/>
          <w:highlight w:val="none"/>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2E756F14">
      <w:pPr>
        <w:spacing w:line="360" w:lineRule="auto"/>
        <w:ind w:firstLine="480" w:firstLineChars="20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1.4.4甲方在项目验收结束后及时退还履约保证金。甲方在项目通过验收之日起</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个工作日内将履约保证金无息退还乙方，逾期退还的，乙方可要求甲方支付违约金，违约金按每迟延退还一日的应退还而未退还金额的</w:t>
      </w:r>
      <w:r>
        <w:rPr>
          <w:rFonts w:hint="eastAsia" w:ascii="宋体" w:hAnsi="宋体" w:eastAsia="宋体" w:cs="宋体"/>
          <w:color w:val="auto"/>
          <w:kern w:val="0"/>
          <w:sz w:val="24"/>
          <w:highlight w:val="none"/>
          <w:u w:val="single"/>
        </w:rPr>
        <w:t xml:space="preserve">  0.05（可根据情况修改）  </w:t>
      </w:r>
      <w:r>
        <w:rPr>
          <w:rFonts w:hint="eastAsia" w:ascii="宋体" w:hAnsi="宋体" w:eastAsia="宋体" w:cs="宋体"/>
          <w:color w:val="auto"/>
          <w:kern w:val="0"/>
          <w:sz w:val="24"/>
          <w:highlight w:val="none"/>
        </w:rPr>
        <w:t>%计算，最高限额为本合同履约保证金的</w:t>
      </w:r>
      <w:r>
        <w:rPr>
          <w:rFonts w:hint="eastAsia" w:ascii="宋体" w:hAnsi="宋体" w:eastAsia="宋体" w:cs="宋体"/>
          <w:color w:val="auto"/>
          <w:kern w:val="0"/>
          <w:sz w:val="24"/>
          <w:highlight w:val="none"/>
          <w:u w:val="single"/>
        </w:rPr>
        <w:t xml:space="preserve">  20  </w:t>
      </w:r>
      <w:r>
        <w:rPr>
          <w:rFonts w:hint="eastAsia" w:ascii="宋体" w:hAnsi="宋体" w:eastAsia="宋体" w:cs="宋体"/>
          <w:color w:val="auto"/>
          <w:kern w:val="0"/>
          <w:sz w:val="24"/>
          <w:highlight w:val="none"/>
        </w:rPr>
        <w:t xml:space="preserve"> %。</w:t>
      </w:r>
    </w:p>
    <w:p w14:paraId="1A2853CD">
      <w:pPr>
        <w:spacing w:line="360" w:lineRule="auto"/>
        <w:ind w:firstLine="482" w:firstLineChars="200"/>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1.5</w:t>
      </w:r>
      <w:bookmarkEnd w:id="86"/>
      <w:bookmarkEnd w:id="87"/>
      <w:bookmarkEnd w:id="88"/>
      <w:r>
        <w:rPr>
          <w:rFonts w:hint="eastAsia" w:ascii="宋体" w:hAnsi="宋体" w:eastAsia="宋体" w:cs="宋体"/>
          <w:b/>
          <w:color w:val="auto"/>
          <w:sz w:val="24"/>
          <w:highlight w:val="none"/>
        </w:rPr>
        <w:t>预付款</w:t>
      </w:r>
    </w:p>
    <w:p w14:paraId="23C742D1">
      <w:pPr>
        <w:pStyle w:val="631"/>
        <w:spacing w:before="0" w:beforeAutospacing="0" w:after="0" w:afterAutospacing="0" w:line="360" w:lineRule="auto"/>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甲方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（是/否）需要支付预付款。若需要支付预付款的，则：</w:t>
      </w:r>
    </w:p>
    <w:p w14:paraId="2C165D7B">
      <w:pPr>
        <w:spacing w:line="360" w:lineRule="auto"/>
        <w:ind w:firstLine="480" w:firstLineChars="20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1.5.1预付款比例、支付方式、时间详见</w:t>
      </w:r>
      <w:r>
        <w:rPr>
          <w:rFonts w:hint="eastAsia" w:ascii="宋体" w:hAnsi="宋体" w:eastAsia="宋体" w:cs="宋体"/>
          <w:color w:val="auto"/>
          <w:kern w:val="0"/>
          <w:sz w:val="24"/>
          <w:highlight w:val="none"/>
          <w:u w:val="single"/>
        </w:rPr>
        <w:t xml:space="preserve">    </w:t>
      </w:r>
      <w:r>
        <w:rPr>
          <w:rFonts w:hint="eastAsia" w:ascii="宋体" w:hAnsi="宋体" w:eastAsia="宋体" w:cs="宋体"/>
          <w:b/>
          <w:color w:val="auto"/>
          <w:sz w:val="24"/>
          <w:highlight w:val="none"/>
          <w:u w:val="single"/>
        </w:rPr>
        <w:t>合同专用条款</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35366C22">
      <w:pPr>
        <w:pStyle w:val="631"/>
        <w:spacing w:before="0" w:beforeAutospacing="0" w:after="0" w:afterAutospacing="0" w:line="360" w:lineRule="auto"/>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1.5.2预付款的扣回方式详见</w:t>
      </w:r>
      <w:r>
        <w:rPr>
          <w:rFonts w:hint="eastAsia" w:ascii="宋体" w:hAnsi="宋体" w:eastAsia="宋体" w:cs="宋体"/>
          <w:color w:val="auto"/>
          <w:highlight w:val="none"/>
          <w:u w:val="single"/>
        </w:rPr>
        <w:t xml:space="preserve">    </w:t>
      </w:r>
      <w:r>
        <w:rPr>
          <w:rFonts w:hint="eastAsia" w:ascii="宋体" w:hAnsi="宋体" w:eastAsia="宋体" w:cs="宋体"/>
          <w:b/>
          <w:color w:val="auto"/>
          <w:highlight w:val="none"/>
          <w:u w:val="single"/>
        </w:rPr>
        <w:t>合同专用条款</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95B24E7">
      <w:pPr>
        <w:pStyle w:val="631"/>
        <w:spacing w:before="0" w:beforeAutospacing="0" w:after="0" w:afterAutospacing="0" w:line="360" w:lineRule="auto"/>
        <w:ind w:firstLine="480"/>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1.5.3预付款的担保措施详见</w:t>
      </w:r>
      <w:r>
        <w:rPr>
          <w:rFonts w:hint="eastAsia" w:ascii="宋体" w:hAnsi="宋体" w:eastAsia="宋体" w:cs="宋体"/>
          <w:color w:val="auto"/>
          <w:highlight w:val="none"/>
          <w:u w:val="single"/>
        </w:rPr>
        <w:t xml:space="preserve">    </w:t>
      </w:r>
      <w:r>
        <w:rPr>
          <w:rFonts w:hint="eastAsia" w:ascii="宋体" w:hAnsi="宋体" w:eastAsia="宋体" w:cs="宋体"/>
          <w:b/>
          <w:color w:val="auto"/>
          <w:highlight w:val="none"/>
          <w:u w:val="single"/>
        </w:rPr>
        <w:t>合同专用条款</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1E67541B">
      <w:pPr>
        <w:pStyle w:val="631"/>
        <w:spacing w:before="0" w:beforeAutospacing="0" w:after="0" w:afterAutospacing="0" w:line="360" w:lineRule="auto"/>
        <w:ind w:firstLine="480"/>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1.6资金支付</w:t>
      </w:r>
    </w:p>
    <w:p w14:paraId="1A39E7D4">
      <w:pPr>
        <w:pStyle w:val="631"/>
        <w:spacing w:before="0" w:beforeAutospacing="0" w:after="0" w:afterAutospacing="0" w:line="360" w:lineRule="auto"/>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23396903">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1.6.2资金支付的方式、时间和条件详见</w:t>
      </w:r>
      <w:r>
        <w:rPr>
          <w:rFonts w:hint="eastAsia" w:ascii="宋体" w:hAnsi="宋体" w:eastAsia="宋体" w:cs="宋体"/>
          <w:b/>
          <w:color w:val="auto"/>
          <w:sz w:val="24"/>
          <w:highlight w:val="none"/>
          <w:u w:val="single"/>
        </w:rPr>
        <w:t>合同专用条款</w:t>
      </w:r>
      <w:r>
        <w:rPr>
          <w:rFonts w:hint="eastAsia" w:ascii="宋体" w:hAnsi="宋体" w:eastAsia="宋体" w:cs="宋体"/>
          <w:color w:val="auto"/>
          <w:sz w:val="24"/>
          <w:highlight w:val="none"/>
        </w:rPr>
        <w:t>。</w:t>
      </w:r>
    </w:p>
    <w:p w14:paraId="15827273">
      <w:pPr>
        <w:spacing w:line="360" w:lineRule="auto"/>
        <w:ind w:firstLine="482" w:firstLineChars="200"/>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1.7 履行期限、地点和方式</w:t>
      </w:r>
      <w:bookmarkEnd w:id="89"/>
      <w:bookmarkEnd w:id="90"/>
      <w:bookmarkEnd w:id="91"/>
      <w:bookmarkEnd w:id="92"/>
      <w:bookmarkEnd w:id="93"/>
    </w:p>
    <w:p w14:paraId="656981B7">
      <w:pPr>
        <w:spacing w:line="360" w:lineRule="auto"/>
        <w:ind w:firstLine="480" w:firstLineChars="200"/>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1.7.1 服务交付（实施）的时间（期限）：</w:t>
      </w:r>
      <w:r>
        <w:rPr>
          <w:rFonts w:hint="eastAsia" w:ascii="宋体" w:hAnsi="宋体" w:eastAsia="宋体" w:cs="宋体"/>
          <w:b/>
          <w:color w:val="auto"/>
          <w:sz w:val="24"/>
          <w:highlight w:val="none"/>
          <w:u w:val="single"/>
        </w:rPr>
        <w:t>合同专用条款</w:t>
      </w:r>
      <w:r>
        <w:rPr>
          <w:rFonts w:hint="eastAsia" w:ascii="宋体" w:hAnsi="宋体" w:eastAsia="宋体" w:cs="宋体"/>
          <w:color w:val="auto"/>
          <w:sz w:val="24"/>
          <w:highlight w:val="none"/>
        </w:rPr>
        <w:t>；</w:t>
      </w:r>
    </w:p>
    <w:p w14:paraId="78C9B32E">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1.7.2 服务交付（实施）的地点（地域范围）：</w:t>
      </w:r>
      <w:r>
        <w:rPr>
          <w:rFonts w:hint="eastAsia" w:ascii="宋体" w:hAnsi="宋体" w:eastAsia="宋体" w:cs="宋体"/>
          <w:b/>
          <w:color w:val="auto"/>
          <w:sz w:val="24"/>
          <w:highlight w:val="none"/>
          <w:u w:val="single"/>
        </w:rPr>
        <w:t>合同专用条款</w:t>
      </w:r>
      <w:r>
        <w:rPr>
          <w:rFonts w:hint="eastAsia" w:ascii="宋体" w:hAnsi="宋体" w:eastAsia="宋体" w:cs="宋体"/>
          <w:color w:val="auto"/>
          <w:sz w:val="24"/>
          <w:highlight w:val="none"/>
        </w:rPr>
        <w:t>；</w:t>
      </w:r>
    </w:p>
    <w:p w14:paraId="17205051">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1.7.3 服务交付（实施）的方式：</w:t>
      </w:r>
      <w:r>
        <w:rPr>
          <w:rFonts w:hint="eastAsia" w:ascii="宋体" w:hAnsi="宋体" w:eastAsia="宋体" w:cs="宋体"/>
          <w:b/>
          <w:color w:val="auto"/>
          <w:sz w:val="24"/>
          <w:highlight w:val="none"/>
          <w:u w:val="single"/>
        </w:rPr>
        <w:t>合同专用条款</w:t>
      </w:r>
      <w:r>
        <w:rPr>
          <w:rFonts w:hint="eastAsia" w:ascii="宋体" w:hAnsi="宋体" w:eastAsia="宋体" w:cs="宋体"/>
          <w:color w:val="auto"/>
          <w:sz w:val="24"/>
          <w:highlight w:val="none"/>
        </w:rPr>
        <w:t>。</w:t>
      </w:r>
    </w:p>
    <w:p w14:paraId="5C9B219D">
      <w:pPr>
        <w:spacing w:line="360" w:lineRule="auto"/>
        <w:ind w:firstLine="480" w:firstLineChars="200"/>
        <w:outlineLvl w:val="9"/>
        <w:rPr>
          <w:rFonts w:hint="eastAsia" w:ascii="宋体" w:hAnsi="宋体" w:eastAsia="宋体" w:cs="宋体"/>
          <w:bCs/>
          <w:color w:val="auto"/>
          <w:sz w:val="24"/>
          <w:highlight w:val="none"/>
        </w:rPr>
      </w:pPr>
      <w:bookmarkStart w:id="94" w:name="_Toc2375"/>
      <w:bookmarkStart w:id="95" w:name="_Toc3079"/>
      <w:bookmarkStart w:id="96" w:name="_Toc5698"/>
      <w:bookmarkStart w:id="97" w:name="_Toc8586"/>
      <w:bookmarkStart w:id="98" w:name="_Toc24662"/>
      <w:r>
        <w:rPr>
          <w:rFonts w:hint="eastAsia" w:ascii="宋体" w:hAnsi="宋体" w:eastAsia="宋体" w:cs="宋体"/>
          <w:bCs/>
          <w:color w:val="auto"/>
          <w:sz w:val="24"/>
          <w:highlight w:val="none"/>
        </w:rPr>
        <w:t>1.7.4若服务涉及货物的，则货物的：</w:t>
      </w:r>
    </w:p>
    <w:p w14:paraId="55DFA953">
      <w:pPr>
        <w:spacing w:line="360" w:lineRule="auto"/>
        <w:ind w:firstLine="480" w:firstLineChars="200"/>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1.7.4.1 交付期限：详见</w:t>
      </w:r>
      <w:r>
        <w:rPr>
          <w:rFonts w:hint="eastAsia" w:ascii="宋体" w:hAnsi="宋体" w:eastAsia="宋体" w:cs="宋体"/>
          <w:b/>
          <w:color w:val="auto"/>
          <w:sz w:val="24"/>
          <w:highlight w:val="none"/>
          <w:u w:val="single"/>
        </w:rPr>
        <w:t>合同专用条款</w:t>
      </w:r>
      <w:r>
        <w:rPr>
          <w:rFonts w:hint="eastAsia" w:ascii="宋体" w:hAnsi="宋体" w:eastAsia="宋体" w:cs="宋体"/>
          <w:color w:val="auto"/>
          <w:sz w:val="24"/>
          <w:highlight w:val="none"/>
        </w:rPr>
        <w:t>；</w:t>
      </w:r>
    </w:p>
    <w:p w14:paraId="5D3DE478">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1.7.4.2 交付地点：</w:t>
      </w:r>
      <w:r>
        <w:rPr>
          <w:rFonts w:hint="eastAsia" w:ascii="宋体" w:hAnsi="宋体" w:eastAsia="宋体" w:cs="宋体"/>
          <w:b/>
          <w:color w:val="auto"/>
          <w:sz w:val="24"/>
          <w:highlight w:val="none"/>
          <w:u w:val="single"/>
        </w:rPr>
        <w:t>合同专用条款</w:t>
      </w:r>
      <w:r>
        <w:rPr>
          <w:rFonts w:hint="eastAsia" w:ascii="宋体" w:hAnsi="宋体" w:eastAsia="宋体" w:cs="宋体"/>
          <w:color w:val="auto"/>
          <w:sz w:val="24"/>
          <w:highlight w:val="none"/>
        </w:rPr>
        <w:t>；</w:t>
      </w:r>
    </w:p>
    <w:p w14:paraId="64585F2C">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1.7.4.3 交付方式：</w:t>
      </w:r>
      <w:r>
        <w:rPr>
          <w:rFonts w:hint="eastAsia" w:ascii="宋体" w:hAnsi="宋体" w:eastAsia="宋体" w:cs="宋体"/>
          <w:b/>
          <w:color w:val="auto"/>
          <w:sz w:val="24"/>
          <w:highlight w:val="none"/>
          <w:u w:val="single"/>
        </w:rPr>
        <w:t>合同专用条款</w:t>
      </w:r>
      <w:r>
        <w:rPr>
          <w:rFonts w:hint="eastAsia" w:ascii="宋体" w:hAnsi="宋体" w:eastAsia="宋体" w:cs="宋体"/>
          <w:color w:val="auto"/>
          <w:sz w:val="24"/>
          <w:highlight w:val="none"/>
        </w:rPr>
        <w:t>。</w:t>
      </w:r>
    </w:p>
    <w:p w14:paraId="3020E164">
      <w:pPr>
        <w:spacing w:line="360" w:lineRule="auto"/>
        <w:ind w:firstLine="482" w:firstLineChars="200"/>
        <w:outlineLvl w:val="9"/>
        <w:rPr>
          <w:rFonts w:hint="eastAsia" w:ascii="宋体" w:hAnsi="宋体" w:eastAsia="宋体" w:cs="宋体"/>
          <w:color w:val="auto"/>
          <w:sz w:val="24"/>
          <w:highlight w:val="none"/>
          <w:u w:val="single"/>
        </w:rPr>
      </w:pPr>
      <w:r>
        <w:rPr>
          <w:rFonts w:hint="eastAsia" w:ascii="宋体" w:hAnsi="宋体" w:eastAsia="宋体" w:cs="宋体"/>
          <w:b/>
          <w:color w:val="auto"/>
          <w:sz w:val="24"/>
          <w:highlight w:val="none"/>
        </w:rPr>
        <w:t>1.8违约责任</w:t>
      </w:r>
      <w:bookmarkEnd w:id="94"/>
      <w:bookmarkEnd w:id="95"/>
      <w:bookmarkEnd w:id="96"/>
      <w:bookmarkEnd w:id="97"/>
      <w:bookmarkEnd w:id="98"/>
    </w:p>
    <w:p w14:paraId="42572029">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1.8.1 除不可抗力外，如果乙方没有按照本合同约定的期限、地点和方式交付服务成果或者实施服务，那么甲方可要求乙方支付违约金，迟延履行违约金按每迟延履行一日的应提供而未提供服务价格的</w:t>
      </w:r>
      <w:r>
        <w:rPr>
          <w:rFonts w:hint="eastAsia" w:ascii="宋体" w:hAnsi="宋体" w:eastAsia="宋体" w:cs="宋体"/>
          <w:color w:val="auto"/>
          <w:sz w:val="24"/>
          <w:highlight w:val="none"/>
          <w:u w:val="single"/>
        </w:rPr>
        <w:t xml:space="preserve">0.05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20</w:t>
      </w:r>
      <w:r>
        <w:rPr>
          <w:rFonts w:hint="eastAsia" w:ascii="宋体" w:hAnsi="宋体" w:eastAsia="宋体" w:cs="宋体"/>
          <w:color w:val="auto"/>
          <w:sz w:val="24"/>
          <w:highlight w:val="none"/>
        </w:rPr>
        <w:t>%；迟延履行的违约金计算数额达到前述最高限额之日起，甲方有权在要求乙方支付违约金的同时，书面通知乙方解除本合同；</w:t>
      </w:r>
    </w:p>
    <w:p w14:paraId="2CB1335C">
      <w:pPr>
        <w:pStyle w:val="633"/>
        <w:outlineLvl w:val="9"/>
        <w:rPr>
          <w:rFonts w:hint="eastAsia" w:ascii="宋体" w:hAnsi="宋体" w:eastAsia="宋体" w:cs="宋体"/>
          <w:b/>
          <w:bCs/>
          <w:color w:val="auto"/>
          <w:highlight w:val="none"/>
        </w:rPr>
      </w:pPr>
      <w:r>
        <w:rPr>
          <w:rFonts w:hint="eastAsia" w:ascii="宋体" w:hAnsi="宋体" w:eastAsia="宋体" w:cs="宋体"/>
          <w:color w:val="auto"/>
          <w:highlight w:val="none"/>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color w:val="auto"/>
          <w:highlight w:val="none"/>
          <w:u w:val="single"/>
        </w:rPr>
        <w:t xml:space="preserve">  0.0</w:t>
      </w:r>
      <w:r>
        <w:rPr>
          <w:rFonts w:hint="eastAsia" w:ascii="宋体" w:hAnsi="宋体" w:eastAsia="宋体" w:cs="宋体"/>
          <w:color w:val="auto"/>
          <w:highlight w:val="none"/>
        </w:rPr>
        <w:t xml:space="preserve">5（可根据情况修改）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%计算，最高限额为本合同总价的</w:t>
      </w:r>
      <w:r>
        <w:rPr>
          <w:rFonts w:hint="eastAsia" w:ascii="宋体" w:hAnsi="宋体" w:eastAsia="宋体" w:cs="宋体"/>
          <w:color w:val="auto"/>
          <w:highlight w:val="none"/>
          <w:u w:val="single"/>
        </w:rPr>
        <w:t xml:space="preserve"> 20 </w:t>
      </w:r>
      <w:r>
        <w:rPr>
          <w:rFonts w:hint="eastAsia" w:ascii="宋体" w:hAnsi="宋体" w:eastAsia="宋体" w:cs="宋体"/>
          <w:color w:val="auto"/>
          <w:highlight w:val="none"/>
        </w:rPr>
        <w:t>%；迟延交付货物的违约金计算数额达到前述最高限额之日起，甲方有权在要求乙方支付违约金的同时，书面通知乙方解除本合同；</w:t>
      </w:r>
    </w:p>
    <w:p w14:paraId="42A8E7CC">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1.8.3除不可抗力外，如果甲方没有按照本合同约定的付款方式付款，那么乙方可要求甲方支付违约金，违约金按每迟延付款一日的应付而未付款的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highlight w:val="none"/>
          <w:u w:val="single"/>
        </w:rPr>
        <w:t xml:space="preserve">   0.05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20</w:t>
      </w:r>
      <w:r>
        <w:rPr>
          <w:rFonts w:hint="eastAsia" w:ascii="宋体" w:hAnsi="宋体" w:eastAsia="宋体" w:cs="宋体"/>
          <w:color w:val="auto"/>
          <w:kern w:val="0"/>
          <w:sz w:val="24"/>
          <w:highlight w:val="none"/>
          <w:u w:val="single"/>
        </w:rPr>
        <w:t>（可根据情况修改）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%；迟延付款的违约金计算数额达到前述最高限额之日起，乙方有权在要求甲方支付违约金的同时，书面通知甲方解除本合同；</w:t>
      </w:r>
    </w:p>
    <w:p w14:paraId="019EED25">
      <w:pPr>
        <w:spacing w:line="360" w:lineRule="auto"/>
        <w:ind w:firstLine="480" w:firstLineChars="200"/>
        <w:outlineLvl w:val="9"/>
        <w:rPr>
          <w:rFonts w:hint="eastAsia" w:ascii="宋体" w:hAnsi="宋体" w:eastAsia="宋体" w:cs="宋体"/>
          <w:color w:val="auto"/>
          <w:sz w:val="24"/>
          <w:highlight w:val="none"/>
        </w:rPr>
      </w:pPr>
      <w:bookmarkStart w:id="99" w:name="_Toc18683"/>
      <w:bookmarkStart w:id="100" w:name="_Toc30329"/>
      <w:bookmarkStart w:id="101" w:name="_Toc9497"/>
      <w:bookmarkStart w:id="102" w:name="_Toc26807"/>
      <w:bookmarkStart w:id="103" w:name="_Toc32454"/>
      <w:r>
        <w:rPr>
          <w:rFonts w:hint="eastAsia" w:ascii="宋体" w:hAnsi="宋体" w:eastAsia="宋体" w:cs="宋体"/>
          <w:color w:val="auto"/>
          <w:sz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53D9807">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C59DDB7">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31A3F581">
      <w:pPr>
        <w:spacing w:line="360" w:lineRule="auto"/>
        <w:ind w:right="-420" w:rightChars="-200" w:firstLine="480" w:firstLineChars="200"/>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1.8.7违约责任</w:t>
      </w:r>
      <w:r>
        <w:rPr>
          <w:rFonts w:hint="eastAsia" w:ascii="宋体" w:hAnsi="宋体" w:eastAsia="宋体" w:cs="宋体"/>
          <w:b/>
          <w:color w:val="auto"/>
          <w:sz w:val="24"/>
          <w:highlight w:val="none"/>
          <w:u w:val="single"/>
        </w:rPr>
        <w:t>合同专用条款</w:t>
      </w:r>
      <w:r>
        <w:rPr>
          <w:rFonts w:hint="eastAsia" w:ascii="宋体" w:hAnsi="宋体" w:eastAsia="宋体" w:cs="宋体"/>
          <w:color w:val="auto"/>
          <w:sz w:val="24"/>
          <w:highlight w:val="none"/>
        </w:rPr>
        <w:t>另有约定的，从其约定。</w:t>
      </w:r>
    </w:p>
    <w:bookmarkEnd w:id="99"/>
    <w:bookmarkEnd w:id="100"/>
    <w:bookmarkEnd w:id="101"/>
    <w:bookmarkEnd w:id="102"/>
    <w:bookmarkEnd w:id="103"/>
    <w:p w14:paraId="646D00B3">
      <w:pPr>
        <w:spacing w:line="360" w:lineRule="auto"/>
        <w:ind w:firstLine="482" w:firstLineChars="200"/>
        <w:outlineLvl w:val="9"/>
        <w:rPr>
          <w:rFonts w:hint="eastAsia" w:ascii="宋体" w:hAnsi="宋体" w:eastAsia="宋体" w:cs="宋体"/>
          <w:b/>
          <w:color w:val="auto"/>
          <w:sz w:val="24"/>
          <w:highlight w:val="none"/>
        </w:rPr>
      </w:pPr>
      <w:bookmarkStart w:id="104" w:name="_Toc16021"/>
      <w:bookmarkStart w:id="105" w:name="_Toc15583"/>
      <w:bookmarkStart w:id="106" w:name="_Toc28375"/>
      <w:r>
        <w:rPr>
          <w:rFonts w:hint="eastAsia" w:ascii="宋体" w:hAnsi="宋体" w:eastAsia="宋体" w:cs="宋体"/>
          <w:b/>
          <w:color w:val="auto"/>
          <w:sz w:val="24"/>
          <w:highlight w:val="none"/>
        </w:rPr>
        <w:t>1.9合同争议的解决</w:t>
      </w:r>
      <w:bookmarkEnd w:id="104"/>
      <w:bookmarkEnd w:id="105"/>
      <w:bookmarkEnd w:id="106"/>
    </w:p>
    <w:p w14:paraId="3F6BAAD6">
      <w:pPr>
        <w:spacing w:line="360" w:lineRule="auto"/>
        <w:ind w:left="-61" w:leftChars="-29" w:right="-420" w:rightChars="-200" w:firstLine="240" w:firstLineChars="1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eastAsia="宋体" w:cs="宋体"/>
          <w:b/>
          <w:color w:val="auto"/>
          <w:sz w:val="24"/>
          <w:highlight w:val="none"/>
          <w:u w:val="single"/>
        </w:rPr>
        <w:t xml:space="preserve">      </w:t>
      </w:r>
      <w:r>
        <w:rPr>
          <w:rFonts w:hint="eastAsia" w:ascii="宋体" w:hAnsi="宋体" w:eastAsia="宋体" w:cs="宋体"/>
          <w:color w:val="auto"/>
          <w:sz w:val="24"/>
          <w:highlight w:val="none"/>
        </w:rPr>
        <w:t>条款规定的方式解决：</w:t>
      </w:r>
    </w:p>
    <w:p w14:paraId="42590296">
      <w:pPr>
        <w:spacing w:line="360" w:lineRule="auto"/>
        <w:ind w:left="-420" w:leftChars="-200" w:right="-420" w:rightChars="-200" w:firstLine="600" w:firstLineChars="2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1.9.1 将争议提交</w:t>
      </w:r>
      <w:r>
        <w:rPr>
          <w:rFonts w:hint="eastAsia" w:ascii="宋体" w:hAnsi="宋体" w:eastAsia="宋体" w:cs="宋体"/>
          <w:b/>
          <w:color w:val="auto"/>
          <w:sz w:val="24"/>
          <w:highlight w:val="none"/>
          <w:u w:val="single"/>
        </w:rPr>
        <w:t>合同专用条款</w:t>
      </w:r>
      <w:r>
        <w:rPr>
          <w:rFonts w:hint="eastAsia" w:ascii="宋体" w:hAnsi="宋体" w:eastAsia="宋体" w:cs="宋体"/>
          <w:color w:val="auto"/>
          <w:sz w:val="24"/>
          <w:highlight w:val="none"/>
        </w:rPr>
        <w:t>仲裁委员会依申请仲裁时其现行有效的仲裁规则裁决；</w:t>
      </w:r>
    </w:p>
    <w:p w14:paraId="7B4C4A34">
      <w:pPr>
        <w:spacing w:line="360" w:lineRule="auto"/>
        <w:ind w:left="-420" w:leftChars="-200" w:right="-420" w:rightChars="-200" w:firstLine="600" w:firstLineChars="250"/>
        <w:outlineLvl w:val="9"/>
        <w:rPr>
          <w:rFonts w:hint="eastAsia" w:ascii="宋体" w:hAnsi="宋体" w:eastAsia="宋体" w:cs="宋体"/>
          <w:color w:val="auto"/>
          <w:highlight w:val="none"/>
          <w:lang w:val="en-US" w:eastAsia="zh-CN"/>
        </w:rPr>
      </w:pPr>
      <w:r>
        <w:rPr>
          <w:rFonts w:hint="eastAsia" w:ascii="宋体" w:hAnsi="宋体" w:eastAsia="宋体" w:cs="宋体"/>
          <w:color w:val="auto"/>
          <w:sz w:val="24"/>
          <w:highlight w:val="none"/>
        </w:rPr>
        <w:t>1.9.2 向</w:t>
      </w:r>
      <w:r>
        <w:rPr>
          <w:rFonts w:hint="eastAsia" w:ascii="宋体" w:hAnsi="宋体" w:eastAsia="宋体" w:cs="宋体"/>
          <w:b/>
          <w:color w:val="auto"/>
          <w:sz w:val="24"/>
          <w:highlight w:val="none"/>
          <w:u w:val="single"/>
        </w:rPr>
        <w:t>合同专用条款</w:t>
      </w:r>
      <w:r>
        <w:rPr>
          <w:rFonts w:hint="eastAsia" w:ascii="宋体" w:hAnsi="宋体" w:eastAsia="宋体" w:cs="宋体"/>
          <w:color w:val="auto"/>
          <w:sz w:val="24"/>
          <w:highlight w:val="none"/>
        </w:rPr>
        <w:t>人民法院起诉。</w:t>
      </w:r>
    </w:p>
    <w:p w14:paraId="0AB27DB3">
      <w:pPr>
        <w:spacing w:line="360" w:lineRule="auto"/>
        <w:ind w:firstLine="482" w:firstLineChars="200"/>
        <w:outlineLvl w:val="9"/>
        <w:rPr>
          <w:rFonts w:hint="eastAsia" w:ascii="宋体" w:hAnsi="宋体" w:eastAsia="宋体" w:cs="宋体"/>
          <w:b/>
          <w:color w:val="auto"/>
          <w:sz w:val="24"/>
          <w:highlight w:val="none"/>
        </w:rPr>
      </w:pPr>
      <w:bookmarkStart w:id="107" w:name="_Toc15322"/>
      <w:bookmarkStart w:id="108" w:name="_Toc11173"/>
      <w:bookmarkStart w:id="109" w:name="_Toc7245"/>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合同生效</w:t>
      </w:r>
      <w:bookmarkEnd w:id="107"/>
      <w:bookmarkEnd w:id="108"/>
      <w:bookmarkEnd w:id="109"/>
    </w:p>
    <w:p w14:paraId="2DD79930">
      <w:pPr>
        <w:spacing w:line="360" w:lineRule="auto"/>
        <w:ind w:firstLine="480" w:firstLineChars="200"/>
        <w:outlineLvl w:val="9"/>
        <w:rPr>
          <w:rFonts w:hint="eastAsia" w:ascii="宋体" w:hAnsi="宋体" w:eastAsia="宋体" w:cs="宋体"/>
          <w:b/>
          <w:color w:val="auto"/>
          <w:sz w:val="24"/>
          <w:highlight w:val="none"/>
        </w:rPr>
      </w:pPr>
      <w:r>
        <w:rPr>
          <w:rFonts w:hint="eastAsia" w:ascii="宋体" w:hAnsi="宋体" w:eastAsia="宋体" w:cs="宋体"/>
          <w:color w:val="auto"/>
          <w:sz w:val="24"/>
          <w:highlight w:val="none"/>
        </w:rPr>
        <w:t>本合同自双方当事人盖章签字时生效。</w:t>
      </w:r>
    </w:p>
    <w:p w14:paraId="556C2369">
      <w:pPr>
        <w:autoSpaceDE w:val="0"/>
        <w:autoSpaceDN w:val="0"/>
        <w:spacing w:line="560" w:lineRule="exact"/>
        <w:outlineLvl w:val="9"/>
        <w:rPr>
          <w:rFonts w:hint="eastAsia" w:ascii="宋体" w:hAnsi="宋体" w:eastAsia="宋体" w:cs="宋体"/>
          <w:color w:val="auto"/>
          <w:sz w:val="24"/>
          <w:highlight w:val="none"/>
          <w:lang w:val="zh-CN"/>
        </w:rPr>
      </w:pPr>
    </w:p>
    <w:tbl>
      <w:tblPr>
        <w:tblStyle w:val="61"/>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14:paraId="56584D5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noWrap w:val="0"/>
            <w:vAlign w:val="center"/>
          </w:tcPr>
          <w:p w14:paraId="22AA494D">
            <w:pPr>
              <w:snapToGrid w:val="0"/>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甲方（采购人、受采购人委托签订合同的单位或采购文件约定的合同甲方）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noWrap w:val="0"/>
            <w:vAlign w:val="center"/>
          </w:tcPr>
          <w:p w14:paraId="318963A6">
            <w:pPr>
              <w:snapToGrid w:val="0"/>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乙方（供应商）</w:t>
            </w:r>
          </w:p>
        </w:tc>
      </w:tr>
      <w:tr w14:paraId="08F7E27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noWrap w:val="0"/>
            <w:vAlign w:val="center"/>
          </w:tcPr>
          <w:p w14:paraId="6B55D6D5">
            <w:pPr>
              <w:snapToGrid w:val="0"/>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168EED1">
            <w:pPr>
              <w:snapToGrid w:val="0"/>
              <w:spacing w:line="360" w:lineRule="auto"/>
              <w:jc w:val="center"/>
              <w:outlineLvl w:val="9"/>
              <w:rPr>
                <w:rFonts w:hint="eastAsia" w:ascii="宋体" w:hAnsi="宋体" w:eastAsia="宋体" w:cs="宋体"/>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F0306D8">
            <w:pPr>
              <w:snapToGrid w:val="0"/>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单位名称（公章或合同章）</w:t>
            </w:r>
          </w:p>
        </w:tc>
        <w:tc>
          <w:tcPr>
            <w:tcW w:w="1259" w:type="pct"/>
            <w:tcBorders>
              <w:top w:val="single" w:color="auto" w:sz="2" w:space="0"/>
              <w:left w:val="single" w:color="auto" w:sz="2" w:space="0"/>
              <w:bottom w:val="single" w:color="auto" w:sz="2" w:space="0"/>
              <w:right w:val="single" w:color="auto" w:sz="4" w:space="0"/>
            </w:tcBorders>
            <w:noWrap w:val="0"/>
            <w:vAlign w:val="center"/>
          </w:tcPr>
          <w:p w14:paraId="5622E8CE">
            <w:pPr>
              <w:snapToGrid w:val="0"/>
              <w:spacing w:line="360" w:lineRule="auto"/>
              <w:jc w:val="center"/>
              <w:outlineLvl w:val="9"/>
              <w:rPr>
                <w:rFonts w:hint="eastAsia" w:ascii="宋体" w:hAnsi="宋体" w:eastAsia="宋体" w:cs="宋体"/>
                <w:color w:val="auto"/>
                <w:spacing w:val="20"/>
                <w:sz w:val="24"/>
                <w:highlight w:val="none"/>
              </w:rPr>
            </w:pPr>
          </w:p>
        </w:tc>
      </w:tr>
      <w:tr w14:paraId="3B0AB33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noWrap w:val="0"/>
            <w:vAlign w:val="center"/>
          </w:tcPr>
          <w:p w14:paraId="0AEC0A0D">
            <w:pPr>
              <w:snapToGrid w:val="0"/>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p w14:paraId="39257F6E">
            <w:pPr>
              <w:snapToGrid w:val="0"/>
              <w:spacing w:line="360" w:lineRule="auto"/>
              <w:ind w:firstLine="115" w:firstLineChars="48"/>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noWrap w:val="0"/>
            <w:vAlign w:val="center"/>
          </w:tcPr>
          <w:p w14:paraId="578259EE">
            <w:pPr>
              <w:snapToGrid w:val="0"/>
              <w:spacing w:line="360" w:lineRule="auto"/>
              <w:jc w:val="center"/>
              <w:outlineLvl w:val="9"/>
              <w:rPr>
                <w:rFonts w:hint="eastAsia" w:ascii="宋体" w:hAnsi="宋体" w:eastAsia="宋体" w:cs="宋体"/>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E4C7346">
            <w:pPr>
              <w:snapToGrid w:val="0"/>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p w14:paraId="627BE22B">
            <w:pPr>
              <w:snapToGrid w:val="0"/>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或其委托代理人（签章）</w:t>
            </w:r>
          </w:p>
        </w:tc>
        <w:tc>
          <w:tcPr>
            <w:tcW w:w="1259" w:type="pct"/>
            <w:tcBorders>
              <w:top w:val="single" w:color="auto" w:sz="2" w:space="0"/>
              <w:left w:val="single" w:color="auto" w:sz="2" w:space="0"/>
              <w:bottom w:val="single" w:color="auto" w:sz="2" w:space="0"/>
              <w:right w:val="single" w:color="auto" w:sz="4" w:space="0"/>
            </w:tcBorders>
            <w:noWrap w:val="0"/>
            <w:vAlign w:val="center"/>
          </w:tcPr>
          <w:p w14:paraId="63A03DAB">
            <w:pPr>
              <w:snapToGrid w:val="0"/>
              <w:spacing w:line="360" w:lineRule="auto"/>
              <w:jc w:val="center"/>
              <w:outlineLvl w:val="9"/>
              <w:rPr>
                <w:rFonts w:hint="eastAsia" w:ascii="宋体" w:hAnsi="宋体" w:eastAsia="宋体" w:cs="宋体"/>
                <w:color w:val="auto"/>
                <w:sz w:val="24"/>
                <w:highlight w:val="none"/>
              </w:rPr>
            </w:pPr>
          </w:p>
        </w:tc>
      </w:tr>
      <w:tr w14:paraId="6121C3F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noWrap w:val="0"/>
            <w:vAlign w:val="center"/>
          </w:tcPr>
          <w:p w14:paraId="694FD105">
            <w:pPr>
              <w:widowControl/>
              <w:adjustRightInd/>
              <w:spacing w:line="360" w:lineRule="auto"/>
              <w:jc w:val="left"/>
              <w:outlineLvl w:val="9"/>
              <w:rPr>
                <w:rFonts w:hint="eastAsia" w:ascii="宋体" w:hAnsi="宋体" w:eastAsia="宋体" w:cs="宋体"/>
                <w:color w:val="auto"/>
                <w:sz w:val="24"/>
                <w:highlight w:val="none"/>
              </w:rPr>
            </w:pPr>
          </w:p>
        </w:tc>
        <w:tc>
          <w:tcPr>
            <w:tcW w:w="0" w:type="auto"/>
            <w:vMerge w:val="continue"/>
            <w:tcBorders>
              <w:top w:val="single" w:color="auto" w:sz="2" w:space="0"/>
              <w:left w:val="single" w:color="auto" w:sz="2" w:space="0"/>
              <w:bottom w:val="single" w:color="auto" w:sz="2" w:space="0"/>
              <w:right w:val="single" w:color="auto" w:sz="2" w:space="0"/>
            </w:tcBorders>
            <w:noWrap w:val="0"/>
            <w:vAlign w:val="center"/>
          </w:tcPr>
          <w:p w14:paraId="770C5475">
            <w:pPr>
              <w:widowControl/>
              <w:adjustRightInd/>
              <w:spacing w:line="360" w:lineRule="auto"/>
              <w:jc w:val="left"/>
              <w:outlineLvl w:val="9"/>
              <w:rPr>
                <w:rFonts w:hint="eastAsia" w:ascii="宋体" w:hAnsi="宋体" w:eastAsia="宋体" w:cs="宋体"/>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A7C5FA8">
            <w:pPr>
              <w:snapToGrid w:val="0"/>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拥有者性别</w:t>
            </w:r>
          </w:p>
        </w:tc>
        <w:tc>
          <w:tcPr>
            <w:tcW w:w="1259" w:type="pct"/>
            <w:tcBorders>
              <w:top w:val="single" w:color="auto" w:sz="2" w:space="0"/>
              <w:left w:val="single" w:color="auto" w:sz="2" w:space="0"/>
              <w:bottom w:val="single" w:color="auto" w:sz="2" w:space="0"/>
              <w:right w:val="single" w:color="auto" w:sz="4" w:space="0"/>
            </w:tcBorders>
            <w:noWrap w:val="0"/>
            <w:vAlign w:val="center"/>
          </w:tcPr>
          <w:p w14:paraId="5C1DBC78">
            <w:pPr>
              <w:snapToGrid w:val="0"/>
              <w:spacing w:line="360" w:lineRule="auto"/>
              <w:jc w:val="center"/>
              <w:outlineLvl w:val="9"/>
              <w:rPr>
                <w:rFonts w:hint="eastAsia" w:ascii="宋体" w:hAnsi="宋体" w:eastAsia="宋体" w:cs="宋体"/>
                <w:color w:val="auto"/>
                <w:spacing w:val="20"/>
                <w:sz w:val="24"/>
                <w:highlight w:val="none"/>
              </w:rPr>
            </w:pPr>
          </w:p>
        </w:tc>
      </w:tr>
      <w:tr w14:paraId="665891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noWrap w:val="0"/>
            <w:vAlign w:val="center"/>
          </w:tcPr>
          <w:p w14:paraId="0D47A083">
            <w:pPr>
              <w:snapToGrid w:val="0"/>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住  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75FD3A3">
            <w:pPr>
              <w:snapToGrid w:val="0"/>
              <w:spacing w:line="360" w:lineRule="auto"/>
              <w:jc w:val="center"/>
              <w:outlineLvl w:val="9"/>
              <w:rPr>
                <w:rFonts w:hint="eastAsia" w:ascii="宋体" w:hAnsi="宋体" w:eastAsia="宋体" w:cs="宋体"/>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1A96BEA">
            <w:pPr>
              <w:snapToGrid w:val="0"/>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住  所</w:t>
            </w:r>
          </w:p>
        </w:tc>
        <w:tc>
          <w:tcPr>
            <w:tcW w:w="1259" w:type="pct"/>
            <w:tcBorders>
              <w:top w:val="single" w:color="auto" w:sz="2" w:space="0"/>
              <w:left w:val="single" w:color="auto" w:sz="2" w:space="0"/>
              <w:bottom w:val="single" w:color="auto" w:sz="2" w:space="0"/>
              <w:right w:val="single" w:color="auto" w:sz="4" w:space="0"/>
            </w:tcBorders>
            <w:noWrap w:val="0"/>
            <w:vAlign w:val="center"/>
          </w:tcPr>
          <w:p w14:paraId="78CDCDFF">
            <w:pPr>
              <w:snapToGrid w:val="0"/>
              <w:spacing w:line="360" w:lineRule="auto"/>
              <w:jc w:val="center"/>
              <w:outlineLvl w:val="9"/>
              <w:rPr>
                <w:rFonts w:hint="eastAsia" w:ascii="宋体" w:hAnsi="宋体" w:eastAsia="宋体" w:cs="宋体"/>
                <w:color w:val="auto"/>
                <w:spacing w:val="20"/>
                <w:sz w:val="24"/>
                <w:highlight w:val="none"/>
              </w:rPr>
            </w:pPr>
          </w:p>
        </w:tc>
      </w:tr>
      <w:tr w14:paraId="07BFEED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noWrap w:val="0"/>
            <w:vAlign w:val="center"/>
          </w:tcPr>
          <w:p w14:paraId="0ED1DCFB">
            <w:pPr>
              <w:snapToGrid w:val="0"/>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3C63947">
            <w:pPr>
              <w:snapToGrid w:val="0"/>
              <w:spacing w:line="360" w:lineRule="auto"/>
              <w:jc w:val="center"/>
              <w:outlineLvl w:val="9"/>
              <w:rPr>
                <w:rFonts w:hint="eastAsia" w:ascii="宋体" w:hAnsi="宋体" w:eastAsia="宋体" w:cs="宋体"/>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13C7518">
            <w:pPr>
              <w:snapToGrid w:val="0"/>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联 系 人</w:t>
            </w:r>
          </w:p>
        </w:tc>
        <w:tc>
          <w:tcPr>
            <w:tcW w:w="1259" w:type="pct"/>
            <w:tcBorders>
              <w:top w:val="single" w:color="auto" w:sz="2" w:space="0"/>
              <w:left w:val="single" w:color="auto" w:sz="2" w:space="0"/>
              <w:bottom w:val="single" w:color="auto" w:sz="2" w:space="0"/>
              <w:right w:val="single" w:color="auto" w:sz="4" w:space="0"/>
            </w:tcBorders>
            <w:noWrap w:val="0"/>
            <w:vAlign w:val="center"/>
          </w:tcPr>
          <w:p w14:paraId="7C05D2A6">
            <w:pPr>
              <w:snapToGrid w:val="0"/>
              <w:spacing w:line="360" w:lineRule="auto"/>
              <w:jc w:val="center"/>
              <w:outlineLvl w:val="9"/>
              <w:rPr>
                <w:rFonts w:hint="eastAsia" w:ascii="宋体" w:hAnsi="宋体" w:eastAsia="宋体" w:cs="宋体"/>
                <w:color w:val="auto"/>
                <w:spacing w:val="20"/>
                <w:sz w:val="24"/>
                <w:highlight w:val="none"/>
              </w:rPr>
            </w:pPr>
          </w:p>
        </w:tc>
      </w:tr>
      <w:tr w14:paraId="2CAC060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noWrap w:val="0"/>
            <w:vAlign w:val="center"/>
          </w:tcPr>
          <w:p w14:paraId="5248D534">
            <w:pPr>
              <w:snapToGrid w:val="0"/>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0FB072B">
            <w:pPr>
              <w:snapToGrid w:val="0"/>
              <w:spacing w:line="360" w:lineRule="auto"/>
              <w:jc w:val="center"/>
              <w:outlineLvl w:val="9"/>
              <w:rPr>
                <w:rFonts w:hint="eastAsia" w:ascii="宋体" w:hAnsi="宋体" w:eastAsia="宋体" w:cs="宋体"/>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74904EC">
            <w:pPr>
              <w:snapToGrid w:val="0"/>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59" w:type="pct"/>
            <w:tcBorders>
              <w:top w:val="single" w:color="auto" w:sz="2" w:space="0"/>
              <w:left w:val="single" w:color="auto" w:sz="2" w:space="0"/>
              <w:bottom w:val="single" w:color="auto" w:sz="2" w:space="0"/>
              <w:right w:val="single" w:color="auto" w:sz="4" w:space="0"/>
            </w:tcBorders>
            <w:noWrap w:val="0"/>
            <w:vAlign w:val="center"/>
          </w:tcPr>
          <w:p w14:paraId="63A2471C">
            <w:pPr>
              <w:snapToGrid w:val="0"/>
              <w:spacing w:line="360" w:lineRule="auto"/>
              <w:jc w:val="center"/>
              <w:outlineLvl w:val="9"/>
              <w:rPr>
                <w:rFonts w:hint="eastAsia" w:ascii="宋体" w:hAnsi="宋体" w:eastAsia="宋体" w:cs="宋体"/>
                <w:color w:val="auto"/>
                <w:spacing w:val="20"/>
                <w:sz w:val="24"/>
                <w:highlight w:val="none"/>
              </w:rPr>
            </w:pPr>
          </w:p>
        </w:tc>
      </w:tr>
      <w:tr w14:paraId="4D89FFE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noWrap w:val="0"/>
            <w:vAlign w:val="center"/>
          </w:tcPr>
          <w:p w14:paraId="760DAB0F">
            <w:pPr>
              <w:snapToGrid w:val="0"/>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26BD823">
            <w:pPr>
              <w:snapToGrid w:val="0"/>
              <w:spacing w:line="360" w:lineRule="auto"/>
              <w:jc w:val="center"/>
              <w:outlineLvl w:val="9"/>
              <w:rPr>
                <w:rFonts w:hint="eastAsia" w:ascii="宋体" w:hAnsi="宋体" w:eastAsia="宋体" w:cs="宋体"/>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C1311BF">
            <w:pPr>
              <w:snapToGrid w:val="0"/>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通信地址</w:t>
            </w:r>
          </w:p>
        </w:tc>
        <w:tc>
          <w:tcPr>
            <w:tcW w:w="1259" w:type="pct"/>
            <w:tcBorders>
              <w:top w:val="single" w:color="auto" w:sz="2" w:space="0"/>
              <w:left w:val="single" w:color="auto" w:sz="2" w:space="0"/>
              <w:bottom w:val="single" w:color="auto" w:sz="2" w:space="0"/>
              <w:right w:val="single" w:color="auto" w:sz="4" w:space="0"/>
            </w:tcBorders>
            <w:noWrap w:val="0"/>
            <w:vAlign w:val="center"/>
          </w:tcPr>
          <w:p w14:paraId="68D07C91">
            <w:pPr>
              <w:snapToGrid w:val="0"/>
              <w:spacing w:line="360" w:lineRule="auto"/>
              <w:jc w:val="center"/>
              <w:outlineLvl w:val="9"/>
              <w:rPr>
                <w:rFonts w:hint="eastAsia" w:ascii="宋体" w:hAnsi="宋体" w:eastAsia="宋体" w:cs="宋体"/>
                <w:color w:val="auto"/>
                <w:spacing w:val="20"/>
                <w:sz w:val="24"/>
                <w:highlight w:val="none"/>
              </w:rPr>
            </w:pPr>
          </w:p>
        </w:tc>
      </w:tr>
      <w:tr w14:paraId="2A41CE3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noWrap w:val="0"/>
            <w:vAlign w:val="center"/>
          </w:tcPr>
          <w:p w14:paraId="7E7088A7">
            <w:pPr>
              <w:snapToGrid w:val="0"/>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14D0C91">
            <w:pPr>
              <w:snapToGrid w:val="0"/>
              <w:spacing w:line="360" w:lineRule="auto"/>
              <w:jc w:val="center"/>
              <w:outlineLvl w:val="9"/>
              <w:rPr>
                <w:rFonts w:hint="eastAsia" w:ascii="宋体" w:hAnsi="宋体" w:eastAsia="宋体" w:cs="宋体"/>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505AFC7">
            <w:pPr>
              <w:snapToGrid w:val="0"/>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p>
        </w:tc>
        <w:tc>
          <w:tcPr>
            <w:tcW w:w="1259" w:type="pct"/>
            <w:tcBorders>
              <w:top w:val="single" w:color="auto" w:sz="2" w:space="0"/>
              <w:left w:val="single" w:color="auto" w:sz="2" w:space="0"/>
              <w:bottom w:val="single" w:color="auto" w:sz="2" w:space="0"/>
              <w:right w:val="single" w:color="auto" w:sz="4" w:space="0"/>
            </w:tcBorders>
            <w:noWrap w:val="0"/>
            <w:vAlign w:val="center"/>
          </w:tcPr>
          <w:p w14:paraId="1579E90B">
            <w:pPr>
              <w:snapToGrid w:val="0"/>
              <w:spacing w:line="360" w:lineRule="auto"/>
              <w:jc w:val="center"/>
              <w:outlineLvl w:val="9"/>
              <w:rPr>
                <w:rFonts w:hint="eastAsia" w:ascii="宋体" w:hAnsi="宋体" w:eastAsia="宋体" w:cs="宋体"/>
                <w:color w:val="auto"/>
                <w:spacing w:val="20"/>
                <w:sz w:val="24"/>
                <w:highlight w:val="none"/>
              </w:rPr>
            </w:pPr>
          </w:p>
        </w:tc>
      </w:tr>
      <w:tr w14:paraId="322333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noWrap w:val="0"/>
            <w:vAlign w:val="center"/>
          </w:tcPr>
          <w:p w14:paraId="38B0B59E">
            <w:pPr>
              <w:snapToGrid w:val="0"/>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2A7DC36">
            <w:pPr>
              <w:snapToGrid w:val="0"/>
              <w:spacing w:line="360" w:lineRule="auto"/>
              <w:jc w:val="center"/>
              <w:outlineLvl w:val="9"/>
              <w:rPr>
                <w:rFonts w:hint="eastAsia" w:ascii="宋体" w:hAnsi="宋体" w:eastAsia="宋体" w:cs="宋体"/>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68DB037">
            <w:pPr>
              <w:snapToGrid w:val="0"/>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w:t>
            </w:r>
          </w:p>
        </w:tc>
        <w:tc>
          <w:tcPr>
            <w:tcW w:w="1259" w:type="pct"/>
            <w:tcBorders>
              <w:top w:val="single" w:color="auto" w:sz="2" w:space="0"/>
              <w:left w:val="single" w:color="auto" w:sz="2" w:space="0"/>
              <w:bottom w:val="single" w:color="auto" w:sz="2" w:space="0"/>
              <w:right w:val="single" w:color="auto" w:sz="4" w:space="0"/>
            </w:tcBorders>
            <w:noWrap w:val="0"/>
            <w:vAlign w:val="center"/>
          </w:tcPr>
          <w:p w14:paraId="2A6BDF30">
            <w:pPr>
              <w:snapToGrid w:val="0"/>
              <w:spacing w:line="360" w:lineRule="auto"/>
              <w:jc w:val="center"/>
              <w:outlineLvl w:val="9"/>
              <w:rPr>
                <w:rFonts w:hint="eastAsia" w:ascii="宋体" w:hAnsi="宋体" w:eastAsia="宋体" w:cs="宋体"/>
                <w:color w:val="auto"/>
                <w:spacing w:val="20"/>
                <w:sz w:val="24"/>
                <w:highlight w:val="none"/>
              </w:rPr>
            </w:pPr>
          </w:p>
        </w:tc>
      </w:tr>
      <w:tr w14:paraId="074FEAA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noWrap w:val="0"/>
            <w:vAlign w:val="center"/>
          </w:tcPr>
          <w:p w14:paraId="141A1D97">
            <w:pPr>
              <w:snapToGrid w:val="0"/>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84A4BE0">
            <w:pPr>
              <w:snapToGrid w:val="0"/>
              <w:spacing w:line="360" w:lineRule="auto"/>
              <w:jc w:val="center"/>
              <w:outlineLvl w:val="9"/>
              <w:rPr>
                <w:rFonts w:hint="eastAsia" w:ascii="宋体" w:hAnsi="宋体" w:eastAsia="宋体" w:cs="宋体"/>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168FC3E">
            <w:pPr>
              <w:snapToGrid w:val="0"/>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统一社会信用代码</w:t>
            </w:r>
          </w:p>
        </w:tc>
        <w:tc>
          <w:tcPr>
            <w:tcW w:w="1259" w:type="pct"/>
            <w:tcBorders>
              <w:top w:val="single" w:color="auto" w:sz="2" w:space="0"/>
              <w:left w:val="single" w:color="auto" w:sz="2" w:space="0"/>
              <w:bottom w:val="single" w:color="auto" w:sz="2" w:space="0"/>
              <w:right w:val="single" w:color="auto" w:sz="4" w:space="0"/>
            </w:tcBorders>
            <w:noWrap w:val="0"/>
            <w:vAlign w:val="center"/>
          </w:tcPr>
          <w:p w14:paraId="4FB00D3E">
            <w:pPr>
              <w:snapToGrid w:val="0"/>
              <w:spacing w:line="360" w:lineRule="auto"/>
              <w:jc w:val="center"/>
              <w:outlineLvl w:val="9"/>
              <w:rPr>
                <w:rFonts w:hint="eastAsia" w:ascii="宋体" w:hAnsi="宋体" w:eastAsia="宋体" w:cs="宋体"/>
                <w:color w:val="auto"/>
                <w:spacing w:val="20"/>
                <w:sz w:val="24"/>
                <w:highlight w:val="none"/>
              </w:rPr>
            </w:pPr>
          </w:p>
        </w:tc>
      </w:tr>
      <w:tr w14:paraId="3C8C551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noWrap w:val="0"/>
            <w:vAlign w:val="center"/>
          </w:tcPr>
          <w:p w14:paraId="0FE6D41E">
            <w:pPr>
              <w:snapToGrid w:val="0"/>
              <w:spacing w:line="360" w:lineRule="auto"/>
              <w:jc w:val="center"/>
              <w:outlineLvl w:val="9"/>
              <w:rPr>
                <w:rFonts w:hint="eastAsia" w:ascii="宋体" w:hAnsi="宋体" w:eastAsia="宋体" w:cs="宋体"/>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AB101CF">
            <w:pPr>
              <w:snapToGrid w:val="0"/>
              <w:spacing w:line="360" w:lineRule="auto"/>
              <w:jc w:val="center"/>
              <w:outlineLvl w:val="9"/>
              <w:rPr>
                <w:rFonts w:hint="eastAsia" w:ascii="宋体" w:hAnsi="宋体" w:eastAsia="宋体" w:cs="宋体"/>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276C527">
            <w:pPr>
              <w:snapToGrid w:val="0"/>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开户名称</w:t>
            </w:r>
          </w:p>
        </w:tc>
        <w:tc>
          <w:tcPr>
            <w:tcW w:w="1259" w:type="pct"/>
            <w:tcBorders>
              <w:top w:val="single" w:color="auto" w:sz="2" w:space="0"/>
              <w:left w:val="single" w:color="auto" w:sz="2" w:space="0"/>
              <w:bottom w:val="single" w:color="auto" w:sz="2" w:space="0"/>
              <w:right w:val="single" w:color="auto" w:sz="4" w:space="0"/>
            </w:tcBorders>
            <w:noWrap w:val="0"/>
            <w:vAlign w:val="center"/>
          </w:tcPr>
          <w:p w14:paraId="3995BA96">
            <w:pPr>
              <w:snapToGrid w:val="0"/>
              <w:spacing w:line="360" w:lineRule="auto"/>
              <w:jc w:val="center"/>
              <w:outlineLvl w:val="9"/>
              <w:rPr>
                <w:rFonts w:hint="eastAsia" w:ascii="宋体" w:hAnsi="宋体" w:eastAsia="宋体" w:cs="宋体"/>
                <w:color w:val="auto"/>
                <w:spacing w:val="20"/>
                <w:sz w:val="24"/>
                <w:highlight w:val="none"/>
              </w:rPr>
            </w:pPr>
          </w:p>
        </w:tc>
      </w:tr>
      <w:tr w14:paraId="261F563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noWrap w:val="0"/>
            <w:vAlign w:val="center"/>
          </w:tcPr>
          <w:p w14:paraId="59AD1A04">
            <w:pPr>
              <w:snapToGrid w:val="0"/>
              <w:spacing w:line="360" w:lineRule="auto"/>
              <w:jc w:val="center"/>
              <w:outlineLvl w:val="9"/>
              <w:rPr>
                <w:rFonts w:hint="eastAsia" w:ascii="宋体" w:hAnsi="宋体" w:eastAsia="宋体" w:cs="宋体"/>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6FAAB0C">
            <w:pPr>
              <w:snapToGrid w:val="0"/>
              <w:spacing w:line="360" w:lineRule="auto"/>
              <w:jc w:val="center"/>
              <w:outlineLvl w:val="9"/>
              <w:rPr>
                <w:rFonts w:hint="eastAsia" w:ascii="宋体" w:hAnsi="宋体" w:eastAsia="宋体" w:cs="宋体"/>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E26EE11">
            <w:pPr>
              <w:snapToGrid w:val="0"/>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1259" w:type="pct"/>
            <w:tcBorders>
              <w:top w:val="single" w:color="auto" w:sz="2" w:space="0"/>
              <w:left w:val="single" w:color="auto" w:sz="2" w:space="0"/>
              <w:bottom w:val="single" w:color="auto" w:sz="2" w:space="0"/>
              <w:right w:val="single" w:color="auto" w:sz="4" w:space="0"/>
            </w:tcBorders>
            <w:noWrap w:val="0"/>
            <w:vAlign w:val="center"/>
          </w:tcPr>
          <w:p w14:paraId="637662E8">
            <w:pPr>
              <w:snapToGrid w:val="0"/>
              <w:spacing w:line="360" w:lineRule="auto"/>
              <w:jc w:val="center"/>
              <w:outlineLvl w:val="9"/>
              <w:rPr>
                <w:rFonts w:hint="eastAsia" w:ascii="宋体" w:hAnsi="宋体" w:eastAsia="宋体" w:cs="宋体"/>
                <w:color w:val="auto"/>
                <w:spacing w:val="20"/>
                <w:sz w:val="24"/>
                <w:highlight w:val="none"/>
              </w:rPr>
            </w:pPr>
          </w:p>
        </w:tc>
      </w:tr>
      <w:tr w14:paraId="6E0B64C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noWrap w:val="0"/>
            <w:vAlign w:val="center"/>
          </w:tcPr>
          <w:p w14:paraId="186552FF">
            <w:pPr>
              <w:snapToGrid w:val="0"/>
              <w:spacing w:line="360" w:lineRule="auto"/>
              <w:jc w:val="center"/>
              <w:outlineLvl w:val="9"/>
              <w:rPr>
                <w:rFonts w:hint="eastAsia" w:ascii="宋体" w:hAnsi="宋体" w:eastAsia="宋体" w:cs="宋体"/>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F293F68">
            <w:pPr>
              <w:snapToGrid w:val="0"/>
              <w:spacing w:line="360" w:lineRule="auto"/>
              <w:jc w:val="center"/>
              <w:outlineLvl w:val="9"/>
              <w:rPr>
                <w:rFonts w:hint="eastAsia" w:ascii="宋体" w:hAnsi="宋体" w:eastAsia="宋体" w:cs="宋体"/>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D8D174A">
            <w:pPr>
              <w:snapToGrid w:val="0"/>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银行账号</w:t>
            </w:r>
          </w:p>
        </w:tc>
        <w:tc>
          <w:tcPr>
            <w:tcW w:w="1259" w:type="pct"/>
            <w:tcBorders>
              <w:top w:val="single" w:color="auto" w:sz="2" w:space="0"/>
              <w:left w:val="single" w:color="auto" w:sz="2" w:space="0"/>
              <w:bottom w:val="single" w:color="auto" w:sz="2" w:space="0"/>
              <w:right w:val="single" w:color="auto" w:sz="4" w:space="0"/>
            </w:tcBorders>
            <w:noWrap w:val="0"/>
            <w:vAlign w:val="center"/>
          </w:tcPr>
          <w:p w14:paraId="4B54B617">
            <w:pPr>
              <w:snapToGrid w:val="0"/>
              <w:spacing w:line="360" w:lineRule="auto"/>
              <w:jc w:val="center"/>
              <w:outlineLvl w:val="9"/>
              <w:rPr>
                <w:rFonts w:hint="eastAsia" w:ascii="宋体" w:hAnsi="宋体" w:eastAsia="宋体" w:cs="宋体"/>
                <w:color w:val="auto"/>
                <w:spacing w:val="20"/>
                <w:sz w:val="24"/>
                <w:highlight w:val="none"/>
              </w:rPr>
            </w:pPr>
          </w:p>
        </w:tc>
      </w:tr>
      <w:tr w14:paraId="6B1D260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noWrap w:val="0"/>
            <w:vAlign w:val="center"/>
          </w:tcPr>
          <w:p w14:paraId="13CDFED6">
            <w:pPr>
              <w:snapToGrid w:val="0"/>
              <w:spacing w:line="360" w:lineRule="auto"/>
              <w:jc w:val="left"/>
              <w:outlineLvl w:val="9"/>
              <w:rPr>
                <w:rFonts w:hint="eastAsia" w:ascii="宋体" w:hAnsi="宋体" w:eastAsia="宋体" w:cs="宋体"/>
                <w:color w:val="auto"/>
                <w:spacing w:val="20"/>
                <w:sz w:val="24"/>
                <w:highlight w:val="none"/>
              </w:rPr>
            </w:pPr>
            <w:r>
              <w:rPr>
                <w:rFonts w:hint="eastAsia" w:ascii="宋体" w:hAnsi="宋体" w:eastAsia="宋体" w:cs="宋体"/>
                <w:color w:val="auto"/>
                <w:sz w:val="24"/>
                <w:highlight w:val="none"/>
              </w:rPr>
              <w:t>注：涉及联合体或其他合同主体的信息应按上表格式加列。</w:t>
            </w:r>
          </w:p>
        </w:tc>
      </w:tr>
    </w:tbl>
    <w:p w14:paraId="3B099F2A">
      <w:pPr>
        <w:widowControl/>
        <w:spacing w:line="560" w:lineRule="exact"/>
        <w:jc w:val="left"/>
        <w:outlineLvl w:val="9"/>
        <w:rPr>
          <w:rFonts w:hint="eastAsia" w:ascii="宋体" w:hAnsi="宋体" w:eastAsia="宋体" w:cs="宋体"/>
          <w:b/>
          <w:color w:val="auto"/>
          <w:sz w:val="24"/>
          <w:highlight w:val="none"/>
        </w:rPr>
      </w:pPr>
    </w:p>
    <w:p w14:paraId="3210DE94">
      <w:pPr>
        <w:widowControl/>
        <w:adjustRightInd/>
        <w:jc w:val="left"/>
        <w:outlineLvl w:val="9"/>
        <w:rPr>
          <w:rFonts w:hint="eastAsia" w:ascii="宋体" w:hAnsi="宋体" w:eastAsia="宋体" w:cs="宋体"/>
          <w:b/>
          <w:color w:val="auto"/>
          <w:sz w:val="24"/>
          <w:highlight w:val="none"/>
        </w:rPr>
      </w:pPr>
    </w:p>
    <w:p w14:paraId="0AD769D3">
      <w:pPr>
        <w:tabs>
          <w:tab w:val="left" w:pos="432"/>
        </w:tabs>
        <w:outlineLvl w:val="9"/>
        <w:rPr>
          <w:rFonts w:hint="eastAsia" w:ascii="宋体" w:hAnsi="宋体" w:eastAsia="宋体" w:cs="宋体"/>
          <w:b/>
          <w:color w:val="auto"/>
          <w:sz w:val="24"/>
          <w:highlight w:val="none"/>
        </w:rPr>
      </w:pPr>
    </w:p>
    <w:p w14:paraId="540C29EC">
      <w:pPr>
        <w:outlineLvl w:val="9"/>
        <w:rPr>
          <w:rFonts w:hint="eastAsia" w:ascii="宋体" w:hAnsi="宋体" w:eastAsia="宋体" w:cs="宋体"/>
          <w:b/>
          <w:color w:val="auto"/>
          <w:sz w:val="24"/>
          <w:highlight w:val="none"/>
        </w:rPr>
      </w:pPr>
    </w:p>
    <w:p w14:paraId="5F93CC36">
      <w:pPr>
        <w:tabs>
          <w:tab w:val="left" w:pos="432"/>
        </w:tabs>
        <w:outlineLvl w:val="9"/>
        <w:rPr>
          <w:rFonts w:hint="eastAsia" w:ascii="宋体" w:hAnsi="宋体" w:eastAsia="宋体" w:cs="宋体"/>
          <w:b/>
          <w:color w:val="auto"/>
          <w:sz w:val="24"/>
          <w:highlight w:val="none"/>
        </w:rPr>
      </w:pPr>
    </w:p>
    <w:p w14:paraId="6E4A19C4">
      <w:pPr>
        <w:outlineLvl w:val="9"/>
        <w:rPr>
          <w:rFonts w:hint="eastAsia" w:ascii="宋体" w:hAnsi="宋体" w:eastAsia="宋体" w:cs="宋体"/>
          <w:b/>
          <w:color w:val="auto"/>
          <w:sz w:val="24"/>
          <w:highlight w:val="none"/>
        </w:rPr>
      </w:pPr>
    </w:p>
    <w:p w14:paraId="678494E9">
      <w:pPr>
        <w:tabs>
          <w:tab w:val="left" w:pos="432"/>
        </w:tabs>
        <w:outlineLvl w:val="9"/>
        <w:rPr>
          <w:rFonts w:hint="eastAsia" w:ascii="宋体" w:hAnsi="宋体" w:eastAsia="宋体" w:cs="宋体"/>
          <w:b/>
          <w:color w:val="auto"/>
          <w:sz w:val="24"/>
          <w:highlight w:val="none"/>
        </w:rPr>
      </w:pPr>
    </w:p>
    <w:p w14:paraId="2C944399">
      <w:pPr>
        <w:outlineLvl w:val="9"/>
        <w:rPr>
          <w:rFonts w:hint="eastAsia" w:ascii="宋体" w:hAnsi="宋体" w:eastAsia="宋体" w:cs="宋体"/>
          <w:b/>
          <w:color w:val="auto"/>
          <w:sz w:val="24"/>
          <w:highlight w:val="none"/>
        </w:rPr>
      </w:pPr>
    </w:p>
    <w:p w14:paraId="35BB2400">
      <w:pPr>
        <w:tabs>
          <w:tab w:val="left" w:pos="432"/>
        </w:tabs>
        <w:outlineLvl w:val="9"/>
        <w:rPr>
          <w:rFonts w:hint="eastAsia" w:ascii="宋体" w:hAnsi="宋体" w:eastAsia="宋体" w:cs="宋体"/>
          <w:b/>
          <w:color w:val="auto"/>
          <w:sz w:val="24"/>
          <w:highlight w:val="none"/>
        </w:rPr>
      </w:pPr>
    </w:p>
    <w:p w14:paraId="73C35CDB">
      <w:pPr>
        <w:outlineLvl w:val="9"/>
        <w:rPr>
          <w:rFonts w:hint="eastAsia" w:ascii="宋体" w:hAnsi="宋体" w:eastAsia="宋体" w:cs="宋体"/>
          <w:b/>
          <w:color w:val="auto"/>
          <w:sz w:val="24"/>
          <w:highlight w:val="none"/>
        </w:rPr>
      </w:pPr>
    </w:p>
    <w:p w14:paraId="51383237">
      <w:pPr>
        <w:tabs>
          <w:tab w:val="left" w:pos="432"/>
        </w:tabs>
        <w:outlineLvl w:val="9"/>
        <w:rPr>
          <w:rFonts w:hint="eastAsia" w:ascii="宋体" w:hAnsi="宋体" w:eastAsia="宋体" w:cs="宋体"/>
          <w:b/>
          <w:color w:val="auto"/>
          <w:sz w:val="24"/>
          <w:highlight w:val="none"/>
        </w:rPr>
      </w:pPr>
    </w:p>
    <w:p w14:paraId="2D67F6B4">
      <w:pPr>
        <w:outlineLvl w:val="9"/>
        <w:rPr>
          <w:rFonts w:hint="eastAsia" w:ascii="宋体" w:hAnsi="宋体" w:eastAsia="宋体" w:cs="宋体"/>
          <w:b/>
          <w:color w:val="auto"/>
          <w:sz w:val="24"/>
          <w:highlight w:val="none"/>
        </w:rPr>
      </w:pPr>
    </w:p>
    <w:p w14:paraId="4702039A">
      <w:pPr>
        <w:tabs>
          <w:tab w:val="left" w:pos="432"/>
        </w:tabs>
        <w:outlineLvl w:val="9"/>
        <w:rPr>
          <w:rFonts w:hint="eastAsia" w:ascii="宋体" w:hAnsi="宋体" w:eastAsia="宋体" w:cs="宋体"/>
          <w:b/>
          <w:color w:val="auto"/>
          <w:sz w:val="24"/>
          <w:highlight w:val="none"/>
        </w:rPr>
      </w:pPr>
    </w:p>
    <w:p w14:paraId="55916C95">
      <w:pPr>
        <w:outlineLvl w:val="9"/>
        <w:rPr>
          <w:rFonts w:hint="eastAsia" w:ascii="宋体" w:hAnsi="宋体" w:eastAsia="宋体" w:cs="宋体"/>
          <w:b/>
          <w:color w:val="auto"/>
          <w:sz w:val="24"/>
          <w:highlight w:val="none"/>
        </w:rPr>
      </w:pPr>
    </w:p>
    <w:p w14:paraId="405B15C9">
      <w:pPr>
        <w:tabs>
          <w:tab w:val="left" w:pos="432"/>
        </w:tabs>
        <w:outlineLvl w:val="9"/>
        <w:rPr>
          <w:rFonts w:hint="eastAsia" w:ascii="宋体" w:hAnsi="宋体" w:eastAsia="宋体" w:cs="宋体"/>
          <w:b/>
          <w:color w:val="auto"/>
          <w:sz w:val="24"/>
          <w:highlight w:val="none"/>
        </w:rPr>
      </w:pPr>
    </w:p>
    <w:p w14:paraId="5AB0CAA0">
      <w:pPr>
        <w:outlineLvl w:val="9"/>
        <w:rPr>
          <w:rFonts w:hint="eastAsia" w:ascii="宋体" w:hAnsi="宋体" w:eastAsia="宋体" w:cs="宋体"/>
          <w:b/>
          <w:color w:val="auto"/>
          <w:sz w:val="24"/>
          <w:highlight w:val="none"/>
        </w:rPr>
      </w:pPr>
    </w:p>
    <w:p w14:paraId="265E7034">
      <w:pPr>
        <w:tabs>
          <w:tab w:val="left" w:pos="432"/>
        </w:tabs>
        <w:outlineLvl w:val="9"/>
        <w:rPr>
          <w:rFonts w:hint="eastAsia" w:ascii="宋体" w:hAnsi="宋体" w:eastAsia="宋体" w:cs="宋体"/>
          <w:b/>
          <w:color w:val="auto"/>
          <w:sz w:val="24"/>
          <w:highlight w:val="none"/>
        </w:rPr>
      </w:pPr>
    </w:p>
    <w:p w14:paraId="58B199ED">
      <w:pPr>
        <w:outlineLvl w:val="9"/>
        <w:rPr>
          <w:rFonts w:hint="eastAsia" w:ascii="宋体" w:hAnsi="宋体" w:eastAsia="宋体" w:cs="宋体"/>
          <w:b/>
          <w:color w:val="auto"/>
          <w:sz w:val="24"/>
          <w:highlight w:val="none"/>
        </w:rPr>
      </w:pPr>
    </w:p>
    <w:p w14:paraId="579E9C51">
      <w:pP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br w:type="page"/>
      </w:r>
    </w:p>
    <w:p w14:paraId="25F30471">
      <w:pPr>
        <w:pStyle w:val="283"/>
        <w:spacing w:after="0"/>
        <w:ind w:firstLine="482"/>
        <w:jc w:val="center"/>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第二节 政府采购合同通用条款</w:t>
      </w:r>
    </w:p>
    <w:p w14:paraId="7D983A92">
      <w:pPr>
        <w:spacing w:line="360" w:lineRule="auto"/>
        <w:ind w:firstLine="482" w:firstLineChars="200"/>
        <w:rPr>
          <w:rFonts w:hint="eastAsia" w:ascii="宋体" w:hAnsi="宋体" w:eastAsia="宋体" w:cs="宋体"/>
          <w:b/>
          <w:color w:val="auto"/>
          <w:sz w:val="24"/>
          <w:highlight w:val="none"/>
        </w:rPr>
      </w:pPr>
      <w:bookmarkStart w:id="110" w:name="_Toc31297"/>
      <w:bookmarkStart w:id="111" w:name="_Toc5228"/>
      <w:bookmarkStart w:id="112" w:name="_Toc19680"/>
      <w:bookmarkStart w:id="113" w:name="_Toc14021"/>
      <w:bookmarkStart w:id="114" w:name="_Toc25079"/>
      <w:r>
        <w:rPr>
          <w:rFonts w:hint="eastAsia" w:ascii="宋体" w:hAnsi="宋体" w:eastAsia="宋体" w:cs="宋体"/>
          <w:b/>
          <w:color w:val="auto"/>
          <w:sz w:val="24"/>
          <w:highlight w:val="none"/>
        </w:rPr>
        <w:t>2.1 定义</w:t>
      </w:r>
      <w:bookmarkEnd w:id="110"/>
      <w:bookmarkEnd w:id="111"/>
      <w:bookmarkEnd w:id="112"/>
      <w:bookmarkEnd w:id="113"/>
      <w:bookmarkEnd w:id="114"/>
    </w:p>
    <w:p w14:paraId="10FA239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14:paraId="05E808A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 “合同”系指采购人和中标或成交供应商签订的载明双方当事人所达成的协议，并包括所有的附件、附录和构成合同的其他文件。</w:t>
      </w:r>
    </w:p>
    <w:p w14:paraId="2CA7F18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 “合同价”系指根据合同约定，中标或成交供应商在完全履行合同义务后，采购人应支付给中标或成交供应商的价格。</w:t>
      </w:r>
    </w:p>
    <w:p w14:paraId="5ED44D4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 “服务”系指中标或成交供应商根据合同约定应向采购人履行的除货物和工程以外的其他政府采购对象，包括采购人自身需要的服务和向社会公众提供的公共服务。</w:t>
      </w:r>
    </w:p>
    <w:p w14:paraId="362562E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2.1.4 “甲方”系指与中标或成交供应商签署合同的采购人；采购人委托采购代理机构代表其与乙方签订合同的，采购人的授权委托书作为合同附件。</w:t>
      </w:r>
    </w:p>
    <w:p w14:paraId="255482B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2.1.5 “乙方”系指根据合同约定提供服务的中标或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4991826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 “现场”系指合同约定提供服务的地点。</w:t>
      </w:r>
    </w:p>
    <w:p w14:paraId="0DBEDD46">
      <w:pPr>
        <w:spacing w:line="360" w:lineRule="auto"/>
        <w:ind w:firstLine="482" w:firstLineChars="200"/>
        <w:rPr>
          <w:rFonts w:hint="eastAsia" w:ascii="宋体" w:hAnsi="宋体" w:eastAsia="宋体" w:cs="宋体"/>
          <w:b/>
          <w:color w:val="auto"/>
          <w:sz w:val="24"/>
          <w:highlight w:val="none"/>
        </w:rPr>
      </w:pPr>
      <w:bookmarkStart w:id="115" w:name="_Toc3769"/>
      <w:bookmarkStart w:id="116" w:name="_Toc16752"/>
      <w:bookmarkStart w:id="117" w:name="_Toc31402"/>
      <w:bookmarkStart w:id="118" w:name="_Toc19539"/>
      <w:bookmarkStart w:id="119" w:name="_Toc23289"/>
      <w:r>
        <w:rPr>
          <w:rFonts w:hint="eastAsia" w:ascii="宋体" w:hAnsi="宋体" w:eastAsia="宋体" w:cs="宋体"/>
          <w:b/>
          <w:color w:val="auto"/>
          <w:sz w:val="24"/>
          <w:highlight w:val="none"/>
        </w:rPr>
        <w:t>2.2 技术规范</w:t>
      </w:r>
      <w:bookmarkEnd w:id="115"/>
      <w:bookmarkEnd w:id="116"/>
      <w:bookmarkEnd w:id="117"/>
      <w:bookmarkEnd w:id="118"/>
      <w:bookmarkEnd w:id="119"/>
    </w:p>
    <w:p w14:paraId="5EA7C38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2BE1E792">
      <w:pPr>
        <w:spacing w:line="360" w:lineRule="auto"/>
        <w:ind w:firstLine="482" w:firstLineChars="200"/>
        <w:rPr>
          <w:rFonts w:hint="eastAsia" w:ascii="宋体" w:hAnsi="宋体" w:eastAsia="宋体" w:cs="宋体"/>
          <w:b/>
          <w:color w:val="auto"/>
          <w:sz w:val="24"/>
          <w:highlight w:val="none"/>
        </w:rPr>
      </w:pPr>
      <w:bookmarkStart w:id="120" w:name="_Toc4133"/>
      <w:bookmarkStart w:id="121" w:name="_Toc12412"/>
      <w:bookmarkStart w:id="122" w:name="_Toc13673"/>
      <w:bookmarkStart w:id="123" w:name="_Toc27945"/>
      <w:bookmarkStart w:id="124" w:name="_Toc9161"/>
      <w:r>
        <w:rPr>
          <w:rFonts w:hint="eastAsia" w:ascii="宋体" w:hAnsi="宋体" w:eastAsia="宋体" w:cs="宋体"/>
          <w:b/>
          <w:color w:val="auto"/>
          <w:sz w:val="24"/>
          <w:highlight w:val="none"/>
        </w:rPr>
        <w:t>2.3 知识产权</w:t>
      </w:r>
      <w:bookmarkEnd w:id="120"/>
      <w:bookmarkEnd w:id="121"/>
      <w:bookmarkEnd w:id="122"/>
      <w:bookmarkEnd w:id="123"/>
      <w:bookmarkEnd w:id="124"/>
    </w:p>
    <w:p w14:paraId="622E638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23EF773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 合同涉及技术成果的归属和收益的分成办法的，详见</w:t>
      </w:r>
      <w:r>
        <w:rPr>
          <w:rFonts w:hint="eastAsia" w:ascii="宋体" w:hAnsi="宋体" w:eastAsia="宋体" w:cs="宋体"/>
          <w:b/>
          <w:color w:val="auto"/>
          <w:sz w:val="24"/>
          <w:highlight w:val="none"/>
          <w:u w:val="single"/>
        </w:rPr>
        <w:t>合同专用条款</w:t>
      </w:r>
      <w:r>
        <w:rPr>
          <w:rFonts w:hint="eastAsia" w:ascii="宋体" w:hAnsi="宋体" w:eastAsia="宋体" w:cs="宋体"/>
          <w:color w:val="auto"/>
          <w:sz w:val="24"/>
          <w:highlight w:val="none"/>
        </w:rPr>
        <w:t>。</w:t>
      </w:r>
    </w:p>
    <w:p w14:paraId="08702B1E">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2.4 履约检查和问题反馈</w:t>
      </w:r>
    </w:p>
    <w:p w14:paraId="436D0E2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77E8E11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 合同履行期间，甲方有权将履行过程中出现的问题反馈给乙方，双方当事人应以书面形式约定需要完善和改进的内容。</w:t>
      </w:r>
    </w:p>
    <w:p w14:paraId="2E7C543A">
      <w:pPr>
        <w:spacing w:line="360" w:lineRule="auto"/>
        <w:ind w:firstLine="482" w:firstLineChars="200"/>
        <w:rPr>
          <w:rFonts w:hint="eastAsia" w:ascii="宋体" w:hAnsi="宋体" w:eastAsia="宋体" w:cs="宋体"/>
          <w:b/>
          <w:color w:val="auto"/>
          <w:sz w:val="24"/>
          <w:highlight w:val="none"/>
        </w:rPr>
      </w:pPr>
      <w:bookmarkStart w:id="125" w:name="_Toc15447"/>
      <w:bookmarkStart w:id="126" w:name="_Toc31233"/>
      <w:bookmarkStart w:id="127" w:name="_Toc26555"/>
      <w:bookmarkStart w:id="128" w:name="_Toc32670"/>
      <w:bookmarkStart w:id="129" w:name="_Toc22011"/>
      <w:r>
        <w:rPr>
          <w:rFonts w:hint="eastAsia" w:ascii="宋体" w:hAnsi="宋体" w:eastAsia="宋体" w:cs="宋体"/>
          <w:b/>
          <w:color w:val="auto"/>
          <w:sz w:val="24"/>
          <w:highlight w:val="none"/>
        </w:rPr>
        <w:t>2.5 结算方式和付款条件</w:t>
      </w:r>
      <w:bookmarkEnd w:id="125"/>
      <w:bookmarkEnd w:id="126"/>
      <w:bookmarkEnd w:id="127"/>
      <w:bookmarkEnd w:id="128"/>
      <w:bookmarkEnd w:id="129"/>
    </w:p>
    <w:p w14:paraId="179271C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color w:val="auto"/>
          <w:sz w:val="24"/>
          <w:highlight w:val="none"/>
          <w:u w:val="single"/>
        </w:rPr>
        <w:t>合同专用条款</w:t>
      </w:r>
      <w:r>
        <w:rPr>
          <w:rFonts w:hint="eastAsia" w:ascii="宋体" w:hAnsi="宋体" w:eastAsia="宋体" w:cs="宋体"/>
          <w:color w:val="auto"/>
          <w:sz w:val="24"/>
          <w:highlight w:val="none"/>
        </w:rPr>
        <w:t>。</w:t>
      </w:r>
    </w:p>
    <w:p w14:paraId="1E6C1ACA">
      <w:pPr>
        <w:spacing w:line="360" w:lineRule="auto"/>
        <w:ind w:firstLine="482" w:firstLineChars="200"/>
        <w:rPr>
          <w:rFonts w:hint="eastAsia" w:ascii="宋体" w:hAnsi="宋体" w:eastAsia="宋体" w:cs="宋体"/>
          <w:b/>
          <w:color w:val="auto"/>
          <w:sz w:val="24"/>
          <w:highlight w:val="none"/>
        </w:rPr>
      </w:pPr>
      <w:bookmarkStart w:id="130" w:name="_Toc13467"/>
      <w:bookmarkStart w:id="131" w:name="_Toc13154"/>
      <w:bookmarkStart w:id="132" w:name="_Toc18990"/>
      <w:bookmarkStart w:id="133" w:name="_Toc30507"/>
      <w:bookmarkStart w:id="134" w:name="_Toc16163"/>
      <w:r>
        <w:rPr>
          <w:rFonts w:hint="eastAsia" w:ascii="宋体" w:hAnsi="宋体" w:eastAsia="宋体" w:cs="宋体"/>
          <w:b/>
          <w:color w:val="auto"/>
          <w:sz w:val="24"/>
          <w:highlight w:val="none"/>
        </w:rPr>
        <w:t>2.6 技术资料和保密义务</w:t>
      </w:r>
      <w:bookmarkEnd w:id="130"/>
      <w:bookmarkEnd w:id="131"/>
      <w:bookmarkEnd w:id="132"/>
      <w:bookmarkEnd w:id="133"/>
      <w:bookmarkEnd w:id="134"/>
    </w:p>
    <w:p w14:paraId="41F9ED6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2.6.1 乙方有权依据合同约定和项目需要，向甲方了解有关情况，调阅有关资料等，甲方应予积极配合；</w:t>
      </w:r>
    </w:p>
    <w:p w14:paraId="399ACBB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2.6.2 乙方有义务妥善保管和保护由甲方提供的前款信息和资料等；</w:t>
      </w:r>
    </w:p>
    <w:p w14:paraId="5C76DA0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2703AEE5">
      <w:pPr>
        <w:spacing w:line="360" w:lineRule="auto"/>
        <w:ind w:firstLine="482" w:firstLineChars="200"/>
        <w:rPr>
          <w:rFonts w:hint="eastAsia" w:ascii="宋体" w:hAnsi="宋体" w:eastAsia="宋体" w:cs="宋体"/>
          <w:b/>
          <w:color w:val="auto"/>
          <w:sz w:val="24"/>
          <w:highlight w:val="none"/>
        </w:rPr>
      </w:pPr>
      <w:bookmarkStart w:id="135" w:name="_Toc19069"/>
      <w:r>
        <w:rPr>
          <w:rFonts w:hint="eastAsia" w:ascii="宋体" w:hAnsi="宋体" w:eastAsia="宋体" w:cs="宋体"/>
          <w:b/>
          <w:color w:val="auto"/>
          <w:sz w:val="24"/>
          <w:highlight w:val="none"/>
        </w:rPr>
        <w:t>2.7 质量保证</w:t>
      </w:r>
      <w:bookmarkEnd w:id="135"/>
    </w:p>
    <w:p w14:paraId="1BA622C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 乙方应建立和完善履行合同的内部质量保证体系，并提供相关内部规章制度给甲方，以便甲方进行监督检查；</w:t>
      </w:r>
    </w:p>
    <w:p w14:paraId="4539A59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 乙方应保证履行合同的人员数量和素质、软件和硬件设备的配置、场地、环境和设施等满足全面履行合同的要求，并应接受甲方的监督检查。</w:t>
      </w:r>
    </w:p>
    <w:p w14:paraId="58A0EF98">
      <w:pPr>
        <w:spacing w:line="360" w:lineRule="auto"/>
        <w:ind w:firstLine="482" w:firstLineChars="200"/>
        <w:rPr>
          <w:rFonts w:hint="eastAsia" w:ascii="宋体" w:hAnsi="宋体" w:eastAsia="宋体" w:cs="宋体"/>
          <w:b/>
          <w:color w:val="auto"/>
          <w:sz w:val="24"/>
          <w:highlight w:val="none"/>
        </w:rPr>
      </w:pPr>
      <w:bookmarkStart w:id="136" w:name="_Toc22267"/>
      <w:r>
        <w:rPr>
          <w:rFonts w:hint="eastAsia" w:ascii="宋体" w:hAnsi="宋体" w:eastAsia="宋体" w:cs="宋体"/>
          <w:b/>
          <w:color w:val="auto"/>
          <w:sz w:val="24"/>
          <w:highlight w:val="none"/>
        </w:rPr>
        <w:t>2.8 延迟履行</w:t>
      </w:r>
      <w:bookmarkEnd w:id="136"/>
    </w:p>
    <w:p w14:paraId="1CB4688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14:paraId="48AC759E">
      <w:pPr>
        <w:spacing w:line="360" w:lineRule="auto"/>
        <w:ind w:firstLine="482" w:firstLineChars="200"/>
        <w:rPr>
          <w:rFonts w:hint="eastAsia" w:ascii="宋体" w:hAnsi="宋体" w:eastAsia="宋体" w:cs="宋体"/>
          <w:b/>
          <w:color w:val="auto"/>
          <w:sz w:val="24"/>
          <w:highlight w:val="none"/>
        </w:rPr>
      </w:pPr>
      <w:bookmarkStart w:id="137" w:name="_Toc10611"/>
      <w:r>
        <w:rPr>
          <w:rFonts w:hint="eastAsia" w:ascii="宋体" w:hAnsi="宋体" w:eastAsia="宋体" w:cs="宋体"/>
          <w:b/>
          <w:color w:val="auto"/>
          <w:sz w:val="24"/>
          <w:highlight w:val="none"/>
        </w:rPr>
        <w:t>2.9 合同变更</w:t>
      </w:r>
      <w:bookmarkEnd w:id="137"/>
    </w:p>
    <w:p w14:paraId="051923C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7B66366B">
      <w:pPr>
        <w:spacing w:line="360" w:lineRule="auto"/>
        <w:ind w:firstLine="482" w:firstLineChars="200"/>
        <w:rPr>
          <w:rFonts w:hint="eastAsia" w:ascii="宋体" w:hAnsi="宋体" w:eastAsia="宋体" w:cs="宋体"/>
          <w:b/>
          <w:color w:val="auto"/>
          <w:sz w:val="24"/>
          <w:highlight w:val="none"/>
        </w:rPr>
      </w:pPr>
      <w:bookmarkStart w:id="138" w:name="_Toc26689"/>
      <w:bookmarkStart w:id="139" w:name="_Toc42"/>
      <w:bookmarkStart w:id="140" w:name="_Toc10663"/>
      <w:bookmarkStart w:id="141" w:name="_Toc23368"/>
      <w:bookmarkStart w:id="142" w:name="_Toc21830"/>
      <w:r>
        <w:rPr>
          <w:rFonts w:hint="eastAsia" w:ascii="宋体" w:hAnsi="宋体" w:eastAsia="宋体" w:cs="宋体"/>
          <w:b/>
          <w:color w:val="auto"/>
          <w:sz w:val="24"/>
          <w:highlight w:val="none"/>
        </w:rPr>
        <w:t>2.10 合同转让和分包</w:t>
      </w:r>
      <w:bookmarkEnd w:id="138"/>
      <w:bookmarkEnd w:id="139"/>
      <w:bookmarkEnd w:id="140"/>
      <w:bookmarkEnd w:id="141"/>
      <w:bookmarkEnd w:id="142"/>
    </w:p>
    <w:p w14:paraId="0585013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246244A5">
      <w:pPr>
        <w:spacing w:line="360" w:lineRule="auto"/>
        <w:ind w:firstLine="482" w:firstLineChars="200"/>
        <w:rPr>
          <w:rFonts w:hint="eastAsia" w:ascii="宋体" w:hAnsi="宋体" w:eastAsia="宋体" w:cs="宋体"/>
          <w:b/>
          <w:color w:val="auto"/>
          <w:sz w:val="24"/>
          <w:highlight w:val="none"/>
        </w:rPr>
      </w:pPr>
      <w:bookmarkStart w:id="143" w:name="_Toc14371"/>
      <w:bookmarkStart w:id="144" w:name="_Toc4720"/>
      <w:bookmarkStart w:id="145" w:name="_Toc26633"/>
      <w:bookmarkStart w:id="146" w:name="_Toc25571"/>
      <w:bookmarkStart w:id="147" w:name="_Toc32494"/>
      <w:r>
        <w:rPr>
          <w:rFonts w:hint="eastAsia" w:ascii="宋体" w:hAnsi="宋体" w:eastAsia="宋体" w:cs="宋体"/>
          <w:b/>
          <w:color w:val="auto"/>
          <w:sz w:val="24"/>
          <w:highlight w:val="none"/>
        </w:rPr>
        <w:t>2.11 不可抗力</w:t>
      </w:r>
      <w:bookmarkEnd w:id="143"/>
      <w:bookmarkEnd w:id="144"/>
      <w:bookmarkEnd w:id="145"/>
      <w:bookmarkEnd w:id="146"/>
      <w:bookmarkEnd w:id="147"/>
    </w:p>
    <w:p w14:paraId="7AEEC8D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2.11.1如果任何一方遭遇法律规定的不可抗力，致使合同履行受阻时，履行合同的期限应予延长，延长的期限应相当于不可抗力所影响的时间；</w:t>
      </w:r>
    </w:p>
    <w:p w14:paraId="6AF8D02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2.11.2 因不可抗力致使不能实现合同目的的，当事人可以解除合同；</w:t>
      </w:r>
    </w:p>
    <w:p w14:paraId="0F28FB5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2.11.3 因不可抗力致使合同有变更必要的，双方当事人应在</w:t>
      </w:r>
      <w:r>
        <w:rPr>
          <w:rFonts w:hint="eastAsia" w:ascii="宋体" w:hAnsi="宋体" w:eastAsia="宋体" w:cs="宋体"/>
          <w:b/>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14:paraId="070DE5B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2.11.4受不可抗力影响的一方在不可抗力发生后，应在</w:t>
      </w:r>
      <w:r>
        <w:rPr>
          <w:rFonts w:hint="eastAsia" w:ascii="宋体" w:hAnsi="宋体" w:eastAsia="宋体" w:cs="宋体"/>
          <w:b/>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14:paraId="070B898D">
      <w:pPr>
        <w:spacing w:line="360" w:lineRule="auto"/>
        <w:ind w:firstLine="482" w:firstLineChars="200"/>
        <w:rPr>
          <w:rFonts w:hint="eastAsia" w:ascii="宋体" w:hAnsi="宋体" w:eastAsia="宋体" w:cs="宋体"/>
          <w:b/>
          <w:color w:val="auto"/>
          <w:sz w:val="24"/>
          <w:highlight w:val="none"/>
        </w:rPr>
      </w:pPr>
      <w:bookmarkStart w:id="148" w:name="_Toc23854"/>
      <w:bookmarkStart w:id="149" w:name="_Toc3638"/>
      <w:bookmarkStart w:id="150" w:name="_Toc25783"/>
      <w:bookmarkStart w:id="151" w:name="_Toc24465"/>
      <w:bookmarkStart w:id="152" w:name="_Toc14115"/>
      <w:r>
        <w:rPr>
          <w:rFonts w:hint="eastAsia" w:ascii="宋体" w:hAnsi="宋体" w:eastAsia="宋体" w:cs="宋体"/>
          <w:b/>
          <w:color w:val="auto"/>
          <w:sz w:val="24"/>
          <w:highlight w:val="none"/>
        </w:rPr>
        <w:t>2.12 税费</w:t>
      </w:r>
      <w:bookmarkEnd w:id="148"/>
      <w:bookmarkEnd w:id="149"/>
      <w:bookmarkEnd w:id="150"/>
      <w:bookmarkEnd w:id="151"/>
      <w:bookmarkEnd w:id="152"/>
    </w:p>
    <w:p w14:paraId="2429DB5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与合同有关的一切税费，均按照中华人民共和国法律的相关规定缴纳。</w:t>
      </w:r>
    </w:p>
    <w:p w14:paraId="0A048087">
      <w:pPr>
        <w:spacing w:line="360" w:lineRule="auto"/>
        <w:ind w:firstLine="482" w:firstLineChars="200"/>
        <w:rPr>
          <w:rFonts w:hint="eastAsia" w:ascii="宋体" w:hAnsi="宋体" w:eastAsia="宋体" w:cs="宋体"/>
          <w:b/>
          <w:color w:val="auto"/>
          <w:sz w:val="24"/>
          <w:highlight w:val="none"/>
        </w:rPr>
      </w:pPr>
      <w:bookmarkStart w:id="153" w:name="_Toc26883"/>
      <w:bookmarkStart w:id="154" w:name="_Toc7315"/>
      <w:bookmarkStart w:id="155" w:name="_Toc30105"/>
      <w:bookmarkStart w:id="156" w:name="_Toc14814"/>
      <w:bookmarkStart w:id="157" w:name="_Toc25525"/>
      <w:r>
        <w:rPr>
          <w:rFonts w:hint="eastAsia" w:ascii="宋体" w:hAnsi="宋体" w:eastAsia="宋体" w:cs="宋体"/>
          <w:b/>
          <w:color w:val="auto"/>
          <w:sz w:val="24"/>
          <w:highlight w:val="none"/>
        </w:rPr>
        <w:t>2.13 乙方破产</w:t>
      </w:r>
      <w:bookmarkEnd w:id="153"/>
      <w:bookmarkEnd w:id="154"/>
      <w:bookmarkEnd w:id="155"/>
      <w:bookmarkEnd w:id="156"/>
      <w:bookmarkEnd w:id="157"/>
    </w:p>
    <w:p w14:paraId="6E4F213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2129346">
      <w:pPr>
        <w:spacing w:line="360" w:lineRule="auto"/>
        <w:ind w:firstLine="482" w:firstLineChars="200"/>
        <w:rPr>
          <w:rFonts w:hint="eastAsia" w:ascii="宋体" w:hAnsi="宋体" w:eastAsia="宋体" w:cs="宋体"/>
          <w:b/>
          <w:color w:val="auto"/>
          <w:sz w:val="24"/>
          <w:highlight w:val="none"/>
        </w:rPr>
      </w:pPr>
      <w:bookmarkStart w:id="158" w:name="_Toc23323"/>
      <w:bookmarkStart w:id="159" w:name="_Toc2016"/>
      <w:bookmarkStart w:id="160" w:name="_Toc1123"/>
      <w:r>
        <w:rPr>
          <w:rFonts w:hint="eastAsia" w:ascii="宋体" w:hAnsi="宋体" w:eastAsia="宋体" w:cs="宋体"/>
          <w:b/>
          <w:color w:val="auto"/>
          <w:sz w:val="24"/>
          <w:highlight w:val="none"/>
        </w:rPr>
        <w:t>2.14 合同中止、终止</w:t>
      </w:r>
      <w:bookmarkEnd w:id="158"/>
      <w:bookmarkEnd w:id="159"/>
      <w:bookmarkEnd w:id="160"/>
    </w:p>
    <w:p w14:paraId="51531E7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2.14.1 双方当事人不得擅自中止或者终止合同；</w:t>
      </w:r>
    </w:p>
    <w:p w14:paraId="322ABD4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043B5225">
      <w:pPr>
        <w:spacing w:line="360" w:lineRule="auto"/>
        <w:ind w:firstLine="482" w:firstLineChars="200"/>
        <w:rPr>
          <w:rFonts w:hint="eastAsia" w:ascii="宋体" w:hAnsi="宋体" w:eastAsia="宋体" w:cs="宋体"/>
          <w:b/>
          <w:color w:val="auto"/>
          <w:sz w:val="24"/>
          <w:highlight w:val="none"/>
        </w:rPr>
      </w:pPr>
      <w:bookmarkStart w:id="161" w:name="_Toc1969"/>
      <w:bookmarkStart w:id="162" w:name="_Toc14525"/>
      <w:bookmarkStart w:id="163" w:name="_Toc17363"/>
      <w:r>
        <w:rPr>
          <w:rFonts w:hint="eastAsia" w:ascii="宋体" w:hAnsi="宋体" w:eastAsia="宋体" w:cs="宋体"/>
          <w:b/>
          <w:color w:val="auto"/>
          <w:sz w:val="24"/>
          <w:highlight w:val="none"/>
        </w:rPr>
        <w:t>2.15 检验和验收</w:t>
      </w:r>
      <w:bookmarkEnd w:id="161"/>
      <w:bookmarkEnd w:id="162"/>
      <w:bookmarkEnd w:id="163"/>
    </w:p>
    <w:p w14:paraId="382CFFBC">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2.15.1 乙方按照</w:t>
      </w:r>
      <w:r>
        <w:rPr>
          <w:rFonts w:hint="eastAsia" w:ascii="宋体" w:hAnsi="宋体" w:eastAsia="宋体" w:cs="宋体"/>
          <w:b/>
          <w:color w:val="auto"/>
          <w:sz w:val="24"/>
          <w:highlight w:val="none"/>
          <w:u w:val="single"/>
        </w:rPr>
        <w:t>合同专用条款</w:t>
      </w:r>
      <w:r>
        <w:rPr>
          <w:rFonts w:hint="eastAsia" w:ascii="宋体" w:hAnsi="宋体" w:eastAsia="宋体" w:cs="宋体"/>
          <w:color w:val="auto"/>
          <w:sz w:val="24"/>
          <w:highlight w:val="none"/>
        </w:rPr>
        <w:t>的约定，定期提交服务报告，甲方按照</w:t>
      </w:r>
      <w:r>
        <w:rPr>
          <w:rFonts w:hint="eastAsia" w:ascii="宋体" w:hAnsi="宋体" w:eastAsia="宋体" w:cs="宋体"/>
          <w:b/>
          <w:color w:val="auto"/>
          <w:sz w:val="24"/>
          <w:highlight w:val="none"/>
          <w:u w:val="single"/>
        </w:rPr>
        <w:t>合同专用条款</w:t>
      </w:r>
      <w:r>
        <w:rPr>
          <w:rFonts w:hint="eastAsia" w:ascii="宋体" w:hAnsi="宋体" w:eastAsia="宋体" w:cs="宋体"/>
          <w:color w:val="auto"/>
          <w:sz w:val="24"/>
          <w:highlight w:val="none"/>
        </w:rPr>
        <w:t>的约定进行定期验收；</w:t>
      </w:r>
    </w:p>
    <w:p w14:paraId="52D16063">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7CE5BD46">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2.15.3 检验和验收标准、程序等具体内容以及前述验收书的效力详见</w:t>
      </w:r>
      <w:r>
        <w:rPr>
          <w:rFonts w:hint="eastAsia" w:ascii="宋体" w:hAnsi="宋体" w:eastAsia="宋体" w:cs="宋体"/>
          <w:b/>
          <w:color w:val="auto"/>
          <w:sz w:val="24"/>
          <w:highlight w:val="none"/>
          <w:u w:val="single"/>
        </w:rPr>
        <w:t>合同专用条款</w:t>
      </w:r>
      <w:r>
        <w:rPr>
          <w:rFonts w:hint="eastAsia" w:ascii="宋体" w:hAnsi="宋体" w:eastAsia="宋体" w:cs="宋体"/>
          <w:color w:val="auto"/>
          <w:sz w:val="24"/>
          <w:highlight w:val="none"/>
        </w:rPr>
        <w:t>。</w:t>
      </w:r>
    </w:p>
    <w:p w14:paraId="45FC3C77">
      <w:pPr>
        <w:spacing w:line="360" w:lineRule="auto"/>
        <w:ind w:firstLine="482" w:firstLineChars="200"/>
        <w:rPr>
          <w:rFonts w:hint="eastAsia" w:ascii="宋体" w:hAnsi="宋体" w:eastAsia="宋体" w:cs="宋体"/>
          <w:b/>
          <w:color w:val="auto"/>
          <w:sz w:val="24"/>
          <w:highlight w:val="none"/>
        </w:rPr>
      </w:pPr>
      <w:bookmarkStart w:id="164" w:name="_Toc31892"/>
      <w:bookmarkStart w:id="165" w:name="_Toc9808"/>
      <w:bookmarkStart w:id="166" w:name="_Toc25198"/>
      <w:bookmarkStart w:id="167" w:name="_Toc2308"/>
      <w:bookmarkStart w:id="168" w:name="_Toc12666"/>
      <w:r>
        <w:rPr>
          <w:rFonts w:hint="eastAsia" w:ascii="宋体" w:hAnsi="宋体" w:eastAsia="宋体" w:cs="宋体"/>
          <w:b/>
          <w:color w:val="auto"/>
          <w:sz w:val="24"/>
          <w:highlight w:val="none"/>
        </w:rPr>
        <w:t>2.16 通知和送达</w:t>
      </w:r>
      <w:bookmarkEnd w:id="164"/>
      <w:bookmarkEnd w:id="165"/>
      <w:bookmarkEnd w:id="166"/>
      <w:bookmarkEnd w:id="167"/>
      <w:bookmarkEnd w:id="168"/>
    </w:p>
    <w:p w14:paraId="79C96D25">
      <w:pPr>
        <w:spacing w:line="360" w:lineRule="auto"/>
        <w:ind w:firstLine="480" w:firstLineChars="200"/>
        <w:rPr>
          <w:rFonts w:hint="eastAsia" w:ascii="宋体" w:hAnsi="宋体" w:eastAsia="宋体" w:cs="宋体"/>
          <w:color w:val="auto"/>
          <w:sz w:val="24"/>
          <w:highlight w:val="none"/>
        </w:rPr>
      </w:pPr>
      <w:bookmarkStart w:id="169" w:name="_Toc27674"/>
      <w:bookmarkStart w:id="170" w:name="_Toc18401"/>
      <w:r>
        <w:rPr>
          <w:rFonts w:hint="eastAsia" w:ascii="宋体" w:hAnsi="宋体" w:eastAsia="宋体" w:cs="宋体"/>
          <w:color w:val="auto"/>
          <w:sz w:val="24"/>
          <w:highlight w:val="none"/>
        </w:rPr>
        <w:t xml:space="preserve">2.17.1任何一方因履行合同而以合同第一部分尾部所列明的传真或电子邮件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发出的所有通知、文件、材料，均视为已向对方当事人送达；任何一方变更上述送达方式或者地址的，应于</w:t>
      </w:r>
      <w:r>
        <w:rPr>
          <w:rFonts w:hint="eastAsia" w:ascii="宋体" w:hAnsi="宋体" w:eastAsia="宋体" w:cs="宋体"/>
          <w:color w:val="auto"/>
          <w:sz w:val="24"/>
          <w:highlight w:val="none"/>
          <w:u w:val="single"/>
        </w:rPr>
        <w:t>3</w:t>
      </w:r>
      <w:r>
        <w:rPr>
          <w:rFonts w:hint="eastAsia" w:ascii="宋体" w:hAnsi="宋体" w:eastAsia="宋体" w:cs="宋体"/>
          <w:color w:val="auto"/>
          <w:sz w:val="24"/>
          <w:highlight w:val="none"/>
        </w:rPr>
        <w:t>个工作日内书面通知对方当事人，在对方当事人收到有关变更通知之前，变更前的约定送达方式或者地址仍视为有效。</w:t>
      </w:r>
    </w:p>
    <w:p w14:paraId="6D7E008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2.17.2以当面交付方式送达的，交付之时视为送达；以电子邮件方式送达的，发出电子邮件之时视为送达；以传真方式送达的，发出传真之时视为送达；以邮寄方式送达的，邮件挂号寄出或者交邮之日之次日视为送达。</w:t>
      </w:r>
      <w:bookmarkEnd w:id="169"/>
      <w:bookmarkEnd w:id="170"/>
    </w:p>
    <w:p w14:paraId="35877EC7">
      <w:pPr>
        <w:spacing w:line="360" w:lineRule="auto"/>
        <w:ind w:firstLine="482" w:firstLineChars="200"/>
        <w:rPr>
          <w:rFonts w:hint="eastAsia" w:ascii="宋体" w:hAnsi="宋体" w:eastAsia="宋体" w:cs="宋体"/>
          <w:b/>
          <w:color w:val="auto"/>
          <w:sz w:val="24"/>
          <w:highlight w:val="none"/>
        </w:rPr>
      </w:pPr>
      <w:bookmarkStart w:id="171" w:name="_Toc12254"/>
      <w:bookmarkStart w:id="172" w:name="_Toc28906"/>
      <w:bookmarkStart w:id="173" w:name="_Toc27644"/>
      <w:bookmarkStart w:id="174" w:name="_Toc5063"/>
      <w:bookmarkStart w:id="175" w:name="_Toc20808"/>
      <w:r>
        <w:rPr>
          <w:rFonts w:hint="eastAsia" w:ascii="宋体" w:hAnsi="宋体" w:eastAsia="宋体" w:cs="宋体"/>
          <w:b/>
          <w:color w:val="auto"/>
          <w:sz w:val="24"/>
          <w:highlight w:val="none"/>
        </w:rPr>
        <w:t>2.17 合同使用的文字和适用的法律</w:t>
      </w:r>
      <w:bookmarkEnd w:id="171"/>
      <w:bookmarkEnd w:id="172"/>
      <w:bookmarkEnd w:id="173"/>
      <w:bookmarkEnd w:id="174"/>
      <w:bookmarkEnd w:id="175"/>
    </w:p>
    <w:p w14:paraId="542D4E4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 合同使用汉语书</w:t>
      </w:r>
      <w:r>
        <w:rPr>
          <w:rFonts w:hint="eastAsia" w:ascii="宋体" w:hAnsi="宋体" w:cs="宋体"/>
          <w:color w:val="auto"/>
          <w:sz w:val="24"/>
          <w:highlight w:val="none"/>
          <w:lang w:val="en-US" w:eastAsia="zh-CN"/>
        </w:rPr>
        <w:t>写</w:t>
      </w:r>
      <w:r>
        <w:rPr>
          <w:rFonts w:hint="eastAsia" w:ascii="宋体" w:hAnsi="宋体" w:eastAsia="宋体" w:cs="宋体"/>
          <w:color w:val="auto"/>
          <w:sz w:val="24"/>
          <w:highlight w:val="none"/>
        </w:rPr>
        <w:t>、变更和解释；</w:t>
      </w:r>
    </w:p>
    <w:p w14:paraId="20BA507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2.17.2 合同适用中华人民共和国法律。</w:t>
      </w:r>
    </w:p>
    <w:p w14:paraId="1479DE55">
      <w:pPr>
        <w:spacing w:line="360" w:lineRule="auto"/>
        <w:ind w:firstLine="482" w:firstLineChars="200"/>
        <w:rPr>
          <w:rFonts w:hint="eastAsia" w:ascii="宋体" w:hAnsi="宋体" w:eastAsia="宋体" w:cs="宋体"/>
          <w:b/>
          <w:color w:val="auto"/>
          <w:sz w:val="24"/>
          <w:highlight w:val="none"/>
        </w:rPr>
      </w:pPr>
      <w:bookmarkStart w:id="176" w:name="_Toc30599"/>
      <w:bookmarkStart w:id="177" w:name="_Toc4355"/>
      <w:bookmarkStart w:id="178" w:name="_Toc18540"/>
      <w:r>
        <w:rPr>
          <w:rFonts w:hint="eastAsia" w:ascii="宋体" w:hAnsi="宋体" w:eastAsia="宋体" w:cs="宋体"/>
          <w:b/>
          <w:color w:val="auto"/>
          <w:sz w:val="24"/>
          <w:highlight w:val="none"/>
        </w:rPr>
        <w:t>2.18 计量单位</w:t>
      </w:r>
      <w:bookmarkEnd w:id="176"/>
      <w:bookmarkEnd w:id="177"/>
      <w:bookmarkEnd w:id="178"/>
    </w:p>
    <w:p w14:paraId="3A750DA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除技术规范中另有规定外,合同的计量单位均使用国家法定计量单位。</w:t>
      </w:r>
    </w:p>
    <w:p w14:paraId="71D978A8">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2.19合同份数</w:t>
      </w:r>
    </w:p>
    <w:p w14:paraId="44BEDF7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合同份数按</w:t>
      </w:r>
      <w:r>
        <w:rPr>
          <w:rFonts w:hint="eastAsia" w:ascii="宋体" w:hAnsi="宋体" w:eastAsia="宋体" w:cs="宋体"/>
          <w:b/>
          <w:color w:val="auto"/>
          <w:sz w:val="24"/>
          <w:highlight w:val="none"/>
          <w:u w:val="single"/>
        </w:rPr>
        <w:t>合同专用条款</w:t>
      </w:r>
      <w:r>
        <w:rPr>
          <w:rFonts w:hint="eastAsia" w:ascii="宋体" w:hAnsi="宋体" w:eastAsia="宋体" w:cs="宋体"/>
          <w:color w:val="auto"/>
          <w:sz w:val="24"/>
          <w:highlight w:val="none"/>
        </w:rPr>
        <w:t>规定，每份均具有同等法律效力。</w:t>
      </w:r>
    </w:p>
    <w:p w14:paraId="13ECC9DC">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bCs/>
          <w:color w:val="auto"/>
          <w:sz w:val="24"/>
          <w:highlight w:val="none"/>
          <w:lang w:val="en-US" w:eastAsia="zh-CN"/>
        </w:rPr>
        <w:t>2.20甲乙双方权利义务</w:t>
      </w:r>
      <w:r>
        <w:rPr>
          <w:rFonts w:hint="eastAsia" w:ascii="宋体" w:hAnsi="宋体" w:eastAsia="宋体" w:cs="宋体"/>
          <w:color w:val="auto"/>
          <w:kern w:val="0"/>
          <w:highlight w:val="none"/>
        </w:rPr>
        <w:br w:type="page"/>
      </w:r>
      <w:r>
        <w:rPr>
          <w:rFonts w:hint="eastAsia" w:ascii="宋体" w:hAnsi="宋体" w:eastAsia="宋体" w:cs="宋体"/>
          <w:b/>
          <w:color w:val="auto"/>
          <w:sz w:val="24"/>
          <w:highlight w:val="none"/>
        </w:rPr>
        <w:t>第三节 政府采购合同专用条款</w:t>
      </w:r>
    </w:p>
    <w:p w14:paraId="00DAAA92">
      <w:pPr>
        <w:spacing w:line="360" w:lineRule="auto"/>
        <w:ind w:left="-420" w:leftChars="-200" w:right="-420" w:rightChars="-200"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1"/>
        <w:tblW w:w="852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1"/>
      </w:tblGrid>
      <w:tr w14:paraId="40CA3B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double" w:color="auto" w:sz="4" w:space="0"/>
              <w:left w:val="double" w:color="auto" w:sz="4" w:space="0"/>
              <w:bottom w:val="single" w:color="auto" w:sz="6" w:space="0"/>
              <w:right w:val="single" w:color="auto" w:sz="6" w:space="0"/>
            </w:tcBorders>
            <w:vAlign w:val="center"/>
          </w:tcPr>
          <w:p w14:paraId="6FED1A71">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节</w:t>
            </w:r>
          </w:p>
          <w:p w14:paraId="24712B8A">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1.3</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项</w:t>
            </w:r>
          </w:p>
        </w:tc>
        <w:tc>
          <w:tcPr>
            <w:tcW w:w="1742" w:type="dxa"/>
            <w:tcBorders>
              <w:top w:val="double" w:color="auto" w:sz="4" w:space="0"/>
              <w:left w:val="single" w:color="auto" w:sz="6" w:space="0"/>
              <w:bottom w:val="single" w:color="auto" w:sz="6" w:space="0"/>
              <w:right w:val="single" w:color="auto" w:sz="6" w:space="0"/>
            </w:tcBorders>
            <w:vAlign w:val="center"/>
          </w:tcPr>
          <w:p w14:paraId="7F13039E">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下浮率</w:t>
            </w:r>
          </w:p>
        </w:tc>
        <w:tc>
          <w:tcPr>
            <w:tcW w:w="5171" w:type="dxa"/>
            <w:tcBorders>
              <w:top w:val="double" w:color="auto" w:sz="4" w:space="0"/>
              <w:left w:val="single" w:color="auto" w:sz="6" w:space="0"/>
              <w:bottom w:val="single" w:color="auto" w:sz="6" w:space="0"/>
              <w:right w:val="double" w:color="auto" w:sz="4" w:space="0"/>
            </w:tcBorders>
            <w:vAlign w:val="center"/>
          </w:tcPr>
          <w:p w14:paraId="50A18916">
            <w:pPr>
              <w:snapToGrid w:val="0"/>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lang w:val="en-US" w:eastAsia="zh-CN"/>
              </w:rPr>
              <w:t>%</w:t>
            </w:r>
          </w:p>
        </w:tc>
      </w:tr>
      <w:tr w14:paraId="32F928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bottom w:val="single" w:color="auto" w:sz="6" w:space="0"/>
              <w:right w:val="single" w:color="auto" w:sz="6" w:space="0"/>
            </w:tcBorders>
            <w:shd w:val="clear" w:color="auto" w:fill="auto"/>
            <w:vAlign w:val="center"/>
          </w:tcPr>
          <w:p w14:paraId="73B20517">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节</w:t>
            </w:r>
          </w:p>
          <w:p w14:paraId="1511833E">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第1.4.2项</w:t>
            </w:r>
          </w:p>
        </w:tc>
        <w:tc>
          <w:tcPr>
            <w:tcW w:w="1742" w:type="dxa"/>
            <w:tcBorders>
              <w:top w:val="single" w:color="auto" w:sz="6" w:space="0"/>
              <w:left w:val="single" w:color="auto" w:sz="6" w:space="0"/>
              <w:bottom w:val="single" w:color="auto" w:sz="6" w:space="0"/>
              <w:right w:val="single" w:color="auto" w:sz="6" w:space="0"/>
            </w:tcBorders>
            <w:vAlign w:val="center"/>
          </w:tcPr>
          <w:p w14:paraId="77400674">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w:t>
            </w:r>
          </w:p>
        </w:tc>
        <w:tc>
          <w:tcPr>
            <w:tcW w:w="5171" w:type="dxa"/>
            <w:tcBorders>
              <w:top w:val="single" w:color="auto" w:sz="6" w:space="0"/>
              <w:left w:val="single" w:color="auto" w:sz="6" w:space="0"/>
              <w:bottom w:val="single" w:color="auto" w:sz="6" w:space="0"/>
              <w:right w:val="double" w:color="auto" w:sz="4" w:space="0"/>
            </w:tcBorders>
            <w:vAlign w:val="center"/>
          </w:tcPr>
          <w:p w14:paraId="3EA60999">
            <w:pPr>
              <w:snapToGrid w:val="0"/>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w:t>
            </w:r>
          </w:p>
        </w:tc>
      </w:tr>
      <w:tr w14:paraId="19E066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shd w:val="clear" w:color="auto" w:fill="auto"/>
            <w:vAlign w:val="center"/>
          </w:tcPr>
          <w:p w14:paraId="4B96A184">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节</w:t>
            </w:r>
          </w:p>
          <w:p w14:paraId="21EB2B89">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第1.5.1</w:t>
            </w:r>
            <w:r>
              <w:rPr>
                <w:rFonts w:hint="eastAsia" w:ascii="宋体" w:hAnsi="宋体" w:eastAsia="宋体" w:cs="宋体"/>
                <w:color w:val="auto"/>
                <w:sz w:val="21"/>
                <w:szCs w:val="21"/>
                <w:highlight w:val="none"/>
              </w:rPr>
              <w:t>项</w:t>
            </w:r>
          </w:p>
        </w:tc>
        <w:tc>
          <w:tcPr>
            <w:tcW w:w="1742" w:type="dxa"/>
            <w:tcBorders>
              <w:top w:val="single" w:color="auto" w:sz="6" w:space="0"/>
              <w:left w:val="single" w:color="auto" w:sz="6" w:space="0"/>
              <w:bottom w:val="single" w:color="auto" w:sz="6" w:space="0"/>
              <w:right w:val="single" w:color="auto" w:sz="6" w:space="0"/>
            </w:tcBorders>
            <w:vAlign w:val="center"/>
          </w:tcPr>
          <w:p w14:paraId="65F2A082">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预付款比例、支付方式、时间</w:t>
            </w:r>
          </w:p>
        </w:tc>
        <w:tc>
          <w:tcPr>
            <w:tcW w:w="5171" w:type="dxa"/>
            <w:tcBorders>
              <w:top w:val="single" w:color="auto" w:sz="6" w:space="0"/>
              <w:left w:val="single" w:color="auto" w:sz="6" w:space="0"/>
              <w:bottom w:val="single" w:color="auto" w:sz="6" w:space="0"/>
              <w:right w:val="double" w:color="auto" w:sz="4" w:space="0"/>
            </w:tcBorders>
            <w:vAlign w:val="center"/>
          </w:tcPr>
          <w:p w14:paraId="1390803B">
            <w:pPr>
              <w:snapToGrid w:val="0"/>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按采购文件要求执行。</w:t>
            </w:r>
          </w:p>
        </w:tc>
      </w:tr>
      <w:tr w14:paraId="239090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shd w:val="clear" w:color="auto" w:fill="auto"/>
            <w:vAlign w:val="center"/>
          </w:tcPr>
          <w:p w14:paraId="49559AA7">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节</w:t>
            </w:r>
          </w:p>
          <w:p w14:paraId="4B0105DF">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第1.5.2</w:t>
            </w:r>
            <w:r>
              <w:rPr>
                <w:rFonts w:hint="eastAsia" w:ascii="宋体" w:hAnsi="宋体" w:eastAsia="宋体" w:cs="宋体"/>
                <w:color w:val="auto"/>
                <w:sz w:val="21"/>
                <w:szCs w:val="21"/>
                <w:highlight w:val="none"/>
              </w:rPr>
              <w:t>项</w:t>
            </w:r>
          </w:p>
        </w:tc>
        <w:tc>
          <w:tcPr>
            <w:tcW w:w="1742" w:type="dxa"/>
            <w:tcBorders>
              <w:top w:val="single" w:color="auto" w:sz="6" w:space="0"/>
              <w:left w:val="single" w:color="auto" w:sz="6" w:space="0"/>
              <w:bottom w:val="single" w:color="auto" w:sz="6" w:space="0"/>
              <w:right w:val="single" w:color="auto" w:sz="6" w:space="0"/>
            </w:tcBorders>
            <w:vAlign w:val="center"/>
          </w:tcPr>
          <w:p w14:paraId="5AAE2292">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预付款的扣回方式</w:t>
            </w:r>
          </w:p>
        </w:tc>
        <w:tc>
          <w:tcPr>
            <w:tcW w:w="5171" w:type="dxa"/>
            <w:tcBorders>
              <w:top w:val="single" w:color="auto" w:sz="6" w:space="0"/>
              <w:left w:val="single" w:color="auto" w:sz="6" w:space="0"/>
              <w:bottom w:val="single" w:color="auto" w:sz="6" w:space="0"/>
              <w:right w:val="double" w:color="auto" w:sz="4" w:space="0"/>
            </w:tcBorders>
            <w:vAlign w:val="center"/>
          </w:tcPr>
          <w:p w14:paraId="07E47A4A">
            <w:pPr>
              <w:snapToGrid w:val="0"/>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w:t>
            </w:r>
          </w:p>
        </w:tc>
      </w:tr>
      <w:tr w14:paraId="005E0A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shd w:val="clear" w:color="auto" w:fill="auto"/>
            <w:vAlign w:val="center"/>
          </w:tcPr>
          <w:p w14:paraId="64356205">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节</w:t>
            </w:r>
          </w:p>
          <w:p w14:paraId="43BFA891">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第1.5.3</w:t>
            </w:r>
            <w:r>
              <w:rPr>
                <w:rFonts w:hint="eastAsia" w:ascii="宋体" w:hAnsi="宋体" w:eastAsia="宋体" w:cs="宋体"/>
                <w:color w:val="auto"/>
                <w:sz w:val="21"/>
                <w:szCs w:val="21"/>
                <w:highlight w:val="none"/>
              </w:rPr>
              <w:t>项</w:t>
            </w:r>
          </w:p>
        </w:tc>
        <w:tc>
          <w:tcPr>
            <w:tcW w:w="1742" w:type="dxa"/>
            <w:tcBorders>
              <w:top w:val="single" w:color="auto" w:sz="6" w:space="0"/>
              <w:left w:val="single" w:color="auto" w:sz="6" w:space="0"/>
              <w:bottom w:val="single" w:color="auto" w:sz="6" w:space="0"/>
              <w:right w:val="single" w:color="auto" w:sz="6" w:space="0"/>
            </w:tcBorders>
            <w:vAlign w:val="center"/>
          </w:tcPr>
          <w:p w14:paraId="4B9D4B1E">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预付款的担保措施</w:t>
            </w:r>
          </w:p>
        </w:tc>
        <w:tc>
          <w:tcPr>
            <w:tcW w:w="5171" w:type="dxa"/>
            <w:tcBorders>
              <w:top w:val="single" w:color="auto" w:sz="6" w:space="0"/>
              <w:left w:val="single" w:color="auto" w:sz="6" w:space="0"/>
              <w:bottom w:val="single" w:color="auto" w:sz="6" w:space="0"/>
              <w:right w:val="double" w:color="auto" w:sz="4" w:space="0"/>
            </w:tcBorders>
            <w:shd w:val="clear" w:color="auto" w:fill="auto"/>
            <w:vAlign w:val="center"/>
          </w:tcPr>
          <w:p w14:paraId="7AAD3145">
            <w:pPr>
              <w:snapToGrid w:val="0"/>
              <w:spacing w:line="360" w:lineRule="auto"/>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无</w:t>
            </w:r>
          </w:p>
        </w:tc>
      </w:tr>
      <w:tr w14:paraId="6B5D1F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shd w:val="clear" w:color="auto" w:fill="auto"/>
            <w:vAlign w:val="center"/>
          </w:tcPr>
          <w:p w14:paraId="365DE24B">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节</w:t>
            </w:r>
          </w:p>
          <w:p w14:paraId="52E098AE">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第1.6.2</w:t>
            </w:r>
            <w:r>
              <w:rPr>
                <w:rFonts w:hint="eastAsia" w:ascii="宋体" w:hAnsi="宋体" w:eastAsia="宋体" w:cs="宋体"/>
                <w:color w:val="auto"/>
                <w:sz w:val="21"/>
                <w:szCs w:val="21"/>
                <w:highlight w:val="none"/>
              </w:rPr>
              <w:t>项</w:t>
            </w:r>
          </w:p>
        </w:tc>
        <w:tc>
          <w:tcPr>
            <w:tcW w:w="1742" w:type="dxa"/>
            <w:tcBorders>
              <w:top w:val="single" w:color="auto" w:sz="6" w:space="0"/>
              <w:left w:val="single" w:color="auto" w:sz="6" w:space="0"/>
              <w:bottom w:val="single" w:color="auto" w:sz="6" w:space="0"/>
              <w:right w:val="single" w:color="auto" w:sz="6" w:space="0"/>
            </w:tcBorders>
            <w:vAlign w:val="center"/>
          </w:tcPr>
          <w:p w14:paraId="13A6BF7B">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资金支付的方式、时间和条件</w:t>
            </w:r>
          </w:p>
        </w:tc>
        <w:tc>
          <w:tcPr>
            <w:tcW w:w="5171" w:type="dxa"/>
            <w:tcBorders>
              <w:top w:val="single" w:color="auto" w:sz="6" w:space="0"/>
              <w:left w:val="single" w:color="auto" w:sz="6" w:space="0"/>
              <w:bottom w:val="single" w:color="auto" w:sz="6" w:space="0"/>
              <w:right w:val="double" w:color="auto" w:sz="4" w:space="0"/>
            </w:tcBorders>
            <w:vAlign w:val="center"/>
          </w:tcPr>
          <w:p w14:paraId="5F77F00C">
            <w:pPr>
              <w:snapToGrid w:val="0"/>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按采购文件要求执行。</w:t>
            </w:r>
          </w:p>
        </w:tc>
      </w:tr>
      <w:tr w14:paraId="237E9A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bottom w:val="single" w:color="auto" w:sz="4" w:space="0"/>
              <w:right w:val="single" w:color="auto" w:sz="6" w:space="0"/>
            </w:tcBorders>
            <w:shd w:val="clear" w:color="auto" w:fill="auto"/>
            <w:vAlign w:val="center"/>
          </w:tcPr>
          <w:p w14:paraId="2E2A3FC1">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节</w:t>
            </w:r>
          </w:p>
          <w:p w14:paraId="7777F562">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第1.7.1</w:t>
            </w:r>
            <w:r>
              <w:rPr>
                <w:rFonts w:hint="eastAsia" w:ascii="宋体" w:hAnsi="宋体" w:eastAsia="宋体" w:cs="宋体"/>
                <w:color w:val="auto"/>
                <w:sz w:val="21"/>
                <w:szCs w:val="21"/>
                <w:highlight w:val="none"/>
              </w:rPr>
              <w:t>项</w:t>
            </w:r>
          </w:p>
        </w:tc>
        <w:tc>
          <w:tcPr>
            <w:tcW w:w="1742" w:type="dxa"/>
            <w:tcBorders>
              <w:top w:val="single" w:color="auto" w:sz="6" w:space="0"/>
              <w:left w:val="single" w:color="auto" w:sz="6" w:space="0"/>
              <w:bottom w:val="single" w:color="auto" w:sz="4" w:space="0"/>
              <w:right w:val="single" w:color="auto" w:sz="6" w:space="0"/>
            </w:tcBorders>
            <w:vAlign w:val="center"/>
          </w:tcPr>
          <w:p w14:paraId="3C61EC1F">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服务交付（实施）的时间（期限）</w:t>
            </w:r>
          </w:p>
        </w:tc>
        <w:tc>
          <w:tcPr>
            <w:tcW w:w="5171" w:type="dxa"/>
            <w:tcBorders>
              <w:top w:val="single" w:color="auto" w:sz="6" w:space="0"/>
              <w:left w:val="single" w:color="auto" w:sz="6" w:space="0"/>
              <w:bottom w:val="single" w:color="auto" w:sz="6" w:space="0"/>
              <w:right w:val="double" w:color="auto" w:sz="4" w:space="0"/>
            </w:tcBorders>
            <w:vAlign w:val="center"/>
          </w:tcPr>
          <w:p w14:paraId="4D1C3DDE">
            <w:pPr>
              <w:adjustRightInd/>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按采购文件要求执行。</w:t>
            </w:r>
          </w:p>
        </w:tc>
      </w:tr>
      <w:tr w14:paraId="70CD69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4" w:space="0"/>
              <w:left w:val="double" w:color="auto" w:sz="4" w:space="0"/>
              <w:bottom w:val="single" w:color="auto" w:sz="6" w:space="0"/>
              <w:right w:val="single" w:color="auto" w:sz="6" w:space="0"/>
            </w:tcBorders>
            <w:shd w:val="clear" w:color="auto" w:fill="auto"/>
            <w:vAlign w:val="center"/>
          </w:tcPr>
          <w:p w14:paraId="3A000569">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节</w:t>
            </w:r>
          </w:p>
          <w:p w14:paraId="131FBC40">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第1.7.2</w:t>
            </w:r>
            <w:r>
              <w:rPr>
                <w:rFonts w:hint="eastAsia" w:ascii="宋体" w:hAnsi="宋体" w:eastAsia="宋体" w:cs="宋体"/>
                <w:color w:val="auto"/>
                <w:sz w:val="21"/>
                <w:szCs w:val="21"/>
                <w:highlight w:val="none"/>
              </w:rPr>
              <w:t>项</w:t>
            </w:r>
          </w:p>
        </w:tc>
        <w:tc>
          <w:tcPr>
            <w:tcW w:w="1742" w:type="dxa"/>
            <w:tcBorders>
              <w:top w:val="single" w:color="auto" w:sz="4" w:space="0"/>
              <w:left w:val="single" w:color="auto" w:sz="6" w:space="0"/>
              <w:bottom w:val="single" w:color="auto" w:sz="6" w:space="0"/>
              <w:right w:val="single" w:color="auto" w:sz="6" w:space="0"/>
            </w:tcBorders>
            <w:vAlign w:val="center"/>
          </w:tcPr>
          <w:p w14:paraId="0DA8EE0B">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服务交付（实施）的地点（地域范围）</w:t>
            </w:r>
          </w:p>
        </w:tc>
        <w:tc>
          <w:tcPr>
            <w:tcW w:w="5171" w:type="dxa"/>
            <w:tcBorders>
              <w:top w:val="single" w:color="auto" w:sz="6" w:space="0"/>
              <w:left w:val="single" w:color="auto" w:sz="6" w:space="0"/>
              <w:bottom w:val="single" w:color="auto" w:sz="6" w:space="0"/>
              <w:right w:val="double" w:color="auto" w:sz="4" w:space="0"/>
            </w:tcBorders>
            <w:vAlign w:val="center"/>
          </w:tcPr>
          <w:p w14:paraId="30EB6A51">
            <w:pPr>
              <w:adjustRightInd/>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按采购文件要求执行。</w:t>
            </w:r>
          </w:p>
        </w:tc>
      </w:tr>
      <w:tr w14:paraId="4AA265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bottom w:val="single" w:color="auto" w:sz="6" w:space="0"/>
              <w:right w:val="single" w:color="auto" w:sz="6" w:space="0"/>
            </w:tcBorders>
            <w:shd w:val="clear" w:color="auto" w:fill="auto"/>
            <w:vAlign w:val="center"/>
          </w:tcPr>
          <w:p w14:paraId="615409E3">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节</w:t>
            </w:r>
          </w:p>
          <w:p w14:paraId="3F554AC8">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第1.7.3</w:t>
            </w:r>
            <w:r>
              <w:rPr>
                <w:rFonts w:hint="eastAsia" w:ascii="宋体" w:hAnsi="宋体" w:eastAsia="宋体" w:cs="宋体"/>
                <w:color w:val="auto"/>
                <w:sz w:val="21"/>
                <w:szCs w:val="21"/>
                <w:highlight w:val="none"/>
              </w:rPr>
              <w:t>项</w:t>
            </w:r>
          </w:p>
        </w:tc>
        <w:tc>
          <w:tcPr>
            <w:tcW w:w="1742" w:type="dxa"/>
            <w:tcBorders>
              <w:top w:val="single" w:color="auto" w:sz="6" w:space="0"/>
              <w:left w:val="single" w:color="auto" w:sz="6" w:space="0"/>
              <w:bottom w:val="single" w:color="auto" w:sz="6" w:space="0"/>
              <w:right w:val="single" w:color="auto" w:sz="6" w:space="0"/>
            </w:tcBorders>
            <w:vAlign w:val="center"/>
          </w:tcPr>
          <w:p w14:paraId="18A66E69">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服务交付（实施）的方式</w:t>
            </w:r>
          </w:p>
        </w:tc>
        <w:tc>
          <w:tcPr>
            <w:tcW w:w="5171" w:type="dxa"/>
            <w:tcBorders>
              <w:top w:val="single" w:color="auto" w:sz="6" w:space="0"/>
              <w:left w:val="single" w:color="auto" w:sz="6" w:space="0"/>
              <w:bottom w:val="single" w:color="auto" w:sz="6" w:space="0"/>
              <w:right w:val="double" w:color="auto" w:sz="4" w:space="0"/>
            </w:tcBorders>
            <w:vAlign w:val="center"/>
          </w:tcPr>
          <w:p w14:paraId="393F2275">
            <w:pPr>
              <w:adjustRightInd/>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按采购文件要求执行。</w:t>
            </w:r>
          </w:p>
        </w:tc>
      </w:tr>
      <w:tr w14:paraId="07A412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bottom w:val="single" w:color="auto" w:sz="6" w:space="0"/>
              <w:right w:val="single" w:color="auto" w:sz="6" w:space="0"/>
            </w:tcBorders>
            <w:shd w:val="clear" w:color="auto" w:fill="auto"/>
            <w:vAlign w:val="center"/>
          </w:tcPr>
          <w:p w14:paraId="11731298">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节</w:t>
            </w:r>
          </w:p>
          <w:p w14:paraId="5D48D50B">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第1.7.4.1</w:t>
            </w:r>
            <w:r>
              <w:rPr>
                <w:rFonts w:hint="eastAsia" w:ascii="宋体" w:hAnsi="宋体" w:eastAsia="宋体" w:cs="宋体"/>
                <w:color w:val="auto"/>
                <w:sz w:val="21"/>
                <w:szCs w:val="21"/>
                <w:highlight w:val="none"/>
              </w:rPr>
              <w:t>项</w:t>
            </w:r>
          </w:p>
        </w:tc>
        <w:tc>
          <w:tcPr>
            <w:tcW w:w="1742" w:type="dxa"/>
            <w:tcBorders>
              <w:top w:val="single" w:color="auto" w:sz="6" w:space="0"/>
              <w:left w:val="single" w:color="auto" w:sz="6" w:space="0"/>
              <w:bottom w:val="single" w:color="auto" w:sz="6" w:space="0"/>
              <w:right w:val="single" w:color="auto" w:sz="6" w:space="0"/>
            </w:tcBorders>
            <w:vAlign w:val="center"/>
          </w:tcPr>
          <w:p w14:paraId="1C3CD863">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服务涉及货物的交付期限</w:t>
            </w:r>
          </w:p>
        </w:tc>
        <w:tc>
          <w:tcPr>
            <w:tcW w:w="5171" w:type="dxa"/>
            <w:tcBorders>
              <w:top w:val="single" w:color="auto" w:sz="6" w:space="0"/>
              <w:left w:val="single" w:color="auto" w:sz="6" w:space="0"/>
              <w:bottom w:val="single" w:color="auto" w:sz="6" w:space="0"/>
              <w:right w:val="double" w:color="auto" w:sz="4" w:space="0"/>
            </w:tcBorders>
            <w:vAlign w:val="center"/>
          </w:tcPr>
          <w:p w14:paraId="2081138C">
            <w:pPr>
              <w:adjustRightInd/>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w:t>
            </w:r>
          </w:p>
        </w:tc>
      </w:tr>
      <w:tr w14:paraId="53341E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shd w:val="clear" w:color="auto" w:fill="auto"/>
            <w:vAlign w:val="center"/>
          </w:tcPr>
          <w:p w14:paraId="0E80BF2A">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节</w:t>
            </w:r>
          </w:p>
          <w:p w14:paraId="3A1B7440">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第1.7.4.2</w:t>
            </w:r>
            <w:r>
              <w:rPr>
                <w:rFonts w:hint="eastAsia" w:ascii="宋体" w:hAnsi="宋体" w:eastAsia="宋体" w:cs="宋体"/>
                <w:color w:val="auto"/>
                <w:sz w:val="21"/>
                <w:szCs w:val="21"/>
                <w:highlight w:val="none"/>
              </w:rPr>
              <w:t>项</w:t>
            </w:r>
          </w:p>
        </w:tc>
        <w:tc>
          <w:tcPr>
            <w:tcW w:w="1742" w:type="dxa"/>
            <w:tcBorders>
              <w:top w:val="single" w:color="auto" w:sz="6" w:space="0"/>
              <w:left w:val="single" w:color="auto" w:sz="6" w:space="0"/>
              <w:bottom w:val="single" w:color="auto" w:sz="6" w:space="0"/>
              <w:right w:val="single" w:color="auto" w:sz="6" w:space="0"/>
            </w:tcBorders>
            <w:vAlign w:val="center"/>
          </w:tcPr>
          <w:p w14:paraId="73A80DBC">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服务涉及货物的交付地点</w:t>
            </w:r>
          </w:p>
        </w:tc>
        <w:tc>
          <w:tcPr>
            <w:tcW w:w="5171" w:type="dxa"/>
            <w:tcBorders>
              <w:top w:val="single" w:color="auto" w:sz="6" w:space="0"/>
              <w:left w:val="single" w:color="auto" w:sz="6" w:space="0"/>
              <w:bottom w:val="single" w:color="auto" w:sz="6" w:space="0"/>
              <w:right w:val="double" w:color="auto" w:sz="4" w:space="0"/>
            </w:tcBorders>
            <w:vAlign w:val="center"/>
          </w:tcPr>
          <w:p w14:paraId="7B451470">
            <w:pPr>
              <w:autoSpaceDE w:val="0"/>
              <w:autoSpaceDN w:val="0"/>
              <w:snapToGri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无</w:t>
            </w:r>
          </w:p>
        </w:tc>
      </w:tr>
      <w:tr w14:paraId="06EEEB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shd w:val="clear" w:color="auto" w:fill="auto"/>
            <w:vAlign w:val="center"/>
          </w:tcPr>
          <w:p w14:paraId="1D006CC8">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节</w:t>
            </w:r>
          </w:p>
          <w:p w14:paraId="43EE6F44">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第1.7.4.3</w:t>
            </w:r>
            <w:r>
              <w:rPr>
                <w:rFonts w:hint="eastAsia" w:ascii="宋体" w:hAnsi="宋体" w:eastAsia="宋体" w:cs="宋体"/>
                <w:color w:val="auto"/>
                <w:sz w:val="21"/>
                <w:szCs w:val="21"/>
                <w:highlight w:val="none"/>
              </w:rPr>
              <w:t>项</w:t>
            </w:r>
          </w:p>
        </w:tc>
        <w:tc>
          <w:tcPr>
            <w:tcW w:w="1742" w:type="dxa"/>
            <w:tcBorders>
              <w:top w:val="single" w:color="auto" w:sz="6" w:space="0"/>
              <w:left w:val="single" w:color="auto" w:sz="6" w:space="0"/>
              <w:bottom w:val="single" w:color="auto" w:sz="6" w:space="0"/>
              <w:right w:val="single" w:color="auto" w:sz="6" w:space="0"/>
            </w:tcBorders>
            <w:vAlign w:val="center"/>
          </w:tcPr>
          <w:p w14:paraId="457B360F">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服务涉及货物的交付方式</w:t>
            </w:r>
          </w:p>
        </w:tc>
        <w:tc>
          <w:tcPr>
            <w:tcW w:w="5171" w:type="dxa"/>
            <w:tcBorders>
              <w:top w:val="single" w:color="auto" w:sz="6" w:space="0"/>
              <w:left w:val="single" w:color="auto" w:sz="6" w:space="0"/>
              <w:bottom w:val="single" w:color="auto" w:sz="6" w:space="0"/>
              <w:right w:val="double" w:color="auto" w:sz="4" w:space="0"/>
            </w:tcBorders>
            <w:vAlign w:val="center"/>
          </w:tcPr>
          <w:p w14:paraId="1F2FB237">
            <w:pPr>
              <w:snapToGrid w:val="0"/>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w:t>
            </w:r>
          </w:p>
        </w:tc>
      </w:tr>
      <w:tr w14:paraId="6D586A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shd w:val="clear" w:color="auto" w:fill="auto"/>
            <w:vAlign w:val="center"/>
          </w:tcPr>
          <w:p w14:paraId="4F7CF9D7">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节</w:t>
            </w:r>
          </w:p>
          <w:p w14:paraId="169C307E">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第1.8.7</w:t>
            </w:r>
            <w:r>
              <w:rPr>
                <w:rFonts w:hint="eastAsia" w:ascii="宋体" w:hAnsi="宋体" w:eastAsia="宋体" w:cs="宋体"/>
                <w:color w:val="auto"/>
                <w:sz w:val="21"/>
                <w:szCs w:val="21"/>
                <w:highlight w:val="none"/>
              </w:rPr>
              <w:t>项</w:t>
            </w:r>
          </w:p>
        </w:tc>
        <w:tc>
          <w:tcPr>
            <w:tcW w:w="1742" w:type="dxa"/>
            <w:tcBorders>
              <w:top w:val="single" w:color="auto" w:sz="6" w:space="0"/>
              <w:left w:val="single" w:color="auto" w:sz="6" w:space="0"/>
              <w:bottom w:val="single" w:color="auto" w:sz="6" w:space="0"/>
              <w:right w:val="single" w:color="auto" w:sz="6" w:space="0"/>
            </w:tcBorders>
            <w:vAlign w:val="center"/>
          </w:tcPr>
          <w:p w14:paraId="1F259513">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违约责任</w:t>
            </w:r>
          </w:p>
        </w:tc>
        <w:tc>
          <w:tcPr>
            <w:tcW w:w="5171" w:type="dxa"/>
            <w:tcBorders>
              <w:top w:val="single" w:color="auto" w:sz="6" w:space="0"/>
              <w:left w:val="single" w:color="auto" w:sz="6" w:space="0"/>
              <w:bottom w:val="single" w:color="auto" w:sz="6" w:space="0"/>
              <w:right w:val="double" w:color="auto" w:sz="4" w:space="0"/>
            </w:tcBorders>
            <w:vAlign w:val="center"/>
          </w:tcPr>
          <w:p w14:paraId="4F0FCFB1">
            <w:pPr>
              <w:snapToGrid w:val="0"/>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按采购文件要求执行。</w:t>
            </w:r>
          </w:p>
        </w:tc>
      </w:tr>
      <w:tr w14:paraId="01DB6F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shd w:val="clear" w:color="auto" w:fill="auto"/>
            <w:vAlign w:val="center"/>
          </w:tcPr>
          <w:p w14:paraId="7DDCB308">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节</w:t>
            </w:r>
          </w:p>
          <w:p w14:paraId="3924BD27">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第1.9.1</w:t>
            </w:r>
            <w:r>
              <w:rPr>
                <w:rFonts w:hint="eastAsia" w:ascii="宋体" w:hAnsi="宋体" w:eastAsia="宋体" w:cs="宋体"/>
                <w:color w:val="auto"/>
                <w:sz w:val="21"/>
                <w:szCs w:val="21"/>
                <w:highlight w:val="none"/>
              </w:rPr>
              <w:t>项</w:t>
            </w:r>
          </w:p>
        </w:tc>
        <w:tc>
          <w:tcPr>
            <w:tcW w:w="1742" w:type="dxa"/>
            <w:vMerge w:val="restart"/>
            <w:tcBorders>
              <w:top w:val="single" w:color="auto" w:sz="6" w:space="0"/>
              <w:left w:val="single" w:color="auto" w:sz="6" w:space="0"/>
              <w:right w:val="single" w:color="auto" w:sz="6" w:space="0"/>
            </w:tcBorders>
            <w:vAlign w:val="center"/>
          </w:tcPr>
          <w:p w14:paraId="7021A1BC">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解决争议的方法</w:t>
            </w:r>
          </w:p>
        </w:tc>
        <w:tc>
          <w:tcPr>
            <w:tcW w:w="5171" w:type="dxa"/>
            <w:tcBorders>
              <w:top w:val="single" w:color="auto" w:sz="6" w:space="0"/>
              <w:left w:val="single" w:color="auto" w:sz="6" w:space="0"/>
              <w:bottom w:val="single" w:color="auto" w:sz="6" w:space="0"/>
              <w:right w:val="double" w:color="auto" w:sz="4" w:space="0"/>
            </w:tcBorders>
            <w:vAlign w:val="center"/>
          </w:tcPr>
          <w:p w14:paraId="541A2D2F">
            <w:pPr>
              <w:snapToGrid w:val="0"/>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iCs/>
                <w:color w:val="auto"/>
                <w:sz w:val="21"/>
                <w:szCs w:val="21"/>
                <w:highlight w:val="none"/>
              </w:rPr>
              <w:t>向</w:t>
            </w:r>
            <w:r>
              <w:rPr>
                <w:rFonts w:hint="eastAsia" w:ascii="宋体" w:hAnsi="宋体" w:eastAsia="宋体" w:cs="宋体"/>
                <w:iCs/>
                <w:color w:val="auto"/>
                <w:sz w:val="21"/>
                <w:szCs w:val="21"/>
                <w:highlight w:val="none"/>
                <w:u w:val="single"/>
              </w:rPr>
              <w:t xml:space="preserve"> </w:t>
            </w:r>
            <w:r>
              <w:rPr>
                <w:rFonts w:hint="eastAsia" w:ascii="宋体" w:hAnsi="宋体" w:eastAsia="宋体" w:cs="宋体"/>
                <w:iCs/>
                <w:color w:val="auto"/>
                <w:sz w:val="21"/>
                <w:szCs w:val="21"/>
                <w:highlight w:val="none"/>
                <w:u w:val="single"/>
                <w:lang w:val="en-US" w:eastAsia="zh-CN"/>
              </w:rPr>
              <w:t xml:space="preserve">       </w:t>
            </w:r>
            <w:r>
              <w:rPr>
                <w:rFonts w:hint="eastAsia" w:ascii="宋体" w:hAnsi="宋体" w:eastAsia="宋体" w:cs="宋体"/>
                <w:iCs/>
                <w:color w:val="auto"/>
                <w:sz w:val="21"/>
                <w:szCs w:val="21"/>
                <w:highlight w:val="none"/>
              </w:rPr>
              <w:t>仲裁委员会申请仲裁，仲裁地点为</w:t>
            </w:r>
            <w:r>
              <w:rPr>
                <w:rFonts w:hint="eastAsia" w:ascii="宋体" w:hAnsi="宋体" w:eastAsia="宋体" w:cs="宋体"/>
                <w:iCs/>
                <w:color w:val="auto"/>
                <w:sz w:val="21"/>
                <w:szCs w:val="21"/>
                <w:highlight w:val="none"/>
                <w:u w:val="single"/>
              </w:rPr>
              <w:t xml:space="preserve"> </w:t>
            </w:r>
            <w:r>
              <w:rPr>
                <w:rFonts w:hint="eastAsia" w:ascii="宋体" w:hAnsi="宋体" w:eastAsia="宋体" w:cs="宋体"/>
                <w:iCs/>
                <w:color w:val="auto"/>
                <w:sz w:val="21"/>
                <w:szCs w:val="21"/>
                <w:highlight w:val="none"/>
                <w:u w:val="single"/>
                <w:lang w:val="en-US" w:eastAsia="zh-CN"/>
              </w:rPr>
              <w:t xml:space="preserve">       </w:t>
            </w:r>
            <w:r>
              <w:rPr>
                <w:rFonts w:hint="eastAsia" w:ascii="宋体" w:hAnsi="宋体" w:eastAsia="宋体" w:cs="宋体"/>
                <w:iCs/>
                <w:color w:val="auto"/>
                <w:sz w:val="21"/>
                <w:szCs w:val="21"/>
                <w:highlight w:val="none"/>
                <w:u w:val="none"/>
                <w:lang w:val="en-US" w:eastAsia="zh-CN"/>
              </w:rPr>
              <w:t xml:space="preserve">。    </w:t>
            </w:r>
          </w:p>
        </w:tc>
      </w:tr>
      <w:tr w14:paraId="5E713F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shd w:val="clear" w:color="auto" w:fill="auto"/>
            <w:vAlign w:val="center"/>
          </w:tcPr>
          <w:p w14:paraId="00006732">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节</w:t>
            </w:r>
          </w:p>
          <w:p w14:paraId="689F00FD">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第1.9.2</w:t>
            </w:r>
            <w:r>
              <w:rPr>
                <w:rFonts w:hint="eastAsia" w:ascii="宋体" w:hAnsi="宋体" w:eastAsia="宋体" w:cs="宋体"/>
                <w:color w:val="auto"/>
                <w:sz w:val="21"/>
                <w:szCs w:val="21"/>
                <w:highlight w:val="none"/>
              </w:rPr>
              <w:t>项</w:t>
            </w:r>
          </w:p>
        </w:tc>
        <w:tc>
          <w:tcPr>
            <w:tcW w:w="1742" w:type="dxa"/>
            <w:vMerge w:val="continue"/>
            <w:tcBorders>
              <w:left w:val="single" w:color="auto" w:sz="6" w:space="0"/>
              <w:bottom w:val="single" w:color="auto" w:sz="6" w:space="0"/>
              <w:right w:val="single" w:color="auto" w:sz="6" w:space="0"/>
            </w:tcBorders>
            <w:vAlign w:val="center"/>
          </w:tcPr>
          <w:p w14:paraId="34181648">
            <w:pPr>
              <w:snapToGrid w:val="0"/>
              <w:spacing w:line="360" w:lineRule="auto"/>
              <w:jc w:val="center"/>
              <w:rPr>
                <w:rFonts w:hint="eastAsia" w:ascii="宋体" w:hAnsi="宋体" w:eastAsia="宋体" w:cs="宋体"/>
                <w:color w:val="auto"/>
                <w:sz w:val="21"/>
                <w:szCs w:val="21"/>
                <w:highlight w:val="none"/>
                <w:lang w:val="en-US" w:eastAsia="zh-CN"/>
              </w:rPr>
            </w:pPr>
          </w:p>
        </w:tc>
        <w:tc>
          <w:tcPr>
            <w:tcW w:w="5171" w:type="dxa"/>
            <w:tcBorders>
              <w:top w:val="single" w:color="auto" w:sz="6" w:space="0"/>
              <w:left w:val="single" w:color="auto" w:sz="6" w:space="0"/>
              <w:bottom w:val="single" w:color="auto" w:sz="6" w:space="0"/>
              <w:right w:val="double" w:color="auto" w:sz="4" w:space="0"/>
            </w:tcBorders>
            <w:vAlign w:val="center"/>
          </w:tcPr>
          <w:p w14:paraId="7FF10BFC">
            <w:pPr>
              <w:snapToGrid w:val="0"/>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iCs/>
                <w:color w:val="auto"/>
                <w:sz w:val="21"/>
                <w:szCs w:val="21"/>
                <w:highlight w:val="none"/>
              </w:rPr>
              <w:t>向</w:t>
            </w:r>
            <w:r>
              <w:rPr>
                <w:rFonts w:hint="eastAsia" w:ascii="宋体" w:hAnsi="宋体" w:eastAsia="宋体" w:cs="宋体"/>
                <w:iCs/>
                <w:color w:val="auto"/>
                <w:sz w:val="21"/>
                <w:szCs w:val="21"/>
                <w:highlight w:val="none"/>
                <w:u w:val="single"/>
              </w:rPr>
              <w:t xml:space="preserve"> </w:t>
            </w:r>
            <w:r>
              <w:rPr>
                <w:rFonts w:hint="eastAsia" w:ascii="宋体" w:hAnsi="宋体" w:eastAsia="宋体" w:cs="宋体"/>
                <w:iCs/>
                <w:color w:val="auto"/>
                <w:sz w:val="21"/>
                <w:szCs w:val="21"/>
                <w:highlight w:val="none"/>
                <w:u w:val="single"/>
                <w:lang w:val="en-US" w:eastAsia="zh-CN"/>
              </w:rPr>
              <w:t xml:space="preserve">              </w:t>
            </w:r>
            <w:r>
              <w:rPr>
                <w:rFonts w:hint="eastAsia" w:ascii="宋体" w:hAnsi="宋体" w:eastAsia="宋体" w:cs="宋体"/>
                <w:iCs/>
                <w:color w:val="auto"/>
                <w:sz w:val="21"/>
                <w:szCs w:val="21"/>
                <w:highlight w:val="none"/>
              </w:rPr>
              <w:t>人民法院起诉</w:t>
            </w:r>
            <w:r>
              <w:rPr>
                <w:rFonts w:hint="eastAsia" w:ascii="宋体" w:hAnsi="宋体" w:eastAsia="宋体" w:cs="宋体"/>
                <w:iCs/>
                <w:color w:val="auto"/>
                <w:sz w:val="21"/>
                <w:szCs w:val="21"/>
                <w:highlight w:val="none"/>
                <w:lang w:eastAsia="zh-CN"/>
              </w:rPr>
              <w:t>。</w:t>
            </w:r>
          </w:p>
        </w:tc>
      </w:tr>
      <w:tr w14:paraId="2A036A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shd w:val="clear" w:color="auto" w:fill="auto"/>
            <w:vAlign w:val="center"/>
          </w:tcPr>
          <w:p w14:paraId="7A13F9F5">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节</w:t>
            </w:r>
          </w:p>
          <w:p w14:paraId="7AAD543B">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第2.3.2</w:t>
            </w:r>
            <w:r>
              <w:rPr>
                <w:rFonts w:hint="eastAsia" w:ascii="宋体" w:hAnsi="宋体" w:eastAsia="宋体" w:cs="宋体"/>
                <w:color w:val="auto"/>
                <w:sz w:val="21"/>
                <w:szCs w:val="21"/>
                <w:highlight w:val="none"/>
              </w:rPr>
              <w:t>项</w:t>
            </w:r>
          </w:p>
        </w:tc>
        <w:tc>
          <w:tcPr>
            <w:tcW w:w="1742" w:type="dxa"/>
            <w:tcBorders>
              <w:top w:val="single" w:color="auto" w:sz="6" w:space="0"/>
              <w:left w:val="single" w:color="auto" w:sz="6" w:space="0"/>
              <w:bottom w:val="single" w:color="auto" w:sz="6" w:space="0"/>
              <w:right w:val="single" w:color="auto" w:sz="6" w:space="0"/>
            </w:tcBorders>
            <w:vAlign w:val="center"/>
          </w:tcPr>
          <w:p w14:paraId="0969A267">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合同涉及技术成果的归属和收益的分成办法</w:t>
            </w:r>
          </w:p>
        </w:tc>
        <w:tc>
          <w:tcPr>
            <w:tcW w:w="5171" w:type="dxa"/>
            <w:tcBorders>
              <w:top w:val="single" w:color="auto" w:sz="6" w:space="0"/>
              <w:left w:val="single" w:color="auto" w:sz="6" w:space="0"/>
              <w:bottom w:val="single" w:color="auto" w:sz="6" w:space="0"/>
              <w:right w:val="double" w:color="auto" w:sz="4" w:space="0"/>
            </w:tcBorders>
            <w:vAlign w:val="center"/>
          </w:tcPr>
          <w:p w14:paraId="47D7DD62">
            <w:pPr>
              <w:snapToGrid w:val="0"/>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w:t>
            </w:r>
          </w:p>
        </w:tc>
      </w:tr>
      <w:tr w14:paraId="6EDF07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shd w:val="clear" w:color="auto" w:fill="auto"/>
            <w:vAlign w:val="center"/>
          </w:tcPr>
          <w:p w14:paraId="3A400637">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节</w:t>
            </w:r>
          </w:p>
          <w:p w14:paraId="12D1E6F6">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第2.5</w:t>
            </w:r>
            <w:r>
              <w:rPr>
                <w:rFonts w:hint="eastAsia" w:ascii="宋体" w:hAnsi="宋体" w:eastAsia="宋体" w:cs="宋体"/>
                <w:color w:val="auto"/>
                <w:sz w:val="21"/>
                <w:szCs w:val="21"/>
                <w:highlight w:val="none"/>
              </w:rPr>
              <w:t>项</w:t>
            </w:r>
          </w:p>
        </w:tc>
        <w:tc>
          <w:tcPr>
            <w:tcW w:w="1742" w:type="dxa"/>
            <w:tcBorders>
              <w:top w:val="single" w:color="auto" w:sz="6" w:space="0"/>
              <w:left w:val="single" w:color="auto" w:sz="6" w:space="0"/>
              <w:bottom w:val="single" w:color="auto" w:sz="6" w:space="0"/>
              <w:right w:val="single" w:color="auto" w:sz="6" w:space="0"/>
            </w:tcBorders>
            <w:vAlign w:val="center"/>
          </w:tcPr>
          <w:p w14:paraId="43E83122">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结算方式和付款条件</w:t>
            </w:r>
          </w:p>
        </w:tc>
        <w:tc>
          <w:tcPr>
            <w:tcW w:w="5171" w:type="dxa"/>
            <w:tcBorders>
              <w:top w:val="single" w:color="auto" w:sz="6" w:space="0"/>
              <w:left w:val="single" w:color="auto" w:sz="6" w:space="0"/>
              <w:bottom w:val="single" w:color="auto" w:sz="6" w:space="0"/>
              <w:right w:val="double" w:color="auto" w:sz="4" w:space="0"/>
            </w:tcBorders>
            <w:vAlign w:val="center"/>
          </w:tcPr>
          <w:p w14:paraId="3B56988E">
            <w:pPr>
              <w:snapToGri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按采购文件要求执行。</w:t>
            </w:r>
          </w:p>
        </w:tc>
      </w:tr>
      <w:tr w14:paraId="26C9D6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shd w:val="clear" w:color="auto" w:fill="auto"/>
            <w:vAlign w:val="center"/>
          </w:tcPr>
          <w:p w14:paraId="70C8BE83">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节</w:t>
            </w:r>
          </w:p>
          <w:p w14:paraId="45B9DA8C">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第2.11.3</w:t>
            </w:r>
            <w:r>
              <w:rPr>
                <w:rFonts w:hint="eastAsia" w:ascii="宋体" w:hAnsi="宋体" w:eastAsia="宋体" w:cs="宋体"/>
                <w:color w:val="auto"/>
                <w:sz w:val="21"/>
                <w:szCs w:val="21"/>
                <w:highlight w:val="none"/>
              </w:rPr>
              <w:t>项</w:t>
            </w:r>
          </w:p>
        </w:tc>
        <w:tc>
          <w:tcPr>
            <w:tcW w:w="1742" w:type="dxa"/>
            <w:tcBorders>
              <w:top w:val="single" w:color="auto" w:sz="6" w:space="0"/>
              <w:left w:val="single" w:color="auto" w:sz="6" w:space="0"/>
              <w:bottom w:val="single" w:color="auto" w:sz="6" w:space="0"/>
              <w:right w:val="single" w:color="auto" w:sz="6" w:space="0"/>
            </w:tcBorders>
            <w:vAlign w:val="center"/>
          </w:tcPr>
          <w:p w14:paraId="4BCEBAB7">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变更内容</w:t>
            </w:r>
          </w:p>
        </w:tc>
        <w:tc>
          <w:tcPr>
            <w:tcW w:w="5171" w:type="dxa"/>
            <w:tcBorders>
              <w:top w:val="single" w:color="auto" w:sz="6" w:space="0"/>
              <w:left w:val="single" w:color="auto" w:sz="6" w:space="0"/>
              <w:bottom w:val="single" w:color="auto" w:sz="6" w:space="0"/>
              <w:right w:val="double" w:color="auto" w:sz="4" w:space="0"/>
            </w:tcBorders>
            <w:vAlign w:val="center"/>
          </w:tcPr>
          <w:p w14:paraId="6E5EF2A0">
            <w:pPr>
              <w:snapToGrid w:val="0"/>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因不可抗力致使合同有变更必要的，可双方友好协商，但不得变更采购文件实质性要求内容。</w:t>
            </w:r>
          </w:p>
        </w:tc>
      </w:tr>
      <w:tr w14:paraId="13BDD3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shd w:val="clear" w:color="auto" w:fill="auto"/>
            <w:vAlign w:val="center"/>
          </w:tcPr>
          <w:p w14:paraId="10E04F96">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节</w:t>
            </w:r>
          </w:p>
          <w:p w14:paraId="0F900B21">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第2.11.4</w:t>
            </w:r>
            <w:r>
              <w:rPr>
                <w:rFonts w:hint="eastAsia" w:ascii="宋体" w:hAnsi="宋体" w:eastAsia="宋体" w:cs="宋体"/>
                <w:color w:val="auto"/>
                <w:sz w:val="21"/>
                <w:szCs w:val="21"/>
                <w:highlight w:val="none"/>
              </w:rPr>
              <w:t>项</w:t>
            </w:r>
          </w:p>
        </w:tc>
        <w:tc>
          <w:tcPr>
            <w:tcW w:w="1742" w:type="dxa"/>
            <w:tcBorders>
              <w:top w:val="single" w:color="auto" w:sz="6" w:space="0"/>
              <w:left w:val="single" w:color="auto" w:sz="6" w:space="0"/>
              <w:bottom w:val="single" w:color="auto" w:sz="6" w:space="0"/>
              <w:right w:val="single" w:color="auto" w:sz="6" w:space="0"/>
            </w:tcBorders>
            <w:vAlign w:val="center"/>
          </w:tcPr>
          <w:p w14:paraId="7FA4E759">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不可抗力因素</w:t>
            </w:r>
          </w:p>
        </w:tc>
        <w:tc>
          <w:tcPr>
            <w:tcW w:w="5171" w:type="dxa"/>
            <w:tcBorders>
              <w:top w:val="single" w:color="auto" w:sz="6" w:space="0"/>
              <w:left w:val="single" w:color="auto" w:sz="6" w:space="0"/>
              <w:bottom w:val="single" w:color="auto" w:sz="6" w:space="0"/>
              <w:right w:val="double" w:color="auto" w:sz="4" w:space="0"/>
            </w:tcBorders>
            <w:vAlign w:val="center"/>
          </w:tcPr>
          <w:p w14:paraId="2B188B4A">
            <w:pPr>
              <w:pStyle w:val="32"/>
              <w:keepNext w:val="0"/>
              <w:keepLines w:val="0"/>
              <w:pageBreakBefore w:val="0"/>
              <w:widowControl w:val="0"/>
              <w:kinsoku/>
              <w:wordWrap w:val="0"/>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受不可抗力影响的一方在不可抗力发生后，应在</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时间内以书面形式通知对方当事人，并在</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时间内，将有关部门出具的证明文件送达对方当事人。</w:t>
            </w:r>
          </w:p>
        </w:tc>
      </w:tr>
      <w:tr w14:paraId="55CA5A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shd w:val="clear" w:color="auto" w:fill="auto"/>
            <w:vAlign w:val="center"/>
          </w:tcPr>
          <w:p w14:paraId="360B4265">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节</w:t>
            </w:r>
          </w:p>
          <w:p w14:paraId="1532F7CA">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第2.15.1</w:t>
            </w:r>
            <w:r>
              <w:rPr>
                <w:rFonts w:hint="eastAsia" w:ascii="宋体" w:hAnsi="宋体" w:eastAsia="宋体" w:cs="宋体"/>
                <w:color w:val="auto"/>
                <w:sz w:val="21"/>
                <w:szCs w:val="21"/>
                <w:highlight w:val="none"/>
              </w:rPr>
              <w:t>项</w:t>
            </w:r>
          </w:p>
        </w:tc>
        <w:tc>
          <w:tcPr>
            <w:tcW w:w="1742" w:type="dxa"/>
            <w:tcBorders>
              <w:top w:val="single" w:color="auto" w:sz="6" w:space="0"/>
              <w:left w:val="single" w:color="auto" w:sz="6" w:space="0"/>
              <w:bottom w:val="single" w:color="auto" w:sz="6" w:space="0"/>
              <w:right w:val="single" w:color="auto" w:sz="6" w:space="0"/>
            </w:tcBorders>
            <w:vAlign w:val="center"/>
          </w:tcPr>
          <w:p w14:paraId="50B7ECC8">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提交服务报告</w:t>
            </w:r>
          </w:p>
        </w:tc>
        <w:tc>
          <w:tcPr>
            <w:tcW w:w="5171" w:type="dxa"/>
            <w:tcBorders>
              <w:top w:val="single" w:color="auto" w:sz="6" w:space="0"/>
              <w:left w:val="single" w:color="auto" w:sz="6" w:space="0"/>
              <w:bottom w:val="single" w:color="auto" w:sz="6" w:space="0"/>
              <w:right w:val="double" w:color="auto" w:sz="4" w:space="0"/>
            </w:tcBorders>
            <w:vAlign w:val="center"/>
          </w:tcPr>
          <w:p w14:paraId="4DE8293F">
            <w:pPr>
              <w:snapToGrid w:val="0"/>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乙方按照约定，定期提交服务报告，甲方按照约定进行定期验收</w:t>
            </w:r>
            <w:r>
              <w:rPr>
                <w:rFonts w:hint="eastAsia" w:ascii="宋体" w:hAnsi="宋体" w:eastAsia="宋体" w:cs="宋体"/>
                <w:color w:val="auto"/>
                <w:sz w:val="21"/>
                <w:szCs w:val="21"/>
                <w:highlight w:val="none"/>
                <w:lang w:eastAsia="zh-CN"/>
              </w:rPr>
              <w:t>。</w:t>
            </w:r>
          </w:p>
        </w:tc>
      </w:tr>
      <w:tr w14:paraId="77A19F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shd w:val="clear" w:color="auto" w:fill="auto"/>
            <w:vAlign w:val="center"/>
          </w:tcPr>
          <w:p w14:paraId="47E221E0">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节</w:t>
            </w:r>
          </w:p>
          <w:p w14:paraId="24ED13C7">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第2.15.3</w:t>
            </w:r>
            <w:r>
              <w:rPr>
                <w:rFonts w:hint="eastAsia" w:ascii="宋体" w:hAnsi="宋体" w:eastAsia="宋体" w:cs="宋体"/>
                <w:color w:val="auto"/>
                <w:sz w:val="21"/>
                <w:szCs w:val="21"/>
                <w:highlight w:val="none"/>
              </w:rPr>
              <w:t>项</w:t>
            </w:r>
          </w:p>
        </w:tc>
        <w:tc>
          <w:tcPr>
            <w:tcW w:w="1742" w:type="dxa"/>
            <w:tcBorders>
              <w:top w:val="single" w:color="auto" w:sz="6" w:space="0"/>
              <w:left w:val="single" w:color="auto" w:sz="6" w:space="0"/>
              <w:bottom w:val="single" w:color="auto" w:sz="6" w:space="0"/>
              <w:right w:val="single" w:color="auto" w:sz="6" w:space="0"/>
            </w:tcBorders>
            <w:vAlign w:val="center"/>
          </w:tcPr>
          <w:p w14:paraId="02A84571">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检验和验收标准、程序等具体内容以及前述验收书</w:t>
            </w:r>
          </w:p>
        </w:tc>
        <w:tc>
          <w:tcPr>
            <w:tcW w:w="5171" w:type="dxa"/>
            <w:tcBorders>
              <w:top w:val="single" w:color="auto" w:sz="6" w:space="0"/>
              <w:left w:val="single" w:color="auto" w:sz="6" w:space="0"/>
              <w:bottom w:val="single" w:color="auto" w:sz="6" w:space="0"/>
              <w:right w:val="double" w:color="auto" w:sz="4" w:space="0"/>
            </w:tcBorders>
            <w:vAlign w:val="center"/>
          </w:tcPr>
          <w:p w14:paraId="5433B9D2">
            <w:pPr>
              <w:snapToGrid w:val="0"/>
              <w:spacing w:line="360" w:lineRule="auto"/>
              <w:jc w:val="both"/>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none"/>
                <w:lang w:val="en-US" w:eastAsia="zh-CN"/>
              </w:rPr>
              <w:t>按采购文件要求及响应文件承诺内容执行。</w:t>
            </w:r>
          </w:p>
        </w:tc>
      </w:tr>
      <w:tr w14:paraId="0B724E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9" w:hRule="atLeast"/>
        </w:trPr>
        <w:tc>
          <w:tcPr>
            <w:tcW w:w="1607" w:type="dxa"/>
            <w:tcBorders>
              <w:top w:val="single" w:color="auto" w:sz="6" w:space="0"/>
              <w:left w:val="double" w:color="auto" w:sz="4" w:space="0"/>
              <w:right w:val="single" w:color="auto" w:sz="6" w:space="0"/>
            </w:tcBorders>
            <w:shd w:val="clear" w:color="auto" w:fill="auto"/>
            <w:vAlign w:val="center"/>
          </w:tcPr>
          <w:p w14:paraId="31711253">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节</w:t>
            </w:r>
          </w:p>
          <w:p w14:paraId="57F62788">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第2.19</w:t>
            </w:r>
            <w:r>
              <w:rPr>
                <w:rFonts w:hint="eastAsia" w:ascii="宋体" w:hAnsi="宋体" w:eastAsia="宋体" w:cs="宋体"/>
                <w:color w:val="auto"/>
                <w:sz w:val="21"/>
                <w:szCs w:val="21"/>
                <w:highlight w:val="none"/>
              </w:rPr>
              <w:t>项</w:t>
            </w:r>
          </w:p>
        </w:tc>
        <w:tc>
          <w:tcPr>
            <w:tcW w:w="1742" w:type="dxa"/>
            <w:tcBorders>
              <w:top w:val="single" w:color="auto" w:sz="6" w:space="0"/>
              <w:left w:val="single" w:color="auto" w:sz="6" w:space="0"/>
              <w:right w:val="single" w:color="auto" w:sz="6" w:space="0"/>
            </w:tcBorders>
            <w:vAlign w:val="center"/>
          </w:tcPr>
          <w:p w14:paraId="6C109D69">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合同份数</w:t>
            </w:r>
          </w:p>
        </w:tc>
        <w:tc>
          <w:tcPr>
            <w:tcW w:w="5171" w:type="dxa"/>
            <w:tcBorders>
              <w:top w:val="single" w:color="auto" w:sz="6" w:space="0"/>
              <w:left w:val="single" w:color="auto" w:sz="6" w:space="0"/>
              <w:bottom w:val="double" w:color="auto" w:sz="4" w:space="0"/>
              <w:right w:val="double" w:color="auto" w:sz="4" w:space="0"/>
            </w:tcBorders>
            <w:vAlign w:val="center"/>
          </w:tcPr>
          <w:p w14:paraId="2453E47B">
            <w:pPr>
              <w:snapToGrid w:val="0"/>
              <w:spacing w:line="360" w:lineRule="auto"/>
              <w:jc w:val="both"/>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val="en-US" w:eastAsia="zh-CN"/>
              </w:rPr>
              <w:t>代理机构壹份，</w:t>
            </w:r>
            <w:r>
              <w:rPr>
                <w:rFonts w:hint="eastAsia" w:ascii="宋体" w:hAnsi="宋体" w:eastAsia="宋体" w:cs="宋体"/>
                <w:color w:val="auto"/>
                <w:sz w:val="21"/>
                <w:szCs w:val="21"/>
                <w:highlight w:val="none"/>
              </w:rPr>
              <w:t>均具有同等法律效力。</w:t>
            </w:r>
          </w:p>
        </w:tc>
      </w:tr>
    </w:tbl>
    <w:p w14:paraId="0F5BBA42">
      <w:pPr>
        <w:spacing w:line="360" w:lineRule="auto"/>
        <w:ind w:left="-420" w:leftChars="-200" w:right="-420" w:rightChars="-200" w:firstLine="420" w:firstLineChars="200"/>
        <w:rPr>
          <w:rFonts w:hint="eastAsia" w:ascii="宋体" w:hAnsi="宋体" w:eastAsia="宋体" w:cs="宋体"/>
          <w:color w:val="auto"/>
          <w:highlight w:val="none"/>
        </w:rPr>
      </w:pPr>
    </w:p>
    <w:p w14:paraId="4C22ACC2">
      <w:pPr>
        <w:spacing w:line="360" w:lineRule="auto"/>
        <w:ind w:left="-420" w:leftChars="-200" w:right="-420" w:rightChars="-200" w:firstLine="480" w:firstLineChars="200"/>
        <w:rPr>
          <w:rFonts w:hint="eastAsia" w:ascii="宋体" w:hAnsi="宋体" w:eastAsia="宋体" w:cs="宋体"/>
          <w:color w:val="auto"/>
          <w:sz w:val="24"/>
          <w:highlight w:val="none"/>
        </w:rPr>
      </w:pPr>
    </w:p>
    <w:p w14:paraId="27BA45DA">
      <w:pPr>
        <w:numPr>
          <w:ilvl w:val="0"/>
          <w:numId w:val="0"/>
        </w:numPr>
        <w:tabs>
          <w:tab w:val="left" w:pos="432"/>
        </w:tabs>
        <w:ind w:leftChars="0"/>
        <w:outlineLvl w:val="9"/>
        <w:rPr>
          <w:rFonts w:hint="eastAsia" w:ascii="宋体" w:hAnsi="宋体" w:eastAsia="宋体" w:cs="宋体"/>
          <w:color w:val="auto"/>
          <w:sz w:val="24"/>
          <w:highlight w:val="none"/>
        </w:rPr>
      </w:pPr>
    </w:p>
    <w:p w14:paraId="6456930B">
      <w:pPr>
        <w:rPr>
          <w:rFonts w:hint="eastAsia" w:ascii="宋体" w:hAnsi="宋体" w:eastAsia="宋体" w:cs="宋体"/>
          <w:color w:val="auto"/>
          <w:highlight w:val="none"/>
        </w:rPr>
      </w:pPr>
    </w:p>
    <w:p w14:paraId="761C8A02">
      <w:pPr>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br w:type="page"/>
      </w:r>
    </w:p>
    <w:p w14:paraId="0E550C75">
      <w:pPr>
        <w:snapToGrid w:val="0"/>
        <w:spacing w:line="360" w:lineRule="auto"/>
        <w:jc w:val="center"/>
        <w:outlineLvl w:val="0"/>
        <w:rPr>
          <w:rFonts w:hint="eastAsia" w:ascii="宋体" w:hAnsi="宋体" w:eastAsia="宋体" w:cs="宋体"/>
          <w:b/>
          <w:color w:val="auto"/>
          <w:sz w:val="36"/>
          <w:szCs w:val="20"/>
          <w:highlight w:val="none"/>
        </w:rPr>
      </w:pPr>
      <w:bookmarkStart w:id="179" w:name="_Toc32697"/>
      <w:r>
        <w:rPr>
          <w:rFonts w:hint="eastAsia" w:ascii="宋体" w:hAnsi="宋体" w:eastAsia="宋体" w:cs="宋体"/>
          <w:b/>
          <w:color w:val="auto"/>
          <w:sz w:val="36"/>
          <w:szCs w:val="20"/>
          <w:highlight w:val="none"/>
        </w:rPr>
        <w:t>第七部分</w:t>
      </w:r>
      <w:bookmarkEnd w:id="63"/>
      <w:r>
        <w:rPr>
          <w:rFonts w:hint="eastAsia" w:ascii="宋体" w:hAnsi="宋体" w:eastAsia="宋体" w:cs="宋体"/>
          <w:b/>
          <w:color w:val="auto"/>
          <w:sz w:val="36"/>
          <w:szCs w:val="20"/>
          <w:highlight w:val="none"/>
        </w:rPr>
        <w:t xml:space="preserve">  </w:t>
      </w:r>
      <w:bookmarkEnd w:id="64"/>
      <w:r>
        <w:rPr>
          <w:rFonts w:hint="eastAsia" w:ascii="宋体" w:hAnsi="宋体" w:eastAsia="宋体" w:cs="宋体"/>
          <w:b/>
          <w:color w:val="auto"/>
          <w:sz w:val="36"/>
          <w:szCs w:val="20"/>
          <w:highlight w:val="none"/>
        </w:rPr>
        <w:t>应提交的有关格式范例</w:t>
      </w:r>
      <w:bookmarkEnd w:id="179"/>
    </w:p>
    <w:p w14:paraId="5E26643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供应商按照以下格式编制响应文件。</w:t>
      </w:r>
    </w:p>
    <w:p w14:paraId="6E198C21">
      <w:pPr>
        <w:spacing w:line="360" w:lineRule="auto"/>
        <w:jc w:val="center"/>
        <w:outlineLvl w:val="1"/>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lang w:val="en-US" w:eastAsia="zh-CN"/>
        </w:rPr>
        <w:t>报价</w:t>
      </w:r>
      <w:r>
        <w:rPr>
          <w:rFonts w:hint="eastAsia" w:ascii="宋体" w:hAnsi="宋体" w:eastAsia="宋体" w:cs="宋体"/>
          <w:b/>
          <w:color w:val="auto"/>
          <w:kern w:val="0"/>
          <w:sz w:val="36"/>
          <w:szCs w:val="36"/>
          <w:highlight w:val="none"/>
        </w:rPr>
        <w:t>文件部分</w:t>
      </w:r>
    </w:p>
    <w:p w14:paraId="0B0B4A24">
      <w:pPr>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目录</w:t>
      </w:r>
    </w:p>
    <w:p w14:paraId="09F93062">
      <w:pPr>
        <w:spacing w:line="360" w:lineRule="auto"/>
        <w:jc w:val="center"/>
        <w:rPr>
          <w:rFonts w:hint="eastAsia" w:ascii="宋体" w:hAnsi="宋体" w:eastAsia="宋体" w:cs="宋体"/>
          <w:b/>
          <w:color w:val="auto"/>
          <w:kern w:val="0"/>
          <w:sz w:val="36"/>
          <w:szCs w:val="36"/>
          <w:highlight w:val="none"/>
        </w:rPr>
      </w:pPr>
    </w:p>
    <w:p w14:paraId="53CB9D53">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报价表</w:t>
      </w:r>
      <w:r>
        <w:rPr>
          <w:rFonts w:hint="eastAsia" w:ascii="宋体" w:hAnsi="宋体" w:eastAsia="宋体" w:cs="宋体"/>
          <w:color w:val="auto"/>
          <w:sz w:val="24"/>
          <w:highlight w:val="none"/>
        </w:rPr>
        <w:t>…………………………………………………………………（页码）</w:t>
      </w:r>
    </w:p>
    <w:p w14:paraId="5ECAC834">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以上目录是编制供应商响应文件的基本格式要求，各供应商可根据自身情况进一步细化。</w:t>
      </w:r>
    </w:p>
    <w:p w14:paraId="1517D755">
      <w:pPr>
        <w:spacing w:line="360" w:lineRule="auto"/>
        <w:rPr>
          <w:rFonts w:hint="eastAsia" w:ascii="宋体" w:hAnsi="宋体" w:eastAsia="宋体" w:cs="宋体"/>
          <w:b/>
          <w:bCs/>
          <w:color w:val="auto"/>
          <w:sz w:val="24"/>
          <w:highlight w:val="none"/>
        </w:rPr>
      </w:pPr>
    </w:p>
    <w:p w14:paraId="4893BB2A">
      <w:pPr>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p>
    <w:p w14:paraId="71D56C9E">
      <w:pPr>
        <w:pStyle w:val="32"/>
        <w:spacing w:line="36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报价表</w:t>
      </w:r>
    </w:p>
    <w:p w14:paraId="7056EB8C">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482E645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7B8BBD99">
      <w:pPr>
        <w:spacing w:line="360" w:lineRule="auto"/>
        <w:jc w:val="righ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单位：元</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3590"/>
        <w:gridCol w:w="2301"/>
        <w:gridCol w:w="2301"/>
      </w:tblGrid>
      <w:tr w14:paraId="647E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012" w:type="dxa"/>
            <w:noWrap w:val="0"/>
            <w:vAlign w:val="center"/>
          </w:tcPr>
          <w:p w14:paraId="7F3C120E">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vertAlign w:val="baseline"/>
              </w:rPr>
            </w:pPr>
            <w:r>
              <w:rPr>
                <w:rFonts w:hint="eastAsia" w:ascii="宋体" w:hAnsi="宋体" w:eastAsia="宋体" w:cs="宋体"/>
                <w:b/>
                <w:bCs/>
                <w:color w:val="auto"/>
                <w:kern w:val="0"/>
                <w:sz w:val="21"/>
                <w:szCs w:val="21"/>
                <w:highlight w:val="none"/>
              </w:rPr>
              <w:t>项号</w:t>
            </w:r>
          </w:p>
        </w:tc>
        <w:tc>
          <w:tcPr>
            <w:tcW w:w="3590" w:type="dxa"/>
            <w:noWrap w:val="0"/>
            <w:vAlign w:val="center"/>
          </w:tcPr>
          <w:p w14:paraId="6ED26236">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vertAlign w:val="baseline"/>
              </w:rPr>
            </w:pPr>
            <w:r>
              <w:rPr>
                <w:rFonts w:hint="eastAsia" w:ascii="宋体" w:hAnsi="宋体" w:eastAsia="宋体" w:cs="宋体"/>
                <w:b/>
                <w:bCs/>
                <w:color w:val="auto"/>
                <w:kern w:val="0"/>
                <w:sz w:val="21"/>
                <w:szCs w:val="21"/>
                <w:highlight w:val="none"/>
                <w:lang w:val="en-US" w:eastAsia="zh-CN"/>
              </w:rPr>
              <w:t>标的</w:t>
            </w:r>
            <w:r>
              <w:rPr>
                <w:rFonts w:hint="eastAsia" w:ascii="宋体" w:hAnsi="宋体" w:eastAsia="宋体" w:cs="宋体"/>
                <w:b/>
                <w:bCs/>
                <w:color w:val="auto"/>
                <w:kern w:val="0"/>
                <w:sz w:val="21"/>
                <w:szCs w:val="21"/>
                <w:highlight w:val="none"/>
              </w:rPr>
              <w:t>名称</w:t>
            </w:r>
          </w:p>
        </w:tc>
        <w:tc>
          <w:tcPr>
            <w:tcW w:w="2301" w:type="dxa"/>
            <w:noWrap w:val="0"/>
            <w:vAlign w:val="center"/>
          </w:tcPr>
          <w:p w14:paraId="56AF732C">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vertAlign w:val="baseline"/>
              </w:rPr>
            </w:pPr>
            <w:r>
              <w:rPr>
                <w:rFonts w:hint="eastAsia" w:ascii="宋体" w:hAnsi="宋体" w:eastAsia="宋体" w:cs="宋体"/>
                <w:b/>
                <w:bCs/>
                <w:color w:val="auto"/>
                <w:kern w:val="0"/>
                <w:sz w:val="21"/>
                <w:szCs w:val="21"/>
                <w:highlight w:val="none"/>
                <w:lang w:val="en-US" w:eastAsia="zh-CN"/>
              </w:rPr>
              <w:t>整体下浮率（%）</w:t>
            </w:r>
          </w:p>
        </w:tc>
        <w:tc>
          <w:tcPr>
            <w:tcW w:w="2301" w:type="dxa"/>
            <w:noWrap w:val="0"/>
            <w:vAlign w:val="center"/>
          </w:tcPr>
          <w:p w14:paraId="17296E2A">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vertAlign w:val="baseline"/>
              </w:rPr>
            </w:pPr>
            <w:r>
              <w:rPr>
                <w:rFonts w:hint="eastAsia" w:ascii="宋体" w:hAnsi="宋体" w:eastAsia="宋体" w:cs="宋体"/>
                <w:b/>
                <w:bCs/>
                <w:color w:val="auto"/>
                <w:kern w:val="0"/>
                <w:sz w:val="21"/>
                <w:szCs w:val="21"/>
                <w:highlight w:val="none"/>
                <w:lang w:val="en-US" w:eastAsia="zh-CN"/>
              </w:rPr>
              <w:t>说明</w:t>
            </w:r>
          </w:p>
        </w:tc>
      </w:tr>
      <w:tr w14:paraId="56E77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012" w:type="dxa"/>
            <w:noWrap w:val="0"/>
            <w:vAlign w:val="center"/>
          </w:tcPr>
          <w:p w14:paraId="33F50447">
            <w:pPr>
              <w:keepNext w:val="0"/>
              <w:keepLines w:val="0"/>
              <w:pageBreakBefore w:val="0"/>
              <w:kinsoku/>
              <w:wordWrap/>
              <w:overflowPunct/>
              <w:topLinePunct w:val="0"/>
              <w:autoSpaceDE/>
              <w:autoSpaceDN/>
              <w:bidi w:val="0"/>
              <w:spacing w:line="400" w:lineRule="exact"/>
              <w:jc w:val="center"/>
              <w:textAlignment w:val="auto"/>
              <w:outlineLvl w:val="9"/>
              <w:rPr>
                <w:rFonts w:hint="eastAsia" w:ascii="宋体" w:hAnsi="宋体" w:eastAsia="宋体" w:cs="宋体"/>
                <w:color w:val="auto"/>
                <w:szCs w:val="21"/>
                <w:highlight w:val="none"/>
                <w:vertAlign w:val="baseline"/>
              </w:rPr>
            </w:pPr>
            <w:r>
              <w:rPr>
                <w:rFonts w:hint="eastAsia" w:ascii="宋体" w:hAnsi="宋体" w:eastAsia="宋体" w:cs="宋体"/>
                <w:color w:val="auto"/>
                <w:sz w:val="21"/>
                <w:szCs w:val="21"/>
                <w:highlight w:val="none"/>
                <w:lang w:val="en-US" w:eastAsia="zh-CN"/>
              </w:rPr>
              <w:t>1</w:t>
            </w:r>
          </w:p>
        </w:tc>
        <w:tc>
          <w:tcPr>
            <w:tcW w:w="3590" w:type="dxa"/>
            <w:noWrap w:val="0"/>
            <w:vAlign w:val="center"/>
          </w:tcPr>
          <w:p w14:paraId="4AC406E3">
            <w:pPr>
              <w:keepNext w:val="0"/>
              <w:keepLines w:val="0"/>
              <w:pageBreakBefore w:val="0"/>
              <w:kinsoku/>
              <w:wordWrap/>
              <w:overflowPunct/>
              <w:topLinePunct w:val="0"/>
              <w:autoSpaceDE/>
              <w:autoSpaceDN/>
              <w:bidi w:val="0"/>
              <w:spacing w:line="400" w:lineRule="exact"/>
              <w:jc w:val="center"/>
              <w:textAlignment w:val="auto"/>
              <w:outlineLvl w:val="9"/>
              <w:rPr>
                <w:rFonts w:hint="eastAsia" w:ascii="宋体" w:hAnsi="宋体" w:eastAsia="宋体" w:cs="宋体"/>
                <w:color w:val="auto"/>
                <w:szCs w:val="21"/>
                <w:highlight w:val="none"/>
                <w:vertAlign w:val="baseline"/>
              </w:rPr>
            </w:pPr>
          </w:p>
        </w:tc>
        <w:tc>
          <w:tcPr>
            <w:tcW w:w="2301" w:type="dxa"/>
            <w:noWrap w:val="0"/>
            <w:vAlign w:val="center"/>
          </w:tcPr>
          <w:p w14:paraId="2B8A7F2B">
            <w:pPr>
              <w:keepNext w:val="0"/>
              <w:keepLines w:val="0"/>
              <w:pageBreakBefore w:val="0"/>
              <w:kinsoku/>
              <w:wordWrap/>
              <w:overflowPunct/>
              <w:topLinePunct w:val="0"/>
              <w:autoSpaceDE/>
              <w:autoSpaceDN/>
              <w:bidi w:val="0"/>
              <w:spacing w:line="400" w:lineRule="exact"/>
              <w:textAlignment w:val="auto"/>
              <w:outlineLvl w:val="9"/>
              <w:rPr>
                <w:rFonts w:hint="eastAsia" w:ascii="宋体" w:hAnsi="宋体" w:eastAsia="宋体" w:cs="宋体"/>
                <w:color w:val="auto"/>
                <w:szCs w:val="21"/>
                <w:highlight w:val="none"/>
                <w:vertAlign w:val="baseline"/>
              </w:rPr>
            </w:pPr>
          </w:p>
        </w:tc>
        <w:tc>
          <w:tcPr>
            <w:tcW w:w="2301" w:type="dxa"/>
            <w:noWrap w:val="0"/>
            <w:vAlign w:val="center"/>
          </w:tcPr>
          <w:p w14:paraId="72FE2E3F">
            <w:pPr>
              <w:keepNext w:val="0"/>
              <w:keepLines w:val="0"/>
              <w:pageBreakBefore w:val="0"/>
              <w:kinsoku/>
              <w:wordWrap/>
              <w:overflowPunct/>
              <w:topLinePunct w:val="0"/>
              <w:autoSpaceDE/>
              <w:autoSpaceDN/>
              <w:bidi w:val="0"/>
              <w:spacing w:line="400" w:lineRule="exact"/>
              <w:textAlignment w:val="auto"/>
              <w:outlineLvl w:val="9"/>
              <w:rPr>
                <w:rFonts w:hint="eastAsia" w:ascii="宋体" w:hAnsi="宋体" w:eastAsia="宋体" w:cs="宋体"/>
                <w:color w:val="auto"/>
                <w:szCs w:val="21"/>
                <w:highlight w:val="none"/>
                <w:vertAlign w:val="baseline"/>
              </w:rPr>
            </w:pPr>
          </w:p>
        </w:tc>
      </w:tr>
    </w:tbl>
    <w:p w14:paraId="64BC9981">
      <w:pPr>
        <w:spacing w:line="360" w:lineRule="auto"/>
        <w:ind w:firstLine="422" w:firstLineChars="20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w:t>
      </w:r>
    </w:p>
    <w:p w14:paraId="6FD3CE1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1.本项目采用整体下浮率报价且只有唯一报价,本项目下浮率不低于10%。</w:t>
      </w:r>
    </w:p>
    <w:p w14:paraId="5F00FB5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2.本项目实际配送量以采购人每日货品采购清单为准，具体按实际结算。</w:t>
      </w:r>
    </w:p>
    <w:p w14:paraId="26A7571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3.磋商报价包括食品原材料成本、生产、检验检测、包装、运输、仓储、配送、服务、人工、保险、培训、利润、税金等完成本项目服务所需的一切费用。</w:t>
      </w:r>
    </w:p>
    <w:p w14:paraId="37D52F5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b w:val="0"/>
          <w:bCs w:val="0"/>
          <w:color w:val="auto"/>
          <w:szCs w:val="21"/>
          <w:highlight w:val="none"/>
          <w:lang w:val="en-US" w:eastAsia="zh-CN"/>
        </w:rPr>
        <w:t>4.</w:t>
      </w:r>
      <w:r>
        <w:rPr>
          <w:rFonts w:hint="eastAsia" w:ascii="宋体" w:hAnsi="宋体" w:eastAsia="宋体" w:cs="宋体"/>
          <w:b w:val="0"/>
          <w:bCs w:val="0"/>
          <w:color w:val="auto"/>
          <w:szCs w:val="21"/>
          <w:highlight w:val="none"/>
          <w:lang w:val="en-US" w:eastAsia="zh-CN"/>
        </w:rPr>
        <w:t>磋商报价</w:t>
      </w:r>
      <w:r>
        <w:rPr>
          <w:rFonts w:hint="eastAsia" w:ascii="宋体" w:hAnsi="宋体" w:cs="宋体"/>
          <w:b w:val="0"/>
          <w:bCs w:val="0"/>
          <w:color w:val="auto"/>
          <w:szCs w:val="21"/>
          <w:highlight w:val="none"/>
          <w:lang w:val="en-US" w:eastAsia="zh-CN"/>
        </w:rPr>
        <w:t>：在其他情况下，由于磋商报价未填报或填报不完整、不清楚或存在其他任何失误，所导致的任何不利后果均应当由供应商自行承担。</w:t>
      </w:r>
    </w:p>
    <w:p w14:paraId="51C80A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rPr>
      </w:pPr>
    </w:p>
    <w:p w14:paraId="7055930A">
      <w:pPr>
        <w:keepNext w:val="0"/>
        <w:keepLines w:val="0"/>
        <w:pageBreakBefore w:val="0"/>
        <w:widowControl w:val="0"/>
        <w:kinsoku/>
        <w:wordWrap/>
        <w:overflowPunct/>
        <w:topLinePunct w:val="0"/>
        <w:autoSpaceDE/>
        <w:autoSpaceDN/>
        <w:bidi w:val="0"/>
        <w:adjustRightInd/>
        <w:snapToGrid/>
        <w:spacing w:line="400" w:lineRule="exact"/>
        <w:ind w:firstLine="3150" w:firstLineChars="15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或委托代理人（</w:t>
      </w:r>
      <w:r>
        <w:rPr>
          <w:rFonts w:hint="eastAsia" w:ascii="宋体" w:hAnsi="宋体" w:eastAsia="宋体" w:cs="宋体"/>
          <w:color w:val="auto"/>
          <w:szCs w:val="21"/>
          <w:highlight w:val="none"/>
          <w:lang w:eastAsia="zh-CN"/>
        </w:rPr>
        <w:t>签</w:t>
      </w:r>
      <w:r>
        <w:rPr>
          <w:rFonts w:hint="eastAsia" w:ascii="宋体" w:hAnsi="宋体" w:eastAsia="宋体" w:cs="宋体"/>
          <w:color w:val="auto"/>
          <w:szCs w:val="21"/>
          <w:highlight w:val="none"/>
          <w:lang w:val="en-US" w:eastAsia="zh-CN"/>
        </w:rPr>
        <w:t>名</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0DA12766">
      <w:pPr>
        <w:keepNext w:val="0"/>
        <w:keepLines w:val="0"/>
        <w:pageBreakBefore w:val="0"/>
        <w:widowControl w:val="0"/>
        <w:kinsoku/>
        <w:wordWrap/>
        <w:overflowPunct/>
        <w:topLinePunct w:val="0"/>
        <w:autoSpaceDE/>
        <w:autoSpaceDN/>
        <w:bidi w:val="0"/>
        <w:adjustRightInd/>
        <w:snapToGrid/>
        <w:spacing w:line="400" w:lineRule="exact"/>
        <w:ind w:firstLine="3150" w:firstLineChars="1500"/>
        <w:textAlignment w:val="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磋商供应商名称（</w:t>
      </w:r>
      <w:r>
        <w:rPr>
          <w:rFonts w:hint="eastAsia" w:ascii="宋体" w:hAnsi="宋体" w:eastAsia="宋体" w:cs="宋体"/>
          <w:color w:val="auto"/>
          <w:szCs w:val="21"/>
          <w:highlight w:val="none"/>
          <w:lang w:eastAsia="zh-CN"/>
        </w:rPr>
        <w:t>电子</w:t>
      </w:r>
      <w:r>
        <w:rPr>
          <w:rFonts w:hint="eastAsia" w:ascii="宋体" w:hAnsi="宋体" w:eastAsia="宋体" w:cs="宋体"/>
          <w:b w:val="0"/>
          <w:bCs/>
          <w:color w:val="auto"/>
          <w:szCs w:val="21"/>
          <w:highlight w:val="none"/>
          <w:lang w:val="en-US" w:eastAsia="zh-CN"/>
        </w:rPr>
        <w:t>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p>
    <w:p w14:paraId="7753A09F">
      <w:pPr>
        <w:keepNext w:val="0"/>
        <w:keepLines w:val="0"/>
        <w:pageBreakBefore w:val="0"/>
        <w:widowControl w:val="0"/>
        <w:kinsoku/>
        <w:wordWrap/>
        <w:overflowPunct/>
        <w:topLinePunct w:val="0"/>
        <w:autoSpaceDE/>
        <w:autoSpaceDN/>
        <w:bidi w:val="0"/>
        <w:adjustRightInd/>
        <w:snapToGrid/>
        <w:spacing w:line="400" w:lineRule="exact"/>
        <w:ind w:firstLine="3150" w:firstLineChars="15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报价时间</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62E92596">
      <w:pPr>
        <w:spacing w:line="360" w:lineRule="auto"/>
        <w:jc w:val="center"/>
        <w:rPr>
          <w:rFonts w:hint="eastAsia" w:ascii="宋体" w:hAnsi="宋体" w:eastAsia="宋体" w:cs="宋体"/>
          <w:color w:val="auto"/>
          <w:sz w:val="36"/>
          <w:szCs w:val="36"/>
          <w:highlight w:val="none"/>
        </w:rPr>
      </w:pPr>
    </w:p>
    <w:p w14:paraId="0E6F828F">
      <w:pPr>
        <w:spacing w:line="360" w:lineRule="auto"/>
        <w:jc w:val="center"/>
        <w:rPr>
          <w:rFonts w:hint="eastAsia" w:ascii="宋体" w:hAnsi="宋体" w:eastAsia="宋体" w:cs="宋体"/>
          <w:color w:val="auto"/>
          <w:sz w:val="36"/>
          <w:szCs w:val="36"/>
          <w:highlight w:val="none"/>
        </w:rPr>
      </w:pPr>
    </w:p>
    <w:p w14:paraId="015E9419">
      <w:pPr>
        <w:spacing w:line="360" w:lineRule="auto"/>
        <w:jc w:val="center"/>
        <w:rPr>
          <w:rFonts w:hint="eastAsia" w:ascii="宋体" w:hAnsi="宋体" w:eastAsia="宋体" w:cs="宋体"/>
          <w:color w:val="auto"/>
          <w:sz w:val="36"/>
          <w:szCs w:val="36"/>
          <w:highlight w:val="none"/>
        </w:rPr>
      </w:pPr>
    </w:p>
    <w:p w14:paraId="3FDB84D6">
      <w:pPr>
        <w:spacing w:line="360" w:lineRule="auto"/>
        <w:jc w:val="center"/>
        <w:rPr>
          <w:rFonts w:hint="eastAsia" w:ascii="宋体" w:hAnsi="宋体" w:eastAsia="宋体" w:cs="宋体"/>
          <w:color w:val="auto"/>
          <w:sz w:val="36"/>
          <w:szCs w:val="36"/>
          <w:highlight w:val="none"/>
        </w:rPr>
      </w:pPr>
    </w:p>
    <w:p w14:paraId="5577176E">
      <w:pPr>
        <w:spacing w:line="360" w:lineRule="auto"/>
        <w:jc w:val="center"/>
        <w:rPr>
          <w:rFonts w:hint="eastAsia" w:ascii="宋体" w:hAnsi="宋体" w:eastAsia="宋体" w:cs="宋体"/>
          <w:color w:val="auto"/>
          <w:sz w:val="36"/>
          <w:szCs w:val="36"/>
          <w:highlight w:val="none"/>
        </w:rPr>
      </w:pPr>
    </w:p>
    <w:p w14:paraId="44980D4F">
      <w:pP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br w:type="page"/>
      </w:r>
    </w:p>
    <w:p w14:paraId="0C942ABE">
      <w:pPr>
        <w:spacing w:line="360" w:lineRule="auto"/>
        <w:jc w:val="center"/>
        <w:outlineLvl w:val="1"/>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资格文件部分</w:t>
      </w:r>
    </w:p>
    <w:p w14:paraId="6574A358">
      <w:pPr>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目录</w:t>
      </w:r>
    </w:p>
    <w:p w14:paraId="5064CF3A">
      <w:pPr>
        <w:spacing w:line="360" w:lineRule="auto"/>
        <w:jc w:val="center"/>
        <w:rPr>
          <w:rFonts w:hint="eastAsia" w:ascii="宋体" w:hAnsi="宋体" w:eastAsia="宋体" w:cs="宋体"/>
          <w:b/>
          <w:color w:val="auto"/>
          <w:kern w:val="0"/>
          <w:sz w:val="36"/>
          <w:szCs w:val="36"/>
          <w:highlight w:val="none"/>
        </w:rPr>
      </w:pPr>
    </w:p>
    <w:p w14:paraId="11ED654E">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（1）符合参加政府采购活动应当具备的一般条件的承诺函……………（页码）</w:t>
      </w:r>
    </w:p>
    <w:p w14:paraId="237DD283">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供应商直接控股股东及出资信息表</w:t>
      </w:r>
      <w:r>
        <w:rPr>
          <w:rFonts w:hint="eastAsia" w:ascii="宋体" w:hAnsi="宋体" w:eastAsia="宋体" w:cs="宋体"/>
          <w:color w:val="auto"/>
          <w:sz w:val="24"/>
          <w:highlight w:val="none"/>
        </w:rPr>
        <w:t>…………………………………（页码）</w:t>
      </w:r>
    </w:p>
    <w:p w14:paraId="2FEBC1BF">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供应商直接管理关系信息表</w:t>
      </w:r>
      <w:r>
        <w:rPr>
          <w:rFonts w:hint="eastAsia" w:ascii="宋体" w:hAnsi="宋体" w:eastAsia="宋体" w:cs="宋体"/>
          <w:color w:val="auto"/>
          <w:sz w:val="24"/>
          <w:highlight w:val="none"/>
        </w:rPr>
        <w:t>…………………………………………（页码）</w:t>
      </w:r>
    </w:p>
    <w:p w14:paraId="443DD464">
      <w:pPr>
        <w:spacing w:line="360" w:lineRule="auto"/>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4</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中小企业声明函或者残疾人福利性单位声明函或者供应商属于监狱企业的证明材料</w:t>
      </w:r>
      <w:r>
        <w:rPr>
          <w:rFonts w:hint="eastAsia" w:ascii="宋体" w:hAnsi="宋体" w:eastAsia="宋体" w:cs="宋体"/>
          <w:b w:val="0"/>
          <w:bCs w:val="0"/>
          <w:color w:val="auto"/>
          <w:sz w:val="24"/>
          <w:highlight w:val="none"/>
        </w:rPr>
        <w:t>……………………………………………………………………………（页码）</w:t>
      </w:r>
    </w:p>
    <w:p w14:paraId="4CFED541">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以上目录是编制供应商响应文件的基本格式要求，各供应商可根据自身情况进一步细化。</w:t>
      </w:r>
    </w:p>
    <w:p w14:paraId="251B39D5">
      <w:pPr>
        <w:snapToGrid w:val="0"/>
        <w:spacing w:line="360" w:lineRule="auto"/>
        <w:ind w:firstLine="480" w:firstLineChars="200"/>
        <w:rPr>
          <w:rFonts w:hint="eastAsia" w:ascii="宋体" w:hAnsi="宋体" w:eastAsia="宋体" w:cs="宋体"/>
          <w:color w:val="auto"/>
          <w:sz w:val="24"/>
          <w:highlight w:val="none"/>
        </w:rPr>
      </w:pPr>
    </w:p>
    <w:p w14:paraId="626F650F">
      <w:pPr>
        <w:spacing w:line="360" w:lineRule="auto"/>
        <w:ind w:firstLine="480" w:firstLineChars="200"/>
        <w:rPr>
          <w:rFonts w:hint="eastAsia" w:ascii="宋体" w:hAnsi="宋体" w:eastAsia="宋体" w:cs="宋体"/>
          <w:color w:val="auto"/>
          <w:sz w:val="24"/>
          <w:highlight w:val="none"/>
        </w:rPr>
      </w:pPr>
    </w:p>
    <w:p w14:paraId="559E9B8E">
      <w:pPr>
        <w:snapToGrid w:val="0"/>
        <w:spacing w:line="360" w:lineRule="auto"/>
        <w:ind w:right="480"/>
        <w:jc w:val="center"/>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br w:type="page"/>
      </w:r>
      <w:r>
        <w:rPr>
          <w:rFonts w:hint="eastAsia" w:ascii="宋体" w:hAnsi="宋体" w:eastAsia="宋体" w:cs="宋体"/>
          <w:b/>
          <w:color w:val="auto"/>
          <w:kern w:val="0"/>
          <w:sz w:val="32"/>
          <w:szCs w:val="32"/>
          <w:highlight w:val="none"/>
        </w:rPr>
        <w:t>一、 符合参加政府采购活动应当具备的一般条件的承诺函</w:t>
      </w:r>
    </w:p>
    <w:p w14:paraId="38501602">
      <w:pPr>
        <w:snapToGrid w:val="0"/>
        <w:spacing w:line="360" w:lineRule="auto"/>
        <w:ind w:right="480"/>
        <w:jc w:val="center"/>
        <w:rPr>
          <w:rFonts w:hint="eastAsia" w:ascii="宋体" w:hAnsi="宋体" w:eastAsia="宋体" w:cs="宋体"/>
          <w:color w:val="auto"/>
          <w:sz w:val="24"/>
          <w:highlight w:val="none"/>
        </w:rPr>
      </w:pPr>
    </w:p>
    <w:p w14:paraId="52A3479C">
      <w:pPr>
        <w:snapToGrid w:val="0"/>
        <w:spacing w:line="360" w:lineRule="auto"/>
        <w:ind w:right="48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北海市政府采购供应商信用承诺函</w:t>
      </w:r>
    </w:p>
    <w:p w14:paraId="3B5351EF">
      <w:pPr>
        <w:snapToGrid w:val="0"/>
        <w:spacing w:line="360" w:lineRule="auto"/>
        <w:rPr>
          <w:rFonts w:hint="eastAsia" w:ascii="宋体" w:hAnsi="宋体" w:eastAsia="宋体" w:cs="宋体"/>
          <w:color w:val="auto"/>
          <w:sz w:val="24"/>
          <w:highlight w:val="none"/>
        </w:rPr>
      </w:pPr>
    </w:p>
    <w:p w14:paraId="00E7ACE7">
      <w:pPr>
        <w:snapToGrid w:val="0"/>
        <w:spacing w:line="360" w:lineRule="auto"/>
        <w:ind w:right="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（采购人）、（采购代理机构） </w:t>
      </w:r>
      <w:r>
        <w:rPr>
          <w:rFonts w:hint="eastAsia" w:ascii="宋体" w:hAnsi="宋体" w:eastAsia="宋体" w:cs="宋体"/>
          <w:color w:val="auto"/>
          <w:sz w:val="21"/>
          <w:szCs w:val="21"/>
          <w:highlight w:val="none"/>
          <w:lang w:eastAsia="zh-CN"/>
        </w:rPr>
        <w:t>：</w:t>
      </w:r>
    </w:p>
    <w:p w14:paraId="7A831447">
      <w:pPr>
        <w:snapToGrid w:val="0"/>
        <w:spacing w:line="360" w:lineRule="auto"/>
        <w:ind w:right="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供应商名称</w:t>
      </w:r>
      <w:r>
        <w:rPr>
          <w:rFonts w:hint="eastAsia" w:ascii="宋体" w:hAnsi="宋体" w:eastAsia="宋体" w:cs="宋体"/>
          <w:color w:val="auto"/>
          <w:sz w:val="21"/>
          <w:szCs w:val="21"/>
          <w:highlight w:val="none"/>
          <w:lang w:eastAsia="zh-CN"/>
        </w:rPr>
        <w:t>：</w:t>
      </w:r>
    </w:p>
    <w:p w14:paraId="79DA96FE">
      <w:pPr>
        <w:snapToGrid w:val="0"/>
        <w:spacing w:line="360" w:lineRule="auto"/>
        <w:ind w:right="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统一社会信用代码</w:t>
      </w:r>
      <w:r>
        <w:rPr>
          <w:rFonts w:hint="eastAsia" w:ascii="宋体" w:hAnsi="宋体" w:eastAsia="宋体" w:cs="宋体"/>
          <w:color w:val="auto"/>
          <w:sz w:val="21"/>
          <w:szCs w:val="21"/>
          <w:highlight w:val="none"/>
          <w:lang w:eastAsia="zh-CN"/>
        </w:rPr>
        <w:t>：</w:t>
      </w:r>
    </w:p>
    <w:p w14:paraId="2FBF6B23">
      <w:pPr>
        <w:snapToGrid w:val="0"/>
        <w:spacing w:line="360" w:lineRule="auto"/>
        <w:ind w:right="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供应商地址</w:t>
      </w:r>
      <w:r>
        <w:rPr>
          <w:rFonts w:hint="eastAsia" w:ascii="宋体" w:hAnsi="宋体" w:eastAsia="宋体" w:cs="宋体"/>
          <w:color w:val="auto"/>
          <w:sz w:val="21"/>
          <w:szCs w:val="21"/>
          <w:highlight w:val="none"/>
          <w:lang w:eastAsia="zh-CN"/>
        </w:rPr>
        <w:t>：</w:t>
      </w:r>
    </w:p>
    <w:p w14:paraId="142F9B45">
      <w:pPr>
        <w:snapToGrid w:val="0"/>
        <w:spacing w:line="360" w:lineRule="auto"/>
        <w:ind w:right="482"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r>
        <w:rPr>
          <w:rFonts w:hint="eastAsia" w:ascii="宋体" w:hAnsi="宋体" w:eastAsia="宋体" w:cs="宋体"/>
          <w:color w:val="auto"/>
          <w:sz w:val="21"/>
          <w:szCs w:val="21"/>
          <w:highlight w:val="none"/>
          <w:lang w:eastAsia="zh-CN"/>
        </w:rPr>
        <w:t>：</w:t>
      </w:r>
    </w:p>
    <w:p w14:paraId="32887D6A">
      <w:pPr>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1.我单位具有符合采购文件资格要求独立承担民事责任的能力。</w:t>
      </w:r>
    </w:p>
    <w:p w14:paraId="6CFBDE5E">
      <w:pPr>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2.我单位具有符合采购文件资格要求的财务状况报告。</w:t>
      </w:r>
    </w:p>
    <w:p w14:paraId="306D5246">
      <w:pPr>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3.我单位具有符合采购文件资格要求的依法缴纳税收和社会保障记录的良好记录。</w:t>
      </w:r>
    </w:p>
    <w:p w14:paraId="490D086F">
      <w:pPr>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4.我单位具有符合采购文件资格要求履行合同所必需的设备和专业技术能力。</w:t>
      </w:r>
    </w:p>
    <w:p w14:paraId="12984893">
      <w:pPr>
        <w:snapToGrid w:val="0"/>
        <w:spacing w:line="360" w:lineRule="auto"/>
        <w:ind w:right="482"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5.参加政府采购活动前三年内，在经营活动中没有重大违法记录。</w:t>
      </w:r>
    </w:p>
    <w:p w14:paraId="32FA01FE">
      <w:pPr>
        <w:snapToGrid w:val="0"/>
        <w:spacing w:line="360" w:lineRule="auto"/>
        <w:ind w:right="482"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若我单位承诺不实，自愿承担提供虚假材料谋取中标、成交的法律责任。</w:t>
      </w:r>
    </w:p>
    <w:p w14:paraId="36F1CB83">
      <w:pPr>
        <w:snapToGrid w:val="0"/>
        <w:spacing w:line="360" w:lineRule="auto"/>
        <w:ind w:right="480"/>
        <w:outlineLvl w:val="9"/>
        <w:rPr>
          <w:rFonts w:hint="eastAsia" w:ascii="宋体" w:hAnsi="宋体" w:eastAsia="宋体" w:cs="宋体"/>
          <w:color w:val="auto"/>
          <w:sz w:val="21"/>
          <w:szCs w:val="21"/>
          <w:highlight w:val="none"/>
        </w:rPr>
      </w:pPr>
    </w:p>
    <w:p w14:paraId="352DC7CE">
      <w:pPr>
        <w:spacing w:line="360" w:lineRule="auto"/>
        <w:ind w:firstLine="3150" w:firstLineChars="150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磋商供应商</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val="en-US" w:eastAsia="zh-CN"/>
        </w:rPr>
        <w:t>电子</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eastAsia="zh-CN"/>
        </w:rPr>
        <w:t>：</w:t>
      </w:r>
    </w:p>
    <w:p w14:paraId="37E278DC">
      <w:pPr>
        <w:spacing w:line="360" w:lineRule="auto"/>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法定代表人（负责人）或委托代理人(签名)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37266F42">
      <w:pPr>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 xml:space="preserve">     日期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年   月   日</w:t>
      </w:r>
    </w:p>
    <w:p w14:paraId="14645D09">
      <w:pPr>
        <w:snapToGrid w:val="0"/>
        <w:spacing w:line="360" w:lineRule="auto"/>
        <w:ind w:right="48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w:t>
      </w:r>
    </w:p>
    <w:p w14:paraId="1D39C1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须在</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响应</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文件中按此模板提供承诺函，未提供视为未实质性响应招标（采购）</w:t>
      </w:r>
      <w:r>
        <w:rPr>
          <w:rFonts w:hint="eastAsia" w:ascii="宋体" w:hAnsi="宋体" w:eastAsia="宋体" w:cs="宋体"/>
          <w:color w:val="auto"/>
          <w:szCs w:val="21"/>
          <w:highlight w:val="none"/>
          <w:lang w:val="en-US" w:eastAsia="zh-CN"/>
        </w:rPr>
        <w:t>文</w:t>
      </w:r>
      <w:r>
        <w:rPr>
          <w:rFonts w:hint="eastAsia" w:ascii="宋体" w:hAnsi="宋体" w:eastAsia="宋体" w:cs="宋体"/>
          <w:color w:val="auto"/>
          <w:szCs w:val="21"/>
          <w:highlight w:val="none"/>
        </w:rPr>
        <w:t>件要求，按无效投标（响应）处理。</w:t>
      </w:r>
    </w:p>
    <w:p w14:paraId="6624185D">
      <w:pPr>
        <w:spacing w:line="420" w:lineRule="exact"/>
        <w:ind w:firstLine="420" w:firstLineChars="200"/>
        <w:jc w:val="left"/>
        <w:outlineLvl w:val="9"/>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的法定代表人（其他组织的为负责人）或者授权代表的签名或盖章应真实、有效，如授权代表签名或盖章的，应提供“法定代表人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授权书”</w:t>
      </w:r>
      <w:r>
        <w:rPr>
          <w:rFonts w:hint="eastAsia" w:ascii="宋体" w:hAnsi="宋体" w:eastAsia="宋体" w:cs="宋体"/>
          <w:color w:val="auto"/>
          <w:szCs w:val="21"/>
          <w:highlight w:val="none"/>
          <w:lang w:eastAsia="zh-CN"/>
        </w:rPr>
        <w:t>。</w:t>
      </w:r>
    </w:p>
    <w:p w14:paraId="56E7E14A">
      <w:pPr>
        <w:snapToGrid w:val="0"/>
        <w:spacing w:line="360" w:lineRule="auto"/>
        <w:ind w:right="480"/>
        <w:jc w:val="center"/>
        <w:outlineLvl w:val="9"/>
        <w:rPr>
          <w:rFonts w:hint="eastAsia" w:ascii="宋体" w:hAnsi="宋体" w:eastAsia="宋体" w:cs="宋体"/>
          <w:b/>
          <w:color w:val="auto"/>
          <w:kern w:val="0"/>
          <w:sz w:val="32"/>
          <w:szCs w:val="32"/>
          <w:highlight w:val="none"/>
        </w:rPr>
      </w:pPr>
    </w:p>
    <w:p w14:paraId="7EC745DF">
      <w:pPr>
        <w:bidi w:val="0"/>
        <w:outlineLvl w:val="9"/>
        <w:rPr>
          <w:rFonts w:hint="eastAsia" w:ascii="宋体" w:hAnsi="宋体" w:eastAsia="宋体" w:cs="宋体"/>
          <w:color w:val="auto"/>
          <w:highlight w:val="none"/>
        </w:rPr>
      </w:pPr>
    </w:p>
    <w:p w14:paraId="25AD3ADA">
      <w:pPr>
        <w:outlineLvl w:val="9"/>
        <w:rPr>
          <w:rFonts w:hint="eastAsia" w:ascii="宋体" w:hAnsi="宋体" w:eastAsia="宋体" w:cs="宋体"/>
          <w:b/>
          <w:color w:val="auto"/>
          <w:kern w:val="0"/>
          <w:sz w:val="32"/>
          <w:szCs w:val="32"/>
          <w:highlight w:val="none"/>
        </w:rPr>
      </w:pPr>
    </w:p>
    <w:p w14:paraId="77C80620">
      <w:pPr>
        <w:bidi w:val="0"/>
        <w:outlineLvl w:val="9"/>
        <w:rPr>
          <w:rFonts w:hint="eastAsia" w:ascii="宋体" w:hAnsi="宋体" w:eastAsia="宋体" w:cs="宋体"/>
          <w:color w:val="auto"/>
          <w:highlight w:val="none"/>
        </w:rPr>
      </w:pPr>
    </w:p>
    <w:p w14:paraId="2A6BBCA4">
      <w:pPr>
        <w:numPr>
          <w:ilvl w:val="0"/>
          <w:numId w:val="0"/>
        </w:numPr>
        <w:tabs>
          <w:tab w:val="left" w:pos="432"/>
        </w:tabs>
        <w:ind w:leftChars="0"/>
        <w:outlineLvl w:val="9"/>
        <w:rPr>
          <w:rFonts w:hint="eastAsia" w:ascii="宋体" w:hAnsi="宋体" w:eastAsia="宋体" w:cs="宋体"/>
          <w:color w:val="auto"/>
          <w:highlight w:val="none"/>
        </w:rPr>
      </w:pPr>
    </w:p>
    <w:p w14:paraId="7F7A698F">
      <w:pPr>
        <w:rPr>
          <w:rFonts w:hint="eastAsia" w:ascii="宋体" w:hAnsi="宋体" w:eastAsia="宋体" w:cs="宋体"/>
          <w:b/>
          <w:color w:val="auto"/>
          <w:kern w:val="0"/>
          <w:sz w:val="32"/>
          <w:szCs w:val="32"/>
          <w:highlight w:val="none"/>
        </w:rPr>
      </w:pPr>
    </w:p>
    <w:p w14:paraId="3C525554">
      <w:pPr>
        <w:bidi w:val="0"/>
        <w:rPr>
          <w:rFonts w:hint="eastAsia" w:ascii="宋体" w:hAnsi="宋体" w:eastAsia="宋体" w:cs="宋体"/>
          <w:color w:val="auto"/>
          <w:highlight w:val="none"/>
        </w:rPr>
      </w:pPr>
    </w:p>
    <w:p w14:paraId="26B818B0">
      <w:pPr>
        <w:bidi w:val="0"/>
        <w:rPr>
          <w:rFonts w:hint="eastAsia" w:ascii="宋体" w:hAnsi="宋体" w:eastAsia="宋体" w:cs="宋体"/>
          <w:color w:val="auto"/>
          <w:highlight w:val="none"/>
        </w:rPr>
      </w:pPr>
    </w:p>
    <w:p w14:paraId="10E84197">
      <w:pPr>
        <w:bidi w:val="0"/>
        <w:rPr>
          <w:rFonts w:hint="eastAsia" w:ascii="宋体" w:hAnsi="宋体" w:eastAsia="宋体" w:cs="宋体"/>
          <w:color w:val="auto"/>
          <w:highlight w:val="none"/>
        </w:rPr>
      </w:pPr>
    </w:p>
    <w:p w14:paraId="589003DB">
      <w:pP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br w:type="page"/>
      </w:r>
    </w:p>
    <w:p w14:paraId="77BA9DA3">
      <w:pPr>
        <w:adjustRightInd w:val="0"/>
        <w:snapToGrid w:val="0"/>
        <w:spacing w:line="360" w:lineRule="auto"/>
        <w:jc w:val="left"/>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法定代表人（负责人）授权委托书（信用承诺函由授权代表签名或盖章时，必须提供）</w:t>
      </w:r>
    </w:p>
    <w:p w14:paraId="3E0FD21F">
      <w:pPr>
        <w:pStyle w:val="15"/>
        <w:rPr>
          <w:rFonts w:hint="eastAsia" w:ascii="宋体" w:hAnsi="宋体" w:eastAsia="宋体" w:cs="宋体"/>
          <w:color w:val="auto"/>
          <w:highlight w:val="none"/>
          <w:lang w:val="en-US" w:eastAsia="zh-CN"/>
        </w:rPr>
      </w:pPr>
    </w:p>
    <w:p w14:paraId="502F24F2">
      <w:pPr>
        <w:adjustRightInd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法定代表人</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负责人</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rPr>
        <w:t>授权委托书</w:t>
      </w:r>
    </w:p>
    <w:p w14:paraId="7257C95E">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u w:val="single"/>
          <w:lang w:eastAsia="zh-CN"/>
        </w:rPr>
        <w:t>广西政建咨询有限公司</w:t>
      </w:r>
      <w:r>
        <w:rPr>
          <w:rFonts w:hint="eastAsia" w:ascii="宋体" w:hAnsi="宋体" w:eastAsia="宋体" w:cs="宋体"/>
          <w:color w:val="auto"/>
          <w:szCs w:val="21"/>
          <w:highlight w:val="none"/>
          <w:lang w:eastAsia="zh-CN"/>
        </w:rPr>
        <w:t>：</w:t>
      </w:r>
    </w:p>
    <w:p w14:paraId="3DEDE8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兹授权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同志为我公司参加贵单位组织的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u w:val="single"/>
        </w:rPr>
        <w:t>项目名称/项目编号</w:t>
      </w:r>
      <w:r>
        <w:rPr>
          <w:rFonts w:hint="eastAsia" w:ascii="宋体" w:hAnsi="宋体" w:eastAsia="宋体" w:cs="宋体"/>
          <w:color w:val="auto"/>
          <w:szCs w:val="21"/>
          <w:highlight w:val="none"/>
        </w:rPr>
        <w:t>竞争性磋商采购活动的委托代理人，全权代表我公司处理在该项目活动中的一切事宜。代理期限从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日起至</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日止。 </w:t>
      </w:r>
    </w:p>
    <w:p w14:paraId="75D628B7">
      <w:pPr>
        <w:spacing w:line="360" w:lineRule="auto"/>
        <w:rPr>
          <w:rFonts w:hint="eastAsia" w:ascii="宋体" w:hAnsi="宋体" w:eastAsia="宋体" w:cs="宋体"/>
          <w:color w:val="auto"/>
          <w:szCs w:val="21"/>
          <w:highlight w:val="none"/>
        </w:rPr>
      </w:pPr>
    </w:p>
    <w:p w14:paraId="41315CC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磋商供应商名称（</w:t>
      </w:r>
      <w:r>
        <w:rPr>
          <w:rFonts w:hint="eastAsia" w:ascii="宋体" w:hAnsi="宋体" w:eastAsia="宋体" w:cs="宋体"/>
          <w:color w:val="auto"/>
          <w:szCs w:val="21"/>
          <w:highlight w:val="none"/>
          <w:lang w:eastAsia="zh-CN"/>
        </w:rPr>
        <w:t>电子</w:t>
      </w:r>
      <w:r>
        <w:rPr>
          <w:rFonts w:hint="eastAsia" w:ascii="宋体" w:hAnsi="宋体" w:eastAsia="宋体" w:cs="宋体"/>
          <w:b w:val="0"/>
          <w:bCs/>
          <w:color w:val="auto"/>
          <w:szCs w:val="21"/>
          <w:highlight w:val="none"/>
          <w:lang w:val="en-US" w:eastAsia="zh-CN"/>
        </w:rPr>
        <w:t>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5013916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签字</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3914610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签发日期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3644553">
      <w:pPr>
        <w:spacing w:line="360" w:lineRule="auto"/>
        <w:rPr>
          <w:rFonts w:hint="eastAsia" w:ascii="宋体" w:hAnsi="宋体" w:eastAsia="宋体" w:cs="宋体"/>
          <w:color w:val="auto"/>
          <w:szCs w:val="21"/>
          <w:highlight w:val="none"/>
        </w:rPr>
      </w:pPr>
    </w:p>
    <w:p w14:paraId="686D6694">
      <w:pPr>
        <w:pStyle w:val="22"/>
        <w:spacing w:after="159" w:afterLines="50" w:afterAutospacing="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附</w:t>
      </w:r>
      <w:r>
        <w:rPr>
          <w:rFonts w:hint="eastAsia" w:ascii="宋体" w:hAnsi="宋体" w:eastAsia="宋体" w:cs="宋体"/>
          <w:color w:val="auto"/>
          <w:szCs w:val="21"/>
          <w:highlight w:val="none"/>
          <w:lang w:eastAsia="zh-CN"/>
        </w:rPr>
        <w:t>：</w:t>
      </w:r>
      <w:r>
        <w:rPr>
          <w:rFonts w:hint="eastAsia" w:ascii="宋体" w:hAnsi="宋体" w:eastAsia="宋体" w:cs="宋体"/>
          <w:color w:val="auto"/>
          <w:kern w:val="2"/>
          <w:sz w:val="21"/>
          <w:szCs w:val="21"/>
          <w:highlight w:val="none"/>
          <w:lang w:val="en-US" w:eastAsia="zh-CN" w:bidi="ar-SA"/>
        </w:rPr>
        <w:t>1.委托代理人身份证复印件</w:t>
      </w:r>
    </w:p>
    <w:p w14:paraId="4FE2B4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委托代理人工作单位</w:t>
      </w:r>
      <w:r>
        <w:rPr>
          <w:rFonts w:hint="eastAsia" w:ascii="宋体" w:hAnsi="宋体" w:eastAsia="宋体" w:cs="宋体"/>
          <w:color w:val="auto"/>
          <w:szCs w:val="21"/>
          <w:highlight w:val="none"/>
          <w:u w:val="single"/>
        </w:rPr>
        <w:t xml:space="preserve">               </w:t>
      </w:r>
    </w:p>
    <w:p w14:paraId="1FAA13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性别</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52E5D865">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45616BE3">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kern w:val="2"/>
          <w:sz w:val="21"/>
          <w:szCs w:val="21"/>
          <w:highlight w:val="none"/>
          <w:lang w:val="en-US" w:eastAsia="zh-CN" w:bidi="ar-SA"/>
        </w:rPr>
        <w:t>2.营业执照或者事业单位法人证书或者执业许可证复印件</w:t>
      </w:r>
    </w:p>
    <w:tbl>
      <w:tblPr>
        <w:tblStyle w:val="6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1DF3F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vAlign w:val="top"/>
          </w:tcPr>
          <w:p w14:paraId="02F63A65">
            <w:pPr>
              <w:spacing w:beforeAutospacing="0"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粘贴委托代理人的正面及反面身份证复印件</w:t>
            </w:r>
          </w:p>
          <w:p w14:paraId="5CAFC687">
            <w:pPr>
              <w:spacing w:line="360" w:lineRule="auto"/>
              <w:rPr>
                <w:rFonts w:hint="eastAsia" w:ascii="宋体" w:hAnsi="宋体" w:eastAsia="宋体" w:cs="宋体"/>
                <w:color w:val="auto"/>
                <w:szCs w:val="21"/>
                <w:highlight w:val="none"/>
                <w:shd w:val="clear" w:color="auto" w:fill="auto"/>
              </w:rPr>
            </w:pPr>
          </w:p>
          <w:p w14:paraId="6D95F578">
            <w:pPr>
              <w:spacing w:line="360" w:lineRule="auto"/>
              <w:rPr>
                <w:rFonts w:hint="eastAsia" w:ascii="宋体" w:hAnsi="宋体" w:eastAsia="宋体" w:cs="宋体"/>
                <w:color w:val="auto"/>
                <w:szCs w:val="21"/>
                <w:highlight w:val="none"/>
                <w:shd w:val="clear" w:color="auto" w:fill="auto"/>
              </w:rPr>
            </w:pPr>
          </w:p>
          <w:p w14:paraId="5C8A5DDA">
            <w:pPr>
              <w:spacing w:line="360" w:lineRule="auto"/>
              <w:rPr>
                <w:rFonts w:hint="eastAsia" w:ascii="宋体" w:hAnsi="宋体" w:eastAsia="宋体" w:cs="宋体"/>
                <w:color w:val="auto"/>
                <w:szCs w:val="21"/>
                <w:highlight w:val="none"/>
                <w:shd w:val="clear" w:color="auto" w:fill="auto"/>
              </w:rPr>
            </w:pPr>
          </w:p>
          <w:p w14:paraId="3AE9CE85">
            <w:pPr>
              <w:spacing w:line="360" w:lineRule="auto"/>
              <w:rPr>
                <w:rFonts w:hint="eastAsia" w:ascii="宋体" w:hAnsi="宋体" w:eastAsia="宋体" w:cs="宋体"/>
                <w:color w:val="auto"/>
                <w:szCs w:val="21"/>
                <w:highlight w:val="none"/>
                <w:shd w:val="clear" w:color="auto" w:fill="auto"/>
              </w:rPr>
            </w:pPr>
          </w:p>
          <w:p w14:paraId="2CEFBE23">
            <w:pPr>
              <w:spacing w:line="360" w:lineRule="auto"/>
              <w:rPr>
                <w:rFonts w:hint="eastAsia" w:ascii="宋体" w:hAnsi="宋体" w:eastAsia="宋体" w:cs="宋体"/>
                <w:color w:val="auto"/>
                <w:szCs w:val="21"/>
                <w:highlight w:val="none"/>
                <w:shd w:val="clear" w:color="auto" w:fill="auto"/>
              </w:rPr>
            </w:pPr>
          </w:p>
        </w:tc>
      </w:tr>
    </w:tbl>
    <w:p w14:paraId="792D8726">
      <w:pPr>
        <w:spacing w:line="520" w:lineRule="exact"/>
        <w:rPr>
          <w:rFonts w:hint="eastAsia" w:ascii="宋体" w:hAnsi="宋体" w:eastAsia="宋体" w:cs="宋体"/>
          <w:b/>
          <w:bCs/>
          <w:color w:val="auto"/>
          <w:szCs w:val="21"/>
          <w:highlight w:val="none"/>
          <w:shd w:val="clear" w:color="auto" w:fill="auto"/>
        </w:rPr>
      </w:pPr>
    </w:p>
    <w:tbl>
      <w:tblPr>
        <w:tblStyle w:val="6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3A972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vAlign w:val="top"/>
          </w:tcPr>
          <w:p w14:paraId="5901D49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粘贴</w:t>
            </w:r>
            <w:r>
              <w:rPr>
                <w:rFonts w:hint="eastAsia" w:ascii="宋体" w:hAnsi="宋体" w:eastAsia="宋体" w:cs="宋体"/>
                <w:color w:val="auto"/>
                <w:szCs w:val="21"/>
                <w:highlight w:val="none"/>
                <w:lang w:val="en-US" w:eastAsia="zh-CN"/>
              </w:rPr>
              <w:t>法定代表人（负责人）</w:t>
            </w:r>
            <w:r>
              <w:rPr>
                <w:rFonts w:hint="eastAsia" w:ascii="宋体" w:hAnsi="宋体" w:eastAsia="宋体" w:cs="宋体"/>
                <w:color w:val="auto"/>
                <w:szCs w:val="21"/>
                <w:highlight w:val="none"/>
              </w:rPr>
              <w:t>的正面及反面身份证复印件</w:t>
            </w:r>
          </w:p>
          <w:p w14:paraId="31634D5A">
            <w:pPr>
              <w:spacing w:line="360" w:lineRule="auto"/>
              <w:rPr>
                <w:rFonts w:hint="eastAsia" w:ascii="宋体" w:hAnsi="宋体" w:eastAsia="宋体" w:cs="宋体"/>
                <w:color w:val="auto"/>
                <w:szCs w:val="21"/>
                <w:highlight w:val="none"/>
              </w:rPr>
            </w:pPr>
          </w:p>
          <w:p w14:paraId="0B38BB6A">
            <w:pPr>
              <w:spacing w:line="360" w:lineRule="auto"/>
              <w:rPr>
                <w:rFonts w:hint="eastAsia" w:ascii="宋体" w:hAnsi="宋体" w:eastAsia="宋体" w:cs="宋体"/>
                <w:color w:val="auto"/>
                <w:szCs w:val="21"/>
                <w:highlight w:val="none"/>
              </w:rPr>
            </w:pPr>
          </w:p>
          <w:p w14:paraId="624BB5E5">
            <w:pPr>
              <w:spacing w:line="360" w:lineRule="auto"/>
              <w:rPr>
                <w:rFonts w:hint="eastAsia" w:ascii="宋体" w:hAnsi="宋体" w:eastAsia="宋体" w:cs="宋体"/>
                <w:color w:val="auto"/>
                <w:szCs w:val="21"/>
                <w:highlight w:val="none"/>
              </w:rPr>
            </w:pPr>
          </w:p>
          <w:p w14:paraId="757FEF29">
            <w:pPr>
              <w:spacing w:line="360" w:lineRule="auto"/>
              <w:rPr>
                <w:rFonts w:hint="eastAsia" w:ascii="宋体" w:hAnsi="宋体" w:eastAsia="宋体" w:cs="宋体"/>
                <w:color w:val="auto"/>
                <w:szCs w:val="21"/>
                <w:highlight w:val="none"/>
              </w:rPr>
            </w:pPr>
          </w:p>
          <w:p w14:paraId="13A2BDAA">
            <w:pPr>
              <w:spacing w:line="360" w:lineRule="auto"/>
              <w:rPr>
                <w:rFonts w:hint="eastAsia" w:ascii="宋体" w:hAnsi="宋体" w:eastAsia="宋体" w:cs="宋体"/>
                <w:color w:val="auto"/>
                <w:szCs w:val="21"/>
                <w:highlight w:val="none"/>
              </w:rPr>
            </w:pPr>
          </w:p>
        </w:tc>
      </w:tr>
    </w:tbl>
    <w:p w14:paraId="08D094D2">
      <w:pPr>
        <w:rPr>
          <w:rFonts w:hint="eastAsia" w:ascii="宋体" w:hAnsi="宋体" w:eastAsia="宋体" w:cs="宋体"/>
          <w:b/>
          <w:color w:val="auto"/>
          <w:kern w:val="0"/>
          <w:sz w:val="32"/>
          <w:szCs w:val="32"/>
          <w:highlight w:val="none"/>
        </w:rPr>
      </w:pPr>
    </w:p>
    <w:p w14:paraId="30EC9409">
      <w:pPr>
        <w:widowControl/>
        <w:spacing w:line="360" w:lineRule="auto"/>
        <w:jc w:val="both"/>
        <w:rPr>
          <w:rFonts w:hint="eastAsia" w:ascii="宋体" w:hAnsi="宋体" w:eastAsia="宋体" w:cs="宋体"/>
          <w:b/>
          <w:color w:val="auto"/>
          <w:kern w:val="0"/>
          <w:sz w:val="32"/>
          <w:szCs w:val="32"/>
          <w:highlight w:val="none"/>
          <w:lang w:val="en-US" w:eastAsia="zh-CN"/>
        </w:rPr>
      </w:pPr>
    </w:p>
    <w:p w14:paraId="24C17110">
      <w:pPr>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br w:type="page"/>
      </w:r>
    </w:p>
    <w:p w14:paraId="10D53BBB">
      <w:pPr>
        <w:widowControl/>
        <w:spacing w:line="360" w:lineRule="auto"/>
        <w:jc w:val="center"/>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二、供应商直接控股股东及出资信息表</w:t>
      </w:r>
    </w:p>
    <w:p w14:paraId="5E7107BD">
      <w:pPr>
        <w:rPr>
          <w:rFonts w:hint="eastAsia" w:ascii="宋体" w:hAnsi="宋体" w:eastAsia="宋体" w:cs="宋体"/>
          <w:color w:val="auto"/>
          <w:highlight w:val="none"/>
        </w:rPr>
      </w:pPr>
    </w:p>
    <w:p w14:paraId="006FAFCA">
      <w:pPr>
        <w:bidi w:val="0"/>
        <w:rPr>
          <w:rFonts w:hint="eastAsia" w:ascii="宋体" w:hAnsi="宋体" w:eastAsia="宋体" w:cs="宋体"/>
          <w:color w:val="auto"/>
          <w:highlight w:val="none"/>
        </w:rPr>
      </w:pPr>
    </w:p>
    <w:p w14:paraId="54477910">
      <w:pPr>
        <w:keepNext w:val="0"/>
        <w:keepLines w:val="0"/>
        <w:pageBreakBefore w:val="0"/>
        <w:kinsoku/>
        <w:wordWrap/>
        <w:overflowPunct/>
        <w:topLinePunct w:val="0"/>
        <w:autoSpaceDE/>
        <w:autoSpaceDN/>
        <w:bidi w:val="0"/>
        <w:adjustRightInd/>
        <w:spacing w:line="400" w:lineRule="exact"/>
        <w:jc w:val="center"/>
        <w:textAlignment w:val="auto"/>
        <w:outlineLvl w:val="9"/>
        <w:rPr>
          <w:rFonts w:hint="eastAsia" w:ascii="宋体" w:hAnsi="宋体" w:eastAsia="宋体" w:cs="宋体"/>
          <w:color w:val="auto"/>
          <w:highlight w:val="none"/>
        </w:rPr>
      </w:pPr>
      <w:r>
        <w:rPr>
          <w:rFonts w:hint="eastAsia" w:ascii="宋体" w:hAnsi="宋体" w:eastAsia="宋体" w:cs="宋体"/>
          <w:b/>
          <w:bCs/>
          <w:color w:val="auto"/>
          <w:sz w:val="30"/>
          <w:szCs w:val="30"/>
          <w:highlight w:val="none"/>
          <w:lang w:val="en-US" w:eastAsia="zh-CN"/>
        </w:rPr>
        <w:t>磋商供应商</w:t>
      </w:r>
      <w:r>
        <w:rPr>
          <w:rFonts w:hint="eastAsia" w:ascii="宋体" w:hAnsi="宋体" w:eastAsia="宋体" w:cs="宋体"/>
          <w:b/>
          <w:bCs/>
          <w:color w:val="auto"/>
          <w:sz w:val="30"/>
          <w:szCs w:val="30"/>
          <w:highlight w:val="none"/>
        </w:rPr>
        <w:t>直接</w:t>
      </w:r>
      <w:r>
        <w:rPr>
          <w:rFonts w:hint="eastAsia" w:ascii="宋体" w:hAnsi="宋体" w:eastAsia="宋体" w:cs="宋体"/>
          <w:b/>
          <w:bCs/>
          <w:color w:val="auto"/>
          <w:sz w:val="30"/>
          <w:szCs w:val="30"/>
          <w:highlight w:val="none"/>
          <w:lang w:val="en-US" w:eastAsia="zh-CN"/>
        </w:rPr>
        <w:t>控股</w:t>
      </w:r>
      <w:r>
        <w:rPr>
          <w:rFonts w:hint="eastAsia" w:ascii="宋体" w:hAnsi="宋体" w:eastAsia="宋体" w:cs="宋体"/>
          <w:b/>
          <w:bCs/>
          <w:color w:val="auto"/>
          <w:sz w:val="30"/>
          <w:szCs w:val="30"/>
          <w:highlight w:val="none"/>
        </w:rPr>
        <w:t>股东及出资信息表（格式）</w:t>
      </w:r>
    </w:p>
    <w:tbl>
      <w:tblPr>
        <w:tblStyle w:val="61"/>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256"/>
        <w:gridCol w:w="1257"/>
        <w:gridCol w:w="3712"/>
        <w:gridCol w:w="815"/>
      </w:tblGrid>
      <w:tr w14:paraId="1200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top"/>
          </w:tcPr>
          <w:p w14:paraId="1BA469B8">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rPr>
              <w:t>序号</w:t>
            </w:r>
          </w:p>
        </w:tc>
        <w:tc>
          <w:tcPr>
            <w:tcW w:w="2256" w:type="dxa"/>
            <w:vAlign w:val="top"/>
          </w:tcPr>
          <w:p w14:paraId="1907584D">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lang w:val="en-US" w:eastAsia="zh-CN"/>
              </w:rPr>
              <w:t>直接控股</w:t>
            </w:r>
            <w:r>
              <w:rPr>
                <w:rFonts w:hint="eastAsia" w:ascii="宋体" w:hAnsi="宋体" w:eastAsia="宋体" w:cs="宋体"/>
                <w:b/>
                <w:bCs/>
                <w:color w:val="auto"/>
                <w:spacing w:val="10"/>
                <w:kern w:val="0"/>
                <w:szCs w:val="21"/>
                <w:highlight w:val="none"/>
              </w:rPr>
              <w:t>股东名称</w:t>
            </w:r>
          </w:p>
        </w:tc>
        <w:tc>
          <w:tcPr>
            <w:tcW w:w="1257" w:type="dxa"/>
            <w:vAlign w:val="top"/>
          </w:tcPr>
          <w:p w14:paraId="51C08311">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出资比例</w:t>
            </w:r>
          </w:p>
        </w:tc>
        <w:tc>
          <w:tcPr>
            <w:tcW w:w="3712" w:type="dxa"/>
            <w:vAlign w:val="top"/>
          </w:tcPr>
          <w:p w14:paraId="4D751CEC">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rPr>
              <w:t>身份证号码（或</w:t>
            </w:r>
            <w:r>
              <w:rPr>
                <w:rFonts w:hint="eastAsia" w:ascii="宋体" w:hAnsi="宋体" w:eastAsia="宋体" w:cs="宋体"/>
                <w:b/>
                <w:bCs/>
                <w:color w:val="auto"/>
                <w:spacing w:val="10"/>
                <w:kern w:val="0"/>
                <w:szCs w:val="21"/>
                <w:highlight w:val="none"/>
                <w:lang w:val="en-US" w:eastAsia="zh-CN"/>
              </w:rPr>
              <w:t>统一社会信用代码</w:t>
            </w:r>
            <w:r>
              <w:rPr>
                <w:rFonts w:hint="eastAsia" w:ascii="宋体" w:hAnsi="宋体" w:eastAsia="宋体" w:cs="宋体"/>
                <w:b/>
                <w:bCs/>
                <w:color w:val="auto"/>
                <w:spacing w:val="10"/>
                <w:kern w:val="0"/>
                <w:szCs w:val="21"/>
                <w:highlight w:val="none"/>
              </w:rPr>
              <w:t>）</w:t>
            </w:r>
          </w:p>
        </w:tc>
        <w:tc>
          <w:tcPr>
            <w:tcW w:w="815" w:type="dxa"/>
            <w:vAlign w:val="top"/>
          </w:tcPr>
          <w:p w14:paraId="12FCA594">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tc>
      </w:tr>
      <w:tr w14:paraId="1F0BC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top"/>
          </w:tcPr>
          <w:p w14:paraId="1C756BF2">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rPr>
            </w:pPr>
            <w:r>
              <w:rPr>
                <w:rFonts w:hint="eastAsia" w:ascii="宋体" w:hAnsi="宋体" w:eastAsia="宋体" w:cs="宋体"/>
                <w:bCs/>
                <w:color w:val="auto"/>
                <w:spacing w:val="10"/>
                <w:kern w:val="0"/>
                <w:szCs w:val="21"/>
                <w:highlight w:val="none"/>
              </w:rPr>
              <w:t>1</w:t>
            </w:r>
          </w:p>
        </w:tc>
        <w:tc>
          <w:tcPr>
            <w:tcW w:w="2256" w:type="dxa"/>
            <w:vAlign w:val="top"/>
          </w:tcPr>
          <w:p w14:paraId="6D0B638C">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257" w:type="dxa"/>
            <w:vAlign w:val="top"/>
          </w:tcPr>
          <w:p w14:paraId="4AB86B8C">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3712" w:type="dxa"/>
            <w:vAlign w:val="top"/>
          </w:tcPr>
          <w:p w14:paraId="070F00B2">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815" w:type="dxa"/>
            <w:vAlign w:val="top"/>
          </w:tcPr>
          <w:p w14:paraId="7EAF014B">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1195F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top"/>
          </w:tcPr>
          <w:p w14:paraId="4A7C1C4F">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rPr>
            </w:pPr>
            <w:r>
              <w:rPr>
                <w:rFonts w:hint="eastAsia" w:ascii="宋体" w:hAnsi="宋体" w:eastAsia="宋体" w:cs="宋体"/>
                <w:bCs/>
                <w:color w:val="auto"/>
                <w:spacing w:val="10"/>
                <w:kern w:val="0"/>
                <w:szCs w:val="21"/>
                <w:highlight w:val="none"/>
              </w:rPr>
              <w:t>2</w:t>
            </w:r>
          </w:p>
        </w:tc>
        <w:tc>
          <w:tcPr>
            <w:tcW w:w="2256" w:type="dxa"/>
            <w:vAlign w:val="top"/>
          </w:tcPr>
          <w:p w14:paraId="2BEDD2A3">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257" w:type="dxa"/>
            <w:vAlign w:val="top"/>
          </w:tcPr>
          <w:p w14:paraId="5A798FF8">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3712" w:type="dxa"/>
            <w:vAlign w:val="top"/>
          </w:tcPr>
          <w:p w14:paraId="0D305E0F">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815" w:type="dxa"/>
            <w:vAlign w:val="top"/>
          </w:tcPr>
          <w:p w14:paraId="6CE7E047">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7C95E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top"/>
          </w:tcPr>
          <w:p w14:paraId="461691CA">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lang w:val="en-US" w:eastAsia="zh-CN"/>
              </w:rPr>
            </w:pPr>
            <w:r>
              <w:rPr>
                <w:rFonts w:hint="eastAsia" w:ascii="宋体" w:hAnsi="宋体" w:eastAsia="宋体" w:cs="宋体"/>
                <w:bCs/>
                <w:color w:val="auto"/>
                <w:spacing w:val="10"/>
                <w:kern w:val="0"/>
                <w:szCs w:val="21"/>
                <w:highlight w:val="none"/>
                <w:lang w:val="en-US" w:eastAsia="zh-CN"/>
              </w:rPr>
              <w:t>3</w:t>
            </w:r>
          </w:p>
        </w:tc>
        <w:tc>
          <w:tcPr>
            <w:tcW w:w="2256" w:type="dxa"/>
            <w:vAlign w:val="top"/>
          </w:tcPr>
          <w:p w14:paraId="792CDDA8">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257" w:type="dxa"/>
            <w:vAlign w:val="top"/>
          </w:tcPr>
          <w:p w14:paraId="425027D3">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3712" w:type="dxa"/>
            <w:vAlign w:val="top"/>
          </w:tcPr>
          <w:p w14:paraId="12F0D844">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815" w:type="dxa"/>
            <w:vAlign w:val="top"/>
          </w:tcPr>
          <w:p w14:paraId="3C889EEA">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262EE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top"/>
          </w:tcPr>
          <w:p w14:paraId="43361A28">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lang w:val="en-US" w:eastAsia="zh-CN"/>
              </w:rPr>
            </w:pPr>
            <w:r>
              <w:rPr>
                <w:rFonts w:hint="eastAsia" w:ascii="宋体" w:hAnsi="宋体" w:eastAsia="宋体" w:cs="宋体"/>
                <w:bCs/>
                <w:color w:val="auto"/>
                <w:spacing w:val="10"/>
                <w:kern w:val="0"/>
                <w:szCs w:val="21"/>
                <w:highlight w:val="none"/>
                <w:lang w:val="en-US" w:eastAsia="zh-CN"/>
              </w:rPr>
              <w:t>.....</w:t>
            </w:r>
          </w:p>
        </w:tc>
        <w:tc>
          <w:tcPr>
            <w:tcW w:w="2256" w:type="dxa"/>
            <w:vAlign w:val="top"/>
          </w:tcPr>
          <w:p w14:paraId="58B24F37">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257" w:type="dxa"/>
            <w:vAlign w:val="top"/>
          </w:tcPr>
          <w:p w14:paraId="11E17308">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3712" w:type="dxa"/>
            <w:vAlign w:val="top"/>
          </w:tcPr>
          <w:p w14:paraId="5F4BAF9C">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815" w:type="dxa"/>
            <w:vAlign w:val="top"/>
          </w:tcPr>
          <w:p w14:paraId="6C43051A">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bl>
    <w:p w14:paraId="2CB8C386">
      <w:pPr>
        <w:keepNext w:val="0"/>
        <w:keepLines w:val="0"/>
        <w:pageBreakBefore w:val="0"/>
        <w:widowControl w:val="0"/>
        <w:kinsoku/>
        <w:overflowPunct/>
        <w:topLinePunct w:val="0"/>
        <w:autoSpaceDE/>
        <w:autoSpaceDN/>
        <w:bidi w:val="0"/>
        <w:adjustRightInd/>
        <w:snapToGrid w:val="0"/>
        <w:spacing w:line="400" w:lineRule="exact"/>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说明：</w:t>
      </w:r>
    </w:p>
    <w:p w14:paraId="0F9BCD9F">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直接控股股东：是指其出资额占有限责任公司总资本百分之五十以上或者其持有的股份占股份有限公司股份总额百分之五十以上的股东；出资额或持有股份的比例虽然不足百分之五十，但依其出资额或者持有的股份所享有的表决权已足以对股东、股东大会的决议产生重大影响的股东。</w:t>
      </w:r>
    </w:p>
    <w:p w14:paraId="64D4E942">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2.本表所指的控股关系仅限于直接控股关系，不包括间接的控股关系。公司实际控制人与公司之间的关系不属于本表所指的直接控股关系。</w:t>
      </w:r>
    </w:p>
    <w:p w14:paraId="3F8BD0BF">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3.各股东名称必须与《国家企业信用信息公示系统》（网址：http：//www.gsxt.gov.cn/index.html）</w:t>
      </w:r>
      <w:r>
        <w:rPr>
          <w:rFonts w:hint="eastAsia" w:ascii="宋体" w:hAnsi="宋体" w:eastAsia="宋体" w:cs="宋体"/>
          <w:b w:val="0"/>
          <w:bCs w:val="0"/>
          <w:color w:val="auto"/>
          <w:sz w:val="21"/>
          <w:szCs w:val="21"/>
          <w:highlight w:val="none"/>
          <w:lang w:val="en-US" w:eastAsia="zh-CN"/>
        </w:rPr>
        <w:fldChar w:fldCharType="begin"/>
      </w:r>
      <w:r>
        <w:rPr>
          <w:rFonts w:hint="eastAsia" w:ascii="宋体" w:hAnsi="宋体" w:eastAsia="宋体" w:cs="宋体"/>
          <w:b w:val="0"/>
          <w:bCs w:val="0"/>
          <w:color w:val="auto"/>
          <w:sz w:val="21"/>
          <w:szCs w:val="21"/>
          <w:highlight w:val="none"/>
          <w:lang w:val="en-US" w:eastAsia="zh-CN"/>
        </w:rPr>
        <w:instrText xml:space="preserve"> HYPERLINK "http://www.gsxt.gov.cn/index.html）\“股东及出资信息\”的信息相符，否则竞标文件作无效处理。" </w:instrText>
      </w:r>
      <w:r>
        <w:rPr>
          <w:rFonts w:hint="eastAsia" w:ascii="宋体" w:hAnsi="宋体" w:eastAsia="宋体" w:cs="宋体"/>
          <w:b w:val="0"/>
          <w:bCs w:val="0"/>
          <w:color w:val="auto"/>
          <w:sz w:val="21"/>
          <w:szCs w:val="21"/>
          <w:highlight w:val="none"/>
          <w:lang w:val="en-US" w:eastAsia="zh-CN"/>
        </w:rPr>
        <w:fldChar w:fldCharType="separate"/>
      </w:r>
      <w:r>
        <w:rPr>
          <w:rFonts w:hint="eastAsia" w:ascii="宋体" w:hAnsi="宋体" w:eastAsia="宋体" w:cs="宋体"/>
          <w:b w:val="0"/>
          <w:bCs w:val="0"/>
          <w:color w:val="auto"/>
          <w:sz w:val="21"/>
          <w:szCs w:val="21"/>
          <w:highlight w:val="none"/>
          <w:lang w:val="en-US" w:eastAsia="zh-CN"/>
        </w:rPr>
        <w:t>“股东及出资信息”的信息相符，否则响应文件作无效处理。</w:t>
      </w:r>
      <w:r>
        <w:rPr>
          <w:rFonts w:hint="eastAsia" w:ascii="宋体" w:hAnsi="宋体" w:eastAsia="宋体" w:cs="宋体"/>
          <w:b w:val="0"/>
          <w:bCs w:val="0"/>
          <w:color w:val="auto"/>
          <w:sz w:val="21"/>
          <w:szCs w:val="21"/>
          <w:highlight w:val="none"/>
          <w:lang w:val="en-US" w:eastAsia="zh-CN"/>
        </w:rPr>
        <w:fldChar w:fldCharType="end"/>
      </w:r>
    </w:p>
    <w:p w14:paraId="0695196D">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color w:val="auto"/>
          <w:kern w:val="0"/>
          <w:szCs w:val="21"/>
          <w:highlight w:val="none"/>
        </w:rPr>
        <w:t>供应商</w:t>
      </w:r>
      <w:r>
        <w:rPr>
          <w:rFonts w:hint="eastAsia" w:ascii="宋体" w:hAnsi="宋体" w:eastAsia="宋体" w:cs="宋体"/>
          <w:b w:val="0"/>
          <w:bCs w:val="0"/>
          <w:color w:val="auto"/>
          <w:sz w:val="21"/>
          <w:szCs w:val="21"/>
          <w:highlight w:val="none"/>
        </w:rPr>
        <w:t>如为事业单位、其他团体组织、个人的，不需要提供本表。</w:t>
      </w:r>
    </w:p>
    <w:p w14:paraId="2F3709D8">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color w:val="auto"/>
          <w:kern w:val="0"/>
          <w:szCs w:val="21"/>
          <w:highlight w:val="none"/>
        </w:rPr>
        <w:t>供应商</w:t>
      </w:r>
      <w:r>
        <w:rPr>
          <w:rFonts w:hint="eastAsia" w:ascii="宋体" w:hAnsi="宋体" w:eastAsia="宋体" w:cs="宋体"/>
          <w:b w:val="0"/>
          <w:bCs w:val="0"/>
          <w:color w:val="auto"/>
          <w:sz w:val="21"/>
          <w:szCs w:val="21"/>
          <w:highlight w:val="none"/>
        </w:rPr>
        <w:t>不存在直接控股股东的，则填“无”。</w:t>
      </w:r>
    </w:p>
    <w:p w14:paraId="1B66DB5F">
      <w:pPr>
        <w:jc w:val="right"/>
        <w:outlineLvl w:val="9"/>
        <w:rPr>
          <w:rFonts w:hint="eastAsia" w:ascii="宋体" w:hAnsi="宋体" w:eastAsia="宋体" w:cs="宋体"/>
          <w:b/>
          <w:bCs/>
          <w:color w:val="auto"/>
          <w:sz w:val="21"/>
          <w:szCs w:val="21"/>
          <w:highlight w:val="none"/>
          <w:lang w:val="en-US" w:eastAsia="zh-CN"/>
        </w:rPr>
      </w:pPr>
    </w:p>
    <w:p w14:paraId="461F5B74">
      <w:pPr>
        <w:jc w:val="right"/>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磋商供应商名称</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电子公章</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w:t>
      </w:r>
    </w:p>
    <w:p w14:paraId="20498380">
      <w:pPr>
        <w:rPr>
          <w:rFonts w:hint="eastAsia" w:ascii="宋体" w:hAnsi="宋体" w:eastAsia="宋体" w:cs="宋体"/>
          <w:color w:val="auto"/>
          <w:highlight w:val="none"/>
        </w:rPr>
      </w:pPr>
    </w:p>
    <w:p w14:paraId="134A558D">
      <w:pPr>
        <w:bidi w:val="0"/>
        <w:rPr>
          <w:rFonts w:hint="eastAsia" w:ascii="宋体" w:hAnsi="宋体" w:eastAsia="宋体" w:cs="宋体"/>
          <w:color w:val="auto"/>
          <w:highlight w:val="none"/>
        </w:rPr>
      </w:pPr>
    </w:p>
    <w:p w14:paraId="00766D9F">
      <w:pPr>
        <w:rPr>
          <w:rFonts w:hint="eastAsia" w:ascii="宋体" w:hAnsi="宋体" w:eastAsia="宋体" w:cs="宋体"/>
          <w:color w:val="auto"/>
          <w:highlight w:val="none"/>
        </w:rPr>
      </w:pPr>
    </w:p>
    <w:p w14:paraId="4FBD918B">
      <w:pPr>
        <w:bidi w:val="0"/>
        <w:rPr>
          <w:rFonts w:hint="eastAsia" w:ascii="宋体" w:hAnsi="宋体" w:eastAsia="宋体" w:cs="宋体"/>
          <w:color w:val="auto"/>
          <w:highlight w:val="none"/>
        </w:rPr>
      </w:pPr>
    </w:p>
    <w:p w14:paraId="40081D7A">
      <w:pPr>
        <w:bidi w:val="0"/>
        <w:rPr>
          <w:rFonts w:hint="eastAsia" w:ascii="宋体" w:hAnsi="宋体" w:eastAsia="宋体" w:cs="宋体"/>
          <w:color w:val="auto"/>
          <w:highlight w:val="none"/>
        </w:rPr>
      </w:pPr>
    </w:p>
    <w:p w14:paraId="3251DA44">
      <w:pPr>
        <w:bidi w:val="0"/>
        <w:rPr>
          <w:rFonts w:hint="eastAsia" w:ascii="宋体" w:hAnsi="宋体" w:eastAsia="宋体" w:cs="宋体"/>
          <w:color w:val="auto"/>
          <w:highlight w:val="none"/>
        </w:rPr>
      </w:pPr>
    </w:p>
    <w:p w14:paraId="4925A98E">
      <w:pPr>
        <w:rPr>
          <w:rFonts w:hint="eastAsia" w:ascii="宋体" w:hAnsi="宋体" w:eastAsia="宋体" w:cs="宋体"/>
          <w:color w:val="auto"/>
          <w:highlight w:val="none"/>
        </w:rPr>
      </w:pPr>
    </w:p>
    <w:p w14:paraId="286D2256">
      <w:pPr>
        <w:bidi w:val="0"/>
        <w:rPr>
          <w:rFonts w:hint="eastAsia" w:ascii="宋体" w:hAnsi="宋体" w:eastAsia="宋体" w:cs="宋体"/>
          <w:color w:val="auto"/>
          <w:highlight w:val="none"/>
        </w:rPr>
      </w:pPr>
    </w:p>
    <w:p w14:paraId="4ADC5A73">
      <w:pPr>
        <w:bidi w:val="0"/>
        <w:rPr>
          <w:rFonts w:hint="eastAsia" w:ascii="宋体" w:hAnsi="宋体" w:eastAsia="宋体" w:cs="宋体"/>
          <w:color w:val="auto"/>
          <w:highlight w:val="none"/>
        </w:rPr>
      </w:pPr>
    </w:p>
    <w:p w14:paraId="51D4D26B">
      <w:pPr>
        <w:bidi w:val="0"/>
        <w:rPr>
          <w:rFonts w:hint="eastAsia" w:ascii="宋体" w:hAnsi="宋体" w:eastAsia="宋体" w:cs="宋体"/>
          <w:color w:val="auto"/>
          <w:highlight w:val="none"/>
        </w:rPr>
      </w:pPr>
    </w:p>
    <w:p w14:paraId="292B4A5C">
      <w:pPr>
        <w:rPr>
          <w:rFonts w:hint="eastAsia" w:ascii="宋体" w:hAnsi="宋体" w:eastAsia="宋体" w:cs="宋体"/>
          <w:color w:val="auto"/>
          <w:highlight w:val="none"/>
        </w:rPr>
      </w:pPr>
    </w:p>
    <w:p w14:paraId="0B4DB8A7">
      <w:pPr>
        <w:bidi w:val="0"/>
        <w:rPr>
          <w:rFonts w:hint="eastAsia" w:ascii="宋体" w:hAnsi="宋体" w:eastAsia="宋体" w:cs="宋体"/>
          <w:color w:val="auto"/>
          <w:highlight w:val="none"/>
        </w:rPr>
      </w:pPr>
    </w:p>
    <w:p w14:paraId="37279A2A">
      <w:pPr>
        <w:bidi w:val="0"/>
        <w:rPr>
          <w:rFonts w:hint="eastAsia" w:ascii="宋体" w:hAnsi="宋体" w:eastAsia="宋体" w:cs="宋体"/>
          <w:color w:val="auto"/>
          <w:highlight w:val="none"/>
        </w:rPr>
      </w:pPr>
    </w:p>
    <w:p w14:paraId="097854B4">
      <w:pPr>
        <w:bidi w:val="0"/>
        <w:rPr>
          <w:rFonts w:hint="eastAsia" w:ascii="宋体" w:hAnsi="宋体" w:eastAsia="宋体" w:cs="宋体"/>
          <w:color w:val="auto"/>
          <w:highlight w:val="none"/>
        </w:rPr>
      </w:pPr>
    </w:p>
    <w:p w14:paraId="075F8DF3">
      <w:pPr>
        <w:bidi w:val="0"/>
        <w:rPr>
          <w:rFonts w:hint="eastAsia" w:ascii="宋体" w:hAnsi="宋体" w:eastAsia="宋体" w:cs="宋体"/>
          <w:color w:val="auto"/>
          <w:highlight w:val="none"/>
        </w:rPr>
      </w:pPr>
    </w:p>
    <w:p w14:paraId="16EF9807">
      <w:pPr>
        <w:bidi w:val="0"/>
        <w:rPr>
          <w:rFonts w:hint="eastAsia" w:ascii="宋体" w:hAnsi="宋体" w:eastAsia="宋体" w:cs="宋体"/>
          <w:color w:val="auto"/>
          <w:highlight w:val="none"/>
        </w:rPr>
      </w:pPr>
    </w:p>
    <w:p w14:paraId="0A4D6095">
      <w:pPr>
        <w:bidi w:val="0"/>
        <w:rPr>
          <w:rFonts w:hint="eastAsia" w:ascii="宋体" w:hAnsi="宋体" w:eastAsia="宋体" w:cs="宋体"/>
          <w:color w:val="auto"/>
          <w:highlight w:val="none"/>
        </w:rPr>
      </w:pPr>
    </w:p>
    <w:p w14:paraId="5D2800A4">
      <w:pPr>
        <w:bidi w:val="0"/>
        <w:rPr>
          <w:rFonts w:hint="eastAsia" w:ascii="宋体" w:hAnsi="宋体" w:eastAsia="宋体" w:cs="宋体"/>
          <w:color w:val="auto"/>
          <w:highlight w:val="none"/>
        </w:rPr>
      </w:pPr>
    </w:p>
    <w:p w14:paraId="6E344D47">
      <w:pPr>
        <w:bidi w:val="0"/>
        <w:rPr>
          <w:rFonts w:hint="eastAsia" w:ascii="宋体" w:hAnsi="宋体" w:eastAsia="宋体" w:cs="宋体"/>
          <w:color w:val="auto"/>
          <w:highlight w:val="none"/>
        </w:rPr>
      </w:pPr>
    </w:p>
    <w:p w14:paraId="5455CD89">
      <w:pPr>
        <w:bidi w:val="0"/>
        <w:rPr>
          <w:rFonts w:hint="eastAsia" w:ascii="宋体" w:hAnsi="宋体" w:eastAsia="宋体" w:cs="宋体"/>
          <w:color w:val="auto"/>
          <w:highlight w:val="none"/>
        </w:rPr>
      </w:pPr>
    </w:p>
    <w:p w14:paraId="57A3E84E">
      <w:pPr>
        <w:bidi w:val="0"/>
        <w:rPr>
          <w:rFonts w:hint="eastAsia" w:ascii="宋体" w:hAnsi="宋体" w:eastAsia="宋体" w:cs="宋体"/>
          <w:color w:val="auto"/>
          <w:highlight w:val="none"/>
        </w:rPr>
      </w:pPr>
    </w:p>
    <w:p w14:paraId="41330863">
      <w:pPr>
        <w:bidi w:val="0"/>
        <w:rPr>
          <w:rFonts w:hint="eastAsia" w:ascii="宋体" w:hAnsi="宋体" w:eastAsia="宋体" w:cs="宋体"/>
          <w:color w:val="auto"/>
          <w:highlight w:val="none"/>
        </w:rPr>
      </w:pPr>
    </w:p>
    <w:p w14:paraId="66B44516">
      <w:pPr>
        <w:rPr>
          <w:rFonts w:hint="eastAsia" w:ascii="宋体" w:hAnsi="宋体" w:eastAsia="宋体" w:cs="宋体"/>
          <w:color w:val="auto"/>
          <w:highlight w:val="none"/>
        </w:rPr>
      </w:pPr>
    </w:p>
    <w:p w14:paraId="16C71DE4">
      <w:pPr>
        <w:bidi w:val="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三、供应商直接管理关系信息表</w:t>
      </w:r>
    </w:p>
    <w:p w14:paraId="19020944">
      <w:pPr>
        <w:keepNext w:val="0"/>
        <w:keepLines w:val="0"/>
        <w:pageBreakBefore w:val="0"/>
        <w:kinsoku/>
        <w:wordWrap/>
        <w:overflowPunct/>
        <w:topLinePunct w:val="0"/>
        <w:autoSpaceDE/>
        <w:autoSpaceDN/>
        <w:bidi w:val="0"/>
        <w:adjustRightInd/>
        <w:spacing w:before="159" w:beforeLines="50" w:beforeAutospacing="0" w:line="400" w:lineRule="exact"/>
        <w:jc w:val="center"/>
        <w:textAlignment w:val="auto"/>
        <w:outlineLvl w:val="9"/>
        <w:rPr>
          <w:rFonts w:hint="eastAsia" w:ascii="宋体" w:hAnsi="宋体" w:eastAsia="宋体" w:cs="宋体"/>
          <w:b/>
          <w:bCs/>
          <w:color w:val="auto"/>
          <w:sz w:val="30"/>
          <w:szCs w:val="30"/>
          <w:highlight w:val="none"/>
        </w:rPr>
      </w:pPr>
    </w:p>
    <w:p w14:paraId="0FF6E88A">
      <w:pPr>
        <w:keepNext w:val="0"/>
        <w:keepLines w:val="0"/>
        <w:pageBreakBefore w:val="0"/>
        <w:kinsoku/>
        <w:wordWrap/>
        <w:overflowPunct/>
        <w:topLinePunct w:val="0"/>
        <w:autoSpaceDE/>
        <w:autoSpaceDN/>
        <w:bidi w:val="0"/>
        <w:adjustRightInd/>
        <w:spacing w:before="159" w:beforeLines="50" w:beforeAutospacing="0" w:line="400" w:lineRule="exact"/>
        <w:jc w:val="center"/>
        <w:textAlignment w:val="auto"/>
        <w:outlineLvl w:val="9"/>
        <w:rPr>
          <w:rFonts w:hint="eastAsia" w:ascii="宋体" w:hAnsi="宋体" w:eastAsia="宋体" w:cs="宋体"/>
          <w:color w:val="auto"/>
          <w:highlight w:val="none"/>
        </w:rPr>
      </w:pPr>
      <w:r>
        <w:rPr>
          <w:rFonts w:hint="eastAsia" w:ascii="宋体" w:hAnsi="宋体" w:eastAsia="宋体" w:cs="宋体"/>
          <w:b/>
          <w:bCs/>
          <w:color w:val="auto"/>
          <w:sz w:val="30"/>
          <w:szCs w:val="30"/>
          <w:highlight w:val="none"/>
          <w:lang w:val="en-US" w:eastAsia="zh-CN"/>
        </w:rPr>
        <w:t>磋商供应商直接管理关系</w:t>
      </w:r>
      <w:r>
        <w:rPr>
          <w:rFonts w:hint="eastAsia" w:ascii="宋体" w:hAnsi="宋体" w:eastAsia="宋体" w:cs="宋体"/>
          <w:b/>
          <w:bCs/>
          <w:color w:val="auto"/>
          <w:sz w:val="30"/>
          <w:szCs w:val="30"/>
          <w:highlight w:val="none"/>
        </w:rPr>
        <w:t>信息表（格式）</w:t>
      </w:r>
    </w:p>
    <w:tbl>
      <w:tblPr>
        <w:tblStyle w:val="61"/>
        <w:tblW w:w="8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3077"/>
        <w:gridCol w:w="2805"/>
        <w:gridCol w:w="1648"/>
      </w:tblGrid>
      <w:tr w14:paraId="7C027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top"/>
          </w:tcPr>
          <w:p w14:paraId="1270805F">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rPr>
              <w:t>序号</w:t>
            </w:r>
          </w:p>
        </w:tc>
        <w:tc>
          <w:tcPr>
            <w:tcW w:w="3077" w:type="dxa"/>
            <w:vAlign w:val="top"/>
          </w:tcPr>
          <w:p w14:paraId="7A765B0B">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lang w:val="en-US" w:eastAsia="zh-CN"/>
              </w:rPr>
            </w:pPr>
            <w:r>
              <w:rPr>
                <w:rFonts w:hint="eastAsia" w:ascii="宋体" w:hAnsi="宋体" w:eastAsia="宋体" w:cs="宋体"/>
                <w:b/>
                <w:bCs/>
                <w:color w:val="auto"/>
                <w:spacing w:val="10"/>
                <w:kern w:val="0"/>
                <w:szCs w:val="21"/>
                <w:highlight w:val="none"/>
                <w:lang w:val="en-US" w:eastAsia="zh-CN"/>
              </w:rPr>
              <w:t>直接管理关系单位名称</w:t>
            </w:r>
          </w:p>
        </w:tc>
        <w:tc>
          <w:tcPr>
            <w:tcW w:w="2805" w:type="dxa"/>
            <w:vAlign w:val="top"/>
          </w:tcPr>
          <w:p w14:paraId="68262958">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lang w:val="en-US" w:eastAsia="zh-CN"/>
              </w:rPr>
              <w:t>统一社会信用代码</w:t>
            </w:r>
          </w:p>
        </w:tc>
        <w:tc>
          <w:tcPr>
            <w:tcW w:w="1648" w:type="dxa"/>
            <w:vAlign w:val="top"/>
          </w:tcPr>
          <w:p w14:paraId="4168A888">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tc>
      </w:tr>
      <w:tr w14:paraId="25043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top"/>
          </w:tcPr>
          <w:p w14:paraId="49089608">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rPr>
            </w:pPr>
            <w:r>
              <w:rPr>
                <w:rFonts w:hint="eastAsia" w:ascii="宋体" w:hAnsi="宋体" w:eastAsia="宋体" w:cs="宋体"/>
                <w:bCs/>
                <w:color w:val="auto"/>
                <w:spacing w:val="10"/>
                <w:kern w:val="0"/>
                <w:szCs w:val="21"/>
                <w:highlight w:val="none"/>
              </w:rPr>
              <w:t>1</w:t>
            </w:r>
          </w:p>
        </w:tc>
        <w:tc>
          <w:tcPr>
            <w:tcW w:w="3077" w:type="dxa"/>
            <w:vAlign w:val="top"/>
          </w:tcPr>
          <w:p w14:paraId="7B712DB9">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2805" w:type="dxa"/>
            <w:vAlign w:val="top"/>
          </w:tcPr>
          <w:p w14:paraId="20F7D83F">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648" w:type="dxa"/>
            <w:vAlign w:val="top"/>
          </w:tcPr>
          <w:p w14:paraId="32F96780">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27B89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top"/>
          </w:tcPr>
          <w:p w14:paraId="087BF5C0">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rPr>
            </w:pPr>
            <w:r>
              <w:rPr>
                <w:rFonts w:hint="eastAsia" w:ascii="宋体" w:hAnsi="宋体" w:eastAsia="宋体" w:cs="宋体"/>
                <w:bCs/>
                <w:color w:val="auto"/>
                <w:spacing w:val="10"/>
                <w:kern w:val="0"/>
                <w:szCs w:val="21"/>
                <w:highlight w:val="none"/>
              </w:rPr>
              <w:t>2</w:t>
            </w:r>
          </w:p>
        </w:tc>
        <w:tc>
          <w:tcPr>
            <w:tcW w:w="3077" w:type="dxa"/>
            <w:vAlign w:val="top"/>
          </w:tcPr>
          <w:p w14:paraId="33D4BD3A">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2805" w:type="dxa"/>
            <w:vAlign w:val="top"/>
          </w:tcPr>
          <w:p w14:paraId="41C5221E">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648" w:type="dxa"/>
            <w:vAlign w:val="top"/>
          </w:tcPr>
          <w:p w14:paraId="358565E5">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71B7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top"/>
          </w:tcPr>
          <w:p w14:paraId="04469797">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lang w:val="en-US" w:eastAsia="zh-CN"/>
              </w:rPr>
            </w:pPr>
            <w:r>
              <w:rPr>
                <w:rFonts w:hint="eastAsia" w:ascii="宋体" w:hAnsi="宋体" w:eastAsia="宋体" w:cs="宋体"/>
                <w:bCs/>
                <w:color w:val="auto"/>
                <w:spacing w:val="10"/>
                <w:kern w:val="0"/>
                <w:szCs w:val="21"/>
                <w:highlight w:val="none"/>
                <w:lang w:val="en-US" w:eastAsia="zh-CN"/>
              </w:rPr>
              <w:t>.....</w:t>
            </w:r>
          </w:p>
        </w:tc>
        <w:tc>
          <w:tcPr>
            <w:tcW w:w="3077" w:type="dxa"/>
            <w:vAlign w:val="top"/>
          </w:tcPr>
          <w:p w14:paraId="589F887C">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2805" w:type="dxa"/>
            <w:vAlign w:val="top"/>
          </w:tcPr>
          <w:p w14:paraId="0E0C4580">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648" w:type="dxa"/>
            <w:vAlign w:val="top"/>
          </w:tcPr>
          <w:p w14:paraId="239191C9">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bl>
    <w:p w14:paraId="174B8480">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说明：</w:t>
      </w:r>
    </w:p>
    <w:p w14:paraId="643E436E">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4"/>
          <w:highlight w:val="none"/>
          <w:lang w:val="en-US" w:eastAsia="zh-CN" w:bidi="ar-SA"/>
        </w:rPr>
        <w:t>1.</w:t>
      </w:r>
      <w:r>
        <w:rPr>
          <w:rFonts w:hint="eastAsia" w:ascii="宋体" w:hAnsi="宋体" w:eastAsia="宋体" w:cs="宋体"/>
          <w:color w:val="auto"/>
          <w:highlight w:val="none"/>
          <w:lang w:val="en-US" w:eastAsia="zh-CN"/>
        </w:rPr>
        <w:t>管理关系：是指不具有出资持股关系的其他单位之间的管理与被管理关系。</w:t>
      </w:r>
    </w:p>
    <w:p w14:paraId="0EE9C8B6">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4"/>
          <w:highlight w:val="none"/>
          <w:lang w:val="en-US" w:eastAsia="zh-CN" w:bidi="ar-SA"/>
        </w:rPr>
        <w:t>2.</w:t>
      </w:r>
      <w:r>
        <w:rPr>
          <w:rFonts w:hint="eastAsia" w:ascii="宋体" w:hAnsi="宋体" w:eastAsia="宋体" w:cs="宋体"/>
          <w:color w:val="auto"/>
          <w:highlight w:val="none"/>
          <w:lang w:val="en-US" w:eastAsia="zh-CN"/>
        </w:rPr>
        <w:t>本表所指的管理关系仅限于直接管理关系，不包含间接的管理关系。</w:t>
      </w:r>
    </w:p>
    <w:p w14:paraId="2DC4F980">
      <w:pPr>
        <w:pStyle w:val="56"/>
        <w:widowControl w:val="0"/>
        <w:adjustRightInd w:val="0"/>
        <w:snapToGrid w:val="0"/>
        <w:spacing w:before="0" w:beforeAutospacing="0" w:after="0" w:afterAutospacing="0"/>
        <w:jc w:val="right"/>
        <w:outlineLvl w:val="9"/>
        <w:rPr>
          <w:rFonts w:hint="eastAsia" w:ascii="宋体" w:hAnsi="宋体" w:eastAsia="宋体" w:cs="宋体"/>
          <w:b w:val="0"/>
          <w:bCs w:val="0"/>
          <w:color w:val="auto"/>
          <w:sz w:val="21"/>
          <w:szCs w:val="21"/>
          <w:highlight w:val="none"/>
        </w:rPr>
      </w:pPr>
    </w:p>
    <w:p w14:paraId="44EE5019">
      <w:pPr>
        <w:bidi w:val="0"/>
        <w:jc w:val="right"/>
        <w:outlineLvl w:val="9"/>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磋商供应商名称</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电子公章</w:t>
      </w:r>
      <w:r>
        <w:rPr>
          <w:rFonts w:hint="eastAsia" w:ascii="宋体" w:hAnsi="宋体" w:eastAsia="宋体" w:cs="宋体"/>
          <w:b/>
          <w:bCs/>
          <w:color w:val="auto"/>
          <w:highlight w:val="none"/>
        </w:rPr>
        <w:t>）</w:t>
      </w:r>
      <w:r>
        <w:rPr>
          <w:rFonts w:hint="eastAsia" w:ascii="宋体" w:hAnsi="宋体" w:eastAsia="宋体" w:cs="宋体"/>
          <w:b/>
          <w:bCs/>
          <w:color w:val="auto"/>
          <w:highlight w:val="none"/>
          <w:lang w:eastAsia="zh-CN"/>
        </w:rPr>
        <w:t>：</w:t>
      </w:r>
    </w:p>
    <w:p w14:paraId="0612D71C">
      <w:pPr>
        <w:outlineLvl w:val="9"/>
        <w:rPr>
          <w:rFonts w:hint="eastAsia" w:ascii="宋体" w:hAnsi="宋体" w:eastAsia="宋体" w:cs="宋体"/>
          <w:color w:val="auto"/>
          <w:highlight w:val="none"/>
        </w:rPr>
      </w:pPr>
    </w:p>
    <w:p w14:paraId="21CD90C4">
      <w:pPr>
        <w:widowControl/>
        <w:adjustRightInd/>
        <w:jc w:val="left"/>
        <w:outlineLvl w:val="9"/>
        <w:rPr>
          <w:rFonts w:hint="eastAsia" w:ascii="宋体" w:hAnsi="宋体" w:eastAsia="宋体" w:cs="宋体"/>
          <w:b/>
          <w:color w:val="auto"/>
          <w:kern w:val="0"/>
          <w:sz w:val="32"/>
          <w:szCs w:val="32"/>
          <w:highlight w:val="none"/>
        </w:rPr>
      </w:pPr>
    </w:p>
    <w:p w14:paraId="66040CF9">
      <w:pPr>
        <w:outlineLvl w:val="9"/>
        <w:rPr>
          <w:rFonts w:hint="eastAsia" w:ascii="宋体" w:hAnsi="宋体" w:eastAsia="宋体" w:cs="宋体"/>
          <w:b/>
          <w:color w:val="auto"/>
          <w:kern w:val="0"/>
          <w:sz w:val="32"/>
          <w:szCs w:val="32"/>
          <w:highlight w:val="none"/>
        </w:rPr>
      </w:pPr>
    </w:p>
    <w:p w14:paraId="48FA01DC">
      <w:pPr>
        <w:numPr>
          <w:ilvl w:val="0"/>
          <w:numId w:val="0"/>
        </w:numPr>
        <w:tabs>
          <w:tab w:val="left" w:pos="432"/>
        </w:tabs>
        <w:ind w:leftChars="0"/>
        <w:outlineLvl w:val="9"/>
        <w:rPr>
          <w:rFonts w:hint="eastAsia" w:ascii="宋体" w:hAnsi="宋体" w:eastAsia="宋体" w:cs="宋体"/>
          <w:b/>
          <w:color w:val="auto"/>
          <w:kern w:val="0"/>
          <w:sz w:val="32"/>
          <w:szCs w:val="32"/>
          <w:highlight w:val="none"/>
        </w:rPr>
      </w:pPr>
    </w:p>
    <w:p w14:paraId="0BA53EA3">
      <w:pPr>
        <w:outlineLvl w:val="9"/>
        <w:rPr>
          <w:rFonts w:hint="eastAsia" w:ascii="宋体" w:hAnsi="宋体" w:eastAsia="宋体" w:cs="宋体"/>
          <w:b/>
          <w:color w:val="auto"/>
          <w:kern w:val="0"/>
          <w:sz w:val="32"/>
          <w:szCs w:val="32"/>
          <w:highlight w:val="none"/>
        </w:rPr>
      </w:pPr>
    </w:p>
    <w:p w14:paraId="26DDCA1B">
      <w:pPr>
        <w:numPr>
          <w:ilvl w:val="0"/>
          <w:numId w:val="0"/>
        </w:numPr>
        <w:tabs>
          <w:tab w:val="left" w:pos="432"/>
        </w:tabs>
        <w:ind w:leftChars="0"/>
        <w:outlineLvl w:val="9"/>
        <w:rPr>
          <w:rFonts w:hint="eastAsia" w:ascii="宋体" w:hAnsi="宋体" w:eastAsia="宋体" w:cs="宋体"/>
          <w:b/>
          <w:color w:val="auto"/>
          <w:kern w:val="0"/>
          <w:sz w:val="32"/>
          <w:szCs w:val="32"/>
          <w:highlight w:val="none"/>
        </w:rPr>
      </w:pPr>
    </w:p>
    <w:p w14:paraId="4A459B1E">
      <w:pPr>
        <w:outlineLvl w:val="9"/>
        <w:rPr>
          <w:rFonts w:hint="eastAsia" w:ascii="宋体" w:hAnsi="宋体" w:eastAsia="宋体" w:cs="宋体"/>
          <w:b/>
          <w:color w:val="auto"/>
          <w:kern w:val="0"/>
          <w:sz w:val="32"/>
          <w:szCs w:val="32"/>
          <w:highlight w:val="none"/>
        </w:rPr>
      </w:pPr>
    </w:p>
    <w:p w14:paraId="7AF3A85D">
      <w:pPr>
        <w:numPr>
          <w:ilvl w:val="0"/>
          <w:numId w:val="0"/>
        </w:numPr>
        <w:tabs>
          <w:tab w:val="left" w:pos="432"/>
        </w:tabs>
        <w:ind w:leftChars="0"/>
        <w:outlineLvl w:val="9"/>
        <w:rPr>
          <w:rFonts w:hint="eastAsia" w:ascii="宋体" w:hAnsi="宋体" w:eastAsia="宋体" w:cs="宋体"/>
          <w:b/>
          <w:color w:val="auto"/>
          <w:kern w:val="0"/>
          <w:sz w:val="32"/>
          <w:szCs w:val="32"/>
          <w:highlight w:val="none"/>
        </w:rPr>
      </w:pPr>
    </w:p>
    <w:p w14:paraId="7AAC7C26">
      <w:pPr>
        <w:outlineLvl w:val="9"/>
        <w:rPr>
          <w:rFonts w:hint="eastAsia" w:ascii="宋体" w:hAnsi="宋体" w:eastAsia="宋体" w:cs="宋体"/>
          <w:b/>
          <w:color w:val="auto"/>
          <w:kern w:val="0"/>
          <w:sz w:val="32"/>
          <w:szCs w:val="32"/>
          <w:highlight w:val="none"/>
        </w:rPr>
      </w:pPr>
    </w:p>
    <w:p w14:paraId="3C3B2719">
      <w:pPr>
        <w:pStyle w:val="15"/>
        <w:outlineLvl w:val="9"/>
        <w:rPr>
          <w:rFonts w:hint="eastAsia" w:ascii="宋体" w:hAnsi="宋体" w:eastAsia="宋体" w:cs="宋体"/>
          <w:b/>
          <w:color w:val="auto"/>
          <w:kern w:val="0"/>
          <w:sz w:val="32"/>
          <w:szCs w:val="32"/>
          <w:highlight w:val="none"/>
        </w:rPr>
      </w:pPr>
    </w:p>
    <w:p w14:paraId="7ED0CC09">
      <w:pPr>
        <w:outlineLvl w:val="9"/>
        <w:rPr>
          <w:rFonts w:hint="eastAsia" w:ascii="宋体" w:hAnsi="宋体" w:eastAsia="宋体" w:cs="宋体"/>
          <w:b/>
          <w:color w:val="auto"/>
          <w:kern w:val="0"/>
          <w:sz w:val="32"/>
          <w:szCs w:val="32"/>
          <w:highlight w:val="none"/>
        </w:rPr>
      </w:pPr>
    </w:p>
    <w:p w14:paraId="0558A9E8">
      <w:pPr>
        <w:pStyle w:val="15"/>
        <w:outlineLvl w:val="9"/>
        <w:rPr>
          <w:rFonts w:hint="eastAsia" w:ascii="宋体" w:hAnsi="宋体" w:eastAsia="宋体" w:cs="宋体"/>
          <w:b/>
          <w:color w:val="auto"/>
          <w:kern w:val="0"/>
          <w:sz w:val="32"/>
          <w:szCs w:val="32"/>
          <w:highlight w:val="none"/>
        </w:rPr>
      </w:pPr>
    </w:p>
    <w:p w14:paraId="7BD1AF2D">
      <w:pPr>
        <w:outlineLvl w:val="9"/>
        <w:rPr>
          <w:rFonts w:hint="eastAsia" w:ascii="宋体" w:hAnsi="宋体" w:eastAsia="宋体" w:cs="宋体"/>
          <w:b/>
          <w:color w:val="auto"/>
          <w:kern w:val="0"/>
          <w:sz w:val="32"/>
          <w:szCs w:val="32"/>
          <w:highlight w:val="none"/>
        </w:rPr>
      </w:pPr>
    </w:p>
    <w:p w14:paraId="0347F86F">
      <w:pPr>
        <w:pStyle w:val="15"/>
        <w:outlineLvl w:val="9"/>
        <w:rPr>
          <w:rFonts w:hint="eastAsia" w:ascii="宋体" w:hAnsi="宋体" w:eastAsia="宋体" w:cs="宋体"/>
          <w:b/>
          <w:color w:val="auto"/>
          <w:kern w:val="0"/>
          <w:sz w:val="32"/>
          <w:szCs w:val="32"/>
          <w:highlight w:val="none"/>
        </w:rPr>
      </w:pPr>
    </w:p>
    <w:p w14:paraId="017D87B5">
      <w:pPr>
        <w:outlineLvl w:val="9"/>
        <w:rPr>
          <w:rFonts w:hint="eastAsia" w:ascii="宋体" w:hAnsi="宋体" w:eastAsia="宋体" w:cs="宋体"/>
          <w:b/>
          <w:color w:val="auto"/>
          <w:kern w:val="0"/>
          <w:sz w:val="32"/>
          <w:szCs w:val="32"/>
          <w:highlight w:val="none"/>
        </w:rPr>
      </w:pPr>
    </w:p>
    <w:p w14:paraId="4ABB565A">
      <w:pPr>
        <w:pStyle w:val="15"/>
        <w:outlineLvl w:val="9"/>
        <w:rPr>
          <w:rFonts w:hint="eastAsia" w:ascii="宋体" w:hAnsi="宋体" w:eastAsia="宋体" w:cs="宋体"/>
          <w:b/>
          <w:color w:val="auto"/>
          <w:kern w:val="0"/>
          <w:sz w:val="32"/>
          <w:szCs w:val="32"/>
          <w:highlight w:val="none"/>
        </w:rPr>
      </w:pPr>
    </w:p>
    <w:p w14:paraId="1CE8C7BC">
      <w:pPr>
        <w:outlineLvl w:val="9"/>
        <w:rPr>
          <w:rFonts w:hint="eastAsia" w:ascii="宋体" w:hAnsi="宋体" w:eastAsia="宋体" w:cs="宋体"/>
          <w:b/>
          <w:color w:val="auto"/>
          <w:kern w:val="0"/>
          <w:sz w:val="32"/>
          <w:szCs w:val="32"/>
          <w:highlight w:val="none"/>
        </w:rPr>
      </w:pPr>
    </w:p>
    <w:p w14:paraId="7F14DBE4">
      <w:pPr>
        <w:pStyle w:val="15"/>
        <w:outlineLvl w:val="9"/>
        <w:rPr>
          <w:rFonts w:hint="eastAsia" w:ascii="宋体" w:hAnsi="宋体" w:eastAsia="宋体" w:cs="宋体"/>
          <w:b/>
          <w:color w:val="auto"/>
          <w:kern w:val="0"/>
          <w:sz w:val="32"/>
          <w:szCs w:val="32"/>
          <w:highlight w:val="none"/>
        </w:rPr>
      </w:pPr>
    </w:p>
    <w:p w14:paraId="2381038B">
      <w:pPr>
        <w:rPr>
          <w:rFonts w:hint="eastAsia" w:ascii="宋体" w:hAnsi="宋体" w:eastAsia="宋体" w:cs="宋体"/>
          <w:b/>
          <w:color w:val="auto"/>
          <w:kern w:val="0"/>
          <w:sz w:val="32"/>
          <w:szCs w:val="32"/>
          <w:highlight w:val="none"/>
        </w:rPr>
      </w:pPr>
    </w:p>
    <w:p w14:paraId="604180C2">
      <w:pPr>
        <w:pStyle w:val="15"/>
        <w:rPr>
          <w:rFonts w:hint="eastAsia" w:ascii="宋体" w:hAnsi="宋体" w:eastAsia="宋体" w:cs="宋体"/>
          <w:b/>
          <w:color w:val="auto"/>
          <w:kern w:val="0"/>
          <w:sz w:val="32"/>
          <w:szCs w:val="32"/>
          <w:highlight w:val="none"/>
        </w:rPr>
      </w:pPr>
    </w:p>
    <w:p w14:paraId="26D0A403">
      <w:pPr>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br w:type="page"/>
      </w:r>
    </w:p>
    <w:p w14:paraId="68985ECD">
      <w:pPr>
        <w:jc w:val="center"/>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四、中小企业声明函</w:t>
      </w:r>
    </w:p>
    <w:p w14:paraId="1B5B74E9">
      <w:pPr>
        <w:pStyle w:val="15"/>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kern w:val="0"/>
          <w:sz w:val="24"/>
          <w:szCs w:val="24"/>
          <w:highlight w:val="none"/>
          <w:lang w:val="en-US" w:eastAsia="zh-CN"/>
        </w:rPr>
        <w:t>（必须提供，格式详见附件4）</w:t>
      </w:r>
    </w:p>
    <w:p w14:paraId="4DBCA5E9">
      <w:pPr>
        <w:rPr>
          <w:rFonts w:hint="eastAsia" w:ascii="宋体" w:hAnsi="宋体" w:eastAsia="宋体" w:cs="宋体"/>
          <w:b/>
          <w:color w:val="auto"/>
          <w:kern w:val="0"/>
          <w:sz w:val="32"/>
          <w:szCs w:val="32"/>
          <w:highlight w:val="none"/>
        </w:rPr>
      </w:pPr>
    </w:p>
    <w:p w14:paraId="0EC014E4">
      <w:pPr>
        <w:numPr>
          <w:ilvl w:val="0"/>
          <w:numId w:val="0"/>
        </w:numPr>
        <w:tabs>
          <w:tab w:val="left" w:pos="432"/>
        </w:tabs>
        <w:ind w:leftChars="0"/>
        <w:outlineLvl w:val="9"/>
        <w:rPr>
          <w:rFonts w:hint="eastAsia" w:ascii="宋体" w:hAnsi="宋体" w:eastAsia="宋体" w:cs="宋体"/>
          <w:b/>
          <w:color w:val="auto"/>
          <w:kern w:val="0"/>
          <w:sz w:val="32"/>
          <w:szCs w:val="32"/>
          <w:highlight w:val="none"/>
        </w:rPr>
      </w:pPr>
    </w:p>
    <w:p w14:paraId="79EDFC6D">
      <w:pPr>
        <w:outlineLvl w:val="9"/>
        <w:rPr>
          <w:rFonts w:hint="eastAsia" w:ascii="宋体" w:hAnsi="宋体" w:eastAsia="宋体" w:cs="宋体"/>
          <w:b/>
          <w:color w:val="auto"/>
          <w:kern w:val="0"/>
          <w:sz w:val="32"/>
          <w:szCs w:val="32"/>
          <w:highlight w:val="none"/>
        </w:rPr>
      </w:pPr>
    </w:p>
    <w:p w14:paraId="1C0FC8A7">
      <w:pPr>
        <w:numPr>
          <w:ilvl w:val="0"/>
          <w:numId w:val="0"/>
        </w:numPr>
        <w:tabs>
          <w:tab w:val="left" w:pos="432"/>
        </w:tabs>
        <w:ind w:leftChars="0"/>
        <w:outlineLvl w:val="9"/>
        <w:rPr>
          <w:rFonts w:hint="eastAsia" w:ascii="宋体" w:hAnsi="宋体" w:eastAsia="宋体" w:cs="宋体"/>
          <w:b/>
          <w:color w:val="auto"/>
          <w:kern w:val="0"/>
          <w:sz w:val="32"/>
          <w:szCs w:val="32"/>
          <w:highlight w:val="none"/>
        </w:rPr>
      </w:pPr>
    </w:p>
    <w:p w14:paraId="7689A767">
      <w:pPr>
        <w:outlineLvl w:val="9"/>
        <w:rPr>
          <w:rFonts w:hint="eastAsia" w:ascii="宋体" w:hAnsi="宋体" w:eastAsia="宋体" w:cs="宋体"/>
          <w:b/>
          <w:color w:val="auto"/>
          <w:kern w:val="0"/>
          <w:sz w:val="32"/>
          <w:szCs w:val="32"/>
          <w:highlight w:val="none"/>
        </w:rPr>
      </w:pPr>
    </w:p>
    <w:p w14:paraId="26C9AA3A">
      <w:pPr>
        <w:numPr>
          <w:ilvl w:val="0"/>
          <w:numId w:val="0"/>
        </w:numPr>
        <w:tabs>
          <w:tab w:val="left" w:pos="432"/>
        </w:tabs>
        <w:ind w:leftChars="0"/>
        <w:outlineLvl w:val="9"/>
        <w:rPr>
          <w:rFonts w:hint="eastAsia" w:ascii="宋体" w:hAnsi="宋体" w:eastAsia="宋体" w:cs="宋体"/>
          <w:b/>
          <w:color w:val="auto"/>
          <w:kern w:val="0"/>
          <w:sz w:val="32"/>
          <w:szCs w:val="32"/>
          <w:highlight w:val="none"/>
        </w:rPr>
      </w:pPr>
    </w:p>
    <w:p w14:paraId="76F339AC">
      <w:pPr>
        <w:outlineLvl w:val="9"/>
        <w:rPr>
          <w:rFonts w:hint="eastAsia" w:ascii="宋体" w:hAnsi="宋体" w:eastAsia="宋体" w:cs="宋体"/>
          <w:b/>
          <w:color w:val="auto"/>
          <w:kern w:val="0"/>
          <w:sz w:val="32"/>
          <w:szCs w:val="32"/>
          <w:highlight w:val="none"/>
        </w:rPr>
      </w:pPr>
    </w:p>
    <w:p w14:paraId="4ECD606E">
      <w:pPr>
        <w:pStyle w:val="15"/>
        <w:outlineLvl w:val="9"/>
        <w:rPr>
          <w:rFonts w:hint="eastAsia" w:ascii="宋体" w:hAnsi="宋体" w:eastAsia="宋体" w:cs="宋体"/>
          <w:b/>
          <w:color w:val="auto"/>
          <w:kern w:val="0"/>
          <w:sz w:val="32"/>
          <w:szCs w:val="32"/>
          <w:highlight w:val="none"/>
        </w:rPr>
      </w:pPr>
    </w:p>
    <w:p w14:paraId="19C15132">
      <w:pPr>
        <w:outlineLvl w:val="9"/>
        <w:rPr>
          <w:rFonts w:hint="eastAsia" w:ascii="宋体" w:hAnsi="宋体" w:eastAsia="宋体" w:cs="宋体"/>
          <w:b/>
          <w:color w:val="auto"/>
          <w:kern w:val="0"/>
          <w:sz w:val="32"/>
          <w:szCs w:val="32"/>
          <w:highlight w:val="none"/>
        </w:rPr>
      </w:pPr>
    </w:p>
    <w:p w14:paraId="7F4C2474">
      <w:pPr>
        <w:pStyle w:val="15"/>
        <w:outlineLvl w:val="9"/>
        <w:rPr>
          <w:rFonts w:hint="eastAsia" w:ascii="宋体" w:hAnsi="宋体" w:eastAsia="宋体" w:cs="宋体"/>
          <w:b/>
          <w:color w:val="auto"/>
          <w:kern w:val="0"/>
          <w:sz w:val="32"/>
          <w:szCs w:val="32"/>
          <w:highlight w:val="none"/>
        </w:rPr>
      </w:pPr>
    </w:p>
    <w:p w14:paraId="17123271">
      <w:pPr>
        <w:outlineLvl w:val="9"/>
        <w:rPr>
          <w:rFonts w:hint="eastAsia" w:ascii="宋体" w:hAnsi="宋体" w:eastAsia="宋体" w:cs="宋体"/>
          <w:b/>
          <w:color w:val="auto"/>
          <w:kern w:val="0"/>
          <w:sz w:val="32"/>
          <w:szCs w:val="32"/>
          <w:highlight w:val="none"/>
        </w:rPr>
      </w:pPr>
    </w:p>
    <w:p w14:paraId="7B42B1DE">
      <w:pPr>
        <w:pStyle w:val="15"/>
        <w:outlineLvl w:val="9"/>
        <w:rPr>
          <w:rFonts w:hint="eastAsia" w:ascii="宋体" w:hAnsi="宋体" w:eastAsia="宋体" w:cs="宋体"/>
          <w:b/>
          <w:color w:val="auto"/>
          <w:kern w:val="0"/>
          <w:sz w:val="32"/>
          <w:szCs w:val="32"/>
          <w:highlight w:val="none"/>
        </w:rPr>
      </w:pPr>
    </w:p>
    <w:p w14:paraId="72597853">
      <w:pPr>
        <w:outlineLvl w:val="9"/>
        <w:rPr>
          <w:rFonts w:hint="eastAsia" w:ascii="宋体" w:hAnsi="宋体" w:eastAsia="宋体" w:cs="宋体"/>
          <w:b/>
          <w:color w:val="auto"/>
          <w:kern w:val="0"/>
          <w:sz w:val="32"/>
          <w:szCs w:val="32"/>
          <w:highlight w:val="none"/>
        </w:rPr>
      </w:pPr>
    </w:p>
    <w:p w14:paraId="06840682">
      <w:pPr>
        <w:pStyle w:val="15"/>
        <w:outlineLvl w:val="9"/>
        <w:rPr>
          <w:rFonts w:hint="eastAsia" w:ascii="宋体" w:hAnsi="宋体" w:eastAsia="宋体" w:cs="宋体"/>
          <w:b/>
          <w:color w:val="auto"/>
          <w:kern w:val="0"/>
          <w:sz w:val="32"/>
          <w:szCs w:val="32"/>
          <w:highlight w:val="none"/>
        </w:rPr>
      </w:pPr>
    </w:p>
    <w:p w14:paraId="354097D6">
      <w:pPr>
        <w:outlineLvl w:val="9"/>
        <w:rPr>
          <w:rFonts w:hint="eastAsia" w:ascii="宋体" w:hAnsi="宋体" w:eastAsia="宋体" w:cs="宋体"/>
          <w:b/>
          <w:color w:val="auto"/>
          <w:kern w:val="0"/>
          <w:sz w:val="32"/>
          <w:szCs w:val="32"/>
          <w:highlight w:val="none"/>
        </w:rPr>
      </w:pPr>
    </w:p>
    <w:p w14:paraId="10FA068D">
      <w:pPr>
        <w:pStyle w:val="15"/>
        <w:outlineLvl w:val="9"/>
        <w:rPr>
          <w:rFonts w:hint="eastAsia" w:ascii="宋体" w:hAnsi="宋体" w:eastAsia="宋体" w:cs="宋体"/>
          <w:b/>
          <w:color w:val="auto"/>
          <w:kern w:val="0"/>
          <w:sz w:val="32"/>
          <w:szCs w:val="32"/>
          <w:highlight w:val="none"/>
        </w:rPr>
      </w:pPr>
    </w:p>
    <w:p w14:paraId="30835BF8">
      <w:pPr>
        <w:outlineLvl w:val="9"/>
        <w:rPr>
          <w:rFonts w:hint="eastAsia" w:ascii="宋体" w:hAnsi="宋体" w:eastAsia="宋体" w:cs="宋体"/>
          <w:b/>
          <w:color w:val="auto"/>
          <w:kern w:val="0"/>
          <w:sz w:val="32"/>
          <w:szCs w:val="32"/>
          <w:highlight w:val="none"/>
        </w:rPr>
      </w:pPr>
    </w:p>
    <w:p w14:paraId="088F3836">
      <w:pPr>
        <w:pStyle w:val="15"/>
        <w:outlineLvl w:val="9"/>
        <w:rPr>
          <w:rFonts w:hint="eastAsia" w:ascii="宋体" w:hAnsi="宋体" w:eastAsia="宋体" w:cs="宋体"/>
          <w:b/>
          <w:color w:val="auto"/>
          <w:kern w:val="0"/>
          <w:sz w:val="32"/>
          <w:szCs w:val="32"/>
          <w:highlight w:val="none"/>
        </w:rPr>
      </w:pPr>
    </w:p>
    <w:p w14:paraId="66F8EE32">
      <w:pPr>
        <w:outlineLvl w:val="9"/>
        <w:rPr>
          <w:rFonts w:hint="eastAsia" w:ascii="宋体" w:hAnsi="宋体" w:eastAsia="宋体" w:cs="宋体"/>
          <w:b/>
          <w:color w:val="auto"/>
          <w:kern w:val="0"/>
          <w:sz w:val="32"/>
          <w:szCs w:val="32"/>
          <w:highlight w:val="none"/>
        </w:rPr>
      </w:pPr>
    </w:p>
    <w:p w14:paraId="75474B25">
      <w:pPr>
        <w:pStyle w:val="15"/>
        <w:outlineLvl w:val="9"/>
        <w:rPr>
          <w:rFonts w:hint="eastAsia" w:ascii="宋体" w:hAnsi="宋体" w:eastAsia="宋体" w:cs="宋体"/>
          <w:b/>
          <w:color w:val="auto"/>
          <w:kern w:val="0"/>
          <w:sz w:val="32"/>
          <w:szCs w:val="32"/>
          <w:highlight w:val="none"/>
        </w:rPr>
      </w:pPr>
    </w:p>
    <w:p w14:paraId="45C95A1D">
      <w:pPr>
        <w:outlineLvl w:val="9"/>
        <w:rPr>
          <w:rFonts w:hint="eastAsia" w:ascii="宋体" w:hAnsi="宋体" w:eastAsia="宋体" w:cs="宋体"/>
          <w:b/>
          <w:color w:val="auto"/>
          <w:kern w:val="0"/>
          <w:sz w:val="32"/>
          <w:szCs w:val="32"/>
          <w:highlight w:val="none"/>
        </w:rPr>
      </w:pPr>
    </w:p>
    <w:p w14:paraId="6E97073E">
      <w:pPr>
        <w:pStyle w:val="15"/>
        <w:outlineLvl w:val="9"/>
        <w:rPr>
          <w:rFonts w:hint="eastAsia" w:ascii="宋体" w:hAnsi="宋体" w:eastAsia="宋体" w:cs="宋体"/>
          <w:b/>
          <w:color w:val="auto"/>
          <w:kern w:val="0"/>
          <w:sz w:val="32"/>
          <w:szCs w:val="32"/>
          <w:highlight w:val="none"/>
        </w:rPr>
      </w:pPr>
    </w:p>
    <w:p w14:paraId="36536D25">
      <w:pPr>
        <w:outlineLvl w:val="9"/>
        <w:rPr>
          <w:rFonts w:hint="eastAsia" w:ascii="宋体" w:hAnsi="宋体" w:eastAsia="宋体" w:cs="宋体"/>
          <w:b/>
          <w:color w:val="auto"/>
          <w:kern w:val="0"/>
          <w:sz w:val="32"/>
          <w:szCs w:val="32"/>
          <w:highlight w:val="none"/>
        </w:rPr>
      </w:pPr>
    </w:p>
    <w:p w14:paraId="16242AE9">
      <w:pPr>
        <w:pStyle w:val="15"/>
        <w:outlineLvl w:val="9"/>
        <w:rPr>
          <w:rFonts w:hint="eastAsia" w:ascii="宋体" w:hAnsi="宋体" w:eastAsia="宋体" w:cs="宋体"/>
          <w:b/>
          <w:color w:val="auto"/>
          <w:kern w:val="0"/>
          <w:sz w:val="32"/>
          <w:szCs w:val="32"/>
          <w:highlight w:val="none"/>
        </w:rPr>
      </w:pPr>
    </w:p>
    <w:p w14:paraId="41FA28A2">
      <w:pPr>
        <w:outlineLvl w:val="9"/>
        <w:rPr>
          <w:rFonts w:hint="eastAsia" w:ascii="宋体" w:hAnsi="宋体" w:eastAsia="宋体" w:cs="宋体"/>
          <w:color w:val="auto"/>
          <w:highlight w:val="none"/>
        </w:rPr>
      </w:pPr>
    </w:p>
    <w:p w14:paraId="5208E35F">
      <w:pPr>
        <w:outlineLvl w:val="9"/>
        <w:rPr>
          <w:rFonts w:hint="eastAsia" w:ascii="宋体" w:hAnsi="宋体" w:eastAsia="宋体" w:cs="宋体"/>
          <w:color w:val="auto"/>
          <w:highlight w:val="none"/>
        </w:rPr>
      </w:pPr>
    </w:p>
    <w:p w14:paraId="27228D06">
      <w:pPr>
        <w:numPr>
          <w:ilvl w:val="0"/>
          <w:numId w:val="0"/>
        </w:numPr>
        <w:ind w:leftChars="0"/>
        <w:outlineLvl w:val="9"/>
        <w:rPr>
          <w:rFonts w:hint="eastAsia" w:ascii="宋体" w:hAnsi="宋体" w:eastAsia="宋体" w:cs="宋体"/>
          <w:color w:val="auto"/>
          <w:highlight w:val="none"/>
        </w:rPr>
      </w:pPr>
    </w:p>
    <w:p w14:paraId="027E1D26">
      <w:pPr>
        <w:outlineLvl w:val="9"/>
        <w:rPr>
          <w:rFonts w:hint="eastAsia" w:ascii="宋体" w:hAnsi="宋体" w:eastAsia="宋体" w:cs="宋体"/>
          <w:color w:val="auto"/>
          <w:highlight w:val="none"/>
        </w:rPr>
      </w:pPr>
    </w:p>
    <w:p w14:paraId="16B3396E">
      <w:pPr>
        <w:widowControl/>
        <w:spacing w:line="360" w:lineRule="auto"/>
        <w:ind w:firstLine="480" w:firstLineChars="200"/>
        <w:jc w:val="left"/>
        <w:rPr>
          <w:rFonts w:hint="eastAsia" w:ascii="宋体" w:hAnsi="宋体" w:eastAsia="宋体" w:cs="宋体"/>
          <w:color w:val="auto"/>
          <w:sz w:val="24"/>
          <w:highlight w:val="none"/>
        </w:rPr>
      </w:pPr>
    </w:p>
    <w:p w14:paraId="56328349">
      <w:pPr>
        <w:rPr>
          <w:rFonts w:hint="eastAsia" w:ascii="宋体" w:hAnsi="宋体" w:eastAsia="宋体" w:cs="宋体"/>
          <w:b/>
          <w:color w:val="auto"/>
          <w:kern w:val="0"/>
          <w:sz w:val="36"/>
          <w:szCs w:val="36"/>
          <w:highlight w:val="none"/>
          <w:lang w:val="en-US" w:eastAsia="zh-CN"/>
        </w:rPr>
      </w:pPr>
      <w:r>
        <w:rPr>
          <w:rFonts w:hint="eastAsia" w:ascii="宋体" w:hAnsi="宋体" w:eastAsia="宋体" w:cs="宋体"/>
          <w:b/>
          <w:color w:val="auto"/>
          <w:kern w:val="0"/>
          <w:sz w:val="36"/>
          <w:szCs w:val="36"/>
          <w:highlight w:val="none"/>
          <w:lang w:val="en-US" w:eastAsia="zh-CN"/>
        </w:rPr>
        <w:br w:type="page"/>
      </w:r>
    </w:p>
    <w:p w14:paraId="4635548B">
      <w:pPr>
        <w:pStyle w:val="3"/>
        <w:numPr>
          <w:ilvl w:val="0"/>
          <w:numId w:val="0"/>
        </w:numPr>
        <w:ind w:left="432" w:leftChars="0" w:hanging="432" w:firstLineChars="0"/>
        <w:jc w:val="center"/>
        <w:rPr>
          <w:rFonts w:hint="eastAsia" w:ascii="宋体" w:hAnsi="宋体" w:eastAsia="宋体" w:cs="宋体"/>
          <w:color w:val="auto"/>
          <w:highlight w:val="none"/>
          <w:lang w:val="en-US" w:eastAsia="zh-CN"/>
        </w:rPr>
      </w:pPr>
      <w:r>
        <w:rPr>
          <w:rFonts w:hint="eastAsia" w:ascii="宋体" w:hAnsi="宋体" w:eastAsia="宋体" w:cs="宋体"/>
          <w:b/>
          <w:color w:val="auto"/>
          <w:kern w:val="0"/>
          <w:sz w:val="36"/>
          <w:szCs w:val="36"/>
          <w:highlight w:val="none"/>
          <w:lang w:val="en-US" w:eastAsia="zh-CN"/>
        </w:rPr>
        <w:t>资信、商务及技术文件部分</w:t>
      </w:r>
    </w:p>
    <w:p w14:paraId="09C1D4CF">
      <w:pPr>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目录</w:t>
      </w:r>
    </w:p>
    <w:p w14:paraId="3ACA6362">
      <w:pPr>
        <w:snapToGrid w:val="0"/>
        <w:spacing w:line="360" w:lineRule="auto"/>
        <w:ind w:left="479"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响应函</w:t>
      </w:r>
      <w:r>
        <w:rPr>
          <w:rFonts w:hint="eastAsia" w:ascii="宋体" w:hAnsi="宋体" w:eastAsia="宋体" w:cs="宋体"/>
          <w:color w:val="auto"/>
          <w:sz w:val="24"/>
          <w:szCs w:val="24"/>
          <w:highlight w:val="none"/>
        </w:rPr>
        <w:t>……………………………………………………………………（页码）（2）</w:t>
      </w:r>
      <w:r>
        <w:rPr>
          <w:rFonts w:hint="eastAsia" w:ascii="宋体" w:hAnsi="宋体" w:eastAsia="宋体" w:cs="宋体"/>
          <w:color w:val="auto"/>
          <w:sz w:val="24"/>
          <w:szCs w:val="24"/>
          <w:highlight w:val="none"/>
          <w:lang w:val="zh-CN"/>
        </w:rPr>
        <w:t>政府采购供应商廉洁自律承诺书</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（页码）</w:t>
      </w:r>
    </w:p>
    <w:p w14:paraId="64EC0381">
      <w:pPr>
        <w:snapToGrid w:val="0"/>
        <w:spacing w:line="360" w:lineRule="auto"/>
        <w:ind w:left="479"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承诺函</w:t>
      </w:r>
      <w:r>
        <w:rPr>
          <w:rFonts w:hint="eastAsia" w:ascii="宋体" w:hAnsi="宋体" w:eastAsia="宋体" w:cs="宋体"/>
          <w:color w:val="auto"/>
          <w:sz w:val="24"/>
          <w:szCs w:val="24"/>
          <w:highlight w:val="none"/>
        </w:rPr>
        <w:t>………………………………………………………………………（页码）</w:t>
      </w:r>
    </w:p>
    <w:p w14:paraId="69A062A0">
      <w:pPr>
        <w:snapToGrid w:val="0"/>
        <w:spacing w:line="360" w:lineRule="auto"/>
        <w:ind w:left="479"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lang w:val="zh-CN"/>
        </w:rPr>
        <w:t>技术服务、商务偏离情况说明表</w:t>
      </w:r>
      <w:r>
        <w:rPr>
          <w:rFonts w:hint="eastAsia" w:ascii="宋体" w:hAnsi="宋体" w:eastAsia="宋体" w:cs="宋体"/>
          <w:color w:val="auto"/>
          <w:sz w:val="24"/>
          <w:szCs w:val="24"/>
          <w:highlight w:val="none"/>
        </w:rPr>
        <w:t>…………………………………………（页码）</w:t>
      </w:r>
    </w:p>
    <w:p w14:paraId="2D3DC0FF">
      <w:pPr>
        <w:snapToGrid w:val="0"/>
        <w:spacing w:line="360" w:lineRule="auto"/>
        <w:ind w:left="479"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）法定代表人（负责人）身份证明书………………………………………（页码）</w:t>
      </w:r>
    </w:p>
    <w:p w14:paraId="2F77CB4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）法定代表人(负责人)授权委托书…………………………………………（页码）</w:t>
      </w:r>
    </w:p>
    <w:p w14:paraId="1BA61BAB">
      <w:pPr>
        <w:snapToGrid w:val="0"/>
        <w:spacing w:line="360" w:lineRule="auto"/>
        <w:ind w:left="479"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zh-CN" w:eastAsia="zh-CN"/>
        </w:rPr>
        <w:t>服务承诺</w:t>
      </w:r>
      <w:r>
        <w:rPr>
          <w:rFonts w:hint="eastAsia" w:ascii="宋体" w:hAnsi="宋体" w:eastAsia="宋体" w:cs="宋体"/>
          <w:color w:val="auto"/>
          <w:sz w:val="24"/>
          <w:szCs w:val="24"/>
          <w:highlight w:val="none"/>
        </w:rPr>
        <w:t>……………………………………………………………………（页码）</w:t>
      </w:r>
    </w:p>
    <w:p w14:paraId="6E24312C">
      <w:pPr>
        <w:snapToGrid w:val="0"/>
        <w:spacing w:line="360" w:lineRule="auto"/>
        <w:ind w:left="479" w:leftChars="22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zh-CN" w:eastAsia="zh-CN"/>
        </w:rPr>
        <w:t>）具备法律、行政法规规定的其他条件的证明材料</w:t>
      </w:r>
      <w:r>
        <w:rPr>
          <w:rFonts w:hint="eastAsia" w:ascii="宋体" w:hAnsi="宋体" w:eastAsia="宋体" w:cs="宋体"/>
          <w:color w:val="auto"/>
          <w:sz w:val="24"/>
          <w:szCs w:val="24"/>
          <w:highlight w:val="none"/>
          <w:lang w:val="en-US" w:eastAsia="zh-CN"/>
        </w:rPr>
        <w:t>………………………（页码）</w:t>
      </w:r>
    </w:p>
    <w:p w14:paraId="19031FDF">
      <w:pPr>
        <w:snapToGrid w:val="0"/>
        <w:spacing w:line="360" w:lineRule="auto"/>
        <w:ind w:left="479" w:leftChars="22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（9）项目实施人员一览表………………………………………………………（页码）</w:t>
      </w:r>
    </w:p>
    <w:p w14:paraId="240AD12F">
      <w:pPr>
        <w:snapToGrid w:val="0"/>
        <w:spacing w:line="360" w:lineRule="auto"/>
        <w:ind w:left="479" w:leftChars="22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（10）采购项目需求中要求必须提供的材料等…………………………………（页码）</w:t>
      </w:r>
    </w:p>
    <w:p w14:paraId="289CD6C8">
      <w:pPr>
        <w:keepNext w:val="0"/>
        <w:keepLines w:val="0"/>
        <w:pageBreakBefore w:val="0"/>
        <w:widowControl w:val="0"/>
        <w:kinsoku/>
        <w:wordWrap/>
        <w:overflowPunct/>
        <w:topLinePunct w:val="0"/>
        <w:autoSpaceDE/>
        <w:autoSpaceDN/>
        <w:bidi w:val="0"/>
        <w:adjustRightInd/>
        <w:snapToGrid w:val="0"/>
        <w:spacing w:line="360" w:lineRule="auto"/>
        <w:ind w:left="479" w:leftChars="228"/>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（11）磋商供应商认为需要提供的有关资料…………………………………（页码）</w:t>
      </w:r>
    </w:p>
    <w:p w14:paraId="248A51E4">
      <w:pPr>
        <w:numPr>
          <w:ilvl w:val="0"/>
          <w:numId w:val="0"/>
        </w:numPr>
        <w:tabs>
          <w:tab w:val="left" w:pos="432"/>
        </w:tabs>
        <w:ind w:leftChars="0"/>
        <w:outlineLvl w:val="9"/>
        <w:rPr>
          <w:rFonts w:hint="eastAsia" w:ascii="宋体" w:hAnsi="宋体" w:eastAsia="宋体" w:cs="宋体"/>
          <w:color w:val="auto"/>
          <w:highlight w:val="none"/>
        </w:rPr>
      </w:pPr>
      <w:r>
        <w:rPr>
          <w:rFonts w:hint="eastAsia" w:ascii="宋体" w:hAnsi="宋体" w:eastAsia="宋体" w:cs="宋体"/>
          <w:b/>
          <w:bCs/>
          <w:color w:val="auto"/>
          <w:sz w:val="24"/>
          <w:highlight w:val="none"/>
        </w:rPr>
        <w:t>注</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以上目录是编制供应商响应文件的基本格式要求，各供应商可根据自身情况进一步细化。</w:t>
      </w:r>
    </w:p>
    <w:p w14:paraId="77064F9E">
      <w:pPr>
        <w:snapToGrid w:val="0"/>
        <w:spacing w:line="360" w:lineRule="auto"/>
        <w:rPr>
          <w:rFonts w:hint="eastAsia" w:ascii="宋体" w:hAnsi="宋体" w:eastAsia="宋体" w:cs="宋体"/>
          <w:color w:val="auto"/>
          <w:kern w:val="0"/>
          <w:sz w:val="24"/>
          <w:highlight w:val="none"/>
          <w:lang w:val="zh-CN"/>
        </w:rPr>
      </w:pPr>
    </w:p>
    <w:p w14:paraId="7E8855E3">
      <w:pPr>
        <w:snapToGrid w:val="0"/>
        <w:spacing w:line="360" w:lineRule="auto"/>
        <w:rPr>
          <w:rFonts w:hint="eastAsia" w:ascii="宋体" w:hAnsi="宋体" w:eastAsia="宋体" w:cs="宋体"/>
          <w:color w:val="auto"/>
          <w:kern w:val="0"/>
          <w:sz w:val="24"/>
          <w:highlight w:val="none"/>
          <w:lang w:val="zh-CN"/>
        </w:rPr>
      </w:pPr>
    </w:p>
    <w:p w14:paraId="7A6539C3">
      <w:pPr>
        <w:snapToGrid w:val="0"/>
        <w:spacing w:line="360" w:lineRule="auto"/>
        <w:ind w:right="480"/>
        <w:jc w:val="center"/>
        <w:rPr>
          <w:rFonts w:hint="eastAsia" w:ascii="宋体" w:hAnsi="宋体" w:eastAsia="宋体" w:cs="宋体"/>
          <w:b/>
          <w:color w:val="auto"/>
          <w:kern w:val="0"/>
          <w:sz w:val="32"/>
          <w:szCs w:val="32"/>
          <w:highlight w:val="none"/>
          <w:lang w:val="zh-CN"/>
        </w:rPr>
        <w:sectPr>
          <w:headerReference r:id="rId6" w:type="first"/>
          <w:footerReference r:id="rId9" w:type="first"/>
          <w:headerReference r:id="rId5" w:type="default"/>
          <w:footerReference r:id="rId7" w:type="default"/>
          <w:footerReference r:id="rId8" w:type="even"/>
          <w:pgSz w:w="11906" w:h="16838"/>
          <w:pgMar w:top="1247" w:right="1418" w:bottom="1276" w:left="1418" w:header="851" w:footer="992" w:gutter="0"/>
          <w:pgNumType w:fmt="decimal"/>
          <w:cols w:space="720" w:num="1"/>
          <w:titlePg/>
          <w:docGrid w:linePitch="312" w:charSpace="0"/>
        </w:sectPr>
      </w:pPr>
    </w:p>
    <w:p w14:paraId="3E1B5F9C">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color w:val="auto"/>
          <w:kern w:val="0"/>
          <w:sz w:val="32"/>
          <w:szCs w:val="32"/>
          <w:highlight w:val="none"/>
        </w:rPr>
        <w:t>一、响应</w:t>
      </w:r>
      <w:r>
        <w:rPr>
          <w:rFonts w:hint="eastAsia" w:ascii="宋体" w:hAnsi="宋体" w:eastAsia="宋体" w:cs="宋体"/>
          <w:b/>
          <w:color w:val="auto"/>
          <w:sz w:val="32"/>
          <w:szCs w:val="32"/>
          <w:highlight w:val="none"/>
        </w:rPr>
        <w:t>函</w:t>
      </w:r>
    </w:p>
    <w:p w14:paraId="3896E003">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（采购人）、（采购代理机构）</w:t>
      </w:r>
      <w:r>
        <w:rPr>
          <w:rFonts w:hint="eastAsia" w:ascii="宋体" w:hAnsi="宋体" w:eastAsia="宋体" w:cs="宋体"/>
          <w:color w:val="auto"/>
          <w:sz w:val="24"/>
          <w:highlight w:val="none"/>
          <w:lang w:eastAsia="zh-CN"/>
        </w:rPr>
        <w:t>：</w:t>
      </w:r>
    </w:p>
    <w:p w14:paraId="2DCF96E0">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sz w:val="24"/>
          <w:highlight w:val="none"/>
        </w:rPr>
        <w:t>(供应商全称)授权</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sz w:val="24"/>
          <w:highlight w:val="none"/>
        </w:rPr>
        <w:t>(全权代表姓名)</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sz w:val="24"/>
          <w:highlight w:val="none"/>
        </w:rPr>
        <w:t>(职务、职称)为全权代表，参加贵方组织的（项目名称）【项目编号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（采购编号）】的有关活动，并对此项目进行响应。为此</w:t>
      </w:r>
      <w:r>
        <w:rPr>
          <w:rFonts w:hint="eastAsia" w:ascii="宋体" w:hAnsi="宋体" w:eastAsia="宋体" w:cs="宋体"/>
          <w:color w:val="auto"/>
          <w:sz w:val="24"/>
          <w:highlight w:val="none"/>
          <w:lang w:eastAsia="zh-CN"/>
        </w:rPr>
        <w:t>：</w:t>
      </w:r>
    </w:p>
    <w:p w14:paraId="32A4E9AD">
      <w:pPr>
        <w:pStyle w:val="106"/>
        <w:numPr>
          <w:ilvl w:val="0"/>
          <w:numId w:val="0"/>
        </w:numPr>
        <w:snapToGrid w:val="0"/>
        <w:ind w:left="840" w:leftChars="0" w:hanging="360" w:firstLineChars="0"/>
        <w:rPr>
          <w:rFonts w:hint="eastAsia" w:ascii="宋体" w:hAnsi="宋体" w:eastAsia="宋体" w:cs="宋体"/>
          <w:color w:val="auto"/>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highlight w:val="none"/>
        </w:rPr>
        <w:t>我方承诺响应有效期从提交响应文件的截止之日起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天（不少于60天），本响应文件在响应有效期满之前均具有约束力。</w:t>
      </w:r>
    </w:p>
    <w:p w14:paraId="24A5A926">
      <w:pPr>
        <w:numPr>
          <w:ilvl w:val="0"/>
          <w:numId w:val="0"/>
        </w:numPr>
        <w:adjustRightInd/>
        <w:spacing w:line="360" w:lineRule="auto"/>
        <w:ind w:left="840" w:leftChars="0" w:hanging="360" w:firstLineChars="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highlight w:val="none"/>
        </w:rPr>
        <w:t>提供</w:t>
      </w:r>
      <w:r>
        <w:rPr>
          <w:rFonts w:hint="eastAsia" w:ascii="宋体" w:hAnsi="宋体" w:eastAsia="宋体" w:cs="宋体"/>
          <w:bCs/>
          <w:color w:val="auto"/>
          <w:kern w:val="44"/>
          <w:sz w:val="24"/>
          <w:highlight w:val="none"/>
        </w:rPr>
        <w:t>磋商文件中</w:t>
      </w:r>
      <w:r>
        <w:rPr>
          <w:rFonts w:hint="eastAsia" w:ascii="宋体" w:hAnsi="宋体" w:eastAsia="宋体" w:cs="宋体"/>
          <w:color w:val="auto"/>
          <w:sz w:val="24"/>
          <w:highlight w:val="none"/>
        </w:rPr>
        <w:t>规定的全部响应文件。</w:t>
      </w:r>
    </w:p>
    <w:p w14:paraId="34621C05">
      <w:pPr>
        <w:numPr>
          <w:ilvl w:val="0"/>
          <w:numId w:val="0"/>
        </w:numPr>
        <w:adjustRightInd/>
        <w:spacing w:line="360" w:lineRule="auto"/>
        <w:ind w:left="840" w:leftChars="0" w:hanging="360" w:firstLineChars="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highlight w:val="none"/>
        </w:rPr>
        <w:t>我方承诺除响应文件列出的偏离外，我方响应磋商文件的全部要求。</w:t>
      </w:r>
    </w:p>
    <w:p w14:paraId="45AE9D09">
      <w:pPr>
        <w:numPr>
          <w:ilvl w:val="0"/>
          <w:numId w:val="0"/>
        </w:numPr>
        <w:adjustRightInd/>
        <w:spacing w:line="360" w:lineRule="auto"/>
        <w:ind w:left="840" w:leftChars="0" w:hanging="360" w:firstLineChars="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color w:val="auto"/>
          <w:sz w:val="24"/>
          <w:highlight w:val="none"/>
        </w:rPr>
        <w:t>保证遵守磋商文件中的其他有关规定。</w:t>
      </w:r>
    </w:p>
    <w:p w14:paraId="50A63321">
      <w:pPr>
        <w:numPr>
          <w:ilvl w:val="0"/>
          <w:numId w:val="0"/>
        </w:numPr>
        <w:adjustRightInd/>
        <w:spacing w:line="360" w:lineRule="auto"/>
        <w:ind w:left="840" w:leftChars="0" w:hanging="360" w:firstLineChars="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5、</w:t>
      </w:r>
      <w:r>
        <w:rPr>
          <w:rFonts w:hint="eastAsia" w:ascii="宋体" w:hAnsi="宋体" w:eastAsia="宋体" w:cs="宋体"/>
          <w:color w:val="auto"/>
          <w:sz w:val="24"/>
          <w:highlight w:val="none"/>
        </w:rPr>
        <w:t>我方愿意向贵方提供任何与该项目响应有关的数据、情况和技术资料。若贵方需要，我方愿意提供我方作出的一切承诺的证明材料。</w:t>
      </w:r>
    </w:p>
    <w:p w14:paraId="165F9C82">
      <w:pPr>
        <w:numPr>
          <w:ilvl w:val="0"/>
          <w:numId w:val="0"/>
        </w:numPr>
        <w:adjustRightInd/>
        <w:spacing w:line="360" w:lineRule="auto"/>
        <w:ind w:left="840" w:leftChars="0" w:hanging="360" w:firstLineChars="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6、</w:t>
      </w:r>
      <w:r>
        <w:rPr>
          <w:rFonts w:hint="eastAsia" w:ascii="宋体" w:hAnsi="宋体" w:eastAsia="宋体" w:cs="宋体"/>
          <w:color w:val="auto"/>
          <w:sz w:val="24"/>
          <w:highlight w:val="none"/>
        </w:rPr>
        <w:t>我方已详细阅读全部磋商文件，包括磋商文件“更正（延期）公告”（如果有）、参考资料及有关附件，确认无误。</w:t>
      </w:r>
    </w:p>
    <w:p w14:paraId="419C17B6">
      <w:pPr>
        <w:numPr>
          <w:ilvl w:val="0"/>
          <w:numId w:val="0"/>
        </w:numPr>
        <w:adjustRightInd/>
        <w:spacing w:line="360" w:lineRule="auto"/>
        <w:ind w:left="840" w:leftChars="0" w:hanging="360" w:firstLineChars="0"/>
        <w:rPr>
          <w:rFonts w:hint="eastAsia" w:ascii="宋体" w:hAnsi="宋体" w:eastAsia="宋体" w:cs="宋体"/>
          <w:color w:val="auto"/>
          <w:sz w:val="24"/>
          <w:highlight w:val="none"/>
          <w:lang w:eastAsia="zh-CN"/>
        </w:rPr>
      </w:pPr>
      <w:r>
        <w:rPr>
          <w:rFonts w:hint="eastAsia" w:ascii="宋体" w:hAnsi="宋体" w:eastAsia="宋体" w:cs="宋体"/>
          <w:color w:val="auto"/>
          <w:kern w:val="2"/>
          <w:sz w:val="24"/>
          <w:szCs w:val="24"/>
          <w:highlight w:val="none"/>
          <w:lang w:val="en-US" w:eastAsia="zh-CN" w:bidi="ar-SA"/>
        </w:rPr>
        <w:t>7、</w:t>
      </w:r>
      <w:r>
        <w:rPr>
          <w:rFonts w:hint="eastAsia" w:ascii="宋体" w:hAnsi="宋体" w:eastAsia="宋体" w:cs="宋体"/>
          <w:color w:val="auto"/>
          <w:sz w:val="24"/>
          <w:highlight w:val="none"/>
        </w:rPr>
        <w:t>如我方成交，我方承诺</w:t>
      </w:r>
      <w:r>
        <w:rPr>
          <w:rFonts w:hint="eastAsia" w:ascii="宋体" w:hAnsi="宋体" w:eastAsia="宋体" w:cs="宋体"/>
          <w:color w:val="auto"/>
          <w:sz w:val="24"/>
          <w:highlight w:val="none"/>
          <w:lang w:eastAsia="zh-CN"/>
        </w:rPr>
        <w:t>：</w:t>
      </w:r>
    </w:p>
    <w:p w14:paraId="49FF9F58">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7.1在收到成交通知书后，在成交通知书规定的期限内与你方签订合同； </w:t>
      </w:r>
    </w:p>
    <w:p w14:paraId="10C738E3">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7.2在签订合同时不向你方提出附加条件； </w:t>
      </w:r>
    </w:p>
    <w:p w14:paraId="797FDD56">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7.3按照磋商文件要求提交履约保证金； </w:t>
      </w:r>
    </w:p>
    <w:p w14:paraId="0760DB3D">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7.4在合同约定的期限内完成合同规定的全部义务。 </w:t>
      </w:r>
    </w:p>
    <w:p w14:paraId="5B7E6770">
      <w:pPr>
        <w:numPr>
          <w:ilvl w:val="0"/>
          <w:numId w:val="0"/>
        </w:numPr>
        <w:adjustRightInd/>
        <w:spacing w:line="360" w:lineRule="auto"/>
        <w:ind w:left="840" w:leftChars="0" w:hanging="360" w:firstLineChars="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8、</w:t>
      </w:r>
      <w:r>
        <w:rPr>
          <w:rFonts w:hint="eastAsia" w:ascii="宋体" w:hAnsi="宋体" w:eastAsia="宋体" w:cs="宋体"/>
          <w:color w:val="auto"/>
          <w:sz w:val="24"/>
          <w:highlight w:val="none"/>
        </w:rPr>
        <w:t>其他补充说明</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w:t>
      </w:r>
    </w:p>
    <w:p w14:paraId="08E0BAE8">
      <w:pPr>
        <w:autoSpaceDE w:val="0"/>
        <w:autoSpaceDN w:val="0"/>
        <w:spacing w:line="360" w:lineRule="auto"/>
        <w:ind w:firstLine="3960" w:firstLineChars="1650"/>
        <w:rPr>
          <w:rFonts w:hint="eastAsia" w:ascii="宋体" w:hAnsi="宋体" w:eastAsia="宋体" w:cs="宋体"/>
          <w:color w:val="auto"/>
          <w:kern w:val="0"/>
          <w:sz w:val="24"/>
          <w:highlight w:val="none"/>
          <w:lang w:val="zh-CN"/>
        </w:rPr>
      </w:pPr>
    </w:p>
    <w:p w14:paraId="4956227F">
      <w:pPr>
        <w:spacing w:line="360" w:lineRule="auto"/>
        <w:ind w:firstLine="3600" w:firstLineChars="15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磋商供应商名称（</w:t>
      </w:r>
      <w:r>
        <w:rPr>
          <w:rFonts w:hint="eastAsia" w:ascii="宋体" w:hAnsi="宋体" w:eastAsia="宋体" w:cs="宋体"/>
          <w:color w:val="auto"/>
          <w:sz w:val="24"/>
          <w:highlight w:val="none"/>
          <w:lang w:val="en-US" w:eastAsia="zh-CN"/>
        </w:rPr>
        <w:t>电子</w:t>
      </w:r>
      <w:r>
        <w:rPr>
          <w:rFonts w:hint="eastAsia" w:ascii="宋体" w:hAnsi="宋体" w:eastAsia="宋体" w:cs="宋体"/>
          <w:color w:val="auto"/>
          <w:sz w:val="24"/>
          <w:highlight w:val="none"/>
        </w:rPr>
        <w:t>公章）</w:t>
      </w:r>
      <w:r>
        <w:rPr>
          <w:rFonts w:hint="eastAsia" w:ascii="宋体" w:hAnsi="宋体" w:eastAsia="宋体" w:cs="宋体"/>
          <w:color w:val="auto"/>
          <w:sz w:val="24"/>
          <w:highlight w:val="none"/>
          <w:lang w:eastAsia="zh-CN"/>
        </w:rPr>
        <w:t>：</w:t>
      </w:r>
    </w:p>
    <w:p w14:paraId="7F49CB4F">
      <w:pPr>
        <w:spacing w:line="360" w:lineRule="auto"/>
        <w:ind w:firstLine="3600" w:firstLineChars="15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法定代表人（负责人）或委托代理人(签名)</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w:t>
      </w:r>
    </w:p>
    <w:p w14:paraId="10A9F86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年   月   日</w:t>
      </w:r>
    </w:p>
    <w:p w14:paraId="5BD131AA">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按本格式和要求提供。</w:t>
      </w:r>
    </w:p>
    <w:p w14:paraId="6730046D">
      <w:pPr>
        <w:widowControl/>
        <w:spacing w:line="360" w:lineRule="auto"/>
        <w:jc w:val="center"/>
        <w:rPr>
          <w:rFonts w:hint="eastAsia" w:ascii="宋体" w:hAnsi="宋体" w:eastAsia="宋体" w:cs="宋体"/>
          <w:b/>
          <w:color w:val="auto"/>
          <w:kern w:val="0"/>
          <w:sz w:val="32"/>
          <w:szCs w:val="32"/>
          <w:highlight w:val="none"/>
          <w:lang w:val="zh-CN"/>
        </w:rPr>
      </w:pPr>
    </w:p>
    <w:p w14:paraId="4890C07F">
      <w:pPr>
        <w:widowControl/>
        <w:spacing w:line="360" w:lineRule="auto"/>
        <w:jc w:val="center"/>
        <w:rPr>
          <w:rFonts w:hint="eastAsia" w:ascii="宋体" w:hAnsi="宋体" w:eastAsia="宋体" w:cs="宋体"/>
          <w:b/>
          <w:color w:val="auto"/>
          <w:kern w:val="0"/>
          <w:sz w:val="32"/>
          <w:szCs w:val="32"/>
          <w:highlight w:val="none"/>
          <w:lang w:val="zh-CN"/>
        </w:rPr>
      </w:pPr>
    </w:p>
    <w:p w14:paraId="49A5BC2B">
      <w:pPr>
        <w:widowControl/>
        <w:spacing w:line="360" w:lineRule="auto"/>
        <w:jc w:val="center"/>
        <w:rPr>
          <w:rFonts w:hint="eastAsia" w:ascii="宋体" w:hAnsi="宋体" w:eastAsia="宋体" w:cs="宋体"/>
          <w:b/>
          <w:color w:val="auto"/>
          <w:kern w:val="0"/>
          <w:sz w:val="32"/>
          <w:szCs w:val="32"/>
          <w:highlight w:val="none"/>
          <w:lang w:val="zh-CN"/>
        </w:rPr>
      </w:pPr>
    </w:p>
    <w:p w14:paraId="6C376BA1">
      <w:pPr>
        <w:widowControl/>
        <w:spacing w:line="360" w:lineRule="auto"/>
        <w:jc w:val="center"/>
        <w:rPr>
          <w:rFonts w:hint="eastAsia" w:ascii="宋体" w:hAnsi="宋体" w:eastAsia="宋体" w:cs="宋体"/>
          <w:b/>
          <w:color w:val="auto"/>
          <w:kern w:val="0"/>
          <w:sz w:val="32"/>
          <w:szCs w:val="32"/>
          <w:highlight w:val="none"/>
          <w:lang w:val="zh-CN"/>
        </w:rPr>
      </w:pPr>
    </w:p>
    <w:p w14:paraId="357A8483">
      <w:pPr>
        <w:tabs>
          <w:tab w:val="left" w:pos="0"/>
        </w:tabs>
        <w:autoSpaceDE w:val="0"/>
        <w:autoSpaceDN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二</w:t>
      </w:r>
      <w:r>
        <w:rPr>
          <w:rFonts w:hint="eastAsia" w:ascii="宋体" w:hAnsi="宋体" w:eastAsia="宋体" w:cs="宋体"/>
          <w:b/>
          <w:bCs/>
          <w:color w:val="auto"/>
          <w:sz w:val="30"/>
          <w:szCs w:val="30"/>
          <w:highlight w:val="none"/>
        </w:rPr>
        <w:t>、</w:t>
      </w:r>
      <w:r>
        <w:rPr>
          <w:rFonts w:hint="eastAsia" w:ascii="宋体" w:hAnsi="宋体" w:eastAsia="宋体" w:cs="宋体"/>
          <w:b/>
          <w:color w:val="auto"/>
          <w:kern w:val="0"/>
          <w:sz w:val="32"/>
          <w:szCs w:val="32"/>
          <w:highlight w:val="none"/>
          <w:lang w:val="zh-CN"/>
        </w:rPr>
        <w:t>政府采购供应商廉洁自律承诺书</w:t>
      </w:r>
    </w:p>
    <w:p w14:paraId="4A0E6963">
      <w:pPr>
        <w:autoSpaceDE w:val="0"/>
        <w:autoSpaceDN w:val="0"/>
        <w:spacing w:line="360" w:lineRule="auto"/>
        <w:jc w:val="left"/>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（采购人）</w:t>
      </w:r>
      <w:r>
        <w:rPr>
          <w:rFonts w:hint="eastAsia" w:ascii="宋体" w:hAnsi="宋体" w:eastAsia="宋体" w:cs="宋体"/>
          <w:color w:val="auto"/>
          <w:kern w:val="0"/>
          <w:sz w:val="24"/>
          <w:highlight w:val="none"/>
          <w:lang w:val="zh-CN"/>
        </w:rPr>
        <w:t xml:space="preserve">：    </w:t>
      </w:r>
    </w:p>
    <w:p w14:paraId="6981A154">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我单位响应你</w:t>
      </w:r>
      <w:r>
        <w:rPr>
          <w:rFonts w:hint="eastAsia" w:ascii="宋体" w:hAnsi="宋体" w:eastAsia="宋体" w:cs="宋体"/>
          <w:color w:val="auto"/>
          <w:sz w:val="24"/>
          <w:highlight w:val="none"/>
        </w:rPr>
        <w:t>单位</w:t>
      </w:r>
      <w:r>
        <w:rPr>
          <w:rFonts w:hint="eastAsia" w:ascii="宋体" w:hAnsi="宋体" w:eastAsia="宋体" w:cs="宋体"/>
          <w:color w:val="auto"/>
          <w:kern w:val="0"/>
          <w:sz w:val="24"/>
          <w:highlight w:val="none"/>
          <w:lang w:val="zh-CN"/>
        </w:rPr>
        <w:t>项目采购要求参加响应。在这次响应过程中和成交后，我们将严格遵守国家法律法规要求，并郑重承诺：</w:t>
      </w:r>
    </w:p>
    <w:p w14:paraId="1B3885BA">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一、不向项目有关人员及部门赠送礼金礼物、有价证券、回扣以及中介费、介绍费、咨询费等好处费； </w:t>
      </w:r>
    </w:p>
    <w:p w14:paraId="321412B6">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二、不为项目有关人员及部门报销应由你方单位或个人支付的费用； </w:t>
      </w:r>
    </w:p>
    <w:p w14:paraId="412FB9BF">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三、不向项目有关人员及部门提供有可能影响公正的宴请和健身娱乐等活动； </w:t>
      </w:r>
    </w:p>
    <w:p w14:paraId="42E19DE3">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四、不为项目有关人员及部门出国（境）、旅游等提供方便；</w:t>
      </w:r>
    </w:p>
    <w:p w14:paraId="4F61A422">
      <w:pPr>
        <w:autoSpaceDE w:val="0"/>
        <w:autoSpaceDN w:val="0"/>
        <w:spacing w:line="360" w:lineRule="auto"/>
        <w:ind w:left="481" w:leftChars="229"/>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五、不为项目有关人员个人装修住房、婚丧嫁娶、配偶子女工作安排等提供</w:t>
      </w:r>
    </w:p>
    <w:p w14:paraId="483610D1">
      <w:pPr>
        <w:autoSpaceDE w:val="0"/>
        <w:autoSpaceDN w:val="0"/>
        <w:spacing w:line="360" w:lineRule="auto"/>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好处；</w:t>
      </w:r>
    </w:p>
    <w:p w14:paraId="53ACF525">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24DFA1B5">
      <w:pPr>
        <w:autoSpaceDE w:val="0"/>
        <w:autoSpaceDN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如违反上述承诺，你</w:t>
      </w:r>
      <w:r>
        <w:rPr>
          <w:rFonts w:hint="eastAsia" w:ascii="宋体" w:hAnsi="宋体" w:eastAsia="宋体" w:cs="宋体"/>
          <w:color w:val="auto"/>
          <w:sz w:val="24"/>
          <w:highlight w:val="none"/>
        </w:rPr>
        <w:t>单位</w:t>
      </w:r>
      <w:r>
        <w:rPr>
          <w:rFonts w:hint="eastAsia" w:ascii="宋体" w:hAnsi="宋体" w:eastAsia="宋体" w:cs="宋体"/>
          <w:color w:val="auto"/>
          <w:kern w:val="0"/>
          <w:sz w:val="24"/>
          <w:highlight w:val="none"/>
          <w:lang w:val="zh-CN"/>
        </w:rPr>
        <w:t>有权立即取消我单位响应、成交或在建项目的建设资格，有权拒绝我单位在一定时期内进入你</w:t>
      </w:r>
      <w:r>
        <w:rPr>
          <w:rFonts w:hint="eastAsia" w:ascii="宋体" w:hAnsi="宋体" w:eastAsia="宋体" w:cs="宋体"/>
          <w:color w:val="auto"/>
          <w:sz w:val="24"/>
          <w:highlight w:val="none"/>
        </w:rPr>
        <w:t>单位</w:t>
      </w:r>
      <w:r>
        <w:rPr>
          <w:rFonts w:hint="eastAsia" w:ascii="宋体" w:hAnsi="宋体" w:eastAsia="宋体" w:cs="宋体"/>
          <w:color w:val="auto"/>
          <w:kern w:val="0"/>
          <w:sz w:val="24"/>
          <w:highlight w:val="none"/>
          <w:lang w:val="zh-CN"/>
        </w:rPr>
        <w:t>进行项目建设或其他经营活动，并通报市财政局。由此引起的相应损失均由我单位承担。</w:t>
      </w:r>
    </w:p>
    <w:p w14:paraId="33EB0BE7">
      <w:pPr>
        <w:autoSpaceDE w:val="0"/>
        <w:autoSpaceDN w:val="0"/>
        <w:spacing w:line="360" w:lineRule="auto"/>
        <w:ind w:left="2"/>
        <w:jc w:val="left"/>
        <w:rPr>
          <w:rFonts w:hint="eastAsia" w:ascii="宋体" w:hAnsi="宋体" w:eastAsia="宋体" w:cs="宋体"/>
          <w:color w:val="auto"/>
          <w:kern w:val="0"/>
          <w:sz w:val="24"/>
          <w:highlight w:val="none"/>
          <w:lang w:val="zh-CN"/>
        </w:rPr>
      </w:pPr>
    </w:p>
    <w:p w14:paraId="33BE3364">
      <w:pPr>
        <w:autoSpaceDE w:val="0"/>
        <w:autoSpaceDN w:val="0"/>
        <w:spacing w:line="360" w:lineRule="auto"/>
        <w:ind w:left="2"/>
        <w:jc w:val="left"/>
        <w:rPr>
          <w:rFonts w:hint="eastAsia" w:ascii="宋体" w:hAnsi="宋体" w:eastAsia="宋体" w:cs="宋体"/>
          <w:color w:val="auto"/>
          <w:kern w:val="0"/>
          <w:sz w:val="24"/>
          <w:highlight w:val="none"/>
          <w:lang w:val="zh-CN"/>
        </w:rPr>
      </w:pPr>
    </w:p>
    <w:p w14:paraId="2E60FD71">
      <w:pPr>
        <w:autoSpaceDE w:val="0"/>
        <w:autoSpaceDN w:val="0"/>
        <w:spacing w:line="360" w:lineRule="auto"/>
        <w:ind w:left="2"/>
        <w:jc w:val="left"/>
        <w:rPr>
          <w:rFonts w:hint="eastAsia" w:ascii="宋体" w:hAnsi="宋体" w:eastAsia="宋体" w:cs="宋体"/>
          <w:color w:val="auto"/>
          <w:kern w:val="0"/>
          <w:sz w:val="24"/>
          <w:highlight w:val="none"/>
          <w:lang w:val="zh-CN"/>
        </w:rPr>
      </w:pPr>
    </w:p>
    <w:p w14:paraId="5636A8A3">
      <w:pPr>
        <w:autoSpaceDE w:val="0"/>
        <w:autoSpaceDN w:val="0"/>
        <w:spacing w:line="360" w:lineRule="auto"/>
        <w:ind w:firstLine="4536" w:firstLineChars="189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磋商供应商名称(</w:t>
      </w:r>
      <w:r>
        <w:rPr>
          <w:rFonts w:hint="eastAsia" w:ascii="宋体" w:hAnsi="宋体" w:eastAsia="宋体" w:cs="宋体"/>
          <w:color w:val="auto"/>
          <w:kern w:val="0"/>
          <w:sz w:val="24"/>
          <w:highlight w:val="none"/>
          <w:lang w:val="en-US" w:eastAsia="zh-CN"/>
        </w:rPr>
        <w:t>电子</w:t>
      </w:r>
      <w:r>
        <w:rPr>
          <w:rFonts w:hint="eastAsia" w:ascii="宋体" w:hAnsi="宋体" w:eastAsia="宋体" w:cs="宋体"/>
          <w:color w:val="auto"/>
          <w:kern w:val="0"/>
          <w:sz w:val="24"/>
          <w:highlight w:val="none"/>
          <w:lang w:val="zh-CN"/>
        </w:rPr>
        <w:t xml:space="preserve">公章)： </w:t>
      </w:r>
    </w:p>
    <w:p w14:paraId="1763C72A">
      <w:pPr>
        <w:autoSpaceDE w:val="0"/>
        <w:autoSpaceDN w:val="0"/>
        <w:spacing w:line="360" w:lineRule="auto"/>
        <w:ind w:left="2" w:leftChars="1" w:firstLine="4536" w:firstLineChars="189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法定代表人（负责人）或委托代理人(签名)：              </w:t>
      </w:r>
    </w:p>
    <w:p w14:paraId="1B1515EC">
      <w:pPr>
        <w:spacing w:line="360" w:lineRule="auto"/>
        <w:ind w:left="4620" w:leftChars="2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zh-CN"/>
        </w:rPr>
        <w:t xml:space="preserve">   年   月   日</w:t>
      </w:r>
    </w:p>
    <w:p w14:paraId="41506DF7">
      <w:pPr>
        <w:spacing w:line="360" w:lineRule="auto"/>
        <w:jc w:val="center"/>
        <w:rPr>
          <w:rFonts w:hint="eastAsia" w:ascii="宋体" w:hAnsi="宋体" w:eastAsia="宋体" w:cs="宋体"/>
          <w:b/>
          <w:color w:val="auto"/>
          <w:sz w:val="36"/>
          <w:szCs w:val="36"/>
          <w:highlight w:val="none"/>
        </w:rPr>
      </w:pPr>
    </w:p>
    <w:p w14:paraId="201AB1BA">
      <w:pPr>
        <w:widowControl/>
        <w:adjustRightInd/>
        <w:jc w:val="left"/>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4DC2D516">
      <w:pPr>
        <w:jc w:val="center"/>
        <w:rPr>
          <w:rFonts w:hint="eastAsia" w:ascii="宋体" w:hAnsi="宋体" w:eastAsia="宋体" w:cs="宋体"/>
          <w:b/>
          <w:color w:val="auto"/>
          <w:kern w:val="0"/>
          <w:sz w:val="32"/>
          <w:szCs w:val="21"/>
          <w:highlight w:val="none"/>
        </w:rPr>
      </w:pPr>
      <w:r>
        <w:rPr>
          <w:rFonts w:hint="eastAsia" w:ascii="宋体" w:hAnsi="宋体" w:eastAsia="宋体" w:cs="宋体"/>
          <w:b/>
          <w:bCs/>
          <w:color w:val="auto"/>
          <w:sz w:val="30"/>
          <w:szCs w:val="30"/>
          <w:highlight w:val="none"/>
          <w:lang w:val="en-US" w:eastAsia="zh-CN"/>
        </w:rPr>
        <w:t>三</w:t>
      </w:r>
      <w:r>
        <w:rPr>
          <w:rFonts w:hint="eastAsia" w:ascii="宋体" w:hAnsi="宋体" w:eastAsia="宋体" w:cs="宋体"/>
          <w:b/>
          <w:color w:val="auto"/>
          <w:kern w:val="0"/>
          <w:sz w:val="32"/>
          <w:szCs w:val="32"/>
          <w:highlight w:val="none"/>
        </w:rPr>
        <w:t>、</w:t>
      </w:r>
      <w:r>
        <w:rPr>
          <w:rFonts w:hint="eastAsia" w:ascii="宋体" w:hAnsi="宋体" w:eastAsia="宋体" w:cs="宋体"/>
          <w:b/>
          <w:color w:val="auto"/>
          <w:kern w:val="0"/>
          <w:sz w:val="32"/>
          <w:szCs w:val="21"/>
          <w:highlight w:val="none"/>
        </w:rPr>
        <w:t>承诺函</w:t>
      </w:r>
    </w:p>
    <w:p w14:paraId="1BA3E917">
      <w:pPr>
        <w:widowControl/>
        <w:adjustRightInd/>
        <w:ind w:firstLine="640" w:firstLineChars="200"/>
        <w:jc w:val="left"/>
        <w:rPr>
          <w:rFonts w:hint="eastAsia" w:ascii="宋体" w:hAnsi="宋体" w:eastAsia="宋体" w:cs="宋体"/>
          <w:color w:val="auto"/>
          <w:kern w:val="0"/>
          <w:sz w:val="32"/>
          <w:szCs w:val="21"/>
          <w:highlight w:val="none"/>
        </w:rPr>
      </w:pPr>
    </w:p>
    <w:p w14:paraId="488EA835">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（采购人）、（采购代理机构）</w:t>
      </w:r>
      <w:r>
        <w:rPr>
          <w:rFonts w:hint="eastAsia" w:ascii="宋体" w:hAnsi="宋体" w:eastAsia="宋体" w:cs="宋体"/>
          <w:color w:val="auto"/>
          <w:kern w:val="0"/>
          <w:sz w:val="24"/>
          <w:highlight w:val="none"/>
          <w:lang w:val="zh-CN"/>
        </w:rPr>
        <w:t>：</w:t>
      </w:r>
    </w:p>
    <w:p w14:paraId="1533DD70">
      <w:pPr>
        <w:widowControl/>
        <w:adjustRightInd/>
        <w:spacing w:line="360" w:lineRule="auto"/>
        <w:ind w:firstLine="480" w:firstLineChars="200"/>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我方作为本次采购项目的磋商供应商，根据磋商文件要求，现郑重承诺如下</w:t>
      </w:r>
      <w:r>
        <w:rPr>
          <w:rFonts w:hint="eastAsia" w:ascii="宋体" w:hAnsi="宋体" w:eastAsia="宋体" w:cs="宋体"/>
          <w:color w:val="auto"/>
          <w:kern w:val="0"/>
          <w:sz w:val="24"/>
          <w:highlight w:val="none"/>
          <w:lang w:eastAsia="zh-CN"/>
        </w:rPr>
        <w:t>：</w:t>
      </w:r>
    </w:p>
    <w:p w14:paraId="4F2D8C1C">
      <w:pPr>
        <w:widowControl/>
        <w:adjustRightInd/>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14:paraId="052C37DF">
      <w:pPr>
        <w:widowControl/>
        <w:adjustRightInd/>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二、参加本次磋商采购活动，不存在与单位负责人为同一人或者存在直接控股、管理关系的其他供应商参与同一合同项下的政府采购活动的行为。</w:t>
      </w:r>
    </w:p>
    <w:p w14:paraId="76CC98F8">
      <w:pPr>
        <w:widowControl/>
        <w:adjustRightInd/>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三、为采购项目提供整体设计、规范编制或者项目管理、监理、检测等服务的供应商，不得再参加该采购项目的其他采购活动，我方承诺不属于此类禁止参加本项目的供应商。</w:t>
      </w:r>
    </w:p>
    <w:p w14:paraId="655E06EE">
      <w:pPr>
        <w:widowControl/>
        <w:adjustRightInd/>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四、参加本次磋商采购活动，不存在和其他供应商在同一合同项下的采购项目中，同时委托同一个自然人、同一家庭的人员、同一单位的人员作为代理人的行为。</w:t>
      </w:r>
    </w:p>
    <w:p w14:paraId="422AF44D">
      <w:pPr>
        <w:widowControl/>
        <w:adjustRightInd/>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五、响应文件中提供的能够给予我方带来优惠、好处的任何材料资料和技术、服务、商务、响应产品等响应承诺情况都是真实的、有效的、合法的。</w:t>
      </w:r>
    </w:p>
    <w:p w14:paraId="4D50FF25">
      <w:pPr>
        <w:widowControl/>
        <w:adjustRightInd/>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六、如本项目磋商过程中需要提供样品，则我方提供的样品即为成交后将要提供的成交产品，我方对提供样品的性能和质量负责，因样品存在缺陷或者不符合磋商文件要求导致未能成交的，我方愿意承担相应不利后果。</w:t>
      </w:r>
    </w:p>
    <w:p w14:paraId="20376DEB">
      <w:pPr>
        <w:widowControl/>
        <w:adjustRightInd/>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七、国家或行业主管部门对采购产品的技术标准、质量标准和资格资质条件等有强制性规定的，我方承诺符合其要求。</w:t>
      </w:r>
    </w:p>
    <w:p w14:paraId="6BCBBF67">
      <w:pPr>
        <w:widowControl/>
        <w:adjustRightInd/>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八、参加本次磋商采购活动，我方完全同意磋商文件第三部分关于“磋商费用”、“合同分包”、“合同转包”、“履约保证金”的实质性要求，并承诺严格按照磋商文件要求履行。</w:t>
      </w:r>
    </w:p>
    <w:p w14:paraId="7CBB328B">
      <w:pPr>
        <w:widowControl/>
        <w:adjustRightInd/>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14:paraId="708DF563">
      <w:pPr>
        <w:widowControl/>
        <w:adjustRightInd/>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我方对上述承诺的内容</w:t>
      </w:r>
      <w:r>
        <w:rPr>
          <w:rFonts w:hint="eastAsia" w:ascii="宋体" w:hAnsi="宋体" w:eastAsia="宋体" w:cs="宋体"/>
          <w:color w:val="auto"/>
          <w:kern w:val="0"/>
          <w:sz w:val="24"/>
          <w:highlight w:val="none"/>
          <w:lang w:val="en-US" w:eastAsia="zh-CN"/>
        </w:rPr>
        <w:t>和</w:t>
      </w:r>
      <w:r>
        <w:rPr>
          <w:rFonts w:hint="eastAsia" w:ascii="宋体" w:hAnsi="宋体" w:eastAsia="宋体" w:cs="宋体"/>
          <w:color w:val="auto"/>
          <w:kern w:val="0"/>
          <w:sz w:val="24"/>
          <w:highlight w:val="none"/>
        </w:rPr>
        <w:t>事项真实性负责。如经查实上述承诺的内容事项存在虚假，我方愿意接受以提供虚假材料谋取成交追究法律责任。</w:t>
      </w:r>
    </w:p>
    <w:p w14:paraId="4913058D">
      <w:pPr>
        <w:widowControl/>
        <w:adjustRightInd/>
        <w:spacing w:line="360" w:lineRule="auto"/>
        <w:ind w:firstLine="480" w:firstLineChars="200"/>
        <w:jc w:val="left"/>
        <w:rPr>
          <w:rFonts w:hint="eastAsia" w:ascii="宋体" w:hAnsi="宋体" w:eastAsia="宋体" w:cs="宋体"/>
          <w:color w:val="auto"/>
          <w:kern w:val="0"/>
          <w:sz w:val="24"/>
          <w:highlight w:val="none"/>
        </w:rPr>
      </w:pPr>
    </w:p>
    <w:p w14:paraId="559B806B">
      <w:pPr>
        <w:autoSpaceDE w:val="0"/>
        <w:autoSpaceDN w:val="0"/>
        <w:spacing w:line="360" w:lineRule="auto"/>
        <w:ind w:firstLine="4536" w:firstLineChars="189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磋商供应商名称(</w:t>
      </w:r>
      <w:r>
        <w:rPr>
          <w:rFonts w:hint="eastAsia" w:ascii="宋体" w:hAnsi="宋体" w:eastAsia="宋体" w:cs="宋体"/>
          <w:color w:val="auto"/>
          <w:kern w:val="0"/>
          <w:sz w:val="24"/>
          <w:highlight w:val="none"/>
          <w:lang w:val="en-US" w:eastAsia="zh-CN"/>
        </w:rPr>
        <w:t>电子</w:t>
      </w:r>
      <w:r>
        <w:rPr>
          <w:rFonts w:hint="eastAsia" w:ascii="宋体" w:hAnsi="宋体" w:eastAsia="宋体" w:cs="宋体"/>
          <w:color w:val="auto"/>
          <w:kern w:val="0"/>
          <w:sz w:val="24"/>
          <w:highlight w:val="none"/>
          <w:lang w:val="zh-CN"/>
        </w:rPr>
        <w:t xml:space="preserve">公章)： </w:t>
      </w:r>
    </w:p>
    <w:p w14:paraId="532F561C">
      <w:pPr>
        <w:autoSpaceDE w:val="0"/>
        <w:autoSpaceDN w:val="0"/>
        <w:spacing w:line="360" w:lineRule="auto"/>
        <w:ind w:left="2" w:leftChars="1" w:firstLine="4536" w:firstLineChars="189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法定代表人（负责人）或委托代理人(签名)：              </w:t>
      </w:r>
    </w:p>
    <w:p w14:paraId="1C2DF085">
      <w:pPr>
        <w:spacing w:line="360" w:lineRule="auto"/>
        <w:ind w:left="4620" w:leftChars="2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zh-CN"/>
        </w:rPr>
        <w:t xml:space="preserve">   年   月   日</w:t>
      </w:r>
    </w:p>
    <w:p w14:paraId="2ED79049">
      <w:pPr>
        <w:spacing w:line="360" w:lineRule="auto"/>
        <w:jc w:val="center"/>
        <w:rPr>
          <w:rFonts w:hint="eastAsia" w:ascii="宋体" w:hAnsi="宋体" w:eastAsia="宋体" w:cs="宋体"/>
          <w:b/>
          <w:bCs/>
          <w:color w:val="auto"/>
          <w:sz w:val="24"/>
          <w:highlight w:val="none"/>
        </w:rPr>
      </w:pPr>
    </w:p>
    <w:p w14:paraId="159A4432">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按本格式和要求提供。</w:t>
      </w:r>
    </w:p>
    <w:p w14:paraId="6598299E">
      <w:pPr>
        <w:pStyle w:val="116"/>
        <w:keepNext w:val="0"/>
        <w:pageBreakBefore w:val="0"/>
        <w:tabs>
          <w:tab w:val="clear" w:pos="720"/>
        </w:tabs>
        <w:ind w:firstLine="640"/>
        <w:outlineLvl w:val="9"/>
        <w:rPr>
          <w:rFonts w:hint="eastAsia" w:ascii="宋体" w:hAnsi="宋体" w:eastAsia="宋体" w:cs="宋体"/>
          <w:color w:val="auto"/>
          <w:kern w:val="2"/>
          <w:sz w:val="32"/>
          <w:szCs w:val="32"/>
          <w:highlight w:val="none"/>
        </w:rPr>
        <w:sectPr>
          <w:headerReference r:id="rId11" w:type="first"/>
          <w:footerReference r:id="rId14" w:type="first"/>
          <w:headerReference r:id="rId10" w:type="default"/>
          <w:footerReference r:id="rId12" w:type="default"/>
          <w:footerReference r:id="rId13" w:type="even"/>
          <w:pgSz w:w="11906" w:h="16838"/>
          <w:pgMar w:top="779" w:right="1418" w:bottom="468" w:left="1418" w:header="851" w:footer="992" w:gutter="0"/>
          <w:pgNumType w:fmt="decimal"/>
          <w:cols w:space="720" w:num="1"/>
          <w:titlePg/>
          <w:docGrid w:linePitch="312" w:charSpace="0"/>
        </w:sectPr>
      </w:pPr>
    </w:p>
    <w:p w14:paraId="26B4695C">
      <w:pPr>
        <w:widowControl/>
        <w:spacing w:line="360" w:lineRule="auto"/>
        <w:jc w:val="center"/>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四、技术服务、商务偏离情况说明表</w:t>
      </w:r>
    </w:p>
    <w:p w14:paraId="55AC88AB">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195AD87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3E952AEE">
      <w:pPr>
        <w:spacing w:line="360" w:lineRule="auto"/>
        <w:rPr>
          <w:rFonts w:hint="eastAsia" w:ascii="宋体" w:hAnsi="宋体" w:eastAsia="宋体" w:cs="宋体"/>
          <w:color w:val="auto"/>
          <w:szCs w:val="21"/>
          <w:highlight w:val="none"/>
        </w:rPr>
      </w:pP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4"/>
        <w:gridCol w:w="2809"/>
        <w:gridCol w:w="3146"/>
        <w:gridCol w:w="1263"/>
        <w:gridCol w:w="1361"/>
      </w:tblGrid>
      <w:tr w14:paraId="2ECAC9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84" w:type="dxa"/>
            <w:tcBorders>
              <w:top w:val="single" w:color="auto" w:sz="4" w:space="0"/>
              <w:left w:val="single" w:color="auto" w:sz="4" w:space="0"/>
              <w:bottom w:val="single" w:color="auto" w:sz="6" w:space="0"/>
              <w:right w:val="single" w:color="auto" w:sz="6" w:space="0"/>
            </w:tcBorders>
            <w:vAlign w:val="center"/>
          </w:tcPr>
          <w:p w14:paraId="19119B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809" w:type="dxa"/>
            <w:tcBorders>
              <w:top w:val="single" w:color="auto" w:sz="4" w:space="0"/>
              <w:left w:val="single" w:color="auto" w:sz="6" w:space="0"/>
              <w:bottom w:val="single" w:color="auto" w:sz="6" w:space="0"/>
              <w:right w:val="single" w:color="auto" w:sz="6" w:space="0"/>
            </w:tcBorders>
            <w:vAlign w:val="center"/>
          </w:tcPr>
          <w:p w14:paraId="292ADE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磋商采购</w:t>
            </w:r>
            <w:r>
              <w:rPr>
                <w:rFonts w:hint="eastAsia" w:ascii="宋体" w:hAnsi="宋体" w:eastAsia="宋体" w:cs="宋体"/>
                <w:color w:val="auto"/>
                <w:szCs w:val="21"/>
                <w:highlight w:val="none"/>
              </w:rPr>
              <w:t>文件要求</w:t>
            </w:r>
          </w:p>
        </w:tc>
        <w:tc>
          <w:tcPr>
            <w:tcW w:w="3146" w:type="dxa"/>
            <w:tcBorders>
              <w:top w:val="single" w:color="auto" w:sz="4" w:space="0"/>
              <w:left w:val="single" w:color="auto" w:sz="6" w:space="0"/>
              <w:bottom w:val="single" w:color="auto" w:sz="6" w:space="0"/>
              <w:right w:val="single" w:color="auto" w:sz="6" w:space="0"/>
            </w:tcBorders>
            <w:vAlign w:val="center"/>
          </w:tcPr>
          <w:p w14:paraId="78EBB0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竞争性磋商响应文件具体响应</w:t>
            </w:r>
          </w:p>
        </w:tc>
        <w:tc>
          <w:tcPr>
            <w:tcW w:w="1263" w:type="dxa"/>
            <w:tcBorders>
              <w:top w:val="single" w:color="auto" w:sz="4" w:space="0"/>
              <w:left w:val="single" w:color="auto" w:sz="6" w:space="0"/>
              <w:bottom w:val="single" w:color="auto" w:sz="6" w:space="0"/>
              <w:right w:val="single" w:color="auto" w:sz="6" w:space="0"/>
            </w:tcBorders>
            <w:vAlign w:val="center"/>
          </w:tcPr>
          <w:p w14:paraId="70A2EF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响应/偏离</w:t>
            </w:r>
          </w:p>
        </w:tc>
        <w:tc>
          <w:tcPr>
            <w:tcW w:w="1361" w:type="dxa"/>
            <w:tcBorders>
              <w:top w:val="single" w:color="auto" w:sz="4" w:space="0"/>
              <w:left w:val="single" w:color="auto" w:sz="6" w:space="0"/>
              <w:bottom w:val="single" w:color="auto" w:sz="6" w:space="0"/>
              <w:right w:val="single" w:color="auto" w:sz="4" w:space="0"/>
            </w:tcBorders>
            <w:vAlign w:val="center"/>
          </w:tcPr>
          <w:p w14:paraId="3C6A4B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tc>
      </w:tr>
      <w:tr w14:paraId="52D88A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363" w:type="dxa"/>
            <w:gridSpan w:val="5"/>
            <w:tcBorders>
              <w:top w:val="single" w:color="auto" w:sz="4" w:space="0"/>
              <w:left w:val="single" w:color="auto" w:sz="4" w:space="0"/>
              <w:bottom w:val="single" w:color="auto" w:sz="6" w:space="0"/>
              <w:right w:val="single" w:color="auto" w:sz="4" w:space="0"/>
            </w:tcBorders>
            <w:vAlign w:val="center"/>
          </w:tcPr>
          <w:p w14:paraId="79FC01AD">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商务部分</w:t>
            </w:r>
          </w:p>
        </w:tc>
      </w:tr>
      <w:tr w14:paraId="4338E0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784" w:type="dxa"/>
            <w:tcBorders>
              <w:top w:val="single" w:color="auto" w:sz="6" w:space="0"/>
              <w:left w:val="single" w:color="auto" w:sz="4" w:space="0"/>
              <w:bottom w:val="single" w:color="auto" w:sz="6" w:space="0"/>
              <w:right w:val="single" w:color="auto" w:sz="6" w:space="0"/>
            </w:tcBorders>
            <w:vAlign w:val="center"/>
          </w:tcPr>
          <w:p w14:paraId="5D48F2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6C4720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p>
        </w:tc>
        <w:tc>
          <w:tcPr>
            <w:tcW w:w="3146" w:type="dxa"/>
            <w:tcBorders>
              <w:top w:val="single" w:color="auto" w:sz="6" w:space="0"/>
              <w:left w:val="single" w:color="auto" w:sz="6" w:space="0"/>
              <w:bottom w:val="single" w:color="auto" w:sz="6" w:space="0"/>
              <w:right w:val="single" w:color="auto" w:sz="6" w:space="0"/>
            </w:tcBorders>
            <w:vAlign w:val="center"/>
          </w:tcPr>
          <w:p w14:paraId="27F516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p>
        </w:tc>
        <w:tc>
          <w:tcPr>
            <w:tcW w:w="1263" w:type="dxa"/>
            <w:tcBorders>
              <w:top w:val="single" w:color="auto" w:sz="6" w:space="0"/>
              <w:left w:val="single" w:color="auto" w:sz="6" w:space="0"/>
              <w:bottom w:val="single" w:color="auto" w:sz="6" w:space="0"/>
              <w:right w:val="single" w:color="auto" w:sz="6" w:space="0"/>
            </w:tcBorders>
            <w:vAlign w:val="center"/>
          </w:tcPr>
          <w:p w14:paraId="77205A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5E5307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p>
        </w:tc>
      </w:tr>
      <w:tr w14:paraId="0EF07A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84" w:type="dxa"/>
            <w:tcBorders>
              <w:top w:val="single" w:color="auto" w:sz="6" w:space="0"/>
              <w:left w:val="single" w:color="auto" w:sz="4" w:space="0"/>
              <w:bottom w:val="single" w:color="auto" w:sz="6" w:space="0"/>
              <w:right w:val="single" w:color="auto" w:sz="6" w:space="0"/>
            </w:tcBorders>
            <w:vAlign w:val="center"/>
          </w:tcPr>
          <w:p w14:paraId="7AA1A4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32EB4A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p>
        </w:tc>
        <w:tc>
          <w:tcPr>
            <w:tcW w:w="3146" w:type="dxa"/>
            <w:tcBorders>
              <w:top w:val="single" w:color="auto" w:sz="6" w:space="0"/>
              <w:left w:val="single" w:color="auto" w:sz="6" w:space="0"/>
              <w:bottom w:val="single" w:color="auto" w:sz="6" w:space="0"/>
              <w:right w:val="single" w:color="auto" w:sz="6" w:space="0"/>
            </w:tcBorders>
            <w:vAlign w:val="center"/>
          </w:tcPr>
          <w:p w14:paraId="5C5179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p>
        </w:tc>
        <w:tc>
          <w:tcPr>
            <w:tcW w:w="1263" w:type="dxa"/>
            <w:tcBorders>
              <w:top w:val="single" w:color="auto" w:sz="6" w:space="0"/>
              <w:left w:val="single" w:color="auto" w:sz="6" w:space="0"/>
              <w:bottom w:val="single" w:color="auto" w:sz="6" w:space="0"/>
              <w:right w:val="single" w:color="auto" w:sz="6" w:space="0"/>
            </w:tcBorders>
            <w:vAlign w:val="center"/>
          </w:tcPr>
          <w:p w14:paraId="56F692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5D8F3F5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p>
        </w:tc>
      </w:tr>
      <w:tr w14:paraId="1ACC06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84" w:type="dxa"/>
            <w:tcBorders>
              <w:top w:val="single" w:color="auto" w:sz="6" w:space="0"/>
              <w:left w:val="single" w:color="auto" w:sz="4" w:space="0"/>
              <w:bottom w:val="single" w:color="auto" w:sz="6" w:space="0"/>
              <w:right w:val="single" w:color="auto" w:sz="6" w:space="0"/>
            </w:tcBorders>
            <w:vAlign w:val="center"/>
          </w:tcPr>
          <w:p w14:paraId="092E7F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01E744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p>
        </w:tc>
        <w:tc>
          <w:tcPr>
            <w:tcW w:w="3146" w:type="dxa"/>
            <w:tcBorders>
              <w:top w:val="single" w:color="auto" w:sz="6" w:space="0"/>
              <w:left w:val="single" w:color="auto" w:sz="6" w:space="0"/>
              <w:bottom w:val="single" w:color="auto" w:sz="6" w:space="0"/>
              <w:right w:val="single" w:color="auto" w:sz="6" w:space="0"/>
            </w:tcBorders>
            <w:vAlign w:val="center"/>
          </w:tcPr>
          <w:p w14:paraId="795F9A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p>
        </w:tc>
        <w:tc>
          <w:tcPr>
            <w:tcW w:w="1263" w:type="dxa"/>
            <w:tcBorders>
              <w:top w:val="single" w:color="auto" w:sz="6" w:space="0"/>
              <w:left w:val="single" w:color="auto" w:sz="6" w:space="0"/>
              <w:bottom w:val="single" w:color="auto" w:sz="6" w:space="0"/>
              <w:right w:val="single" w:color="auto" w:sz="6" w:space="0"/>
            </w:tcBorders>
            <w:vAlign w:val="center"/>
          </w:tcPr>
          <w:p w14:paraId="6B5FC0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2A2EFF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p>
        </w:tc>
      </w:tr>
      <w:tr w14:paraId="2B78C5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84" w:type="dxa"/>
            <w:tcBorders>
              <w:top w:val="single" w:color="auto" w:sz="6" w:space="0"/>
              <w:left w:val="single" w:color="auto" w:sz="4" w:space="0"/>
              <w:bottom w:val="single" w:color="auto" w:sz="6" w:space="0"/>
              <w:right w:val="single" w:color="auto" w:sz="6" w:space="0"/>
            </w:tcBorders>
            <w:vAlign w:val="center"/>
          </w:tcPr>
          <w:p w14:paraId="3046EE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w:t>
            </w:r>
          </w:p>
        </w:tc>
        <w:tc>
          <w:tcPr>
            <w:tcW w:w="2809" w:type="dxa"/>
            <w:tcBorders>
              <w:top w:val="single" w:color="auto" w:sz="6" w:space="0"/>
              <w:left w:val="single" w:color="auto" w:sz="6" w:space="0"/>
              <w:bottom w:val="single" w:color="auto" w:sz="6" w:space="0"/>
              <w:right w:val="single" w:color="auto" w:sz="6" w:space="0"/>
            </w:tcBorders>
            <w:vAlign w:val="center"/>
          </w:tcPr>
          <w:p w14:paraId="58253A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highlight w:val="none"/>
                <w:lang w:val="en-US" w:eastAsia="zh-CN" w:bidi="ar-SA"/>
              </w:rPr>
            </w:pPr>
          </w:p>
        </w:tc>
        <w:tc>
          <w:tcPr>
            <w:tcW w:w="3146" w:type="dxa"/>
            <w:tcBorders>
              <w:top w:val="single" w:color="auto" w:sz="6" w:space="0"/>
              <w:left w:val="single" w:color="auto" w:sz="6" w:space="0"/>
              <w:bottom w:val="single" w:color="auto" w:sz="6" w:space="0"/>
              <w:right w:val="single" w:color="auto" w:sz="6" w:space="0"/>
            </w:tcBorders>
            <w:vAlign w:val="center"/>
          </w:tcPr>
          <w:p w14:paraId="204391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highlight w:val="none"/>
                <w:lang w:val="en-US" w:eastAsia="zh-CN" w:bidi="ar-SA"/>
              </w:rPr>
            </w:pPr>
          </w:p>
        </w:tc>
        <w:tc>
          <w:tcPr>
            <w:tcW w:w="1263" w:type="dxa"/>
            <w:tcBorders>
              <w:top w:val="single" w:color="auto" w:sz="6" w:space="0"/>
              <w:left w:val="single" w:color="auto" w:sz="6" w:space="0"/>
              <w:bottom w:val="single" w:color="auto" w:sz="6" w:space="0"/>
              <w:right w:val="single" w:color="auto" w:sz="6" w:space="0"/>
            </w:tcBorders>
            <w:vAlign w:val="center"/>
          </w:tcPr>
          <w:p w14:paraId="7BCFEC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highlight w:val="none"/>
                <w:lang w:val="en-US" w:eastAsia="zh-CN" w:bidi="ar-SA"/>
              </w:rPr>
            </w:pPr>
          </w:p>
        </w:tc>
        <w:tc>
          <w:tcPr>
            <w:tcW w:w="1361" w:type="dxa"/>
            <w:tcBorders>
              <w:top w:val="single" w:color="auto" w:sz="6" w:space="0"/>
              <w:left w:val="single" w:color="auto" w:sz="6" w:space="0"/>
              <w:bottom w:val="single" w:color="auto" w:sz="6" w:space="0"/>
              <w:right w:val="single" w:color="auto" w:sz="4" w:space="0"/>
            </w:tcBorders>
            <w:vAlign w:val="center"/>
          </w:tcPr>
          <w:p w14:paraId="3B46DF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highlight w:val="none"/>
                <w:lang w:val="en-US" w:eastAsia="zh-CN" w:bidi="ar-SA"/>
              </w:rPr>
            </w:pPr>
          </w:p>
        </w:tc>
      </w:tr>
      <w:tr w14:paraId="3A511B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363" w:type="dxa"/>
            <w:gridSpan w:val="5"/>
            <w:tcBorders>
              <w:top w:val="single" w:color="auto" w:sz="6" w:space="0"/>
              <w:left w:val="single" w:color="auto" w:sz="4" w:space="0"/>
              <w:bottom w:val="single" w:color="auto" w:sz="6" w:space="0"/>
              <w:right w:val="single" w:color="auto" w:sz="4" w:space="0"/>
            </w:tcBorders>
            <w:vAlign w:val="center"/>
          </w:tcPr>
          <w:p w14:paraId="47B1BACB">
            <w:pPr>
              <w:keepNext w:val="0"/>
              <w:keepLines w:val="0"/>
              <w:pageBreakBefore w:val="0"/>
              <w:widowControl w:val="0"/>
              <w:kinsoku/>
              <w:wordWrap/>
              <w:overflowPunct/>
              <w:topLinePunct w:val="0"/>
              <w:autoSpaceDE/>
              <w:autoSpaceDN/>
              <w:bidi w:val="0"/>
              <w:adjustRightInd/>
              <w:snapToGrid/>
              <w:spacing w:before="63" w:beforeLines="20" w:line="36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技术部分</w:t>
            </w:r>
          </w:p>
        </w:tc>
      </w:tr>
      <w:tr w14:paraId="6F8A09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84" w:type="dxa"/>
            <w:tcBorders>
              <w:top w:val="single" w:color="auto" w:sz="6" w:space="0"/>
              <w:left w:val="single" w:color="auto" w:sz="4" w:space="0"/>
              <w:bottom w:val="single" w:color="auto" w:sz="6" w:space="0"/>
              <w:right w:val="single" w:color="auto" w:sz="6" w:space="0"/>
            </w:tcBorders>
            <w:vAlign w:val="center"/>
          </w:tcPr>
          <w:p w14:paraId="0CEE13DB">
            <w:pPr>
              <w:keepNext w:val="0"/>
              <w:keepLines w:val="0"/>
              <w:pageBreakBefore w:val="0"/>
              <w:widowControl w:val="0"/>
              <w:kinsoku/>
              <w:wordWrap/>
              <w:overflowPunct/>
              <w:topLinePunct w:val="0"/>
              <w:autoSpaceDE/>
              <w:autoSpaceDN/>
              <w:bidi w:val="0"/>
              <w:adjustRightInd/>
              <w:snapToGrid/>
              <w:spacing w:before="63" w:beforeLines="20"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57AD481E">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c>
          <w:tcPr>
            <w:tcW w:w="3146" w:type="dxa"/>
            <w:tcBorders>
              <w:top w:val="single" w:color="auto" w:sz="6" w:space="0"/>
              <w:left w:val="single" w:color="auto" w:sz="6" w:space="0"/>
              <w:bottom w:val="single" w:color="auto" w:sz="6" w:space="0"/>
              <w:right w:val="single" w:color="auto" w:sz="6" w:space="0"/>
            </w:tcBorders>
            <w:vAlign w:val="center"/>
          </w:tcPr>
          <w:p w14:paraId="77EC4D0B">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c>
          <w:tcPr>
            <w:tcW w:w="1263" w:type="dxa"/>
            <w:tcBorders>
              <w:top w:val="single" w:color="auto" w:sz="6" w:space="0"/>
              <w:left w:val="single" w:color="auto" w:sz="6" w:space="0"/>
              <w:bottom w:val="single" w:color="auto" w:sz="6" w:space="0"/>
              <w:right w:val="single" w:color="auto" w:sz="6" w:space="0"/>
            </w:tcBorders>
            <w:vAlign w:val="center"/>
          </w:tcPr>
          <w:p w14:paraId="0BFF96A0">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531845FE">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r>
      <w:tr w14:paraId="21BCF4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84" w:type="dxa"/>
            <w:tcBorders>
              <w:top w:val="single" w:color="auto" w:sz="6" w:space="0"/>
              <w:left w:val="single" w:color="auto" w:sz="4" w:space="0"/>
              <w:bottom w:val="single" w:color="auto" w:sz="6" w:space="0"/>
              <w:right w:val="single" w:color="auto" w:sz="6" w:space="0"/>
            </w:tcBorders>
            <w:vAlign w:val="center"/>
          </w:tcPr>
          <w:p w14:paraId="54140E6B">
            <w:pPr>
              <w:keepNext w:val="0"/>
              <w:keepLines w:val="0"/>
              <w:pageBreakBefore w:val="0"/>
              <w:widowControl w:val="0"/>
              <w:kinsoku/>
              <w:wordWrap/>
              <w:overflowPunct/>
              <w:topLinePunct w:val="0"/>
              <w:autoSpaceDE/>
              <w:autoSpaceDN/>
              <w:bidi w:val="0"/>
              <w:adjustRightInd/>
              <w:snapToGrid/>
              <w:spacing w:before="63" w:beforeLines="20"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56442BF3">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c>
          <w:tcPr>
            <w:tcW w:w="3146" w:type="dxa"/>
            <w:tcBorders>
              <w:top w:val="single" w:color="auto" w:sz="6" w:space="0"/>
              <w:left w:val="single" w:color="auto" w:sz="6" w:space="0"/>
              <w:bottom w:val="single" w:color="auto" w:sz="6" w:space="0"/>
              <w:right w:val="single" w:color="auto" w:sz="6" w:space="0"/>
            </w:tcBorders>
            <w:vAlign w:val="center"/>
          </w:tcPr>
          <w:p w14:paraId="3C2B2EEC">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c>
          <w:tcPr>
            <w:tcW w:w="1263" w:type="dxa"/>
            <w:tcBorders>
              <w:top w:val="single" w:color="auto" w:sz="6" w:space="0"/>
              <w:left w:val="single" w:color="auto" w:sz="6" w:space="0"/>
              <w:bottom w:val="single" w:color="auto" w:sz="6" w:space="0"/>
              <w:right w:val="single" w:color="auto" w:sz="6" w:space="0"/>
            </w:tcBorders>
            <w:vAlign w:val="center"/>
          </w:tcPr>
          <w:p w14:paraId="412FB85E">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15D0AFAE">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r>
      <w:tr w14:paraId="4D691D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84" w:type="dxa"/>
            <w:tcBorders>
              <w:top w:val="single" w:color="auto" w:sz="6" w:space="0"/>
              <w:left w:val="single" w:color="auto" w:sz="4" w:space="0"/>
              <w:bottom w:val="single" w:color="auto" w:sz="6" w:space="0"/>
              <w:right w:val="single" w:color="auto" w:sz="6" w:space="0"/>
            </w:tcBorders>
            <w:vAlign w:val="center"/>
          </w:tcPr>
          <w:p w14:paraId="6AE7F255">
            <w:pPr>
              <w:keepNext w:val="0"/>
              <w:keepLines w:val="0"/>
              <w:pageBreakBefore w:val="0"/>
              <w:widowControl w:val="0"/>
              <w:kinsoku/>
              <w:wordWrap/>
              <w:overflowPunct/>
              <w:topLinePunct w:val="0"/>
              <w:autoSpaceDE/>
              <w:autoSpaceDN/>
              <w:bidi w:val="0"/>
              <w:adjustRightInd/>
              <w:snapToGrid/>
              <w:spacing w:before="63" w:beforeLines="20"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74A7F3E8">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c>
          <w:tcPr>
            <w:tcW w:w="3146" w:type="dxa"/>
            <w:tcBorders>
              <w:top w:val="single" w:color="auto" w:sz="6" w:space="0"/>
              <w:left w:val="single" w:color="auto" w:sz="6" w:space="0"/>
              <w:bottom w:val="single" w:color="auto" w:sz="6" w:space="0"/>
              <w:right w:val="single" w:color="auto" w:sz="6" w:space="0"/>
            </w:tcBorders>
            <w:vAlign w:val="center"/>
          </w:tcPr>
          <w:p w14:paraId="6E8C4136">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c>
          <w:tcPr>
            <w:tcW w:w="1263" w:type="dxa"/>
            <w:tcBorders>
              <w:top w:val="single" w:color="auto" w:sz="6" w:space="0"/>
              <w:left w:val="single" w:color="auto" w:sz="6" w:space="0"/>
              <w:bottom w:val="single" w:color="auto" w:sz="6" w:space="0"/>
              <w:right w:val="single" w:color="auto" w:sz="6" w:space="0"/>
            </w:tcBorders>
            <w:vAlign w:val="center"/>
          </w:tcPr>
          <w:p w14:paraId="6E4210BA">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2249AFCC">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r>
      <w:tr w14:paraId="2A9284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84" w:type="dxa"/>
            <w:tcBorders>
              <w:top w:val="single" w:color="auto" w:sz="6" w:space="0"/>
              <w:left w:val="single" w:color="auto" w:sz="4" w:space="0"/>
              <w:bottom w:val="single" w:color="auto" w:sz="6" w:space="0"/>
              <w:right w:val="single" w:color="auto" w:sz="6" w:space="0"/>
            </w:tcBorders>
            <w:vAlign w:val="center"/>
          </w:tcPr>
          <w:p w14:paraId="1D971D74">
            <w:pPr>
              <w:keepNext w:val="0"/>
              <w:keepLines w:val="0"/>
              <w:pageBreakBefore w:val="0"/>
              <w:widowControl w:val="0"/>
              <w:kinsoku/>
              <w:wordWrap/>
              <w:overflowPunct/>
              <w:topLinePunct w:val="0"/>
              <w:autoSpaceDE/>
              <w:autoSpaceDN/>
              <w:bidi w:val="0"/>
              <w:adjustRightInd/>
              <w:snapToGrid/>
              <w:spacing w:before="63" w:beforeLines="20"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809" w:type="dxa"/>
            <w:tcBorders>
              <w:top w:val="single" w:color="auto" w:sz="6" w:space="0"/>
              <w:left w:val="single" w:color="auto" w:sz="6" w:space="0"/>
              <w:bottom w:val="single" w:color="auto" w:sz="6" w:space="0"/>
              <w:right w:val="single" w:color="auto" w:sz="6" w:space="0"/>
            </w:tcBorders>
            <w:vAlign w:val="center"/>
          </w:tcPr>
          <w:p w14:paraId="33FD247E">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c>
          <w:tcPr>
            <w:tcW w:w="3146" w:type="dxa"/>
            <w:tcBorders>
              <w:top w:val="single" w:color="auto" w:sz="6" w:space="0"/>
              <w:left w:val="single" w:color="auto" w:sz="6" w:space="0"/>
              <w:bottom w:val="single" w:color="auto" w:sz="6" w:space="0"/>
              <w:right w:val="single" w:color="auto" w:sz="6" w:space="0"/>
            </w:tcBorders>
            <w:vAlign w:val="center"/>
          </w:tcPr>
          <w:p w14:paraId="11A34088">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c>
          <w:tcPr>
            <w:tcW w:w="1263" w:type="dxa"/>
            <w:tcBorders>
              <w:top w:val="single" w:color="auto" w:sz="6" w:space="0"/>
              <w:left w:val="single" w:color="auto" w:sz="6" w:space="0"/>
              <w:bottom w:val="single" w:color="auto" w:sz="6" w:space="0"/>
              <w:right w:val="single" w:color="auto" w:sz="6" w:space="0"/>
            </w:tcBorders>
            <w:vAlign w:val="center"/>
          </w:tcPr>
          <w:p w14:paraId="054E0AFC">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249156AB">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r>
    </w:tbl>
    <w:p w14:paraId="4AD607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p>
    <w:p w14:paraId="55939C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r>
        <w:rPr>
          <w:rFonts w:hint="eastAsia" w:ascii="宋体" w:hAnsi="宋体" w:eastAsia="宋体" w:cs="宋体"/>
          <w:color w:val="auto"/>
          <w:szCs w:val="21"/>
          <w:highlight w:val="none"/>
          <w:lang w:eastAsia="zh-CN"/>
        </w:rPr>
        <w:t>：</w:t>
      </w: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应写明竞争性磋商</w:t>
      </w:r>
      <w:r>
        <w:rPr>
          <w:rFonts w:hint="eastAsia" w:ascii="宋体" w:hAnsi="宋体" w:eastAsia="宋体" w:cs="宋体"/>
          <w:color w:val="auto"/>
          <w:szCs w:val="21"/>
          <w:highlight w:val="none"/>
        </w:rPr>
        <w:t>响应文件对</w:t>
      </w:r>
      <w:r>
        <w:rPr>
          <w:rFonts w:hint="eastAsia" w:ascii="宋体" w:hAnsi="宋体" w:eastAsia="宋体" w:cs="宋体"/>
          <w:color w:val="auto"/>
          <w:highlight w:val="none"/>
        </w:rPr>
        <w:t>商务与服务技术要求的</w:t>
      </w:r>
      <w:r>
        <w:rPr>
          <w:rFonts w:hint="eastAsia" w:ascii="宋体" w:hAnsi="宋体" w:eastAsia="宋体" w:cs="宋体"/>
          <w:color w:val="auto"/>
          <w:szCs w:val="21"/>
          <w:highlight w:val="none"/>
        </w:rPr>
        <w:t>响应和偏离情况</w:t>
      </w:r>
      <w:r>
        <w:rPr>
          <w:rFonts w:hint="eastAsia" w:ascii="宋体" w:hAnsi="宋体" w:eastAsia="宋体" w:cs="宋体"/>
          <w:bCs/>
          <w:color w:val="auto"/>
          <w:szCs w:val="21"/>
          <w:highlight w:val="none"/>
        </w:rPr>
        <w:t>；</w:t>
      </w:r>
    </w:p>
    <w:p w14:paraId="737D807C">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应对照竞争性</w:t>
      </w:r>
      <w:r>
        <w:rPr>
          <w:rFonts w:hint="eastAsia" w:ascii="宋体" w:hAnsi="宋体" w:eastAsia="宋体" w:cs="宋体"/>
          <w:color w:val="auto"/>
          <w:highlight w:val="none"/>
          <w:lang w:eastAsia="zh-CN"/>
        </w:rPr>
        <w:t>磋商采购</w:t>
      </w:r>
      <w:r>
        <w:rPr>
          <w:rFonts w:hint="eastAsia" w:ascii="宋体" w:hAnsi="宋体" w:eastAsia="宋体" w:cs="宋体"/>
          <w:color w:val="auto"/>
          <w:highlight w:val="none"/>
        </w:rPr>
        <w:t>文件“第</w:t>
      </w:r>
      <w:r>
        <w:rPr>
          <w:rFonts w:hint="eastAsia" w:ascii="宋体" w:hAnsi="宋体" w:eastAsia="宋体" w:cs="宋体"/>
          <w:color w:val="auto"/>
          <w:highlight w:val="none"/>
          <w:lang w:val="en-US" w:eastAsia="zh-CN"/>
        </w:rPr>
        <w:t>四部分</w:t>
      </w:r>
      <w:r>
        <w:rPr>
          <w:rFonts w:hint="eastAsia" w:ascii="宋体" w:hAnsi="宋体" w:eastAsia="宋体" w:cs="宋体"/>
          <w:color w:val="auto"/>
          <w:highlight w:val="none"/>
        </w:rPr>
        <w:t xml:space="preserve">  采购需求”</w:t>
      </w:r>
      <w:r>
        <w:rPr>
          <w:rFonts w:hint="eastAsia" w:ascii="宋体" w:hAnsi="宋体" w:eastAsia="宋体" w:cs="宋体"/>
          <w:color w:val="auto"/>
          <w:highlight w:val="none"/>
          <w:lang w:eastAsia="zh-CN"/>
        </w:rPr>
        <w:t>的技术服务需求</w:t>
      </w:r>
      <w:r>
        <w:rPr>
          <w:rFonts w:hint="eastAsia" w:ascii="宋体" w:hAnsi="宋体" w:eastAsia="宋体" w:cs="宋体"/>
          <w:color w:val="auto"/>
          <w:highlight w:val="none"/>
          <w:lang w:val="en-US" w:eastAsia="zh-CN"/>
        </w:rPr>
        <w:t>及商务要求</w:t>
      </w:r>
      <w:r>
        <w:rPr>
          <w:rFonts w:hint="eastAsia" w:ascii="宋体" w:hAnsi="宋体" w:eastAsia="宋体" w:cs="宋体"/>
          <w:color w:val="auto"/>
          <w:highlight w:val="none"/>
        </w:rPr>
        <w:t>，逐条说明所提供技术服务做出实质性的响应，并申明与采购项目要求的响应和偏离。特别对有具体服务、技术要求的，磋商供应商必须提供对应的详细应答，如果仅注明“符合”、“满足”或简单复制竞争性磋商采购文件要求，将导致磋商被拒绝。漏项或者空白，视为不实质性响应</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采购文件。</w:t>
      </w:r>
    </w:p>
    <w:p w14:paraId="255FEF37">
      <w:pPr>
        <w:spacing w:line="360" w:lineRule="auto"/>
        <w:ind w:firstLine="420" w:firstLineChars="200"/>
        <w:rPr>
          <w:rFonts w:hint="eastAsia" w:ascii="宋体" w:hAnsi="宋体" w:eastAsia="宋体" w:cs="宋体"/>
          <w:color w:val="auto"/>
          <w:szCs w:val="21"/>
          <w:highlight w:val="none"/>
        </w:rPr>
      </w:pPr>
    </w:p>
    <w:p w14:paraId="275A86F2">
      <w:pPr>
        <w:spacing w:line="360" w:lineRule="auto"/>
        <w:ind w:firstLine="420" w:firstLineChars="200"/>
        <w:rPr>
          <w:rFonts w:hint="eastAsia" w:ascii="宋体" w:hAnsi="宋体" w:eastAsia="宋体" w:cs="宋体"/>
          <w:color w:val="auto"/>
          <w:szCs w:val="21"/>
          <w:highlight w:val="none"/>
        </w:rPr>
      </w:pPr>
    </w:p>
    <w:p w14:paraId="57B1AF5E">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或委托代理人（</w:t>
      </w:r>
      <w:r>
        <w:rPr>
          <w:rFonts w:hint="eastAsia" w:ascii="宋体" w:hAnsi="宋体" w:eastAsia="宋体" w:cs="宋体"/>
          <w:color w:val="auto"/>
          <w:szCs w:val="21"/>
          <w:highlight w:val="none"/>
          <w:lang w:val="en-US" w:eastAsia="zh-CN"/>
        </w:rPr>
        <w:t>签名</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14487F09">
      <w:pPr>
        <w:spacing w:line="360" w:lineRule="auto"/>
        <w:ind w:firstLine="420" w:firstLineChars="20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磋商供应商名称（</w:t>
      </w:r>
      <w:r>
        <w:rPr>
          <w:rFonts w:hint="eastAsia" w:ascii="宋体" w:hAnsi="宋体" w:eastAsia="宋体" w:cs="宋体"/>
          <w:color w:val="auto"/>
          <w:szCs w:val="21"/>
          <w:highlight w:val="none"/>
          <w:lang w:eastAsia="zh-CN"/>
        </w:rPr>
        <w:t>电子</w:t>
      </w:r>
      <w:r>
        <w:rPr>
          <w:rFonts w:hint="eastAsia" w:ascii="宋体" w:hAnsi="宋体" w:eastAsia="宋体" w:cs="宋体"/>
          <w:b w:val="0"/>
          <w:bCs/>
          <w:color w:val="auto"/>
          <w:szCs w:val="21"/>
          <w:highlight w:val="none"/>
          <w:lang w:val="en-US" w:eastAsia="zh-CN"/>
        </w:rPr>
        <w:t>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p>
    <w:p w14:paraId="05071DD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7039A7D">
      <w:pPr>
        <w:widowControl/>
        <w:spacing w:line="360" w:lineRule="auto"/>
        <w:jc w:val="center"/>
        <w:rPr>
          <w:rFonts w:hint="eastAsia" w:ascii="宋体" w:hAnsi="宋体" w:eastAsia="宋体" w:cs="宋体"/>
          <w:b/>
          <w:color w:val="auto"/>
          <w:kern w:val="0"/>
          <w:sz w:val="32"/>
          <w:szCs w:val="32"/>
          <w:highlight w:val="none"/>
          <w:lang w:val="zh-CN"/>
        </w:rPr>
      </w:pPr>
    </w:p>
    <w:p w14:paraId="27581B80">
      <w:pPr>
        <w:widowControl/>
        <w:spacing w:line="360" w:lineRule="auto"/>
        <w:jc w:val="center"/>
        <w:rPr>
          <w:rFonts w:hint="eastAsia" w:ascii="宋体" w:hAnsi="宋体" w:eastAsia="宋体" w:cs="宋体"/>
          <w:b/>
          <w:color w:val="auto"/>
          <w:kern w:val="0"/>
          <w:sz w:val="32"/>
          <w:szCs w:val="32"/>
          <w:highlight w:val="none"/>
          <w:lang w:val="zh-CN"/>
        </w:rPr>
      </w:pPr>
    </w:p>
    <w:p w14:paraId="07A067A9">
      <w:pPr>
        <w:widowControl/>
        <w:spacing w:line="360" w:lineRule="auto"/>
        <w:jc w:val="center"/>
        <w:rPr>
          <w:rFonts w:hint="eastAsia" w:ascii="宋体" w:hAnsi="宋体" w:eastAsia="宋体" w:cs="宋体"/>
          <w:b/>
          <w:color w:val="auto"/>
          <w:kern w:val="0"/>
          <w:sz w:val="32"/>
          <w:szCs w:val="32"/>
          <w:highlight w:val="none"/>
          <w:lang w:val="zh-CN"/>
        </w:rPr>
      </w:pPr>
    </w:p>
    <w:p w14:paraId="46FC2585">
      <w:pPr>
        <w:widowControl/>
        <w:spacing w:line="360" w:lineRule="auto"/>
        <w:jc w:val="both"/>
        <w:rPr>
          <w:rFonts w:hint="eastAsia" w:ascii="宋体" w:hAnsi="宋体" w:eastAsia="宋体" w:cs="宋体"/>
          <w:b/>
          <w:color w:val="auto"/>
          <w:kern w:val="0"/>
          <w:sz w:val="32"/>
          <w:szCs w:val="32"/>
          <w:highlight w:val="none"/>
          <w:lang w:val="zh-CN"/>
        </w:rPr>
      </w:pPr>
    </w:p>
    <w:p w14:paraId="6FB76A5A">
      <w:pPr>
        <w:adjustRightInd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五、</w:t>
      </w:r>
      <w:r>
        <w:rPr>
          <w:rFonts w:hint="eastAsia" w:ascii="宋体" w:hAnsi="宋体" w:eastAsia="宋体" w:cs="宋体"/>
          <w:b/>
          <w:color w:val="auto"/>
          <w:sz w:val="32"/>
          <w:szCs w:val="32"/>
          <w:highlight w:val="none"/>
        </w:rPr>
        <w:t>法定代表人</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负责人</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rPr>
        <w:t>身份证明书</w:t>
      </w:r>
    </w:p>
    <w:p w14:paraId="5D3E3F6C">
      <w:pPr>
        <w:adjustRightInd w:val="0"/>
        <w:snapToGrid w:val="0"/>
        <w:spacing w:line="360" w:lineRule="auto"/>
        <w:ind w:firstLine="960" w:firstLineChars="400"/>
        <w:rPr>
          <w:rFonts w:hint="eastAsia" w:ascii="宋体" w:hAnsi="宋体" w:eastAsia="宋体" w:cs="宋体"/>
          <w:color w:val="auto"/>
          <w:sz w:val="24"/>
          <w:highlight w:val="none"/>
          <w:u w:val="single"/>
        </w:rPr>
      </w:pPr>
    </w:p>
    <w:p w14:paraId="66E8A4E8">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在我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供应商名称</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职务，是我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供应商名称</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的法定代表人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负责人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6B76F316">
      <w:pPr>
        <w:adjustRightInd w:val="0"/>
        <w:snapToGrid w:val="0"/>
        <w:spacing w:line="360" w:lineRule="auto"/>
        <w:ind w:firstLine="840" w:firstLine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7F5F4028">
      <w:pPr>
        <w:adjustRightInd w:val="0"/>
        <w:snapToGrid w:val="0"/>
        <w:spacing w:line="360" w:lineRule="auto"/>
        <w:rPr>
          <w:rFonts w:hint="eastAsia" w:ascii="宋体" w:hAnsi="宋体" w:eastAsia="宋体" w:cs="宋体"/>
          <w:color w:val="auto"/>
          <w:sz w:val="24"/>
          <w:szCs w:val="24"/>
          <w:highlight w:val="none"/>
        </w:rPr>
      </w:pPr>
    </w:p>
    <w:p w14:paraId="6EF2F19D">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E89833B">
      <w:pPr>
        <w:adjustRightInd w:val="0"/>
        <w:snapToGrid w:val="0"/>
        <w:spacing w:line="360" w:lineRule="auto"/>
        <w:rPr>
          <w:rFonts w:hint="eastAsia" w:ascii="宋体" w:hAnsi="宋体" w:eastAsia="宋体" w:cs="宋体"/>
          <w:color w:val="auto"/>
          <w:sz w:val="24"/>
          <w:szCs w:val="24"/>
          <w:highlight w:val="none"/>
        </w:rPr>
      </w:pPr>
    </w:p>
    <w:p w14:paraId="40132C6A">
      <w:pPr>
        <w:adjustRightInd w:val="0"/>
        <w:snapToGrid w:val="0"/>
        <w:spacing w:line="360" w:lineRule="auto"/>
        <w:ind w:firstLine="3360" w:firstLineChars="1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755936EF">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电子</w:t>
      </w:r>
      <w:r>
        <w:rPr>
          <w:rFonts w:hint="eastAsia" w:ascii="宋体" w:hAnsi="宋体" w:eastAsia="宋体" w:cs="宋体"/>
          <w:color w:val="auto"/>
          <w:sz w:val="24"/>
          <w:szCs w:val="24"/>
          <w:highlight w:val="none"/>
          <w:lang w:val="en-US" w:eastAsia="zh-CN"/>
        </w:rPr>
        <w:t>公章</w:t>
      </w:r>
      <w:r>
        <w:rPr>
          <w:rFonts w:hint="eastAsia" w:ascii="宋体" w:hAnsi="宋体" w:eastAsia="宋体" w:cs="宋体"/>
          <w:color w:val="auto"/>
          <w:sz w:val="24"/>
          <w:szCs w:val="24"/>
          <w:highlight w:val="none"/>
        </w:rPr>
        <w:t>）</w:t>
      </w:r>
    </w:p>
    <w:p w14:paraId="7CA95ECA">
      <w:pPr>
        <w:adjustRightInd w:val="0"/>
        <w:snapToGrid w:val="0"/>
        <w:spacing w:line="360" w:lineRule="auto"/>
        <w:rPr>
          <w:rFonts w:hint="eastAsia" w:ascii="宋体" w:hAnsi="宋体" w:eastAsia="宋体" w:cs="宋体"/>
          <w:color w:val="auto"/>
          <w:sz w:val="24"/>
          <w:szCs w:val="24"/>
          <w:highlight w:val="none"/>
        </w:rPr>
      </w:pPr>
    </w:p>
    <w:p w14:paraId="21355675">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7938A4E7">
      <w:pPr>
        <w:adjustRightInd w:val="0"/>
        <w:snapToGrid w:val="0"/>
        <w:spacing w:line="360" w:lineRule="auto"/>
        <w:ind w:firstLine="360" w:firstLineChars="150"/>
        <w:rPr>
          <w:rFonts w:hint="eastAsia" w:ascii="宋体" w:hAnsi="宋体" w:eastAsia="宋体" w:cs="宋体"/>
          <w:color w:val="auto"/>
          <w:sz w:val="24"/>
          <w:szCs w:val="24"/>
          <w:highlight w:val="none"/>
        </w:rPr>
      </w:pPr>
    </w:p>
    <w:p w14:paraId="3E953C79">
      <w:pPr>
        <w:adjustRightInd w:val="0"/>
        <w:snapToGrid w:val="0"/>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住    址</w:t>
      </w:r>
      <w:r>
        <w:rPr>
          <w:rFonts w:hint="eastAsia" w:ascii="宋体" w:hAnsi="宋体" w:eastAsia="宋体" w:cs="宋体"/>
          <w:color w:val="auto"/>
          <w:sz w:val="24"/>
          <w:szCs w:val="24"/>
          <w:highlight w:val="none"/>
          <w:lang w:eastAsia="zh-CN"/>
        </w:rPr>
        <w:t>：</w:t>
      </w:r>
    </w:p>
    <w:p w14:paraId="5911DE99">
      <w:pPr>
        <w:adjustRightInd w:val="0"/>
        <w:snapToGrid w:val="0"/>
        <w:spacing w:line="360" w:lineRule="auto"/>
        <w:ind w:firstLine="360" w:firstLineChars="150"/>
        <w:rPr>
          <w:rFonts w:hint="eastAsia" w:ascii="宋体" w:hAnsi="宋体" w:eastAsia="宋体" w:cs="宋体"/>
          <w:color w:val="auto"/>
          <w:sz w:val="24"/>
          <w:szCs w:val="24"/>
          <w:highlight w:val="none"/>
        </w:rPr>
      </w:pPr>
    </w:p>
    <w:p w14:paraId="27B203B8">
      <w:pPr>
        <w:pStyle w:val="32"/>
        <w:adjustRightInd w:val="0"/>
        <w:snapToGrid w:val="0"/>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eastAsia="zh-CN"/>
        </w:rPr>
        <w:t>：</w:t>
      </w:r>
    </w:p>
    <w:p w14:paraId="74342179">
      <w:pPr>
        <w:pStyle w:val="32"/>
        <w:adjustRightInd w:val="0"/>
        <w:snapToGrid w:val="0"/>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营业执照或者事业单位法人证书或者执业许可证</w:t>
      </w:r>
      <w:r>
        <w:rPr>
          <w:rFonts w:hint="eastAsia" w:ascii="宋体" w:hAnsi="宋体" w:eastAsia="宋体" w:cs="宋体"/>
          <w:color w:val="auto"/>
          <w:sz w:val="24"/>
          <w:szCs w:val="24"/>
          <w:highlight w:val="none"/>
          <w:lang w:val="en-US" w:eastAsia="zh-CN"/>
        </w:rPr>
        <w:t>复印件</w:t>
      </w:r>
    </w:p>
    <w:p w14:paraId="1AD2D681">
      <w:pPr>
        <w:pStyle w:val="32"/>
        <w:adjustRightInd w:val="0"/>
        <w:snapToGri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负责人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身份证复印件</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6EAD7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jc w:val="center"/>
        </w:trPr>
        <w:tc>
          <w:tcPr>
            <w:tcW w:w="9124" w:type="dxa"/>
            <w:vAlign w:val="top"/>
          </w:tcPr>
          <w:p w14:paraId="0D49DA3B">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粘贴法定代表人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身份证的正面及反面身份证复印件</w:t>
            </w:r>
          </w:p>
        </w:tc>
      </w:tr>
    </w:tbl>
    <w:p w14:paraId="5DA8E8C6">
      <w:pPr>
        <w:widowControl/>
        <w:spacing w:line="360" w:lineRule="auto"/>
        <w:jc w:val="center"/>
        <w:rPr>
          <w:rFonts w:hint="eastAsia" w:ascii="宋体" w:hAnsi="宋体" w:eastAsia="宋体" w:cs="宋体"/>
          <w:b/>
          <w:color w:val="auto"/>
          <w:kern w:val="0"/>
          <w:sz w:val="32"/>
          <w:szCs w:val="32"/>
          <w:highlight w:val="none"/>
          <w:lang w:val="zh-CN"/>
        </w:rPr>
      </w:pPr>
    </w:p>
    <w:p w14:paraId="35D3ACD0">
      <w:pPr>
        <w:widowControl/>
        <w:spacing w:line="360" w:lineRule="auto"/>
        <w:jc w:val="center"/>
        <w:rPr>
          <w:rFonts w:hint="eastAsia" w:ascii="宋体" w:hAnsi="宋体" w:eastAsia="宋体" w:cs="宋体"/>
          <w:b/>
          <w:color w:val="auto"/>
          <w:kern w:val="0"/>
          <w:sz w:val="32"/>
          <w:szCs w:val="32"/>
          <w:highlight w:val="none"/>
          <w:lang w:val="zh-CN"/>
        </w:rPr>
      </w:pPr>
    </w:p>
    <w:p w14:paraId="356100E3">
      <w:pPr>
        <w:widowControl/>
        <w:spacing w:line="360" w:lineRule="auto"/>
        <w:jc w:val="center"/>
        <w:rPr>
          <w:rFonts w:hint="eastAsia" w:ascii="宋体" w:hAnsi="宋体" w:eastAsia="宋体" w:cs="宋体"/>
          <w:b/>
          <w:color w:val="auto"/>
          <w:kern w:val="0"/>
          <w:sz w:val="32"/>
          <w:szCs w:val="32"/>
          <w:highlight w:val="none"/>
          <w:lang w:val="zh-CN"/>
        </w:rPr>
      </w:pPr>
    </w:p>
    <w:p w14:paraId="304E8845">
      <w:pPr>
        <w:adjustRightInd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sz w:val="32"/>
          <w:szCs w:val="32"/>
          <w:highlight w:val="none"/>
        </w:rPr>
        <w:t>法定代表人</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负责人</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rPr>
        <w:t>授权委托书</w:t>
      </w:r>
    </w:p>
    <w:p w14:paraId="5DE3D7F1">
      <w:pPr>
        <w:adjustRightInd w:val="0"/>
        <w:snapToGrid w:val="0"/>
        <w:spacing w:line="360" w:lineRule="auto"/>
        <w:rPr>
          <w:rFonts w:hint="eastAsia" w:ascii="宋体" w:hAnsi="宋体" w:eastAsia="宋体" w:cs="宋体"/>
          <w:color w:val="auto"/>
          <w:szCs w:val="21"/>
          <w:highlight w:val="none"/>
        </w:rPr>
      </w:pPr>
    </w:p>
    <w:p w14:paraId="44DD3790">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u w:val="single"/>
          <w:lang w:eastAsia="zh-CN"/>
        </w:rPr>
        <w:t>广西政建咨询有限公司</w:t>
      </w:r>
      <w:r>
        <w:rPr>
          <w:rFonts w:hint="eastAsia" w:ascii="宋体" w:hAnsi="宋体" w:eastAsia="宋体" w:cs="宋体"/>
          <w:color w:val="auto"/>
          <w:szCs w:val="21"/>
          <w:highlight w:val="none"/>
          <w:lang w:eastAsia="zh-CN"/>
        </w:rPr>
        <w:t>：</w:t>
      </w:r>
    </w:p>
    <w:p w14:paraId="057EEC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兹授权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同志为我公司参加贵单位组织的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u w:val="single"/>
        </w:rPr>
        <w:t>项目名称/项目编号</w:t>
      </w:r>
      <w:r>
        <w:rPr>
          <w:rFonts w:hint="eastAsia" w:ascii="宋体" w:hAnsi="宋体" w:eastAsia="宋体" w:cs="宋体"/>
          <w:color w:val="auto"/>
          <w:szCs w:val="21"/>
          <w:highlight w:val="none"/>
        </w:rPr>
        <w:t>竞争性磋商采购活动的委托代理人，全权代表我公司处理在该项目活动中的一切事宜。代理期限从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日起至</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日止。 </w:t>
      </w:r>
    </w:p>
    <w:p w14:paraId="38BB9F4E">
      <w:pPr>
        <w:spacing w:line="360" w:lineRule="auto"/>
        <w:rPr>
          <w:rFonts w:hint="eastAsia" w:ascii="宋体" w:hAnsi="宋体" w:eastAsia="宋体" w:cs="宋体"/>
          <w:color w:val="auto"/>
          <w:szCs w:val="21"/>
          <w:highlight w:val="none"/>
        </w:rPr>
      </w:pPr>
    </w:p>
    <w:p w14:paraId="3352D22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磋商供应商名称（</w:t>
      </w:r>
      <w:r>
        <w:rPr>
          <w:rFonts w:hint="eastAsia" w:ascii="宋体" w:hAnsi="宋体" w:eastAsia="宋体" w:cs="宋体"/>
          <w:color w:val="auto"/>
          <w:szCs w:val="21"/>
          <w:highlight w:val="none"/>
          <w:lang w:eastAsia="zh-CN"/>
        </w:rPr>
        <w:t>电子</w:t>
      </w:r>
      <w:r>
        <w:rPr>
          <w:rFonts w:hint="eastAsia" w:ascii="宋体" w:hAnsi="宋体" w:eastAsia="宋体" w:cs="宋体"/>
          <w:b w:val="0"/>
          <w:bCs/>
          <w:color w:val="auto"/>
          <w:szCs w:val="21"/>
          <w:highlight w:val="none"/>
          <w:lang w:val="en-US" w:eastAsia="zh-CN"/>
        </w:rPr>
        <w:t>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14079DF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签</w:t>
      </w:r>
      <w:r>
        <w:rPr>
          <w:rFonts w:hint="eastAsia" w:ascii="宋体" w:hAnsi="宋体" w:eastAsia="宋体" w:cs="宋体"/>
          <w:color w:val="auto"/>
          <w:szCs w:val="21"/>
          <w:highlight w:val="none"/>
          <w:lang w:val="en-US" w:eastAsia="zh-CN"/>
        </w:rPr>
        <w:t>名</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7CE38CC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签发日期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5418F86">
      <w:pPr>
        <w:spacing w:line="360" w:lineRule="auto"/>
        <w:rPr>
          <w:rFonts w:hint="eastAsia" w:ascii="宋体" w:hAnsi="宋体" w:eastAsia="宋体" w:cs="宋体"/>
          <w:color w:val="auto"/>
          <w:szCs w:val="21"/>
          <w:highlight w:val="none"/>
        </w:rPr>
      </w:pPr>
    </w:p>
    <w:p w14:paraId="35B1625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委托代理人工作单位</w:t>
      </w:r>
      <w:r>
        <w:rPr>
          <w:rFonts w:hint="eastAsia" w:ascii="宋体" w:hAnsi="宋体" w:eastAsia="宋体" w:cs="宋体"/>
          <w:color w:val="auto"/>
          <w:szCs w:val="21"/>
          <w:highlight w:val="none"/>
          <w:u w:val="single"/>
        </w:rPr>
        <w:t xml:space="preserve">               </w:t>
      </w:r>
    </w:p>
    <w:p w14:paraId="1C62EB9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性别</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3C0920FA">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p>
    <w:tbl>
      <w:tblPr>
        <w:tblStyle w:val="6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6C476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vAlign w:val="top"/>
          </w:tcPr>
          <w:p w14:paraId="77D55A0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粘贴委托代理人的正面及反面身份证复印件</w:t>
            </w:r>
          </w:p>
          <w:p w14:paraId="53FA71F9">
            <w:pPr>
              <w:spacing w:line="360" w:lineRule="auto"/>
              <w:rPr>
                <w:rFonts w:hint="eastAsia" w:ascii="宋体" w:hAnsi="宋体" w:eastAsia="宋体" w:cs="宋体"/>
                <w:color w:val="auto"/>
                <w:szCs w:val="21"/>
                <w:highlight w:val="none"/>
              </w:rPr>
            </w:pPr>
          </w:p>
          <w:p w14:paraId="3249886B">
            <w:pPr>
              <w:spacing w:line="360" w:lineRule="auto"/>
              <w:rPr>
                <w:rFonts w:hint="eastAsia" w:ascii="宋体" w:hAnsi="宋体" w:eastAsia="宋体" w:cs="宋体"/>
                <w:color w:val="auto"/>
                <w:szCs w:val="21"/>
                <w:highlight w:val="none"/>
              </w:rPr>
            </w:pPr>
          </w:p>
          <w:p w14:paraId="7247A724">
            <w:pPr>
              <w:spacing w:line="360" w:lineRule="auto"/>
              <w:rPr>
                <w:rFonts w:hint="eastAsia" w:ascii="宋体" w:hAnsi="宋体" w:eastAsia="宋体" w:cs="宋体"/>
                <w:color w:val="auto"/>
                <w:szCs w:val="21"/>
                <w:highlight w:val="none"/>
              </w:rPr>
            </w:pPr>
          </w:p>
          <w:p w14:paraId="29539CE0">
            <w:pPr>
              <w:spacing w:line="360" w:lineRule="auto"/>
              <w:rPr>
                <w:rFonts w:hint="eastAsia" w:ascii="宋体" w:hAnsi="宋体" w:eastAsia="宋体" w:cs="宋体"/>
                <w:color w:val="auto"/>
                <w:szCs w:val="21"/>
                <w:highlight w:val="none"/>
              </w:rPr>
            </w:pPr>
          </w:p>
          <w:p w14:paraId="616269A4">
            <w:pPr>
              <w:spacing w:line="360" w:lineRule="auto"/>
              <w:rPr>
                <w:rFonts w:hint="eastAsia" w:ascii="宋体" w:hAnsi="宋体" w:eastAsia="宋体" w:cs="宋体"/>
                <w:color w:val="auto"/>
                <w:szCs w:val="21"/>
                <w:highlight w:val="none"/>
              </w:rPr>
            </w:pPr>
          </w:p>
          <w:p w14:paraId="33FC14E9">
            <w:pPr>
              <w:spacing w:line="360" w:lineRule="auto"/>
              <w:rPr>
                <w:rFonts w:hint="eastAsia" w:ascii="宋体" w:hAnsi="宋体" w:eastAsia="宋体" w:cs="宋体"/>
                <w:color w:val="auto"/>
                <w:szCs w:val="21"/>
                <w:highlight w:val="none"/>
              </w:rPr>
            </w:pPr>
          </w:p>
        </w:tc>
      </w:tr>
    </w:tbl>
    <w:p w14:paraId="2E10D3E1">
      <w:pPr>
        <w:autoSpaceDE w:val="0"/>
        <w:autoSpaceDN w:val="0"/>
        <w:spacing w:line="360" w:lineRule="auto"/>
        <w:ind w:left="480" w:hanging="480"/>
        <w:rPr>
          <w:rFonts w:hint="eastAsia" w:ascii="宋体" w:hAnsi="宋体" w:eastAsia="宋体" w:cs="宋体"/>
          <w:color w:val="auto"/>
          <w:szCs w:val="21"/>
          <w:highlight w:val="none"/>
        </w:rPr>
      </w:pPr>
    </w:p>
    <w:p w14:paraId="2874441A">
      <w:pPr>
        <w:snapToGrid w:val="0"/>
        <w:spacing w:beforeLines="50" w:after="50" w:line="360" w:lineRule="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注</w:t>
      </w:r>
      <w:r>
        <w:rPr>
          <w:rFonts w:hint="eastAsia" w:ascii="宋体" w:hAnsi="宋体" w:eastAsia="宋体" w:cs="宋体"/>
          <w:color w:val="auto"/>
          <w:szCs w:val="21"/>
          <w:highlight w:val="none"/>
          <w:lang w:eastAsia="zh-CN"/>
        </w:rPr>
        <w:t>：</w:t>
      </w:r>
    </w:p>
    <w:p w14:paraId="7BC629B5">
      <w:pPr>
        <w:snapToGrid w:val="0"/>
        <w:spacing w:beforeLines="50" w:after="50" w:line="360" w:lineRule="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1.法定代表人必须在授权委托书上签名，并加盖</w:t>
      </w:r>
      <w:r>
        <w:rPr>
          <w:rFonts w:hint="eastAsia" w:ascii="宋体" w:hAnsi="宋体" w:eastAsia="宋体" w:cs="宋体"/>
          <w:color w:val="auto"/>
          <w:szCs w:val="21"/>
          <w:highlight w:val="none"/>
          <w:lang w:eastAsia="zh-CN"/>
        </w:rPr>
        <w:t>电子</w:t>
      </w:r>
      <w:r>
        <w:rPr>
          <w:rFonts w:hint="eastAsia" w:ascii="宋体" w:hAnsi="宋体" w:eastAsia="宋体" w:cs="宋体"/>
          <w:b w:val="0"/>
          <w:bCs/>
          <w:color w:val="auto"/>
          <w:szCs w:val="21"/>
          <w:highlight w:val="none"/>
          <w:lang w:val="en-US" w:eastAsia="zh-CN"/>
        </w:rPr>
        <w:t>公章</w:t>
      </w:r>
      <w:r>
        <w:rPr>
          <w:rFonts w:hint="eastAsia" w:ascii="宋体" w:hAnsi="宋体" w:eastAsia="宋体" w:cs="宋体"/>
          <w:color w:val="auto"/>
          <w:szCs w:val="21"/>
          <w:highlight w:val="none"/>
        </w:rPr>
        <w:t>，否则作无效磋商处理</w:t>
      </w:r>
      <w:r>
        <w:rPr>
          <w:rFonts w:hint="eastAsia" w:ascii="宋体" w:hAnsi="宋体" w:eastAsia="宋体" w:cs="宋体"/>
          <w:b w:val="0"/>
          <w:bCs w:val="0"/>
          <w:color w:val="auto"/>
          <w:szCs w:val="21"/>
          <w:highlight w:val="none"/>
          <w:lang w:eastAsia="zh-CN"/>
        </w:rPr>
        <w:t>；</w:t>
      </w:r>
    </w:p>
    <w:p w14:paraId="173AF2B9">
      <w:pPr>
        <w:widowControl/>
        <w:spacing w:line="360" w:lineRule="auto"/>
        <w:jc w:val="center"/>
        <w:rPr>
          <w:rFonts w:hint="eastAsia" w:ascii="宋体" w:hAnsi="宋体" w:eastAsia="宋体" w:cs="宋体"/>
          <w:b/>
          <w:color w:val="auto"/>
          <w:kern w:val="0"/>
          <w:sz w:val="32"/>
          <w:szCs w:val="32"/>
          <w:highlight w:val="none"/>
          <w:lang w:val="zh-CN" w:eastAsia="zh-CN"/>
        </w:rPr>
      </w:pPr>
      <w:r>
        <w:rPr>
          <w:rFonts w:hint="eastAsia" w:ascii="宋体" w:hAnsi="宋体" w:eastAsia="宋体" w:cs="宋体"/>
          <w:color w:val="auto"/>
          <w:szCs w:val="21"/>
          <w:highlight w:val="none"/>
        </w:rPr>
        <w:t>2.供应商为其他组织或者自然人时，本文件规定的法定代表人指负责人或者自然人。本文件所称负责人是指参加</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的其他组织营业执照上的负责人，本文件所称自然人指参与</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的自然人本人</w:t>
      </w:r>
      <w:r>
        <w:rPr>
          <w:rFonts w:hint="eastAsia" w:ascii="宋体" w:hAnsi="宋体" w:eastAsia="宋体" w:cs="宋体"/>
          <w:color w:val="auto"/>
          <w:szCs w:val="21"/>
          <w:highlight w:val="none"/>
          <w:lang w:eastAsia="zh-CN"/>
        </w:rPr>
        <w:t>。</w:t>
      </w:r>
    </w:p>
    <w:p w14:paraId="1011BF60">
      <w:pPr>
        <w:widowControl/>
        <w:spacing w:line="360" w:lineRule="auto"/>
        <w:jc w:val="center"/>
        <w:rPr>
          <w:rFonts w:hint="eastAsia" w:ascii="宋体" w:hAnsi="宋体" w:eastAsia="宋体" w:cs="宋体"/>
          <w:b/>
          <w:color w:val="auto"/>
          <w:kern w:val="0"/>
          <w:sz w:val="32"/>
          <w:szCs w:val="32"/>
          <w:highlight w:val="none"/>
          <w:lang w:val="zh-CN"/>
        </w:rPr>
      </w:pPr>
    </w:p>
    <w:p w14:paraId="12191EF6">
      <w:pPr>
        <w:snapToGrid w:val="0"/>
        <w:spacing w:line="360" w:lineRule="auto"/>
        <w:rPr>
          <w:rFonts w:hint="eastAsia" w:ascii="宋体" w:hAnsi="宋体" w:eastAsia="宋体" w:cs="宋体"/>
          <w:color w:val="auto"/>
          <w:kern w:val="0"/>
          <w:sz w:val="24"/>
          <w:highlight w:val="none"/>
          <w:lang w:val="zh-CN"/>
        </w:rPr>
      </w:pPr>
    </w:p>
    <w:p w14:paraId="508C68E6">
      <w:pPr>
        <w:widowControl/>
        <w:adjustRightInd/>
        <w:jc w:val="left"/>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br w:type="page"/>
      </w:r>
    </w:p>
    <w:p w14:paraId="16443860">
      <w:pPr>
        <w:snapToGrid w:val="0"/>
        <w:spacing w:line="360" w:lineRule="auto"/>
        <w:ind w:firstLine="576"/>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七、</w:t>
      </w:r>
      <w:r>
        <w:rPr>
          <w:rFonts w:hint="eastAsia" w:ascii="宋体" w:hAnsi="宋体" w:eastAsia="宋体" w:cs="宋体"/>
          <w:b/>
          <w:bCs/>
          <w:color w:val="auto"/>
          <w:sz w:val="32"/>
          <w:szCs w:val="32"/>
          <w:highlight w:val="none"/>
        </w:rPr>
        <w:t>服务承诺</w:t>
      </w:r>
    </w:p>
    <w:p w14:paraId="20AD5B23">
      <w:pPr>
        <w:spacing w:line="360" w:lineRule="auto"/>
        <w:jc w:val="center"/>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格式自拟</w:t>
      </w:r>
    </w:p>
    <w:p w14:paraId="2E870648">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lang w:val="en-US" w:eastAsia="zh-CN"/>
        </w:rPr>
        <w:t>可根据</w:t>
      </w:r>
      <w:r>
        <w:rPr>
          <w:rFonts w:hint="eastAsia" w:ascii="宋体" w:hAnsi="宋体" w:eastAsia="宋体" w:cs="宋体"/>
          <w:color w:val="auto"/>
          <w:highlight w:val="none"/>
        </w:rPr>
        <w:t>《</w:t>
      </w:r>
      <w:r>
        <w:rPr>
          <w:rFonts w:hint="eastAsia" w:ascii="宋体" w:hAnsi="宋体" w:eastAsia="宋体" w:cs="宋体"/>
          <w:color w:val="auto"/>
          <w:szCs w:val="21"/>
          <w:highlight w:val="none"/>
        </w:rPr>
        <w:t>采购</w:t>
      </w: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rPr>
        <w:t>需求</w:t>
      </w:r>
      <w:r>
        <w:rPr>
          <w:rFonts w:hint="eastAsia" w:ascii="宋体" w:hAnsi="宋体" w:eastAsia="宋体" w:cs="宋体"/>
          <w:color w:val="auto"/>
          <w:highlight w:val="none"/>
        </w:rPr>
        <w:t>》中的要求自行填写】</w:t>
      </w:r>
    </w:p>
    <w:p w14:paraId="56B5C8FC">
      <w:pPr>
        <w:widowControl/>
        <w:adjustRightInd/>
        <w:ind w:firstLine="4176" w:firstLineChars="1300"/>
        <w:jc w:val="left"/>
        <w:rPr>
          <w:rFonts w:hint="eastAsia" w:ascii="宋体" w:hAnsi="宋体" w:eastAsia="宋体" w:cs="宋体"/>
          <w:b/>
          <w:color w:val="auto"/>
          <w:kern w:val="0"/>
          <w:sz w:val="32"/>
          <w:szCs w:val="32"/>
          <w:highlight w:val="none"/>
          <w:lang w:val="en-US" w:eastAsia="zh-CN"/>
        </w:rPr>
      </w:pPr>
    </w:p>
    <w:p w14:paraId="071A81F5">
      <w:pPr>
        <w:widowControl/>
        <w:adjustRightInd/>
        <w:jc w:val="left"/>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br w:type="page"/>
      </w:r>
    </w:p>
    <w:p w14:paraId="51899802">
      <w:pPr>
        <w:snapToGrid w:val="0"/>
        <w:spacing w:before="156" w:beforeLines="50" w:after="50"/>
        <w:jc w:val="center"/>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八、具备法律、行政法规规定的其他条件的证明材料</w:t>
      </w:r>
    </w:p>
    <w:p w14:paraId="6067E420">
      <w:pPr>
        <w:snapToGrid w:val="0"/>
        <w:spacing w:before="156" w:beforeLines="50" w:after="50"/>
        <w:ind w:left="142"/>
        <w:jc w:val="center"/>
        <w:rPr>
          <w:rFonts w:hint="eastAsia" w:ascii="宋体" w:hAnsi="宋体" w:eastAsia="宋体" w:cs="宋体"/>
          <w:b/>
          <w:color w:val="auto"/>
          <w:sz w:val="32"/>
          <w:szCs w:val="32"/>
          <w:highlight w:val="none"/>
          <w:lang w:val="en-US" w:eastAsia="zh-CN"/>
        </w:rPr>
      </w:pPr>
    </w:p>
    <w:p w14:paraId="0C35F5AD">
      <w:pPr>
        <w:snapToGrid w:val="0"/>
        <w:spacing w:before="156" w:beforeLines="50" w:after="50"/>
        <w:ind w:left="142"/>
        <w:jc w:val="center"/>
        <w:rPr>
          <w:rFonts w:hint="eastAsia" w:ascii="宋体" w:hAnsi="宋体" w:eastAsia="宋体" w:cs="宋体"/>
          <w:b/>
          <w:color w:val="auto"/>
          <w:sz w:val="32"/>
          <w:szCs w:val="32"/>
          <w:highlight w:val="none"/>
          <w:lang w:val="en-US" w:eastAsia="zh-CN"/>
        </w:rPr>
      </w:pPr>
    </w:p>
    <w:p w14:paraId="38DBD14A">
      <w:pPr>
        <w:snapToGrid w:val="0"/>
        <w:spacing w:before="156" w:beforeLines="50" w:after="50"/>
        <w:ind w:left="142"/>
        <w:jc w:val="center"/>
        <w:rPr>
          <w:rFonts w:hint="eastAsia" w:ascii="宋体" w:hAnsi="宋体" w:eastAsia="宋体" w:cs="宋体"/>
          <w:b/>
          <w:color w:val="auto"/>
          <w:sz w:val="32"/>
          <w:szCs w:val="32"/>
          <w:highlight w:val="none"/>
          <w:lang w:val="en-US" w:eastAsia="zh-CN"/>
        </w:rPr>
      </w:pPr>
    </w:p>
    <w:p w14:paraId="2E5F6B32">
      <w:pPr>
        <w:snapToGrid w:val="0"/>
        <w:spacing w:before="156" w:beforeLines="50" w:after="50"/>
        <w:ind w:left="142"/>
        <w:jc w:val="center"/>
        <w:rPr>
          <w:rFonts w:hint="eastAsia" w:ascii="宋体" w:hAnsi="宋体" w:eastAsia="宋体" w:cs="宋体"/>
          <w:b/>
          <w:color w:val="auto"/>
          <w:sz w:val="32"/>
          <w:szCs w:val="32"/>
          <w:highlight w:val="none"/>
          <w:lang w:val="en-US" w:eastAsia="zh-CN"/>
        </w:rPr>
      </w:pPr>
    </w:p>
    <w:p w14:paraId="623E7BB3">
      <w:pPr>
        <w:snapToGrid w:val="0"/>
        <w:spacing w:before="156" w:beforeLines="50" w:after="50"/>
        <w:ind w:left="142"/>
        <w:jc w:val="center"/>
        <w:rPr>
          <w:rFonts w:hint="eastAsia" w:ascii="宋体" w:hAnsi="宋体" w:eastAsia="宋体" w:cs="宋体"/>
          <w:b/>
          <w:color w:val="auto"/>
          <w:sz w:val="32"/>
          <w:szCs w:val="32"/>
          <w:highlight w:val="none"/>
          <w:lang w:val="en-US" w:eastAsia="zh-CN"/>
        </w:rPr>
      </w:pPr>
    </w:p>
    <w:p w14:paraId="520673D3">
      <w:pPr>
        <w:snapToGrid w:val="0"/>
        <w:spacing w:before="156" w:beforeLines="50" w:after="50"/>
        <w:ind w:left="142"/>
        <w:jc w:val="center"/>
        <w:rPr>
          <w:rFonts w:hint="eastAsia" w:ascii="宋体" w:hAnsi="宋体" w:eastAsia="宋体" w:cs="宋体"/>
          <w:b/>
          <w:color w:val="auto"/>
          <w:sz w:val="32"/>
          <w:szCs w:val="32"/>
          <w:highlight w:val="none"/>
          <w:lang w:val="en-US" w:eastAsia="zh-CN"/>
        </w:rPr>
      </w:pPr>
    </w:p>
    <w:p w14:paraId="5D6D8E4C">
      <w:pPr>
        <w:snapToGrid w:val="0"/>
        <w:spacing w:before="156" w:beforeLines="50" w:after="50"/>
        <w:ind w:left="142"/>
        <w:jc w:val="center"/>
        <w:rPr>
          <w:rFonts w:hint="eastAsia" w:ascii="宋体" w:hAnsi="宋体" w:eastAsia="宋体" w:cs="宋体"/>
          <w:b/>
          <w:color w:val="auto"/>
          <w:sz w:val="32"/>
          <w:szCs w:val="32"/>
          <w:highlight w:val="none"/>
          <w:lang w:val="en-US" w:eastAsia="zh-CN"/>
        </w:rPr>
      </w:pPr>
    </w:p>
    <w:p w14:paraId="16CE3331">
      <w:pPr>
        <w:snapToGrid w:val="0"/>
        <w:spacing w:before="156" w:beforeLines="50" w:after="50"/>
        <w:ind w:left="142"/>
        <w:jc w:val="center"/>
        <w:rPr>
          <w:rFonts w:hint="eastAsia" w:ascii="宋体" w:hAnsi="宋体" w:eastAsia="宋体" w:cs="宋体"/>
          <w:b/>
          <w:color w:val="auto"/>
          <w:sz w:val="32"/>
          <w:szCs w:val="32"/>
          <w:highlight w:val="none"/>
          <w:lang w:val="en-US" w:eastAsia="zh-CN"/>
        </w:rPr>
      </w:pPr>
    </w:p>
    <w:p w14:paraId="4E0D9A56">
      <w:pPr>
        <w:snapToGrid w:val="0"/>
        <w:spacing w:before="156" w:beforeLines="50" w:after="50"/>
        <w:ind w:left="142"/>
        <w:jc w:val="center"/>
        <w:rPr>
          <w:rFonts w:hint="eastAsia" w:ascii="宋体" w:hAnsi="宋体" w:eastAsia="宋体" w:cs="宋体"/>
          <w:b/>
          <w:color w:val="auto"/>
          <w:sz w:val="32"/>
          <w:szCs w:val="32"/>
          <w:highlight w:val="none"/>
          <w:lang w:val="en-US" w:eastAsia="zh-CN"/>
        </w:rPr>
      </w:pPr>
    </w:p>
    <w:p w14:paraId="7FF9282F">
      <w:pPr>
        <w:snapToGrid w:val="0"/>
        <w:spacing w:before="156" w:beforeLines="50" w:after="50"/>
        <w:ind w:left="142"/>
        <w:jc w:val="center"/>
        <w:rPr>
          <w:rFonts w:hint="eastAsia" w:ascii="宋体" w:hAnsi="宋体" w:eastAsia="宋体" w:cs="宋体"/>
          <w:b/>
          <w:color w:val="auto"/>
          <w:sz w:val="32"/>
          <w:szCs w:val="32"/>
          <w:highlight w:val="none"/>
          <w:lang w:val="en-US" w:eastAsia="zh-CN"/>
        </w:rPr>
      </w:pPr>
    </w:p>
    <w:p w14:paraId="0FEFB3E3">
      <w:pPr>
        <w:snapToGrid w:val="0"/>
        <w:spacing w:before="156" w:beforeLines="50" w:after="50"/>
        <w:ind w:left="142"/>
        <w:jc w:val="center"/>
        <w:rPr>
          <w:rFonts w:hint="eastAsia" w:ascii="宋体" w:hAnsi="宋体" w:eastAsia="宋体" w:cs="宋体"/>
          <w:b/>
          <w:color w:val="auto"/>
          <w:sz w:val="32"/>
          <w:szCs w:val="32"/>
          <w:highlight w:val="none"/>
          <w:lang w:val="en-US" w:eastAsia="zh-CN"/>
        </w:rPr>
      </w:pPr>
    </w:p>
    <w:p w14:paraId="68AE69D9">
      <w:pPr>
        <w:snapToGrid w:val="0"/>
        <w:spacing w:before="156" w:beforeLines="50" w:after="50"/>
        <w:ind w:left="142"/>
        <w:jc w:val="center"/>
        <w:rPr>
          <w:rFonts w:hint="eastAsia" w:ascii="宋体" w:hAnsi="宋体" w:eastAsia="宋体" w:cs="宋体"/>
          <w:b/>
          <w:color w:val="auto"/>
          <w:sz w:val="32"/>
          <w:szCs w:val="32"/>
          <w:highlight w:val="none"/>
          <w:lang w:val="en-US" w:eastAsia="zh-CN"/>
        </w:rPr>
      </w:pPr>
    </w:p>
    <w:p w14:paraId="0C665237">
      <w:pPr>
        <w:snapToGrid w:val="0"/>
        <w:spacing w:before="156" w:beforeLines="50" w:after="50"/>
        <w:ind w:left="142"/>
        <w:jc w:val="center"/>
        <w:rPr>
          <w:rFonts w:hint="eastAsia" w:ascii="宋体" w:hAnsi="宋体" w:eastAsia="宋体" w:cs="宋体"/>
          <w:b/>
          <w:color w:val="auto"/>
          <w:sz w:val="32"/>
          <w:szCs w:val="32"/>
          <w:highlight w:val="none"/>
          <w:lang w:val="en-US" w:eastAsia="zh-CN"/>
        </w:rPr>
      </w:pPr>
    </w:p>
    <w:p w14:paraId="165F0456">
      <w:pPr>
        <w:snapToGrid w:val="0"/>
        <w:spacing w:before="156" w:beforeLines="50" w:after="50"/>
        <w:ind w:left="142"/>
        <w:jc w:val="center"/>
        <w:rPr>
          <w:rFonts w:hint="eastAsia" w:ascii="宋体" w:hAnsi="宋体" w:eastAsia="宋体" w:cs="宋体"/>
          <w:b/>
          <w:color w:val="auto"/>
          <w:sz w:val="32"/>
          <w:szCs w:val="32"/>
          <w:highlight w:val="none"/>
          <w:lang w:val="en-US" w:eastAsia="zh-CN"/>
        </w:rPr>
      </w:pPr>
    </w:p>
    <w:p w14:paraId="48EDD01E">
      <w:pPr>
        <w:snapToGrid w:val="0"/>
        <w:spacing w:before="156" w:beforeLines="50" w:after="50"/>
        <w:ind w:left="142"/>
        <w:jc w:val="center"/>
        <w:rPr>
          <w:rFonts w:hint="eastAsia" w:ascii="宋体" w:hAnsi="宋体" w:eastAsia="宋体" w:cs="宋体"/>
          <w:b/>
          <w:color w:val="auto"/>
          <w:sz w:val="32"/>
          <w:szCs w:val="32"/>
          <w:highlight w:val="none"/>
          <w:lang w:val="en-US" w:eastAsia="zh-CN"/>
        </w:rPr>
      </w:pPr>
    </w:p>
    <w:p w14:paraId="02AE2B25">
      <w:pPr>
        <w:snapToGrid w:val="0"/>
        <w:spacing w:before="156" w:beforeLines="50" w:after="50"/>
        <w:ind w:left="142"/>
        <w:jc w:val="center"/>
        <w:rPr>
          <w:rFonts w:hint="eastAsia" w:ascii="宋体" w:hAnsi="宋体" w:eastAsia="宋体" w:cs="宋体"/>
          <w:b/>
          <w:color w:val="auto"/>
          <w:sz w:val="32"/>
          <w:szCs w:val="32"/>
          <w:highlight w:val="none"/>
          <w:lang w:val="en-US" w:eastAsia="zh-CN"/>
        </w:rPr>
      </w:pPr>
    </w:p>
    <w:p w14:paraId="4F4E7B9E">
      <w:pPr>
        <w:snapToGrid w:val="0"/>
        <w:spacing w:before="156" w:beforeLines="50" w:after="50"/>
        <w:ind w:left="142"/>
        <w:jc w:val="center"/>
        <w:rPr>
          <w:rFonts w:hint="eastAsia" w:ascii="宋体" w:hAnsi="宋体" w:eastAsia="宋体" w:cs="宋体"/>
          <w:b/>
          <w:color w:val="auto"/>
          <w:sz w:val="32"/>
          <w:szCs w:val="32"/>
          <w:highlight w:val="none"/>
          <w:lang w:val="en-US" w:eastAsia="zh-CN"/>
        </w:rPr>
      </w:pPr>
    </w:p>
    <w:p w14:paraId="6802B0BA">
      <w:pPr>
        <w:snapToGrid w:val="0"/>
        <w:spacing w:before="156" w:beforeLines="50" w:after="50"/>
        <w:ind w:left="142"/>
        <w:jc w:val="center"/>
        <w:rPr>
          <w:rFonts w:hint="eastAsia" w:ascii="宋体" w:hAnsi="宋体" w:eastAsia="宋体" w:cs="宋体"/>
          <w:b/>
          <w:color w:val="auto"/>
          <w:sz w:val="32"/>
          <w:szCs w:val="32"/>
          <w:highlight w:val="none"/>
          <w:lang w:val="en-US" w:eastAsia="zh-CN"/>
        </w:rPr>
      </w:pPr>
    </w:p>
    <w:p w14:paraId="3ED75135">
      <w:pPr>
        <w:snapToGrid w:val="0"/>
        <w:spacing w:before="156" w:beforeLines="50" w:after="50"/>
        <w:ind w:left="142"/>
        <w:jc w:val="center"/>
        <w:rPr>
          <w:rFonts w:hint="eastAsia" w:ascii="宋体" w:hAnsi="宋体" w:eastAsia="宋体" w:cs="宋体"/>
          <w:b/>
          <w:color w:val="auto"/>
          <w:sz w:val="32"/>
          <w:szCs w:val="32"/>
          <w:highlight w:val="none"/>
          <w:lang w:val="en-US" w:eastAsia="zh-CN"/>
        </w:rPr>
      </w:pPr>
    </w:p>
    <w:p w14:paraId="22EFC81B">
      <w:pPr>
        <w:snapToGrid w:val="0"/>
        <w:spacing w:before="156" w:beforeLines="50" w:after="50"/>
        <w:ind w:left="142"/>
        <w:jc w:val="center"/>
        <w:rPr>
          <w:rFonts w:hint="eastAsia" w:ascii="宋体" w:hAnsi="宋体" w:eastAsia="宋体" w:cs="宋体"/>
          <w:b/>
          <w:color w:val="auto"/>
          <w:sz w:val="32"/>
          <w:szCs w:val="32"/>
          <w:highlight w:val="none"/>
          <w:lang w:val="en-US" w:eastAsia="zh-CN"/>
        </w:rPr>
      </w:pPr>
    </w:p>
    <w:p w14:paraId="1AC241EF">
      <w:pPr>
        <w:snapToGrid w:val="0"/>
        <w:spacing w:before="156" w:beforeLines="50" w:after="50"/>
        <w:ind w:left="142"/>
        <w:jc w:val="center"/>
        <w:rPr>
          <w:rFonts w:hint="eastAsia" w:ascii="宋体" w:hAnsi="宋体" w:eastAsia="宋体" w:cs="宋体"/>
          <w:b/>
          <w:color w:val="auto"/>
          <w:sz w:val="32"/>
          <w:szCs w:val="32"/>
          <w:highlight w:val="none"/>
          <w:lang w:val="en-US" w:eastAsia="zh-CN"/>
        </w:rPr>
      </w:pPr>
    </w:p>
    <w:p w14:paraId="3A58DE08">
      <w:pPr>
        <w:snapToGrid w:val="0"/>
        <w:spacing w:before="156" w:beforeLines="50" w:after="50"/>
        <w:ind w:left="142"/>
        <w:jc w:val="center"/>
        <w:rPr>
          <w:rFonts w:hint="eastAsia" w:ascii="宋体" w:hAnsi="宋体" w:eastAsia="宋体" w:cs="宋体"/>
          <w:b/>
          <w:color w:val="auto"/>
          <w:sz w:val="32"/>
          <w:szCs w:val="32"/>
          <w:highlight w:val="none"/>
          <w:lang w:val="en-US" w:eastAsia="zh-CN"/>
        </w:rPr>
      </w:pPr>
    </w:p>
    <w:p w14:paraId="12DBC00B">
      <w:pPr>
        <w:snapToGrid w:val="0"/>
        <w:spacing w:before="156" w:beforeLines="50" w:after="50"/>
        <w:ind w:left="142"/>
        <w:jc w:val="center"/>
        <w:rPr>
          <w:rFonts w:hint="eastAsia" w:ascii="宋体" w:hAnsi="宋体" w:eastAsia="宋体" w:cs="宋体"/>
          <w:b/>
          <w:color w:val="auto"/>
          <w:sz w:val="32"/>
          <w:szCs w:val="32"/>
          <w:highlight w:val="none"/>
          <w:lang w:val="en-US" w:eastAsia="zh-CN"/>
        </w:rPr>
      </w:pPr>
    </w:p>
    <w:p w14:paraId="7D675181">
      <w:pPr>
        <w:pStyle w:val="22"/>
        <w:rPr>
          <w:rFonts w:hint="eastAsia" w:ascii="宋体" w:hAnsi="宋体" w:eastAsia="宋体" w:cs="宋体"/>
          <w:color w:val="auto"/>
          <w:highlight w:val="none"/>
          <w:lang w:val="en-US" w:eastAsia="zh-CN"/>
        </w:rPr>
      </w:pPr>
    </w:p>
    <w:p w14:paraId="48275415">
      <w:pPr>
        <w:snapToGrid w:val="0"/>
        <w:spacing w:before="156" w:beforeLines="50" w:after="50"/>
        <w:ind w:left="142"/>
        <w:jc w:val="center"/>
        <w:rPr>
          <w:rFonts w:hint="eastAsia" w:ascii="宋体" w:hAnsi="宋体" w:eastAsia="宋体" w:cs="宋体"/>
          <w:b/>
          <w:color w:val="auto"/>
          <w:sz w:val="32"/>
          <w:szCs w:val="32"/>
          <w:highlight w:val="none"/>
          <w:lang w:val="en-US" w:eastAsia="zh-CN"/>
        </w:rPr>
      </w:pPr>
    </w:p>
    <w:p w14:paraId="0F2345C1">
      <w:pPr>
        <w:snapToGrid w:val="0"/>
        <w:spacing w:before="156" w:beforeLines="50" w:after="50"/>
        <w:ind w:left="142"/>
        <w:jc w:val="center"/>
        <w:rPr>
          <w:rFonts w:hint="eastAsia" w:ascii="宋体" w:hAnsi="宋体" w:eastAsia="宋体" w:cs="宋体"/>
          <w:b/>
          <w:color w:val="auto"/>
          <w:sz w:val="32"/>
          <w:szCs w:val="32"/>
          <w:highlight w:val="none"/>
          <w:lang w:val="en-US" w:eastAsia="zh-CN"/>
        </w:rPr>
      </w:pPr>
    </w:p>
    <w:p w14:paraId="360CF802">
      <w:pPr>
        <w:snapToGrid w:val="0"/>
        <w:spacing w:before="156" w:beforeLines="50" w:after="50"/>
        <w:jc w:val="center"/>
        <w:rPr>
          <w:rFonts w:hint="eastAsia" w:ascii="宋体" w:hAnsi="宋体" w:eastAsia="宋体" w:cs="宋体"/>
          <w:b/>
          <w:color w:val="auto"/>
          <w:sz w:val="21"/>
          <w:szCs w:val="21"/>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项目实施人员一览表</w:t>
      </w:r>
    </w:p>
    <w:p w14:paraId="15466463">
      <w:pPr>
        <w:pStyle w:val="3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5DCC7C81">
      <w:pPr>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b w:val="0"/>
          <w:bCs w:val="0"/>
          <w:color w:val="auto"/>
          <w:kern w:val="2"/>
          <w:sz w:val="24"/>
          <w:szCs w:val="24"/>
          <w:highlight w:val="none"/>
          <w:lang w:val="en-US" w:eastAsia="zh-CN" w:bidi="ar-SA"/>
        </w:rPr>
        <w:t xml:space="preserve">          </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787"/>
        <w:gridCol w:w="1889"/>
        <w:gridCol w:w="1578"/>
        <w:gridCol w:w="1886"/>
        <w:gridCol w:w="2047"/>
      </w:tblGrid>
      <w:tr w14:paraId="0C868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trPr>
        <w:tc>
          <w:tcPr>
            <w:tcW w:w="908" w:type="dxa"/>
            <w:vAlign w:val="center"/>
          </w:tcPr>
          <w:p w14:paraId="4588EFC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787" w:type="dxa"/>
            <w:vAlign w:val="center"/>
          </w:tcPr>
          <w:p w14:paraId="2FF1C5C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1889" w:type="dxa"/>
            <w:vAlign w:val="center"/>
          </w:tcPr>
          <w:p w14:paraId="34B1C11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专业技术资格（职称）或者职业资格或者执业资格证或者</w:t>
            </w:r>
            <w:r>
              <w:rPr>
                <w:rFonts w:hint="eastAsia" w:ascii="宋体" w:hAnsi="宋体" w:eastAsia="宋体" w:cs="宋体"/>
                <w:color w:val="auto"/>
                <w:sz w:val="24"/>
                <w:szCs w:val="24"/>
                <w:highlight w:val="none"/>
                <w:lang w:eastAsia="zh-CN"/>
              </w:rPr>
              <w:t>其他</w:t>
            </w:r>
            <w:r>
              <w:rPr>
                <w:rFonts w:hint="eastAsia" w:ascii="宋体" w:hAnsi="宋体" w:eastAsia="宋体" w:cs="宋体"/>
                <w:color w:val="auto"/>
                <w:sz w:val="24"/>
                <w:szCs w:val="24"/>
                <w:highlight w:val="none"/>
              </w:rPr>
              <w:t>证书</w:t>
            </w:r>
          </w:p>
        </w:tc>
        <w:tc>
          <w:tcPr>
            <w:tcW w:w="1578" w:type="dxa"/>
            <w:vAlign w:val="center"/>
          </w:tcPr>
          <w:p w14:paraId="2A3E021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证书编号</w:t>
            </w:r>
          </w:p>
        </w:tc>
        <w:tc>
          <w:tcPr>
            <w:tcW w:w="1886" w:type="dxa"/>
            <w:vAlign w:val="center"/>
          </w:tcPr>
          <w:p w14:paraId="13E2F57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参加本单位</w:t>
            </w:r>
          </w:p>
          <w:p w14:paraId="23CDF5F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工作时间</w:t>
            </w:r>
          </w:p>
        </w:tc>
        <w:tc>
          <w:tcPr>
            <w:tcW w:w="2047" w:type="dxa"/>
            <w:vAlign w:val="center"/>
          </w:tcPr>
          <w:p w14:paraId="561688B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劳动合同编号</w:t>
            </w:r>
          </w:p>
        </w:tc>
      </w:tr>
      <w:tr w14:paraId="5C6BF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Align w:val="center"/>
          </w:tcPr>
          <w:p w14:paraId="432A70FF">
            <w:pPr>
              <w:snapToGrid w:val="0"/>
              <w:spacing w:before="50" w:after="156" w:afterLines="50"/>
              <w:jc w:val="center"/>
              <w:rPr>
                <w:rFonts w:hint="eastAsia" w:ascii="宋体" w:hAnsi="宋体" w:eastAsia="宋体" w:cs="宋体"/>
                <w:color w:val="auto"/>
                <w:sz w:val="24"/>
                <w:szCs w:val="24"/>
                <w:highlight w:val="none"/>
              </w:rPr>
            </w:pPr>
          </w:p>
        </w:tc>
        <w:tc>
          <w:tcPr>
            <w:tcW w:w="787" w:type="dxa"/>
            <w:vAlign w:val="center"/>
          </w:tcPr>
          <w:p w14:paraId="1E53A7F2">
            <w:pPr>
              <w:snapToGrid w:val="0"/>
              <w:spacing w:before="50" w:after="156" w:afterLines="50"/>
              <w:jc w:val="center"/>
              <w:rPr>
                <w:rFonts w:hint="eastAsia" w:ascii="宋体" w:hAnsi="宋体" w:eastAsia="宋体" w:cs="宋体"/>
                <w:color w:val="auto"/>
                <w:sz w:val="24"/>
                <w:szCs w:val="24"/>
                <w:highlight w:val="none"/>
              </w:rPr>
            </w:pPr>
          </w:p>
        </w:tc>
        <w:tc>
          <w:tcPr>
            <w:tcW w:w="1889" w:type="dxa"/>
            <w:vAlign w:val="center"/>
          </w:tcPr>
          <w:p w14:paraId="307A52D7">
            <w:pPr>
              <w:snapToGrid w:val="0"/>
              <w:spacing w:before="50" w:after="156" w:afterLines="50"/>
              <w:jc w:val="center"/>
              <w:rPr>
                <w:rFonts w:hint="eastAsia" w:ascii="宋体" w:hAnsi="宋体" w:eastAsia="宋体" w:cs="宋体"/>
                <w:color w:val="auto"/>
                <w:sz w:val="24"/>
                <w:szCs w:val="24"/>
                <w:highlight w:val="none"/>
              </w:rPr>
            </w:pPr>
          </w:p>
        </w:tc>
        <w:tc>
          <w:tcPr>
            <w:tcW w:w="1578" w:type="dxa"/>
            <w:vAlign w:val="center"/>
          </w:tcPr>
          <w:p w14:paraId="440086ED">
            <w:pPr>
              <w:snapToGrid w:val="0"/>
              <w:spacing w:before="50" w:after="156" w:afterLines="50"/>
              <w:jc w:val="center"/>
              <w:rPr>
                <w:rFonts w:hint="eastAsia" w:ascii="宋体" w:hAnsi="宋体" w:eastAsia="宋体" w:cs="宋体"/>
                <w:color w:val="auto"/>
                <w:sz w:val="24"/>
                <w:szCs w:val="24"/>
                <w:highlight w:val="none"/>
              </w:rPr>
            </w:pPr>
          </w:p>
        </w:tc>
        <w:tc>
          <w:tcPr>
            <w:tcW w:w="1886" w:type="dxa"/>
            <w:vAlign w:val="center"/>
          </w:tcPr>
          <w:p w14:paraId="56487708">
            <w:pPr>
              <w:snapToGrid w:val="0"/>
              <w:spacing w:before="50" w:after="156" w:afterLines="50"/>
              <w:jc w:val="center"/>
              <w:rPr>
                <w:rFonts w:hint="eastAsia" w:ascii="宋体" w:hAnsi="宋体" w:eastAsia="宋体" w:cs="宋体"/>
                <w:color w:val="auto"/>
                <w:sz w:val="24"/>
                <w:szCs w:val="24"/>
                <w:highlight w:val="none"/>
              </w:rPr>
            </w:pPr>
          </w:p>
        </w:tc>
        <w:tc>
          <w:tcPr>
            <w:tcW w:w="2047" w:type="dxa"/>
            <w:vAlign w:val="center"/>
          </w:tcPr>
          <w:p w14:paraId="554179E5">
            <w:pPr>
              <w:snapToGrid w:val="0"/>
              <w:spacing w:before="50" w:after="156" w:afterLines="50"/>
              <w:jc w:val="center"/>
              <w:rPr>
                <w:rFonts w:hint="eastAsia" w:ascii="宋体" w:hAnsi="宋体" w:eastAsia="宋体" w:cs="宋体"/>
                <w:color w:val="auto"/>
                <w:sz w:val="24"/>
                <w:szCs w:val="24"/>
                <w:highlight w:val="none"/>
              </w:rPr>
            </w:pPr>
          </w:p>
        </w:tc>
      </w:tr>
      <w:tr w14:paraId="0B069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Align w:val="center"/>
          </w:tcPr>
          <w:p w14:paraId="323D2663">
            <w:pPr>
              <w:snapToGrid w:val="0"/>
              <w:spacing w:before="50" w:after="156" w:afterLines="50"/>
              <w:jc w:val="center"/>
              <w:rPr>
                <w:rFonts w:hint="eastAsia" w:ascii="宋体" w:hAnsi="宋体" w:eastAsia="宋体" w:cs="宋体"/>
                <w:color w:val="auto"/>
                <w:sz w:val="24"/>
                <w:szCs w:val="24"/>
                <w:highlight w:val="none"/>
              </w:rPr>
            </w:pPr>
          </w:p>
        </w:tc>
        <w:tc>
          <w:tcPr>
            <w:tcW w:w="787" w:type="dxa"/>
            <w:vAlign w:val="center"/>
          </w:tcPr>
          <w:p w14:paraId="7A09B67B">
            <w:pPr>
              <w:snapToGrid w:val="0"/>
              <w:spacing w:before="50" w:after="156" w:afterLines="50"/>
              <w:jc w:val="center"/>
              <w:rPr>
                <w:rFonts w:hint="eastAsia" w:ascii="宋体" w:hAnsi="宋体" w:eastAsia="宋体" w:cs="宋体"/>
                <w:color w:val="auto"/>
                <w:sz w:val="24"/>
                <w:szCs w:val="24"/>
                <w:highlight w:val="none"/>
              </w:rPr>
            </w:pPr>
          </w:p>
        </w:tc>
        <w:tc>
          <w:tcPr>
            <w:tcW w:w="1889" w:type="dxa"/>
            <w:vAlign w:val="center"/>
          </w:tcPr>
          <w:p w14:paraId="19208D66">
            <w:pPr>
              <w:snapToGrid w:val="0"/>
              <w:spacing w:before="50" w:after="156" w:afterLines="50"/>
              <w:jc w:val="center"/>
              <w:rPr>
                <w:rFonts w:hint="eastAsia" w:ascii="宋体" w:hAnsi="宋体" w:eastAsia="宋体" w:cs="宋体"/>
                <w:color w:val="auto"/>
                <w:sz w:val="24"/>
                <w:szCs w:val="24"/>
                <w:highlight w:val="none"/>
              </w:rPr>
            </w:pPr>
          </w:p>
        </w:tc>
        <w:tc>
          <w:tcPr>
            <w:tcW w:w="1578" w:type="dxa"/>
            <w:vAlign w:val="center"/>
          </w:tcPr>
          <w:p w14:paraId="1E831064">
            <w:pPr>
              <w:snapToGrid w:val="0"/>
              <w:spacing w:before="50" w:after="156" w:afterLines="50"/>
              <w:jc w:val="center"/>
              <w:rPr>
                <w:rFonts w:hint="eastAsia" w:ascii="宋体" w:hAnsi="宋体" w:eastAsia="宋体" w:cs="宋体"/>
                <w:color w:val="auto"/>
                <w:sz w:val="24"/>
                <w:szCs w:val="24"/>
                <w:highlight w:val="none"/>
              </w:rPr>
            </w:pPr>
          </w:p>
        </w:tc>
        <w:tc>
          <w:tcPr>
            <w:tcW w:w="1886" w:type="dxa"/>
            <w:vAlign w:val="center"/>
          </w:tcPr>
          <w:p w14:paraId="0E949FA9">
            <w:pPr>
              <w:snapToGrid w:val="0"/>
              <w:spacing w:before="50" w:after="156" w:afterLines="50"/>
              <w:jc w:val="center"/>
              <w:rPr>
                <w:rFonts w:hint="eastAsia" w:ascii="宋体" w:hAnsi="宋体" w:eastAsia="宋体" w:cs="宋体"/>
                <w:color w:val="auto"/>
                <w:sz w:val="24"/>
                <w:szCs w:val="24"/>
                <w:highlight w:val="none"/>
              </w:rPr>
            </w:pPr>
          </w:p>
        </w:tc>
        <w:tc>
          <w:tcPr>
            <w:tcW w:w="2047" w:type="dxa"/>
            <w:vAlign w:val="center"/>
          </w:tcPr>
          <w:p w14:paraId="0E8BE8A1">
            <w:pPr>
              <w:snapToGrid w:val="0"/>
              <w:spacing w:before="50" w:after="156" w:afterLines="50"/>
              <w:jc w:val="center"/>
              <w:rPr>
                <w:rFonts w:hint="eastAsia" w:ascii="宋体" w:hAnsi="宋体" w:eastAsia="宋体" w:cs="宋体"/>
                <w:color w:val="auto"/>
                <w:sz w:val="24"/>
                <w:szCs w:val="24"/>
                <w:highlight w:val="none"/>
              </w:rPr>
            </w:pPr>
          </w:p>
        </w:tc>
      </w:tr>
      <w:tr w14:paraId="48E94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Align w:val="center"/>
          </w:tcPr>
          <w:p w14:paraId="3EB058B7">
            <w:pPr>
              <w:snapToGrid w:val="0"/>
              <w:spacing w:before="50" w:after="156" w:afterLines="50"/>
              <w:jc w:val="center"/>
              <w:rPr>
                <w:rFonts w:hint="eastAsia" w:ascii="宋体" w:hAnsi="宋体" w:eastAsia="宋体" w:cs="宋体"/>
                <w:color w:val="auto"/>
                <w:sz w:val="24"/>
                <w:szCs w:val="24"/>
                <w:highlight w:val="none"/>
              </w:rPr>
            </w:pPr>
          </w:p>
        </w:tc>
        <w:tc>
          <w:tcPr>
            <w:tcW w:w="787" w:type="dxa"/>
            <w:vAlign w:val="center"/>
          </w:tcPr>
          <w:p w14:paraId="5D37B834">
            <w:pPr>
              <w:snapToGrid w:val="0"/>
              <w:spacing w:before="50" w:after="156" w:afterLines="50"/>
              <w:jc w:val="center"/>
              <w:rPr>
                <w:rFonts w:hint="eastAsia" w:ascii="宋体" w:hAnsi="宋体" w:eastAsia="宋体" w:cs="宋体"/>
                <w:color w:val="auto"/>
                <w:sz w:val="24"/>
                <w:szCs w:val="24"/>
                <w:highlight w:val="none"/>
              </w:rPr>
            </w:pPr>
          </w:p>
        </w:tc>
        <w:tc>
          <w:tcPr>
            <w:tcW w:w="1889" w:type="dxa"/>
            <w:vAlign w:val="center"/>
          </w:tcPr>
          <w:p w14:paraId="5B203612">
            <w:pPr>
              <w:snapToGrid w:val="0"/>
              <w:spacing w:before="50" w:after="156" w:afterLines="50"/>
              <w:jc w:val="center"/>
              <w:rPr>
                <w:rFonts w:hint="eastAsia" w:ascii="宋体" w:hAnsi="宋体" w:eastAsia="宋体" w:cs="宋体"/>
                <w:color w:val="auto"/>
                <w:sz w:val="24"/>
                <w:szCs w:val="24"/>
                <w:highlight w:val="none"/>
              </w:rPr>
            </w:pPr>
          </w:p>
        </w:tc>
        <w:tc>
          <w:tcPr>
            <w:tcW w:w="1578" w:type="dxa"/>
            <w:vAlign w:val="center"/>
          </w:tcPr>
          <w:p w14:paraId="0EEE5803">
            <w:pPr>
              <w:snapToGrid w:val="0"/>
              <w:spacing w:before="50" w:after="156" w:afterLines="50"/>
              <w:jc w:val="center"/>
              <w:rPr>
                <w:rFonts w:hint="eastAsia" w:ascii="宋体" w:hAnsi="宋体" w:eastAsia="宋体" w:cs="宋体"/>
                <w:color w:val="auto"/>
                <w:sz w:val="24"/>
                <w:szCs w:val="24"/>
                <w:highlight w:val="none"/>
              </w:rPr>
            </w:pPr>
          </w:p>
        </w:tc>
        <w:tc>
          <w:tcPr>
            <w:tcW w:w="1886" w:type="dxa"/>
            <w:vAlign w:val="center"/>
          </w:tcPr>
          <w:p w14:paraId="22CA7119">
            <w:pPr>
              <w:snapToGrid w:val="0"/>
              <w:spacing w:before="50" w:after="156" w:afterLines="50"/>
              <w:jc w:val="center"/>
              <w:rPr>
                <w:rFonts w:hint="eastAsia" w:ascii="宋体" w:hAnsi="宋体" w:eastAsia="宋体" w:cs="宋体"/>
                <w:color w:val="auto"/>
                <w:sz w:val="24"/>
                <w:szCs w:val="24"/>
                <w:highlight w:val="none"/>
              </w:rPr>
            </w:pPr>
          </w:p>
        </w:tc>
        <w:tc>
          <w:tcPr>
            <w:tcW w:w="2047" w:type="dxa"/>
            <w:vAlign w:val="center"/>
          </w:tcPr>
          <w:p w14:paraId="1D79C56A">
            <w:pPr>
              <w:snapToGrid w:val="0"/>
              <w:spacing w:before="50" w:after="156" w:afterLines="50"/>
              <w:jc w:val="center"/>
              <w:rPr>
                <w:rFonts w:hint="eastAsia" w:ascii="宋体" w:hAnsi="宋体" w:eastAsia="宋体" w:cs="宋体"/>
                <w:color w:val="auto"/>
                <w:sz w:val="24"/>
                <w:szCs w:val="24"/>
                <w:highlight w:val="none"/>
              </w:rPr>
            </w:pPr>
          </w:p>
        </w:tc>
      </w:tr>
    </w:tbl>
    <w:p w14:paraId="29BCDDB1">
      <w:pPr>
        <w:snapToGrid w:val="0"/>
        <w:spacing w:before="50" w:after="156" w:afterLine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在填写时，如本表格不适合供应商的实际情况，可</w:t>
      </w:r>
      <w:r>
        <w:rPr>
          <w:rFonts w:hint="eastAsia" w:ascii="宋体" w:hAnsi="宋体" w:eastAsia="宋体" w:cs="宋体"/>
          <w:color w:val="auto"/>
          <w:sz w:val="24"/>
          <w:szCs w:val="24"/>
          <w:highlight w:val="none"/>
          <w:lang w:eastAsia="zh-CN"/>
        </w:rPr>
        <w:t>参照</w:t>
      </w:r>
      <w:r>
        <w:rPr>
          <w:rFonts w:hint="eastAsia" w:ascii="宋体" w:hAnsi="宋体" w:eastAsia="宋体" w:cs="宋体"/>
          <w:color w:val="auto"/>
          <w:sz w:val="24"/>
          <w:szCs w:val="24"/>
          <w:highlight w:val="none"/>
        </w:rPr>
        <w:t>本表格式自行制表填写。</w:t>
      </w:r>
    </w:p>
    <w:p w14:paraId="33F68F81">
      <w:pPr>
        <w:snapToGrid w:val="0"/>
        <w:spacing w:before="50" w:after="50"/>
        <w:rPr>
          <w:rFonts w:hint="eastAsia" w:ascii="宋体" w:hAnsi="宋体" w:eastAsia="宋体" w:cs="宋体"/>
          <w:color w:val="auto"/>
          <w:sz w:val="24"/>
          <w:szCs w:val="24"/>
          <w:highlight w:val="none"/>
        </w:rPr>
      </w:pPr>
    </w:p>
    <w:p w14:paraId="56605BB4">
      <w:pPr>
        <w:snapToGrid w:val="0"/>
        <w:spacing w:before="50" w:after="50"/>
        <w:rPr>
          <w:rFonts w:hint="eastAsia" w:ascii="宋体" w:hAnsi="宋体" w:eastAsia="宋体" w:cs="宋体"/>
          <w:color w:val="auto"/>
          <w:sz w:val="24"/>
          <w:szCs w:val="24"/>
          <w:highlight w:val="none"/>
        </w:rPr>
      </w:pPr>
    </w:p>
    <w:p w14:paraId="692BC340">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负责人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或委托代理人（</w:t>
      </w:r>
      <w:r>
        <w:rPr>
          <w:rFonts w:hint="eastAsia" w:ascii="宋体" w:hAnsi="宋体" w:eastAsia="宋体" w:cs="宋体"/>
          <w:color w:val="auto"/>
          <w:sz w:val="24"/>
          <w:szCs w:val="24"/>
          <w:highlight w:val="none"/>
          <w:lang w:val="en-US" w:eastAsia="zh-CN"/>
        </w:rPr>
        <w:t>签名</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7B8CDC4B">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磋商供应商名称（</w:t>
      </w:r>
      <w:r>
        <w:rPr>
          <w:rFonts w:hint="eastAsia" w:ascii="宋体" w:hAnsi="宋体" w:eastAsia="宋体" w:cs="宋体"/>
          <w:color w:val="auto"/>
          <w:sz w:val="24"/>
          <w:szCs w:val="24"/>
          <w:highlight w:val="none"/>
          <w:lang w:eastAsia="zh-CN"/>
        </w:rPr>
        <w:t>电子</w:t>
      </w:r>
      <w:r>
        <w:rPr>
          <w:rFonts w:hint="eastAsia" w:ascii="宋体" w:hAnsi="宋体" w:eastAsia="宋体" w:cs="宋体"/>
          <w:b w:val="0"/>
          <w:bCs/>
          <w:color w:val="auto"/>
          <w:sz w:val="24"/>
          <w:szCs w:val="24"/>
          <w:highlight w:val="none"/>
          <w:lang w:val="en-US" w:eastAsia="zh-CN"/>
        </w:rPr>
        <w:t>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75D8ED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5B9D44B2">
      <w:pPr>
        <w:spacing w:line="360" w:lineRule="auto"/>
        <w:jc w:val="center"/>
        <w:rPr>
          <w:rFonts w:hint="eastAsia" w:ascii="宋体" w:hAnsi="宋体" w:eastAsia="宋体" w:cs="宋体"/>
          <w:b/>
          <w:bCs/>
          <w:color w:val="auto"/>
          <w:sz w:val="32"/>
          <w:szCs w:val="32"/>
          <w:highlight w:val="none"/>
        </w:rPr>
      </w:pPr>
    </w:p>
    <w:p w14:paraId="44A362AE">
      <w:pPr>
        <w:spacing w:line="360" w:lineRule="auto"/>
        <w:jc w:val="center"/>
        <w:rPr>
          <w:rFonts w:hint="eastAsia" w:ascii="宋体" w:hAnsi="宋体" w:eastAsia="宋体" w:cs="宋体"/>
          <w:color w:val="auto"/>
          <w:kern w:val="0"/>
          <w:sz w:val="24"/>
          <w:highlight w:val="none"/>
        </w:rPr>
      </w:pPr>
    </w:p>
    <w:p w14:paraId="722CDA8C">
      <w:pPr>
        <w:autoSpaceDE w:val="0"/>
        <w:autoSpaceDN w:val="0"/>
        <w:spacing w:line="360" w:lineRule="auto"/>
        <w:ind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2E325665">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628F367A">
      <w:pPr>
        <w:spacing w:line="360" w:lineRule="auto"/>
        <w:rPr>
          <w:rFonts w:hint="eastAsia" w:ascii="宋体" w:hAnsi="宋体" w:eastAsia="宋体" w:cs="宋体"/>
          <w:color w:val="auto"/>
          <w:kern w:val="0"/>
          <w:sz w:val="24"/>
          <w:highlight w:val="none"/>
        </w:rPr>
      </w:pPr>
    </w:p>
    <w:p w14:paraId="6A4B6437">
      <w:pPr>
        <w:spacing w:line="360" w:lineRule="auto"/>
        <w:rPr>
          <w:rFonts w:hint="eastAsia" w:ascii="宋体" w:hAnsi="宋体" w:eastAsia="宋体" w:cs="宋体"/>
          <w:color w:val="auto"/>
          <w:kern w:val="0"/>
          <w:sz w:val="24"/>
          <w:highlight w:val="none"/>
        </w:rPr>
      </w:pPr>
    </w:p>
    <w:p w14:paraId="01DB41CF">
      <w:pPr>
        <w:spacing w:line="360" w:lineRule="auto"/>
        <w:rPr>
          <w:rFonts w:hint="eastAsia" w:ascii="宋体" w:hAnsi="宋体" w:eastAsia="宋体" w:cs="宋体"/>
          <w:color w:val="auto"/>
          <w:kern w:val="0"/>
          <w:sz w:val="24"/>
          <w:highlight w:val="none"/>
        </w:rPr>
      </w:pPr>
    </w:p>
    <w:p w14:paraId="765A350F">
      <w:pPr>
        <w:spacing w:line="360" w:lineRule="auto"/>
        <w:rPr>
          <w:rFonts w:hint="eastAsia" w:ascii="宋体" w:hAnsi="宋体" w:eastAsia="宋体" w:cs="宋体"/>
          <w:color w:val="auto"/>
          <w:kern w:val="0"/>
          <w:sz w:val="24"/>
          <w:highlight w:val="none"/>
        </w:rPr>
      </w:pPr>
    </w:p>
    <w:p w14:paraId="59CDF20D">
      <w:pPr>
        <w:spacing w:line="360" w:lineRule="auto"/>
        <w:rPr>
          <w:rFonts w:hint="eastAsia" w:ascii="宋体" w:hAnsi="宋体" w:eastAsia="宋体" w:cs="宋体"/>
          <w:color w:val="auto"/>
          <w:kern w:val="0"/>
          <w:sz w:val="24"/>
          <w:highlight w:val="none"/>
        </w:rPr>
      </w:pPr>
    </w:p>
    <w:p w14:paraId="50DC3832">
      <w:pPr>
        <w:spacing w:line="360" w:lineRule="auto"/>
        <w:rPr>
          <w:rFonts w:hint="eastAsia" w:ascii="宋体" w:hAnsi="宋体" w:eastAsia="宋体" w:cs="宋体"/>
          <w:color w:val="auto"/>
          <w:kern w:val="0"/>
          <w:sz w:val="24"/>
          <w:highlight w:val="none"/>
        </w:rPr>
      </w:pPr>
    </w:p>
    <w:p w14:paraId="03064DA1">
      <w:pPr>
        <w:spacing w:line="360" w:lineRule="auto"/>
        <w:rPr>
          <w:rFonts w:hint="eastAsia" w:ascii="宋体" w:hAnsi="宋体" w:eastAsia="宋体" w:cs="宋体"/>
          <w:color w:val="auto"/>
          <w:kern w:val="0"/>
          <w:sz w:val="24"/>
          <w:highlight w:val="none"/>
        </w:rPr>
      </w:pPr>
    </w:p>
    <w:p w14:paraId="1F338EF8">
      <w:pPr>
        <w:spacing w:line="360" w:lineRule="auto"/>
        <w:rPr>
          <w:rFonts w:hint="eastAsia" w:ascii="宋体" w:hAnsi="宋体" w:eastAsia="宋体" w:cs="宋体"/>
          <w:color w:val="auto"/>
          <w:kern w:val="0"/>
          <w:sz w:val="24"/>
          <w:highlight w:val="none"/>
        </w:rPr>
      </w:pPr>
    </w:p>
    <w:p w14:paraId="72DAA15E">
      <w:pPr>
        <w:spacing w:line="360" w:lineRule="auto"/>
        <w:rPr>
          <w:rFonts w:hint="eastAsia" w:ascii="宋体" w:hAnsi="宋体" w:eastAsia="宋体" w:cs="宋体"/>
          <w:color w:val="auto"/>
          <w:kern w:val="0"/>
          <w:sz w:val="24"/>
          <w:highlight w:val="none"/>
        </w:rPr>
      </w:pPr>
    </w:p>
    <w:p w14:paraId="41A2E425">
      <w:pPr>
        <w:spacing w:line="360" w:lineRule="auto"/>
        <w:rPr>
          <w:rFonts w:hint="eastAsia" w:ascii="宋体" w:hAnsi="宋体" w:eastAsia="宋体" w:cs="宋体"/>
          <w:color w:val="auto"/>
          <w:kern w:val="0"/>
          <w:sz w:val="24"/>
          <w:highlight w:val="none"/>
        </w:rPr>
      </w:pPr>
    </w:p>
    <w:p w14:paraId="750B16AB">
      <w:pPr>
        <w:spacing w:line="360" w:lineRule="auto"/>
        <w:rPr>
          <w:rFonts w:hint="eastAsia" w:ascii="宋体" w:hAnsi="宋体" w:eastAsia="宋体" w:cs="宋体"/>
          <w:color w:val="auto"/>
          <w:kern w:val="0"/>
          <w:sz w:val="24"/>
          <w:highlight w:val="none"/>
        </w:rPr>
      </w:pPr>
    </w:p>
    <w:p w14:paraId="7FD142F0">
      <w:pPr>
        <w:spacing w:line="360" w:lineRule="auto"/>
        <w:rPr>
          <w:rFonts w:hint="eastAsia" w:ascii="宋体" w:hAnsi="宋体" w:eastAsia="宋体" w:cs="宋体"/>
          <w:color w:val="auto"/>
          <w:kern w:val="0"/>
          <w:sz w:val="24"/>
          <w:highlight w:val="none"/>
        </w:rPr>
      </w:pPr>
    </w:p>
    <w:p w14:paraId="28E5B312">
      <w:pPr>
        <w:widowControl/>
        <w:adjustRightInd/>
        <w:jc w:val="center"/>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十、采购项目需求中要求必须提供的材料等</w:t>
      </w:r>
    </w:p>
    <w:p w14:paraId="4CE04B06">
      <w:pPr>
        <w:widowControl/>
        <w:adjustRightInd/>
        <w:jc w:val="center"/>
        <w:rPr>
          <w:rFonts w:hint="eastAsia" w:ascii="宋体" w:hAnsi="宋体" w:eastAsia="宋体" w:cs="宋体"/>
          <w:b/>
          <w:color w:val="auto"/>
          <w:sz w:val="32"/>
          <w:szCs w:val="32"/>
          <w:highlight w:val="none"/>
          <w:lang w:val="en-US" w:eastAsia="zh-CN"/>
        </w:rPr>
      </w:pPr>
    </w:p>
    <w:p w14:paraId="05AFEFAA">
      <w:pPr>
        <w:widowControl/>
        <w:adjustRightInd/>
        <w:jc w:val="center"/>
        <w:rPr>
          <w:rFonts w:hint="eastAsia" w:ascii="宋体" w:hAnsi="宋体" w:eastAsia="宋体" w:cs="宋体"/>
          <w:b/>
          <w:color w:val="auto"/>
          <w:sz w:val="32"/>
          <w:szCs w:val="32"/>
          <w:highlight w:val="none"/>
          <w:lang w:val="en-US" w:eastAsia="zh-CN"/>
        </w:rPr>
      </w:pPr>
    </w:p>
    <w:p w14:paraId="5D336416">
      <w:pPr>
        <w:widowControl/>
        <w:adjustRightInd/>
        <w:jc w:val="center"/>
        <w:rPr>
          <w:rFonts w:hint="eastAsia" w:ascii="宋体" w:hAnsi="宋体" w:eastAsia="宋体" w:cs="宋体"/>
          <w:b/>
          <w:color w:val="auto"/>
          <w:sz w:val="32"/>
          <w:szCs w:val="32"/>
          <w:highlight w:val="none"/>
          <w:lang w:val="en-US" w:eastAsia="zh-CN"/>
        </w:rPr>
      </w:pPr>
    </w:p>
    <w:p w14:paraId="35204C3E">
      <w:pPr>
        <w:widowControl/>
        <w:adjustRightInd/>
        <w:jc w:val="center"/>
        <w:rPr>
          <w:rFonts w:hint="eastAsia" w:ascii="宋体" w:hAnsi="宋体" w:eastAsia="宋体" w:cs="宋体"/>
          <w:b/>
          <w:color w:val="auto"/>
          <w:sz w:val="32"/>
          <w:szCs w:val="32"/>
          <w:highlight w:val="none"/>
          <w:lang w:val="en-US" w:eastAsia="zh-CN"/>
        </w:rPr>
      </w:pPr>
    </w:p>
    <w:p w14:paraId="03E33FB7">
      <w:pPr>
        <w:widowControl/>
        <w:adjustRightInd/>
        <w:jc w:val="center"/>
        <w:rPr>
          <w:rFonts w:hint="eastAsia" w:ascii="宋体" w:hAnsi="宋体" w:eastAsia="宋体" w:cs="宋体"/>
          <w:b/>
          <w:color w:val="auto"/>
          <w:sz w:val="32"/>
          <w:szCs w:val="32"/>
          <w:highlight w:val="none"/>
          <w:lang w:val="en-US" w:eastAsia="zh-CN"/>
        </w:rPr>
      </w:pPr>
    </w:p>
    <w:p w14:paraId="1750B5BF">
      <w:pPr>
        <w:widowControl/>
        <w:adjustRightInd/>
        <w:jc w:val="center"/>
        <w:rPr>
          <w:rFonts w:hint="eastAsia" w:ascii="宋体" w:hAnsi="宋体" w:eastAsia="宋体" w:cs="宋体"/>
          <w:b/>
          <w:color w:val="auto"/>
          <w:sz w:val="32"/>
          <w:szCs w:val="32"/>
          <w:highlight w:val="none"/>
          <w:lang w:val="en-US" w:eastAsia="zh-CN"/>
        </w:rPr>
      </w:pPr>
    </w:p>
    <w:p w14:paraId="7588D823">
      <w:pPr>
        <w:widowControl/>
        <w:adjustRightInd/>
        <w:jc w:val="center"/>
        <w:rPr>
          <w:rFonts w:hint="eastAsia" w:ascii="宋体" w:hAnsi="宋体" w:eastAsia="宋体" w:cs="宋体"/>
          <w:b/>
          <w:color w:val="auto"/>
          <w:sz w:val="32"/>
          <w:szCs w:val="32"/>
          <w:highlight w:val="none"/>
          <w:lang w:val="en-US" w:eastAsia="zh-CN"/>
        </w:rPr>
      </w:pPr>
    </w:p>
    <w:p w14:paraId="60A550C6">
      <w:pPr>
        <w:widowControl/>
        <w:adjustRightInd/>
        <w:jc w:val="center"/>
        <w:rPr>
          <w:rFonts w:hint="eastAsia" w:ascii="宋体" w:hAnsi="宋体" w:eastAsia="宋体" w:cs="宋体"/>
          <w:b/>
          <w:color w:val="auto"/>
          <w:sz w:val="32"/>
          <w:szCs w:val="32"/>
          <w:highlight w:val="none"/>
          <w:lang w:val="en-US" w:eastAsia="zh-CN"/>
        </w:rPr>
      </w:pPr>
    </w:p>
    <w:p w14:paraId="159A9D2D">
      <w:pPr>
        <w:widowControl/>
        <w:adjustRightInd/>
        <w:jc w:val="center"/>
        <w:rPr>
          <w:rFonts w:hint="eastAsia" w:ascii="宋体" w:hAnsi="宋体" w:eastAsia="宋体" w:cs="宋体"/>
          <w:b/>
          <w:color w:val="auto"/>
          <w:sz w:val="32"/>
          <w:szCs w:val="32"/>
          <w:highlight w:val="none"/>
          <w:lang w:val="en-US" w:eastAsia="zh-CN"/>
        </w:rPr>
      </w:pPr>
    </w:p>
    <w:p w14:paraId="3FEEC2D9">
      <w:pPr>
        <w:widowControl/>
        <w:adjustRightInd/>
        <w:jc w:val="center"/>
        <w:rPr>
          <w:rFonts w:hint="eastAsia" w:ascii="宋体" w:hAnsi="宋体" w:eastAsia="宋体" w:cs="宋体"/>
          <w:b/>
          <w:color w:val="auto"/>
          <w:sz w:val="32"/>
          <w:szCs w:val="32"/>
          <w:highlight w:val="none"/>
          <w:lang w:val="en-US" w:eastAsia="zh-CN"/>
        </w:rPr>
      </w:pPr>
    </w:p>
    <w:p w14:paraId="473C4565">
      <w:pPr>
        <w:widowControl/>
        <w:adjustRightInd/>
        <w:jc w:val="center"/>
        <w:rPr>
          <w:rFonts w:hint="eastAsia" w:ascii="宋体" w:hAnsi="宋体" w:eastAsia="宋体" w:cs="宋体"/>
          <w:b/>
          <w:color w:val="auto"/>
          <w:sz w:val="32"/>
          <w:szCs w:val="32"/>
          <w:highlight w:val="none"/>
          <w:lang w:val="en-US" w:eastAsia="zh-CN"/>
        </w:rPr>
      </w:pPr>
    </w:p>
    <w:p w14:paraId="15F90849">
      <w:pPr>
        <w:widowControl/>
        <w:adjustRightInd/>
        <w:jc w:val="center"/>
        <w:rPr>
          <w:rFonts w:hint="eastAsia" w:ascii="宋体" w:hAnsi="宋体" w:eastAsia="宋体" w:cs="宋体"/>
          <w:b/>
          <w:color w:val="auto"/>
          <w:sz w:val="32"/>
          <w:szCs w:val="32"/>
          <w:highlight w:val="none"/>
          <w:lang w:val="en-US" w:eastAsia="zh-CN"/>
        </w:rPr>
      </w:pPr>
    </w:p>
    <w:p w14:paraId="01094CF4">
      <w:pPr>
        <w:widowControl/>
        <w:adjustRightInd/>
        <w:jc w:val="center"/>
        <w:rPr>
          <w:rFonts w:hint="eastAsia" w:ascii="宋体" w:hAnsi="宋体" w:eastAsia="宋体" w:cs="宋体"/>
          <w:b/>
          <w:color w:val="auto"/>
          <w:sz w:val="32"/>
          <w:szCs w:val="32"/>
          <w:highlight w:val="none"/>
          <w:lang w:val="en-US" w:eastAsia="zh-CN"/>
        </w:rPr>
      </w:pPr>
    </w:p>
    <w:p w14:paraId="0F929E4E">
      <w:pPr>
        <w:widowControl/>
        <w:adjustRightInd/>
        <w:jc w:val="center"/>
        <w:rPr>
          <w:rFonts w:hint="eastAsia" w:ascii="宋体" w:hAnsi="宋体" w:eastAsia="宋体" w:cs="宋体"/>
          <w:b/>
          <w:color w:val="auto"/>
          <w:sz w:val="32"/>
          <w:szCs w:val="32"/>
          <w:highlight w:val="none"/>
          <w:lang w:val="en-US" w:eastAsia="zh-CN"/>
        </w:rPr>
      </w:pPr>
    </w:p>
    <w:p w14:paraId="43F6EE67">
      <w:pPr>
        <w:widowControl/>
        <w:adjustRightInd/>
        <w:jc w:val="center"/>
        <w:rPr>
          <w:rFonts w:hint="eastAsia" w:ascii="宋体" w:hAnsi="宋体" w:eastAsia="宋体" w:cs="宋体"/>
          <w:b/>
          <w:color w:val="auto"/>
          <w:sz w:val="32"/>
          <w:szCs w:val="32"/>
          <w:highlight w:val="none"/>
          <w:lang w:val="en-US" w:eastAsia="zh-CN"/>
        </w:rPr>
      </w:pPr>
    </w:p>
    <w:p w14:paraId="7BF274F5">
      <w:pPr>
        <w:widowControl/>
        <w:adjustRightInd/>
        <w:jc w:val="center"/>
        <w:rPr>
          <w:rFonts w:hint="eastAsia" w:ascii="宋体" w:hAnsi="宋体" w:eastAsia="宋体" w:cs="宋体"/>
          <w:b/>
          <w:color w:val="auto"/>
          <w:sz w:val="32"/>
          <w:szCs w:val="32"/>
          <w:highlight w:val="none"/>
          <w:lang w:val="en-US" w:eastAsia="zh-CN"/>
        </w:rPr>
      </w:pPr>
    </w:p>
    <w:p w14:paraId="5A975718">
      <w:pPr>
        <w:widowControl/>
        <w:adjustRightInd/>
        <w:jc w:val="center"/>
        <w:rPr>
          <w:rFonts w:hint="eastAsia" w:ascii="宋体" w:hAnsi="宋体" w:eastAsia="宋体" w:cs="宋体"/>
          <w:b/>
          <w:color w:val="auto"/>
          <w:sz w:val="32"/>
          <w:szCs w:val="32"/>
          <w:highlight w:val="none"/>
          <w:lang w:val="en-US" w:eastAsia="zh-CN"/>
        </w:rPr>
      </w:pPr>
    </w:p>
    <w:p w14:paraId="680D48AE">
      <w:pPr>
        <w:widowControl/>
        <w:adjustRightInd/>
        <w:jc w:val="center"/>
        <w:rPr>
          <w:rFonts w:hint="eastAsia" w:ascii="宋体" w:hAnsi="宋体" w:eastAsia="宋体" w:cs="宋体"/>
          <w:b/>
          <w:color w:val="auto"/>
          <w:sz w:val="32"/>
          <w:szCs w:val="32"/>
          <w:highlight w:val="none"/>
          <w:lang w:val="en-US" w:eastAsia="zh-CN"/>
        </w:rPr>
      </w:pPr>
    </w:p>
    <w:p w14:paraId="6557B357">
      <w:pPr>
        <w:widowControl/>
        <w:adjustRightInd/>
        <w:jc w:val="center"/>
        <w:rPr>
          <w:rFonts w:hint="eastAsia" w:ascii="宋体" w:hAnsi="宋体" w:eastAsia="宋体" w:cs="宋体"/>
          <w:b/>
          <w:color w:val="auto"/>
          <w:sz w:val="32"/>
          <w:szCs w:val="32"/>
          <w:highlight w:val="none"/>
          <w:lang w:val="en-US" w:eastAsia="zh-CN"/>
        </w:rPr>
      </w:pPr>
    </w:p>
    <w:p w14:paraId="33B5739C">
      <w:pPr>
        <w:widowControl/>
        <w:adjustRightInd/>
        <w:jc w:val="center"/>
        <w:rPr>
          <w:rFonts w:hint="eastAsia" w:ascii="宋体" w:hAnsi="宋体" w:eastAsia="宋体" w:cs="宋体"/>
          <w:b/>
          <w:color w:val="auto"/>
          <w:sz w:val="32"/>
          <w:szCs w:val="32"/>
          <w:highlight w:val="none"/>
          <w:lang w:val="en-US" w:eastAsia="zh-CN"/>
        </w:rPr>
      </w:pPr>
    </w:p>
    <w:p w14:paraId="15A1E40D">
      <w:pPr>
        <w:widowControl/>
        <w:adjustRightInd/>
        <w:jc w:val="center"/>
        <w:rPr>
          <w:rFonts w:hint="eastAsia" w:ascii="宋体" w:hAnsi="宋体" w:eastAsia="宋体" w:cs="宋体"/>
          <w:b/>
          <w:color w:val="auto"/>
          <w:sz w:val="32"/>
          <w:szCs w:val="32"/>
          <w:highlight w:val="none"/>
          <w:lang w:val="en-US" w:eastAsia="zh-CN"/>
        </w:rPr>
      </w:pPr>
    </w:p>
    <w:p w14:paraId="4DED9908">
      <w:pPr>
        <w:widowControl/>
        <w:adjustRightInd/>
        <w:jc w:val="center"/>
        <w:rPr>
          <w:rFonts w:hint="eastAsia" w:ascii="宋体" w:hAnsi="宋体" w:eastAsia="宋体" w:cs="宋体"/>
          <w:b/>
          <w:color w:val="auto"/>
          <w:sz w:val="32"/>
          <w:szCs w:val="32"/>
          <w:highlight w:val="none"/>
          <w:lang w:val="en-US" w:eastAsia="zh-CN"/>
        </w:rPr>
      </w:pPr>
    </w:p>
    <w:p w14:paraId="7D24D711">
      <w:pPr>
        <w:widowControl/>
        <w:adjustRightInd/>
        <w:jc w:val="center"/>
        <w:rPr>
          <w:rFonts w:hint="eastAsia" w:ascii="宋体" w:hAnsi="宋体" w:eastAsia="宋体" w:cs="宋体"/>
          <w:b/>
          <w:color w:val="auto"/>
          <w:sz w:val="32"/>
          <w:szCs w:val="32"/>
          <w:highlight w:val="none"/>
          <w:lang w:val="en-US" w:eastAsia="zh-CN"/>
        </w:rPr>
      </w:pPr>
    </w:p>
    <w:p w14:paraId="0C85378D">
      <w:pPr>
        <w:widowControl/>
        <w:adjustRightInd/>
        <w:jc w:val="center"/>
        <w:rPr>
          <w:rFonts w:hint="eastAsia" w:ascii="宋体" w:hAnsi="宋体" w:eastAsia="宋体" w:cs="宋体"/>
          <w:b/>
          <w:color w:val="auto"/>
          <w:sz w:val="32"/>
          <w:szCs w:val="32"/>
          <w:highlight w:val="none"/>
          <w:lang w:val="en-US" w:eastAsia="zh-CN"/>
        </w:rPr>
      </w:pPr>
    </w:p>
    <w:p w14:paraId="1F9A78A1">
      <w:pPr>
        <w:widowControl/>
        <w:adjustRightInd/>
        <w:jc w:val="center"/>
        <w:rPr>
          <w:rFonts w:hint="eastAsia" w:ascii="宋体" w:hAnsi="宋体" w:eastAsia="宋体" w:cs="宋体"/>
          <w:b/>
          <w:color w:val="auto"/>
          <w:sz w:val="32"/>
          <w:szCs w:val="32"/>
          <w:highlight w:val="none"/>
          <w:lang w:val="en-US" w:eastAsia="zh-CN"/>
        </w:rPr>
      </w:pPr>
    </w:p>
    <w:p w14:paraId="30E565C9">
      <w:pPr>
        <w:widowControl/>
        <w:adjustRightInd/>
        <w:jc w:val="center"/>
        <w:rPr>
          <w:rFonts w:hint="eastAsia" w:ascii="宋体" w:hAnsi="宋体" w:eastAsia="宋体" w:cs="宋体"/>
          <w:b/>
          <w:color w:val="auto"/>
          <w:sz w:val="32"/>
          <w:szCs w:val="32"/>
          <w:highlight w:val="none"/>
          <w:lang w:val="en-US" w:eastAsia="zh-CN"/>
        </w:rPr>
      </w:pPr>
    </w:p>
    <w:p w14:paraId="192B96C3">
      <w:pPr>
        <w:widowControl/>
        <w:adjustRightInd/>
        <w:jc w:val="center"/>
        <w:rPr>
          <w:rFonts w:hint="eastAsia" w:ascii="宋体" w:hAnsi="宋体" w:eastAsia="宋体" w:cs="宋体"/>
          <w:b/>
          <w:color w:val="auto"/>
          <w:sz w:val="32"/>
          <w:szCs w:val="32"/>
          <w:highlight w:val="none"/>
          <w:lang w:val="en-US" w:eastAsia="zh-CN"/>
        </w:rPr>
      </w:pPr>
    </w:p>
    <w:p w14:paraId="4088AC95">
      <w:pPr>
        <w:widowControl/>
        <w:adjustRightInd/>
        <w:jc w:val="center"/>
        <w:rPr>
          <w:rFonts w:hint="eastAsia" w:ascii="宋体" w:hAnsi="宋体" w:eastAsia="宋体" w:cs="宋体"/>
          <w:b/>
          <w:color w:val="auto"/>
          <w:sz w:val="32"/>
          <w:szCs w:val="32"/>
          <w:highlight w:val="none"/>
          <w:lang w:val="en-US" w:eastAsia="zh-CN"/>
        </w:rPr>
      </w:pPr>
    </w:p>
    <w:p w14:paraId="23AFEE5E">
      <w:pPr>
        <w:widowControl/>
        <w:adjustRightInd/>
        <w:jc w:val="center"/>
        <w:rPr>
          <w:rFonts w:hint="eastAsia" w:ascii="宋体" w:hAnsi="宋体" w:eastAsia="宋体" w:cs="宋体"/>
          <w:b/>
          <w:color w:val="auto"/>
          <w:sz w:val="32"/>
          <w:szCs w:val="32"/>
          <w:highlight w:val="none"/>
          <w:lang w:val="en-US" w:eastAsia="zh-CN"/>
        </w:rPr>
      </w:pPr>
    </w:p>
    <w:p w14:paraId="2E3CC60B">
      <w:pPr>
        <w:pStyle w:val="22"/>
        <w:rPr>
          <w:rFonts w:hint="eastAsia" w:ascii="宋体" w:hAnsi="宋体" w:eastAsia="宋体" w:cs="宋体"/>
          <w:b/>
          <w:color w:val="auto"/>
          <w:sz w:val="32"/>
          <w:szCs w:val="32"/>
          <w:highlight w:val="none"/>
          <w:lang w:val="en-US" w:eastAsia="zh-CN"/>
        </w:rPr>
      </w:pPr>
    </w:p>
    <w:p w14:paraId="48C39860">
      <w:pPr>
        <w:pStyle w:val="59"/>
        <w:rPr>
          <w:rFonts w:hint="eastAsia" w:ascii="宋体" w:hAnsi="宋体" w:eastAsia="宋体" w:cs="宋体"/>
          <w:b/>
          <w:color w:val="auto"/>
          <w:sz w:val="32"/>
          <w:szCs w:val="32"/>
          <w:highlight w:val="none"/>
          <w:lang w:val="en-US" w:eastAsia="zh-CN"/>
        </w:rPr>
      </w:pPr>
    </w:p>
    <w:p w14:paraId="76352CD4">
      <w:pPr>
        <w:pStyle w:val="59"/>
        <w:jc w:val="center"/>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十一、磋商供应商认为需要提供的有关资料</w:t>
      </w:r>
    </w:p>
    <w:p w14:paraId="6A76A5AF">
      <w:pPr>
        <w:widowControl/>
        <w:adjustRightInd/>
        <w:jc w:val="center"/>
        <w:rPr>
          <w:rFonts w:hint="eastAsia" w:ascii="宋体" w:hAnsi="宋体" w:eastAsia="宋体" w:cs="宋体"/>
          <w:b/>
          <w:color w:val="auto"/>
          <w:sz w:val="32"/>
          <w:szCs w:val="32"/>
          <w:highlight w:val="none"/>
          <w:lang w:val="en-US" w:eastAsia="zh-CN"/>
        </w:rPr>
      </w:pPr>
    </w:p>
    <w:p w14:paraId="5ABFB139">
      <w:pPr>
        <w:widowControl/>
        <w:adjustRightInd/>
        <w:jc w:val="center"/>
        <w:rPr>
          <w:rFonts w:hint="eastAsia" w:ascii="宋体" w:hAnsi="宋体" w:eastAsia="宋体" w:cs="宋体"/>
          <w:b/>
          <w:color w:val="auto"/>
          <w:sz w:val="32"/>
          <w:szCs w:val="32"/>
          <w:highlight w:val="none"/>
          <w:lang w:val="en-US" w:eastAsia="zh-CN"/>
        </w:rPr>
      </w:pPr>
    </w:p>
    <w:p w14:paraId="00602817">
      <w:pPr>
        <w:pStyle w:val="22"/>
        <w:rPr>
          <w:rFonts w:hint="eastAsia" w:ascii="宋体" w:hAnsi="宋体" w:eastAsia="宋体" w:cs="宋体"/>
          <w:b/>
          <w:color w:val="auto"/>
          <w:sz w:val="32"/>
          <w:szCs w:val="32"/>
          <w:highlight w:val="none"/>
          <w:lang w:val="en-US" w:eastAsia="zh-CN"/>
        </w:rPr>
      </w:pPr>
    </w:p>
    <w:p w14:paraId="2C01C2E9">
      <w:pPr>
        <w:pStyle w:val="59"/>
        <w:rPr>
          <w:rFonts w:hint="eastAsia" w:ascii="宋体" w:hAnsi="宋体" w:eastAsia="宋体" w:cs="宋体"/>
          <w:b/>
          <w:color w:val="auto"/>
          <w:sz w:val="32"/>
          <w:szCs w:val="32"/>
          <w:highlight w:val="none"/>
          <w:lang w:val="en-US" w:eastAsia="zh-CN"/>
        </w:rPr>
      </w:pPr>
    </w:p>
    <w:p w14:paraId="5CCF8DFA">
      <w:pPr>
        <w:pStyle w:val="59"/>
        <w:rPr>
          <w:rFonts w:hint="eastAsia" w:ascii="宋体" w:hAnsi="宋体" w:eastAsia="宋体" w:cs="宋体"/>
          <w:b/>
          <w:color w:val="auto"/>
          <w:sz w:val="32"/>
          <w:szCs w:val="32"/>
          <w:highlight w:val="none"/>
          <w:lang w:val="en-US" w:eastAsia="zh-CN"/>
        </w:rPr>
      </w:pPr>
    </w:p>
    <w:p w14:paraId="61144442">
      <w:pPr>
        <w:pStyle w:val="59"/>
        <w:rPr>
          <w:rFonts w:hint="eastAsia" w:ascii="宋体" w:hAnsi="宋体" w:eastAsia="宋体" w:cs="宋体"/>
          <w:b/>
          <w:color w:val="auto"/>
          <w:sz w:val="32"/>
          <w:szCs w:val="32"/>
          <w:highlight w:val="none"/>
          <w:lang w:val="en-US" w:eastAsia="zh-CN"/>
        </w:rPr>
      </w:pPr>
    </w:p>
    <w:p w14:paraId="33560BE1">
      <w:pPr>
        <w:pStyle w:val="59"/>
        <w:rPr>
          <w:rFonts w:hint="eastAsia" w:ascii="宋体" w:hAnsi="宋体" w:eastAsia="宋体" w:cs="宋体"/>
          <w:b/>
          <w:color w:val="auto"/>
          <w:sz w:val="32"/>
          <w:szCs w:val="32"/>
          <w:highlight w:val="none"/>
          <w:lang w:val="en-US" w:eastAsia="zh-CN"/>
        </w:rPr>
      </w:pPr>
    </w:p>
    <w:p w14:paraId="7C91550F">
      <w:pPr>
        <w:pStyle w:val="59"/>
        <w:rPr>
          <w:rFonts w:hint="eastAsia" w:ascii="宋体" w:hAnsi="宋体" w:eastAsia="宋体" w:cs="宋体"/>
          <w:b/>
          <w:color w:val="auto"/>
          <w:sz w:val="32"/>
          <w:szCs w:val="32"/>
          <w:highlight w:val="none"/>
          <w:lang w:val="en-US" w:eastAsia="zh-CN"/>
        </w:rPr>
      </w:pPr>
    </w:p>
    <w:p w14:paraId="62A0B07C">
      <w:pPr>
        <w:pStyle w:val="59"/>
        <w:rPr>
          <w:rFonts w:hint="eastAsia" w:ascii="宋体" w:hAnsi="宋体" w:eastAsia="宋体" w:cs="宋体"/>
          <w:b/>
          <w:color w:val="auto"/>
          <w:sz w:val="32"/>
          <w:szCs w:val="32"/>
          <w:highlight w:val="none"/>
          <w:lang w:val="en-US" w:eastAsia="zh-CN"/>
        </w:rPr>
      </w:pPr>
    </w:p>
    <w:p w14:paraId="35D8EFFD">
      <w:pPr>
        <w:pStyle w:val="59"/>
        <w:rPr>
          <w:rFonts w:hint="eastAsia" w:ascii="宋体" w:hAnsi="宋体" w:eastAsia="宋体" w:cs="宋体"/>
          <w:b/>
          <w:color w:val="auto"/>
          <w:sz w:val="32"/>
          <w:szCs w:val="32"/>
          <w:highlight w:val="none"/>
          <w:lang w:val="en-US" w:eastAsia="zh-CN"/>
        </w:rPr>
      </w:pPr>
    </w:p>
    <w:p w14:paraId="13D20485">
      <w:pPr>
        <w:pStyle w:val="59"/>
        <w:rPr>
          <w:rFonts w:hint="eastAsia" w:ascii="宋体" w:hAnsi="宋体" w:eastAsia="宋体" w:cs="宋体"/>
          <w:b/>
          <w:color w:val="auto"/>
          <w:sz w:val="32"/>
          <w:szCs w:val="32"/>
          <w:highlight w:val="none"/>
          <w:lang w:val="en-US" w:eastAsia="zh-CN"/>
        </w:rPr>
      </w:pPr>
    </w:p>
    <w:p w14:paraId="2F7C9F4C">
      <w:pPr>
        <w:pStyle w:val="59"/>
        <w:rPr>
          <w:rFonts w:hint="eastAsia" w:ascii="宋体" w:hAnsi="宋体" w:eastAsia="宋体" w:cs="宋体"/>
          <w:b/>
          <w:color w:val="auto"/>
          <w:sz w:val="32"/>
          <w:szCs w:val="32"/>
          <w:highlight w:val="none"/>
          <w:lang w:val="en-US" w:eastAsia="zh-CN"/>
        </w:rPr>
      </w:pPr>
    </w:p>
    <w:p w14:paraId="30F04EE6">
      <w:pPr>
        <w:pStyle w:val="59"/>
        <w:rPr>
          <w:rFonts w:hint="eastAsia" w:ascii="宋体" w:hAnsi="宋体" w:eastAsia="宋体" w:cs="宋体"/>
          <w:b/>
          <w:color w:val="auto"/>
          <w:sz w:val="32"/>
          <w:szCs w:val="32"/>
          <w:highlight w:val="none"/>
          <w:lang w:val="en-US" w:eastAsia="zh-CN"/>
        </w:rPr>
      </w:pPr>
    </w:p>
    <w:p w14:paraId="72CBD963">
      <w:pPr>
        <w:pStyle w:val="59"/>
        <w:rPr>
          <w:rFonts w:hint="eastAsia" w:ascii="宋体" w:hAnsi="宋体" w:eastAsia="宋体" w:cs="宋体"/>
          <w:b/>
          <w:color w:val="auto"/>
          <w:sz w:val="32"/>
          <w:szCs w:val="32"/>
          <w:highlight w:val="none"/>
          <w:lang w:val="en-US" w:eastAsia="zh-CN"/>
        </w:rPr>
      </w:pPr>
    </w:p>
    <w:p w14:paraId="4439B497">
      <w:pPr>
        <w:pStyle w:val="59"/>
        <w:rPr>
          <w:rFonts w:hint="eastAsia" w:ascii="宋体" w:hAnsi="宋体" w:eastAsia="宋体" w:cs="宋体"/>
          <w:b/>
          <w:color w:val="auto"/>
          <w:sz w:val="32"/>
          <w:szCs w:val="32"/>
          <w:highlight w:val="none"/>
          <w:lang w:val="en-US" w:eastAsia="zh-CN"/>
        </w:rPr>
      </w:pPr>
    </w:p>
    <w:p w14:paraId="01895C33">
      <w:pPr>
        <w:pStyle w:val="59"/>
        <w:rPr>
          <w:rFonts w:hint="eastAsia" w:ascii="宋体" w:hAnsi="宋体" w:eastAsia="宋体" w:cs="宋体"/>
          <w:b/>
          <w:color w:val="auto"/>
          <w:sz w:val="32"/>
          <w:szCs w:val="32"/>
          <w:highlight w:val="none"/>
          <w:lang w:val="en-US" w:eastAsia="zh-CN"/>
        </w:rPr>
      </w:pPr>
    </w:p>
    <w:p w14:paraId="51D06D41">
      <w:pPr>
        <w:pStyle w:val="59"/>
        <w:rPr>
          <w:rFonts w:hint="eastAsia" w:ascii="宋体" w:hAnsi="宋体" w:eastAsia="宋体" w:cs="宋体"/>
          <w:b/>
          <w:color w:val="auto"/>
          <w:sz w:val="32"/>
          <w:szCs w:val="32"/>
          <w:highlight w:val="none"/>
          <w:lang w:val="en-US" w:eastAsia="zh-CN"/>
        </w:rPr>
      </w:pPr>
    </w:p>
    <w:p w14:paraId="36711CB7">
      <w:pPr>
        <w:pStyle w:val="59"/>
        <w:rPr>
          <w:rFonts w:hint="eastAsia" w:ascii="宋体" w:hAnsi="宋体" w:eastAsia="宋体" w:cs="宋体"/>
          <w:b/>
          <w:color w:val="auto"/>
          <w:sz w:val="32"/>
          <w:szCs w:val="32"/>
          <w:highlight w:val="none"/>
          <w:lang w:val="en-US" w:eastAsia="zh-CN"/>
        </w:rPr>
      </w:pPr>
    </w:p>
    <w:p w14:paraId="613EB1B0">
      <w:pPr>
        <w:pStyle w:val="59"/>
        <w:rPr>
          <w:rFonts w:hint="eastAsia" w:ascii="宋体" w:hAnsi="宋体" w:eastAsia="宋体" w:cs="宋体"/>
          <w:b/>
          <w:color w:val="auto"/>
          <w:sz w:val="32"/>
          <w:szCs w:val="32"/>
          <w:highlight w:val="none"/>
          <w:lang w:val="en-US" w:eastAsia="zh-CN"/>
        </w:rPr>
      </w:pPr>
    </w:p>
    <w:p w14:paraId="055E9E2F">
      <w:pPr>
        <w:pStyle w:val="59"/>
        <w:rPr>
          <w:rFonts w:hint="eastAsia" w:ascii="宋体" w:hAnsi="宋体" w:eastAsia="宋体" w:cs="宋体"/>
          <w:b/>
          <w:color w:val="auto"/>
          <w:sz w:val="32"/>
          <w:szCs w:val="32"/>
          <w:highlight w:val="none"/>
          <w:lang w:val="en-US" w:eastAsia="zh-CN"/>
        </w:rPr>
      </w:pPr>
    </w:p>
    <w:p w14:paraId="4B66DA1C">
      <w:pPr>
        <w:pStyle w:val="59"/>
        <w:rPr>
          <w:rFonts w:hint="eastAsia" w:ascii="宋体" w:hAnsi="宋体" w:eastAsia="宋体" w:cs="宋体"/>
          <w:b/>
          <w:color w:val="auto"/>
          <w:sz w:val="32"/>
          <w:szCs w:val="32"/>
          <w:highlight w:val="none"/>
          <w:lang w:val="en-US" w:eastAsia="zh-CN"/>
        </w:rPr>
      </w:pPr>
    </w:p>
    <w:p w14:paraId="412FDDA6">
      <w:pPr>
        <w:widowControl/>
        <w:adjustRightInd/>
        <w:jc w:val="center"/>
        <w:rPr>
          <w:rFonts w:hint="eastAsia" w:ascii="宋体" w:hAnsi="宋体" w:eastAsia="宋体" w:cs="宋体"/>
          <w:b/>
          <w:color w:val="auto"/>
          <w:sz w:val="32"/>
          <w:szCs w:val="32"/>
          <w:highlight w:val="none"/>
          <w:lang w:val="en-US" w:eastAsia="zh-CN"/>
        </w:rPr>
      </w:pPr>
    </w:p>
    <w:p w14:paraId="259D7EFE">
      <w:pPr>
        <w:widowControl/>
        <w:adjustRightInd/>
        <w:jc w:val="center"/>
        <w:rPr>
          <w:rFonts w:hint="eastAsia" w:ascii="宋体" w:hAnsi="宋体" w:eastAsia="宋体" w:cs="宋体"/>
          <w:b/>
          <w:color w:val="auto"/>
          <w:sz w:val="32"/>
          <w:szCs w:val="32"/>
          <w:highlight w:val="none"/>
          <w:lang w:val="en-US" w:eastAsia="zh-CN"/>
        </w:rPr>
      </w:pPr>
    </w:p>
    <w:p w14:paraId="1CE5542D">
      <w:pPr>
        <w:spacing w:line="360" w:lineRule="auto"/>
        <w:rPr>
          <w:rFonts w:hint="eastAsia" w:ascii="宋体" w:hAnsi="宋体" w:eastAsia="宋体" w:cs="宋体"/>
          <w:b/>
          <w:color w:val="auto"/>
          <w:sz w:val="36"/>
          <w:szCs w:val="36"/>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b/>
          <w:color w:val="auto"/>
          <w:sz w:val="36"/>
          <w:szCs w:val="36"/>
          <w:highlight w:val="none"/>
        </w:rPr>
        <w:br w:type="page"/>
      </w:r>
    </w:p>
    <w:p w14:paraId="39854DEC">
      <w:pPr>
        <w:pStyle w:val="116"/>
        <w:keepNext w:val="0"/>
        <w:pageBreakBefore w:val="0"/>
        <w:tabs>
          <w:tab w:val="clear" w:pos="720"/>
        </w:tabs>
        <w:ind w:firstLine="640"/>
        <w:outlineLvl w:val="9"/>
        <w:rPr>
          <w:rFonts w:hint="eastAsia" w:ascii="宋体" w:hAnsi="宋体" w:eastAsia="宋体" w:cs="宋体"/>
          <w:color w:val="auto"/>
          <w:kern w:val="2"/>
          <w:sz w:val="32"/>
          <w:szCs w:val="32"/>
          <w:highlight w:val="none"/>
        </w:rPr>
        <w:sectPr>
          <w:headerReference r:id="rId16" w:type="first"/>
          <w:footerReference r:id="rId19" w:type="first"/>
          <w:headerReference r:id="rId15" w:type="default"/>
          <w:footerReference r:id="rId17" w:type="default"/>
          <w:footerReference r:id="rId18" w:type="even"/>
          <w:pgSz w:w="11906" w:h="16838"/>
          <w:pgMar w:top="779" w:right="1418" w:bottom="468" w:left="1418" w:header="851" w:footer="992" w:gutter="0"/>
          <w:pgNumType w:fmt="decimal"/>
          <w:cols w:space="720" w:num="1"/>
          <w:titlePg/>
          <w:docGrid w:linePitch="312" w:charSpace="0"/>
        </w:sectPr>
      </w:pPr>
    </w:p>
    <w:p w14:paraId="5DB0AE69">
      <w:pPr>
        <w:pStyle w:val="394"/>
        <w:ind w:firstLine="0" w:firstLineChars="0"/>
        <w:jc w:val="center"/>
        <w:outlineLvl w:val="0"/>
        <w:rPr>
          <w:rFonts w:hint="eastAsia" w:ascii="宋体" w:hAnsi="宋体" w:eastAsia="宋体" w:cs="宋体"/>
          <w:b/>
          <w:color w:val="auto"/>
          <w:sz w:val="36"/>
          <w:szCs w:val="36"/>
          <w:highlight w:val="none"/>
        </w:rPr>
      </w:pPr>
      <w:bookmarkStart w:id="180" w:name="_Toc29391"/>
      <w:r>
        <w:rPr>
          <w:rFonts w:hint="eastAsia" w:ascii="宋体" w:hAnsi="宋体" w:eastAsia="宋体" w:cs="宋体"/>
          <w:b/>
          <w:color w:val="auto"/>
          <w:sz w:val="36"/>
          <w:szCs w:val="36"/>
          <w:highlight w:val="none"/>
        </w:rPr>
        <w:t>第八部分  最后报价格式</w:t>
      </w:r>
      <w:bookmarkEnd w:id="180"/>
    </w:p>
    <w:p w14:paraId="65F8E9AF">
      <w:pPr>
        <w:spacing w:line="520" w:lineRule="exact"/>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rPr>
        <w:t>最后报价表</w:t>
      </w:r>
      <w:r>
        <w:rPr>
          <w:rFonts w:hint="eastAsia" w:ascii="宋体" w:hAnsi="宋体" w:eastAsia="宋体" w:cs="宋体"/>
          <w:b/>
          <w:bCs/>
          <w:color w:val="auto"/>
          <w:sz w:val="32"/>
          <w:szCs w:val="32"/>
          <w:highlight w:val="none"/>
          <w:lang w:val="en-US" w:eastAsia="zh-CN"/>
        </w:rPr>
        <w:t>一览表</w:t>
      </w:r>
    </w:p>
    <w:p w14:paraId="17F1D71B">
      <w:pPr>
        <w:snapToGrid w:val="0"/>
        <w:spacing w:before="50" w:after="50" w:line="360" w:lineRule="auto"/>
        <w:rPr>
          <w:rFonts w:hint="eastAsia" w:ascii="宋体" w:hAnsi="宋体" w:eastAsia="宋体" w:cs="宋体"/>
          <w:color w:val="auto"/>
          <w:sz w:val="24"/>
          <w:highlight w:val="none"/>
        </w:rPr>
      </w:pPr>
    </w:p>
    <w:p w14:paraId="18E9777F">
      <w:pPr>
        <w:snapToGrid w:val="0"/>
        <w:spacing w:before="50" w:after="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489B52EF">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3590"/>
        <w:gridCol w:w="2301"/>
        <w:gridCol w:w="2301"/>
      </w:tblGrid>
      <w:tr w14:paraId="33985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012" w:type="dxa"/>
            <w:noWrap w:val="0"/>
            <w:vAlign w:val="center"/>
          </w:tcPr>
          <w:p w14:paraId="301800DA">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vertAlign w:val="baseline"/>
              </w:rPr>
            </w:pPr>
            <w:r>
              <w:rPr>
                <w:rFonts w:hint="eastAsia" w:ascii="宋体" w:hAnsi="宋体" w:eastAsia="宋体" w:cs="宋体"/>
                <w:b/>
                <w:bCs/>
                <w:color w:val="auto"/>
                <w:kern w:val="0"/>
                <w:sz w:val="21"/>
                <w:szCs w:val="21"/>
                <w:highlight w:val="none"/>
              </w:rPr>
              <w:t>项号</w:t>
            </w:r>
          </w:p>
        </w:tc>
        <w:tc>
          <w:tcPr>
            <w:tcW w:w="3590" w:type="dxa"/>
            <w:noWrap w:val="0"/>
            <w:vAlign w:val="center"/>
          </w:tcPr>
          <w:p w14:paraId="605450FB">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vertAlign w:val="baseline"/>
              </w:rPr>
            </w:pPr>
            <w:r>
              <w:rPr>
                <w:rFonts w:hint="eastAsia" w:ascii="宋体" w:hAnsi="宋体" w:eastAsia="宋体" w:cs="宋体"/>
                <w:b/>
                <w:bCs/>
                <w:color w:val="auto"/>
                <w:kern w:val="0"/>
                <w:sz w:val="21"/>
                <w:szCs w:val="21"/>
                <w:highlight w:val="none"/>
                <w:lang w:val="en-US" w:eastAsia="zh-CN"/>
              </w:rPr>
              <w:t>标的</w:t>
            </w:r>
            <w:r>
              <w:rPr>
                <w:rFonts w:hint="eastAsia" w:ascii="宋体" w:hAnsi="宋体" w:eastAsia="宋体" w:cs="宋体"/>
                <w:b/>
                <w:bCs/>
                <w:color w:val="auto"/>
                <w:kern w:val="0"/>
                <w:sz w:val="21"/>
                <w:szCs w:val="21"/>
                <w:highlight w:val="none"/>
              </w:rPr>
              <w:t>名称</w:t>
            </w:r>
          </w:p>
        </w:tc>
        <w:tc>
          <w:tcPr>
            <w:tcW w:w="2301" w:type="dxa"/>
            <w:noWrap w:val="0"/>
            <w:vAlign w:val="center"/>
          </w:tcPr>
          <w:p w14:paraId="46DDE5DB">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vertAlign w:val="baseline"/>
              </w:rPr>
            </w:pPr>
            <w:r>
              <w:rPr>
                <w:rFonts w:hint="eastAsia" w:ascii="宋体" w:hAnsi="宋体" w:eastAsia="宋体" w:cs="宋体"/>
                <w:b/>
                <w:bCs/>
                <w:color w:val="auto"/>
                <w:kern w:val="0"/>
                <w:sz w:val="21"/>
                <w:szCs w:val="21"/>
                <w:highlight w:val="none"/>
                <w:lang w:val="en-US" w:eastAsia="zh-CN"/>
              </w:rPr>
              <w:t>整体下浮率（%）</w:t>
            </w:r>
          </w:p>
        </w:tc>
        <w:tc>
          <w:tcPr>
            <w:tcW w:w="2301" w:type="dxa"/>
            <w:noWrap w:val="0"/>
            <w:vAlign w:val="center"/>
          </w:tcPr>
          <w:p w14:paraId="55B7DF42">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vertAlign w:val="baseline"/>
              </w:rPr>
            </w:pPr>
            <w:r>
              <w:rPr>
                <w:rFonts w:hint="eastAsia" w:ascii="宋体" w:hAnsi="宋体" w:eastAsia="宋体" w:cs="宋体"/>
                <w:b/>
                <w:bCs/>
                <w:color w:val="auto"/>
                <w:kern w:val="0"/>
                <w:sz w:val="21"/>
                <w:szCs w:val="21"/>
                <w:highlight w:val="none"/>
                <w:lang w:val="en-US" w:eastAsia="zh-CN"/>
              </w:rPr>
              <w:t>说明</w:t>
            </w:r>
          </w:p>
        </w:tc>
      </w:tr>
      <w:tr w14:paraId="51357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012" w:type="dxa"/>
            <w:noWrap w:val="0"/>
            <w:vAlign w:val="center"/>
          </w:tcPr>
          <w:p w14:paraId="578AD9EC">
            <w:pPr>
              <w:keepNext w:val="0"/>
              <w:keepLines w:val="0"/>
              <w:pageBreakBefore w:val="0"/>
              <w:kinsoku/>
              <w:wordWrap/>
              <w:overflowPunct/>
              <w:topLinePunct w:val="0"/>
              <w:autoSpaceDE/>
              <w:autoSpaceDN/>
              <w:bidi w:val="0"/>
              <w:spacing w:line="400" w:lineRule="exact"/>
              <w:jc w:val="center"/>
              <w:textAlignment w:val="auto"/>
              <w:outlineLvl w:val="9"/>
              <w:rPr>
                <w:rFonts w:hint="eastAsia" w:ascii="宋体" w:hAnsi="宋体" w:eastAsia="宋体" w:cs="宋体"/>
                <w:color w:val="auto"/>
                <w:szCs w:val="21"/>
                <w:highlight w:val="none"/>
                <w:vertAlign w:val="baseline"/>
              </w:rPr>
            </w:pPr>
            <w:r>
              <w:rPr>
                <w:rFonts w:hint="eastAsia" w:ascii="宋体" w:hAnsi="宋体" w:eastAsia="宋体" w:cs="宋体"/>
                <w:color w:val="auto"/>
                <w:sz w:val="21"/>
                <w:szCs w:val="21"/>
                <w:highlight w:val="none"/>
                <w:lang w:val="en-US" w:eastAsia="zh-CN"/>
              </w:rPr>
              <w:t>1</w:t>
            </w:r>
          </w:p>
        </w:tc>
        <w:tc>
          <w:tcPr>
            <w:tcW w:w="3590" w:type="dxa"/>
            <w:noWrap w:val="0"/>
            <w:vAlign w:val="center"/>
          </w:tcPr>
          <w:p w14:paraId="54FC10B1">
            <w:pPr>
              <w:keepNext w:val="0"/>
              <w:keepLines w:val="0"/>
              <w:pageBreakBefore w:val="0"/>
              <w:kinsoku/>
              <w:wordWrap/>
              <w:overflowPunct/>
              <w:topLinePunct w:val="0"/>
              <w:autoSpaceDE/>
              <w:autoSpaceDN/>
              <w:bidi w:val="0"/>
              <w:spacing w:line="400" w:lineRule="exact"/>
              <w:jc w:val="center"/>
              <w:textAlignment w:val="auto"/>
              <w:outlineLvl w:val="9"/>
              <w:rPr>
                <w:rFonts w:hint="eastAsia" w:ascii="宋体" w:hAnsi="宋体" w:eastAsia="宋体" w:cs="宋体"/>
                <w:color w:val="auto"/>
                <w:szCs w:val="21"/>
                <w:highlight w:val="none"/>
                <w:vertAlign w:val="baseline"/>
              </w:rPr>
            </w:pPr>
          </w:p>
        </w:tc>
        <w:tc>
          <w:tcPr>
            <w:tcW w:w="2301" w:type="dxa"/>
            <w:noWrap w:val="0"/>
            <w:vAlign w:val="center"/>
          </w:tcPr>
          <w:p w14:paraId="641DBFD0">
            <w:pPr>
              <w:keepNext w:val="0"/>
              <w:keepLines w:val="0"/>
              <w:pageBreakBefore w:val="0"/>
              <w:kinsoku/>
              <w:wordWrap/>
              <w:overflowPunct/>
              <w:topLinePunct w:val="0"/>
              <w:autoSpaceDE/>
              <w:autoSpaceDN/>
              <w:bidi w:val="0"/>
              <w:spacing w:line="400" w:lineRule="exact"/>
              <w:textAlignment w:val="auto"/>
              <w:outlineLvl w:val="9"/>
              <w:rPr>
                <w:rFonts w:hint="eastAsia" w:ascii="宋体" w:hAnsi="宋体" w:eastAsia="宋体" w:cs="宋体"/>
                <w:color w:val="auto"/>
                <w:szCs w:val="21"/>
                <w:highlight w:val="none"/>
                <w:vertAlign w:val="baseline"/>
              </w:rPr>
            </w:pPr>
          </w:p>
        </w:tc>
        <w:tc>
          <w:tcPr>
            <w:tcW w:w="2301" w:type="dxa"/>
            <w:noWrap w:val="0"/>
            <w:vAlign w:val="center"/>
          </w:tcPr>
          <w:p w14:paraId="146B782F">
            <w:pPr>
              <w:keepNext w:val="0"/>
              <w:keepLines w:val="0"/>
              <w:pageBreakBefore w:val="0"/>
              <w:kinsoku/>
              <w:wordWrap/>
              <w:overflowPunct/>
              <w:topLinePunct w:val="0"/>
              <w:autoSpaceDE/>
              <w:autoSpaceDN/>
              <w:bidi w:val="0"/>
              <w:spacing w:line="400" w:lineRule="exact"/>
              <w:textAlignment w:val="auto"/>
              <w:outlineLvl w:val="9"/>
              <w:rPr>
                <w:rFonts w:hint="eastAsia" w:ascii="宋体" w:hAnsi="宋体" w:eastAsia="宋体" w:cs="宋体"/>
                <w:color w:val="auto"/>
                <w:szCs w:val="21"/>
                <w:highlight w:val="none"/>
                <w:vertAlign w:val="baseline"/>
              </w:rPr>
            </w:pPr>
          </w:p>
        </w:tc>
      </w:tr>
    </w:tbl>
    <w:p w14:paraId="4295A8DD">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zh-CN"/>
        </w:rPr>
        <w:t>注：</w:t>
      </w:r>
      <w:r>
        <w:rPr>
          <w:rFonts w:hint="eastAsia" w:ascii="宋体" w:hAnsi="宋体" w:eastAsia="宋体" w:cs="宋体"/>
          <w:b/>
          <w:bCs/>
          <w:color w:val="auto"/>
          <w:kern w:val="0"/>
          <w:szCs w:val="21"/>
          <w:highlight w:val="none"/>
        </w:rPr>
        <w:t>1</w:t>
      </w:r>
      <w:r>
        <w:rPr>
          <w:rFonts w:hint="eastAsia" w:ascii="宋体" w:hAnsi="宋体" w:eastAsia="宋体" w:cs="宋体"/>
          <w:b/>
          <w:bCs/>
          <w:color w:val="auto"/>
          <w:kern w:val="0"/>
          <w:szCs w:val="21"/>
          <w:highlight w:val="none"/>
          <w:lang w:val="en-US" w:eastAsia="zh-CN"/>
        </w:rPr>
        <w:t>.</w:t>
      </w:r>
      <w:r>
        <w:rPr>
          <w:rFonts w:hint="eastAsia" w:ascii="宋体" w:hAnsi="宋体" w:eastAsia="宋体" w:cs="宋体"/>
          <w:b/>
          <w:bCs/>
          <w:color w:val="auto"/>
          <w:kern w:val="0"/>
          <w:szCs w:val="21"/>
          <w:highlight w:val="none"/>
        </w:rPr>
        <w:t>此表格是最终报价明细表，最终报价磋商时提供，无需上传到报价文件中。</w:t>
      </w:r>
    </w:p>
    <w:p w14:paraId="7C8D35CB">
      <w:pPr>
        <w:keepNext w:val="0"/>
        <w:keepLines w:val="0"/>
        <w:pageBreakBefore w:val="0"/>
        <w:widowControl w:val="0"/>
        <w:kinsoku/>
        <w:wordWrap/>
        <w:overflowPunct/>
        <w:topLinePunct w:val="0"/>
        <w:autoSpaceDE/>
        <w:autoSpaceDN/>
        <w:bidi w:val="0"/>
        <w:adjustRightInd w:val="0"/>
        <w:snapToGrid/>
        <w:spacing w:line="360" w:lineRule="auto"/>
        <w:ind w:firstLine="422" w:firstLineChars="200"/>
        <w:textAlignment w:val="auto"/>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w:t>
      </w:r>
      <w:r>
        <w:rPr>
          <w:rFonts w:hint="eastAsia" w:ascii="宋体" w:hAnsi="宋体" w:eastAsia="宋体" w:cs="宋体"/>
          <w:b/>
          <w:bCs/>
          <w:color w:val="auto"/>
          <w:kern w:val="0"/>
          <w:szCs w:val="21"/>
          <w:highlight w:val="none"/>
        </w:rPr>
        <w:t>最终报价时间有限，磋商供应商应当提前准备好最终报价表，因准备不充分导致未能在规定时间内递交最终报价的责任，由磋商供应商自行承担。</w:t>
      </w:r>
    </w:p>
    <w:p w14:paraId="7359CF41">
      <w:pPr>
        <w:pStyle w:val="38"/>
        <w:rPr>
          <w:rFonts w:hint="eastAsia" w:ascii="宋体" w:hAnsi="宋体" w:eastAsia="宋体" w:cs="宋体"/>
          <w:color w:val="auto"/>
          <w:sz w:val="21"/>
          <w:szCs w:val="21"/>
          <w:highlight w:val="none"/>
          <w:lang w:val="zh-CN"/>
        </w:rPr>
      </w:pPr>
    </w:p>
    <w:p w14:paraId="6E46AAF3">
      <w:pPr>
        <w:pStyle w:val="38"/>
        <w:rPr>
          <w:rFonts w:hint="eastAsia" w:ascii="宋体" w:hAnsi="宋体" w:eastAsia="宋体" w:cs="宋体"/>
          <w:color w:val="auto"/>
          <w:sz w:val="21"/>
          <w:szCs w:val="21"/>
          <w:highlight w:val="none"/>
          <w:lang w:val="zh-CN"/>
        </w:rPr>
      </w:pPr>
    </w:p>
    <w:p w14:paraId="49836440">
      <w:pPr>
        <w:spacing w:line="360" w:lineRule="auto"/>
        <w:ind w:right="-874" w:rightChars="-416"/>
        <w:rPr>
          <w:rFonts w:hint="eastAsia" w:ascii="宋体" w:hAnsi="宋体" w:eastAsia="宋体" w:cs="宋体"/>
          <w:color w:val="auto"/>
          <w:sz w:val="24"/>
          <w:highlight w:val="none"/>
        </w:rPr>
      </w:pPr>
    </w:p>
    <w:p w14:paraId="12D12BA5">
      <w:pPr>
        <w:spacing w:line="360" w:lineRule="auto"/>
        <w:ind w:right="-874" w:rightChars="-416"/>
        <w:rPr>
          <w:rFonts w:hint="eastAsia" w:ascii="宋体" w:hAnsi="宋体" w:eastAsia="宋体" w:cs="宋体"/>
          <w:color w:val="auto"/>
          <w:sz w:val="24"/>
          <w:highlight w:val="none"/>
        </w:rPr>
      </w:pPr>
    </w:p>
    <w:p w14:paraId="4F8B992C">
      <w:pPr>
        <w:spacing w:line="360" w:lineRule="auto"/>
        <w:ind w:right="-874" w:rightChars="-416"/>
        <w:rPr>
          <w:rFonts w:hint="eastAsia" w:ascii="宋体" w:hAnsi="宋体" w:eastAsia="宋体" w:cs="宋体"/>
          <w:color w:val="auto"/>
          <w:sz w:val="24"/>
          <w:highlight w:val="none"/>
        </w:rPr>
      </w:pPr>
    </w:p>
    <w:p w14:paraId="4DFCF7B3">
      <w:pPr>
        <w:autoSpaceDE w:val="0"/>
        <w:autoSpaceDN w:val="0"/>
        <w:spacing w:line="360" w:lineRule="auto"/>
        <w:ind w:left="4592" w:leftChars="2166" w:hanging="43" w:hangingChars="18"/>
        <w:jc w:val="left"/>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lang w:val="zh-CN"/>
        </w:rPr>
        <w:t>磋商供应商名称(</w:t>
      </w:r>
      <w:r>
        <w:rPr>
          <w:rFonts w:hint="eastAsia" w:ascii="宋体" w:hAnsi="宋体" w:eastAsia="宋体" w:cs="宋体"/>
          <w:color w:val="auto"/>
          <w:kern w:val="0"/>
          <w:sz w:val="24"/>
          <w:highlight w:val="none"/>
          <w:lang w:val="en-US" w:eastAsia="zh-CN"/>
        </w:rPr>
        <w:t>电子</w:t>
      </w:r>
      <w:r>
        <w:rPr>
          <w:rFonts w:hint="eastAsia" w:ascii="宋体" w:hAnsi="宋体" w:eastAsia="宋体" w:cs="宋体"/>
          <w:color w:val="auto"/>
          <w:kern w:val="0"/>
          <w:sz w:val="24"/>
          <w:highlight w:val="none"/>
          <w:lang w:val="zh-CN"/>
        </w:rPr>
        <w:t xml:space="preserve">公章)： </w:t>
      </w:r>
    </w:p>
    <w:p w14:paraId="5DA01658">
      <w:pPr>
        <w:autoSpaceDE w:val="0"/>
        <w:autoSpaceDN w:val="0"/>
        <w:spacing w:line="360" w:lineRule="auto"/>
        <w:ind w:firstLine="4536" w:firstLineChars="189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法定代表人（负责人）或委托代理人(签名)：             </w:t>
      </w:r>
    </w:p>
    <w:p w14:paraId="66490D6F">
      <w:pPr>
        <w:autoSpaceDE w:val="0"/>
        <w:autoSpaceDN w:val="0"/>
        <w:spacing w:line="360" w:lineRule="auto"/>
        <w:ind w:firstLine="4536" w:firstLineChars="1890"/>
        <w:jc w:val="left"/>
        <w:rPr>
          <w:rFonts w:hint="eastAsia" w:ascii="宋体" w:hAnsi="宋体" w:eastAsia="宋体" w:cs="宋体"/>
          <w:color w:val="auto"/>
          <w:kern w:val="0"/>
          <w:sz w:val="24"/>
          <w:highlight w:val="none"/>
          <w:lang w:val="zh-CN"/>
        </w:rPr>
        <w:sectPr>
          <w:pgSz w:w="11906" w:h="16838"/>
          <w:pgMar w:top="471" w:right="1418" w:bottom="777" w:left="1418" w:header="851" w:footer="992" w:gutter="0"/>
          <w:pgNumType w:fmt="decimal"/>
          <w:cols w:space="720" w:num="1"/>
          <w:titlePg/>
          <w:docGrid w:linePitch="312" w:charSpace="0"/>
        </w:sect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zh-CN"/>
        </w:rPr>
        <w:t xml:space="preserve">   年   月   日</w:t>
      </w:r>
    </w:p>
    <w:p w14:paraId="3DE41A67">
      <w:pPr>
        <w:widowControl/>
        <w:adjustRightInd/>
        <w:jc w:val="both"/>
        <w:rPr>
          <w:rFonts w:hint="eastAsia" w:ascii="宋体" w:hAnsi="宋体" w:eastAsia="宋体" w:cs="宋体"/>
          <w:color w:val="auto"/>
          <w:sz w:val="24"/>
          <w:highlight w:val="none"/>
        </w:rPr>
      </w:pPr>
      <w:bookmarkStart w:id="181" w:name="_Toc465665161"/>
    </w:p>
    <w:p w14:paraId="7BB4E376">
      <w:pPr>
        <w:widowControl/>
        <w:adjustRightInd/>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bookmarkEnd w:id="181"/>
    </w:p>
    <w:p w14:paraId="13479470">
      <w:pPr>
        <w:spacing w:line="360" w:lineRule="auto"/>
        <w:jc w:val="left"/>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附件1</w:t>
      </w:r>
      <w:r>
        <w:rPr>
          <w:rFonts w:hint="eastAsia" w:ascii="宋体" w:hAnsi="宋体" w:eastAsia="宋体" w:cs="宋体"/>
          <w:b/>
          <w:color w:val="auto"/>
          <w:spacing w:val="6"/>
          <w:sz w:val="32"/>
          <w:szCs w:val="32"/>
          <w:highlight w:val="none"/>
          <w:lang w:eastAsia="zh-CN"/>
        </w:rPr>
        <w:t>：</w:t>
      </w:r>
      <w:r>
        <w:rPr>
          <w:rFonts w:hint="eastAsia" w:ascii="宋体" w:hAnsi="宋体" w:eastAsia="宋体" w:cs="宋体"/>
          <w:b/>
          <w:color w:val="auto"/>
          <w:spacing w:val="6"/>
          <w:sz w:val="32"/>
          <w:szCs w:val="32"/>
          <w:highlight w:val="none"/>
        </w:rPr>
        <w:t>质疑函范本及制作说明</w:t>
      </w:r>
    </w:p>
    <w:p w14:paraId="702234CE">
      <w:pPr>
        <w:spacing w:line="360" w:lineRule="auto"/>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质疑函范本</w:t>
      </w:r>
    </w:p>
    <w:p w14:paraId="600DCA6D">
      <w:pPr>
        <w:snapToGrid w:val="0"/>
        <w:spacing w:before="240" w:beforeLines="100"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一、质疑供应商基本信息</w:t>
      </w:r>
    </w:p>
    <w:p w14:paraId="27CCA99E">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质疑供应商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p>
    <w:p w14:paraId="06F23CD8">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p>
    <w:p w14:paraId="2BDDF031">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p>
    <w:p w14:paraId="4F55FC08">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p>
    <w:p w14:paraId="561A3161">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134B3482">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p>
    <w:p w14:paraId="07CAE90D">
      <w:pPr>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二、质疑项目基本情况</w:t>
      </w:r>
    </w:p>
    <w:p w14:paraId="6F6C42E1">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p>
    <w:p w14:paraId="21E12A01">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质疑项目的编号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p>
    <w:p w14:paraId="0EDFF3E4">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采购人名称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p>
    <w:p w14:paraId="3A71A8BB">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采购文件获取日期</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p>
    <w:p w14:paraId="115E8A36">
      <w:pPr>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三、质疑事项具体内容</w:t>
      </w:r>
    </w:p>
    <w:p w14:paraId="01B81912">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p>
    <w:p w14:paraId="531BB9BD">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事实依据</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p>
    <w:p w14:paraId="5AD7B150">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dotted"/>
        </w:rPr>
        <w:t xml:space="preserve">                                                       </w:t>
      </w:r>
    </w:p>
    <w:p w14:paraId="6605FBBD">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法律依据</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p>
    <w:p w14:paraId="7919A632">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2B0EEBE7">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质疑事项2</w:t>
      </w:r>
    </w:p>
    <w:p w14:paraId="38F2CA68">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12E6F297">
      <w:pPr>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四、与质疑事项相关的质疑请求</w:t>
      </w:r>
    </w:p>
    <w:p w14:paraId="2AE59244">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请求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p>
    <w:p w14:paraId="3F244079">
      <w:pPr>
        <w:spacing w:line="360" w:lineRule="auto"/>
        <w:rPr>
          <w:rFonts w:hint="eastAsia" w:ascii="宋体" w:hAnsi="宋体" w:eastAsia="宋体" w:cs="宋体"/>
          <w:color w:val="auto"/>
          <w:sz w:val="24"/>
          <w:highlight w:val="none"/>
        </w:rPr>
      </w:pPr>
    </w:p>
    <w:p w14:paraId="196E833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签字(签章)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公章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w:t>
      </w:r>
    </w:p>
    <w:p w14:paraId="26EBA7F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w:t>
      </w:r>
    </w:p>
    <w:p w14:paraId="03089F40">
      <w:pPr>
        <w:spacing w:line="360" w:lineRule="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质疑函制作说明</w:t>
      </w:r>
      <w:r>
        <w:rPr>
          <w:rFonts w:hint="eastAsia" w:ascii="宋体" w:hAnsi="宋体" w:eastAsia="宋体" w:cs="宋体"/>
          <w:b/>
          <w:color w:val="auto"/>
          <w:sz w:val="24"/>
          <w:highlight w:val="none"/>
          <w:lang w:eastAsia="zh-CN"/>
        </w:rPr>
        <w:t>：</w:t>
      </w:r>
    </w:p>
    <w:p w14:paraId="159056F9">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14:paraId="1538EE5D">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highlight w:val="none"/>
        </w:rPr>
        <w:t>供应商签署的授权委托书。授权委托书应载明代理人的姓名或者名称、代理事项、具体权限、期限和相关事项。</w:t>
      </w:r>
    </w:p>
    <w:p w14:paraId="68C3E073">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14:paraId="765735D5">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19B2D7C2">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4E9BAB49">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71FACF37">
      <w:pPr>
        <w:widowControl/>
        <w:spacing w:line="360" w:lineRule="auto"/>
        <w:ind w:firstLine="600" w:firstLineChars="200"/>
        <w:jc w:val="left"/>
        <w:rPr>
          <w:rFonts w:hint="eastAsia" w:ascii="宋体" w:hAnsi="宋体" w:eastAsia="宋体" w:cs="宋体"/>
          <w:color w:val="auto"/>
          <w:sz w:val="30"/>
          <w:szCs w:val="30"/>
          <w:highlight w:val="none"/>
        </w:rPr>
      </w:pPr>
    </w:p>
    <w:p w14:paraId="342F1ACB">
      <w:pPr>
        <w:spacing w:line="360" w:lineRule="auto"/>
        <w:jc w:val="left"/>
        <w:rPr>
          <w:rFonts w:hint="eastAsia" w:ascii="宋体" w:hAnsi="宋体" w:eastAsia="宋体" w:cs="宋体"/>
          <w:b/>
          <w:color w:val="auto"/>
          <w:spacing w:val="6"/>
          <w:sz w:val="32"/>
          <w:szCs w:val="32"/>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pacing w:val="6"/>
          <w:sz w:val="32"/>
          <w:szCs w:val="32"/>
          <w:highlight w:val="none"/>
        </w:rPr>
        <w:t>附件2</w:t>
      </w:r>
      <w:r>
        <w:rPr>
          <w:rFonts w:hint="eastAsia" w:ascii="宋体" w:hAnsi="宋体" w:eastAsia="宋体" w:cs="宋体"/>
          <w:b/>
          <w:color w:val="auto"/>
          <w:spacing w:val="6"/>
          <w:sz w:val="32"/>
          <w:szCs w:val="32"/>
          <w:highlight w:val="none"/>
          <w:lang w:eastAsia="zh-CN"/>
        </w:rPr>
        <w:t>：</w:t>
      </w:r>
      <w:r>
        <w:rPr>
          <w:rFonts w:hint="eastAsia" w:ascii="宋体" w:hAnsi="宋体" w:eastAsia="宋体" w:cs="宋体"/>
          <w:b/>
          <w:color w:val="auto"/>
          <w:spacing w:val="6"/>
          <w:sz w:val="32"/>
          <w:szCs w:val="32"/>
          <w:highlight w:val="none"/>
        </w:rPr>
        <w:t>投诉书范本及制作说明</w:t>
      </w:r>
    </w:p>
    <w:p w14:paraId="4D8F0982">
      <w:pPr>
        <w:spacing w:line="360" w:lineRule="auto"/>
        <w:jc w:val="center"/>
        <w:rPr>
          <w:rFonts w:hint="eastAsia" w:ascii="宋体" w:hAnsi="宋体" w:eastAsia="宋体" w:cs="宋体"/>
          <w:b/>
          <w:color w:val="auto"/>
          <w:sz w:val="24"/>
          <w:highlight w:val="none"/>
        </w:rPr>
      </w:pPr>
    </w:p>
    <w:p w14:paraId="4659BA5B">
      <w:pPr>
        <w:spacing w:line="360" w:lineRule="auto"/>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投诉书范本</w:t>
      </w:r>
    </w:p>
    <w:p w14:paraId="4C19274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一、投诉相关主体基本情况</w:t>
      </w:r>
    </w:p>
    <w:p w14:paraId="26702AF7">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投诉人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p>
    <w:p w14:paraId="6BA59C96">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7FCBD2C6">
      <w:pPr>
        <w:tabs>
          <w:tab w:val="left" w:pos="6510"/>
        </w:tabs>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法定代表人/主要负责人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763DD987">
      <w:pPr>
        <w:tabs>
          <w:tab w:val="left" w:pos="6510"/>
        </w:tabs>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p>
    <w:p w14:paraId="4D43B5A7">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lang w:eastAsia="zh-CN"/>
        </w:rPr>
        <w:t>：</w:t>
      </w:r>
      <w:r>
        <w:rPr>
          <w:rFonts w:hint="eastAsia" w:ascii="宋体" w:hAnsi="宋体" w:eastAsia="宋体" w:cs="宋体"/>
          <w:color w:val="auto"/>
          <w:sz w:val="24"/>
          <w:highlight w:val="none"/>
          <w:u w:val="dotted"/>
        </w:rPr>
        <w:t xml:space="preserve">                  </w:t>
      </w:r>
    </w:p>
    <w:p w14:paraId="1AF7CADB">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dotted"/>
        </w:rPr>
        <w:t xml:space="preserve">                   </w:t>
      </w:r>
    </w:p>
    <w:p w14:paraId="78CBB0DE">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被投诉人1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11FFA66B">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5DAA1CB0">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700B616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被投诉人2</w:t>
      </w:r>
    </w:p>
    <w:p w14:paraId="4D9EAA82">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w:t>
      </w:r>
    </w:p>
    <w:p w14:paraId="51056496">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相关供应商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73DA447A">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6A083BE0">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36963A3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二、投诉项目基本情况</w:t>
      </w:r>
    </w:p>
    <w:p w14:paraId="56A26B72">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p>
    <w:p w14:paraId="46DF5032">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p>
    <w:p w14:paraId="449FFA1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716FE473">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代理机构名称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p>
    <w:p w14:paraId="300262B8">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采购文件公告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是/否 </w:t>
      </w:r>
      <w:r>
        <w:rPr>
          <w:rFonts w:hint="eastAsia" w:ascii="宋体" w:hAnsi="宋体" w:eastAsia="宋体" w:cs="宋体"/>
          <w:color w:val="auto"/>
          <w:sz w:val="24"/>
          <w:highlight w:val="none"/>
        </w:rPr>
        <w:t>公告期限</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p>
    <w:p w14:paraId="6434AAEE">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采购结果公告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是/否 </w:t>
      </w:r>
      <w:r>
        <w:rPr>
          <w:rFonts w:hint="eastAsia" w:ascii="宋体" w:hAnsi="宋体" w:eastAsia="宋体" w:cs="宋体"/>
          <w:color w:val="auto"/>
          <w:sz w:val="24"/>
          <w:highlight w:val="none"/>
        </w:rPr>
        <w:t>公告期限</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p>
    <w:p w14:paraId="38139E4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三、质疑基本情况</w:t>
      </w:r>
    </w:p>
    <w:p w14:paraId="433ED3F0">
      <w:pPr>
        <w:spacing w:line="360" w:lineRule="auto"/>
        <w:ind w:firstLine="480" w:firstLineChars="200"/>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投诉人于</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日,向</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提出质疑，质疑事项为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p>
    <w:p w14:paraId="3AD16B44">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437E2223">
      <w:pP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u w:val="dotted"/>
        </w:rPr>
        <w:t>采购人/代理机构</w:t>
      </w:r>
      <w:r>
        <w:rPr>
          <w:rFonts w:hint="eastAsia" w:ascii="宋体" w:hAnsi="宋体" w:eastAsia="宋体" w:cs="宋体"/>
          <w:color w:val="auto"/>
          <w:sz w:val="24"/>
          <w:highlight w:val="none"/>
        </w:rPr>
        <w:t>于</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日,就质疑事项作出了答复/没有在法定期限内作出答复。</w:t>
      </w:r>
    </w:p>
    <w:p w14:paraId="7A11E84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四、投诉事项具体内容</w:t>
      </w:r>
    </w:p>
    <w:p w14:paraId="278CF2F4">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投诉事项 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p>
    <w:p w14:paraId="2045170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事实依据</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p>
    <w:p w14:paraId="50DE784A">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1E7D0414">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法律依据</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p>
    <w:p w14:paraId="56957D01">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48E1094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投诉事项2</w:t>
      </w:r>
    </w:p>
    <w:p w14:paraId="5854CED0">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w:t>
      </w:r>
    </w:p>
    <w:p w14:paraId="77C03F4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五、与投诉事项相关的投诉请求</w:t>
      </w:r>
    </w:p>
    <w:p w14:paraId="5718BDB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请求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02410053">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w:t>
      </w:r>
    </w:p>
    <w:p w14:paraId="574C50B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签字(签章)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公章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w:t>
      </w:r>
    </w:p>
    <w:p w14:paraId="07FB608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w:t>
      </w:r>
    </w:p>
    <w:p w14:paraId="214A44B7">
      <w:pPr>
        <w:spacing w:line="360" w:lineRule="auto"/>
        <w:rPr>
          <w:rFonts w:hint="eastAsia" w:ascii="宋体" w:hAnsi="宋体" w:eastAsia="宋体" w:cs="宋体"/>
          <w:b/>
          <w:color w:val="auto"/>
          <w:sz w:val="24"/>
          <w:highlight w:val="none"/>
        </w:rPr>
      </w:pPr>
    </w:p>
    <w:p w14:paraId="2FBF3132">
      <w:pPr>
        <w:spacing w:line="360" w:lineRule="auto"/>
        <w:rPr>
          <w:rFonts w:hint="eastAsia" w:ascii="宋体" w:hAnsi="宋体" w:eastAsia="宋体" w:cs="宋体"/>
          <w:b/>
          <w:color w:val="auto"/>
          <w:sz w:val="24"/>
          <w:highlight w:val="none"/>
        </w:rPr>
      </w:pPr>
    </w:p>
    <w:p w14:paraId="72570036">
      <w:pPr>
        <w:spacing w:line="360" w:lineRule="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投诉书制作说明</w:t>
      </w:r>
      <w:r>
        <w:rPr>
          <w:rFonts w:hint="eastAsia" w:ascii="宋体" w:hAnsi="宋体" w:eastAsia="宋体" w:cs="宋体"/>
          <w:b/>
          <w:color w:val="auto"/>
          <w:sz w:val="24"/>
          <w:highlight w:val="none"/>
          <w:lang w:eastAsia="zh-CN"/>
        </w:rPr>
        <w:t>：</w:t>
      </w:r>
    </w:p>
    <w:p w14:paraId="24F6CB85">
      <w:pPr>
        <w:widowControl/>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1.投诉人提起投诉时，应当提交投诉书和必要的证明材料，并按照被投诉人和与投诉事项有关的供应商数量提供投诉书副本。</w:t>
      </w:r>
    </w:p>
    <w:p w14:paraId="35BB051E">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2.投诉人若委托代理人进行投诉的，投诉书应按照要求列明“授权代表”的有关内容，并在附件中提交由</w:t>
      </w:r>
      <w:r>
        <w:rPr>
          <w:rFonts w:hint="eastAsia" w:ascii="宋体" w:hAnsi="宋体" w:eastAsia="宋体" w:cs="宋体"/>
          <w:color w:val="auto"/>
          <w:kern w:val="0"/>
          <w:sz w:val="24"/>
          <w:highlight w:val="none"/>
        </w:rPr>
        <w:t>投诉人签署的授权委托书。授权委托书应当载明代理人的姓名或者名称、代理事项、具体权限、期限和相关事项。</w:t>
      </w:r>
    </w:p>
    <w:p w14:paraId="04A8BFBC">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3.投诉人若对项目的某一分包进行投诉，投诉书应列明具体分包号。</w:t>
      </w:r>
    </w:p>
    <w:p w14:paraId="78492732">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4.投诉书应简要列明质疑事项，质疑函、质疑答复等作为附件材料提供。</w:t>
      </w:r>
    </w:p>
    <w:p w14:paraId="4B6E00F4">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5.投诉书的投诉事项应具体、明确，并有必要的事实依据和法律依据。</w:t>
      </w:r>
    </w:p>
    <w:p w14:paraId="2C63A7C7">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6.投诉书的投诉请求应与投诉事项相关。</w:t>
      </w:r>
    </w:p>
    <w:p w14:paraId="5DAAB7CD">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6EA93134">
      <w:pPr>
        <w:rPr>
          <w:rFonts w:hint="eastAsia" w:ascii="宋体" w:hAnsi="宋体" w:eastAsia="宋体" w:cs="宋体"/>
          <w:b/>
          <w:color w:val="auto"/>
          <w:sz w:val="24"/>
          <w:highlight w:val="none"/>
        </w:rPr>
      </w:pPr>
    </w:p>
    <w:p w14:paraId="47741191">
      <w:pPr>
        <w:widowControl/>
        <w:adjustRightInd/>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13DD84D6">
      <w:pPr>
        <w:spacing w:line="360" w:lineRule="auto"/>
        <w:jc w:val="left"/>
        <w:outlineLvl w:val="9"/>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附件3</w:t>
      </w:r>
      <w:r>
        <w:rPr>
          <w:rFonts w:hint="eastAsia" w:ascii="宋体" w:hAnsi="宋体" w:eastAsia="宋体" w:cs="宋体"/>
          <w:b/>
          <w:color w:val="auto"/>
          <w:sz w:val="32"/>
          <w:szCs w:val="32"/>
          <w:highlight w:val="none"/>
          <w:lang w:eastAsia="zh-CN"/>
        </w:rPr>
        <w:t>：</w:t>
      </w:r>
    </w:p>
    <w:p w14:paraId="07716F0D">
      <w:pPr>
        <w:spacing w:line="360" w:lineRule="auto"/>
        <w:rPr>
          <w:rFonts w:hint="eastAsia" w:ascii="宋体" w:hAnsi="宋体" w:eastAsia="宋体" w:cs="宋体"/>
          <w:b/>
          <w:color w:val="auto"/>
          <w:spacing w:val="6"/>
          <w:sz w:val="32"/>
          <w:szCs w:val="32"/>
          <w:highlight w:val="none"/>
        </w:rPr>
      </w:pPr>
    </w:p>
    <w:p w14:paraId="549C139B">
      <w:pPr>
        <w:spacing w:line="360" w:lineRule="auto"/>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残疾人福利性单位声明函</w:t>
      </w:r>
    </w:p>
    <w:p w14:paraId="30869F12">
      <w:pPr>
        <w:spacing w:line="360" w:lineRule="auto"/>
        <w:rPr>
          <w:rFonts w:hint="eastAsia" w:ascii="宋体" w:hAnsi="宋体" w:eastAsia="宋体" w:cs="宋体"/>
          <w:b/>
          <w:color w:val="auto"/>
          <w:spacing w:val="6"/>
          <w:sz w:val="30"/>
          <w:szCs w:val="30"/>
          <w:highlight w:val="none"/>
        </w:rPr>
      </w:pPr>
    </w:p>
    <w:p w14:paraId="7B9CC23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color w:val="auto"/>
          <w:sz w:val="24"/>
          <w:highlight w:val="none"/>
          <w:u w:val="single"/>
        </w:rPr>
        <w:t xml:space="preserve">   （采购人）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（项目名称）    </w:t>
      </w:r>
      <w:r>
        <w:rPr>
          <w:rFonts w:hint="eastAsia" w:ascii="宋体" w:hAnsi="宋体" w:eastAsia="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69135C8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563C4FD7">
      <w:pPr>
        <w:spacing w:line="360" w:lineRule="auto"/>
        <w:ind w:firstLine="480" w:firstLineChars="200"/>
        <w:rPr>
          <w:rFonts w:hint="eastAsia" w:ascii="宋体" w:hAnsi="宋体" w:eastAsia="宋体" w:cs="宋体"/>
          <w:color w:val="auto"/>
          <w:sz w:val="24"/>
          <w:highlight w:val="none"/>
        </w:rPr>
      </w:pPr>
    </w:p>
    <w:p w14:paraId="3B01063C">
      <w:pPr>
        <w:spacing w:line="360" w:lineRule="auto"/>
        <w:ind w:firstLine="480" w:firstLineChars="200"/>
        <w:rPr>
          <w:rFonts w:hint="eastAsia" w:ascii="宋体" w:hAnsi="宋体" w:eastAsia="宋体" w:cs="宋体"/>
          <w:color w:val="auto"/>
          <w:sz w:val="24"/>
          <w:highlight w:val="none"/>
        </w:rPr>
      </w:pPr>
    </w:p>
    <w:p w14:paraId="352A8F97">
      <w:pPr>
        <w:tabs>
          <w:tab w:val="left" w:pos="4860"/>
        </w:tabs>
        <w:spacing w:line="360" w:lineRule="auto"/>
        <w:ind w:right="1560" w:firstLine="480" w:firstLineChars="20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lang w:val="zh-CN"/>
        </w:rPr>
        <w:t>磋商供应商名称(</w:t>
      </w:r>
      <w:r>
        <w:rPr>
          <w:rFonts w:hint="eastAsia" w:ascii="宋体" w:hAnsi="宋体" w:eastAsia="宋体" w:cs="宋体"/>
          <w:color w:val="auto"/>
          <w:kern w:val="0"/>
          <w:sz w:val="24"/>
          <w:highlight w:val="none"/>
          <w:lang w:val="en-US" w:eastAsia="zh-CN"/>
        </w:rPr>
        <w:t>电子</w:t>
      </w:r>
      <w:r>
        <w:rPr>
          <w:rFonts w:hint="eastAsia" w:ascii="宋体" w:hAnsi="宋体" w:eastAsia="宋体" w:cs="宋体"/>
          <w:color w:val="auto"/>
          <w:kern w:val="0"/>
          <w:sz w:val="24"/>
          <w:highlight w:val="none"/>
          <w:lang w:val="zh-CN"/>
        </w:rPr>
        <w:t>公章)</w:t>
      </w:r>
      <w:r>
        <w:rPr>
          <w:rFonts w:hint="eastAsia" w:ascii="宋体" w:hAnsi="宋体" w:eastAsia="宋体" w:cs="宋体"/>
          <w:color w:val="auto"/>
          <w:sz w:val="24"/>
          <w:highlight w:val="none"/>
          <w:lang w:eastAsia="zh-CN"/>
        </w:rPr>
        <w:t>：</w:t>
      </w:r>
    </w:p>
    <w:p w14:paraId="7937E2E0">
      <w:pPr>
        <w:tabs>
          <w:tab w:val="left" w:pos="4860"/>
        </w:tabs>
        <w:spacing w:line="360" w:lineRule="auto"/>
        <w:ind w:right="1560" w:firstLine="480" w:firstLineChars="20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       日  期</w:t>
      </w:r>
      <w:r>
        <w:rPr>
          <w:rFonts w:hint="eastAsia" w:ascii="宋体" w:hAnsi="宋体" w:eastAsia="宋体" w:cs="宋体"/>
          <w:color w:val="auto"/>
          <w:sz w:val="24"/>
          <w:highlight w:val="none"/>
          <w:lang w:eastAsia="zh-CN"/>
        </w:rPr>
        <w:t>：</w:t>
      </w:r>
    </w:p>
    <w:p w14:paraId="13BCD78B">
      <w:pPr>
        <w:spacing w:line="360" w:lineRule="auto"/>
        <w:ind w:firstLine="480" w:firstLineChars="200"/>
        <w:rPr>
          <w:rFonts w:hint="eastAsia" w:ascii="宋体" w:hAnsi="宋体" w:eastAsia="宋体" w:cs="宋体"/>
          <w:color w:val="auto"/>
          <w:sz w:val="24"/>
          <w:highlight w:val="none"/>
        </w:rPr>
      </w:pPr>
    </w:p>
    <w:p w14:paraId="3ED9AA7C">
      <w:pPr>
        <w:widowControl/>
        <w:adjustRightInd/>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064E6732">
      <w:pPr>
        <w:autoSpaceDE w:val="0"/>
        <w:autoSpaceDN w:val="0"/>
        <w:jc w:val="left"/>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附件</w:t>
      </w:r>
      <w:r>
        <w:rPr>
          <w:rFonts w:hint="eastAsia" w:ascii="宋体" w:hAnsi="宋体" w:eastAsia="宋体" w:cs="宋体"/>
          <w:b/>
          <w:color w:val="auto"/>
          <w:sz w:val="32"/>
          <w:szCs w:val="32"/>
          <w:highlight w:val="none"/>
          <w:lang w:val="en-US" w:eastAsia="zh-CN"/>
        </w:rPr>
        <w:t>4</w:t>
      </w:r>
      <w:r>
        <w:rPr>
          <w:rFonts w:hint="eastAsia" w:ascii="宋体" w:hAnsi="宋体" w:eastAsia="宋体" w:cs="宋体"/>
          <w:b/>
          <w:color w:val="auto"/>
          <w:sz w:val="32"/>
          <w:szCs w:val="32"/>
          <w:highlight w:val="none"/>
          <w:lang w:eastAsia="zh-CN"/>
        </w:rPr>
        <w:t>：</w:t>
      </w:r>
    </w:p>
    <w:p w14:paraId="5E954C28">
      <w:pPr>
        <w:spacing w:line="360" w:lineRule="auto"/>
        <w:jc w:val="center"/>
        <w:rPr>
          <w:rFonts w:hint="eastAsia" w:ascii="宋体" w:hAnsi="宋体" w:eastAsia="宋体" w:cs="宋体"/>
          <w:b/>
          <w:color w:val="auto"/>
          <w:sz w:val="32"/>
          <w:szCs w:val="32"/>
          <w:highlight w:val="none"/>
        </w:rPr>
      </w:pPr>
    </w:p>
    <w:p w14:paraId="0970F392">
      <w:pPr>
        <w:adjustRightInd/>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中小企业声明函（服务）</w:t>
      </w:r>
    </w:p>
    <w:p w14:paraId="00D1854D">
      <w:pPr>
        <w:spacing w:line="360" w:lineRule="auto"/>
        <w:jc w:val="center"/>
        <w:rPr>
          <w:rFonts w:hint="eastAsia" w:ascii="宋体" w:hAnsi="宋体" w:eastAsia="宋体" w:cs="宋体"/>
          <w:b/>
          <w:color w:val="auto"/>
          <w:sz w:val="32"/>
          <w:szCs w:val="32"/>
          <w:highlight w:val="none"/>
        </w:rPr>
      </w:pPr>
    </w:p>
    <w:p w14:paraId="2A5F43D7">
      <w:pPr>
        <w:spacing w:line="360" w:lineRule="auto"/>
        <w:ind w:firstLine="360" w:firstLineChars="15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eastAsia="宋体" w:cs="宋体"/>
          <w:color w:val="auto"/>
          <w:sz w:val="24"/>
          <w:highlight w:val="none"/>
          <w:u w:val="single"/>
        </w:rPr>
        <w:t xml:space="preserve">（采购人）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（项目名称） </w:t>
      </w:r>
      <w:r>
        <w:rPr>
          <w:rFonts w:hint="eastAsia" w:ascii="宋体" w:hAnsi="宋体" w:eastAsia="宋体" w:cs="宋体"/>
          <w:color w:val="auto"/>
          <w:sz w:val="24"/>
          <w:highlight w:val="none"/>
        </w:rPr>
        <w:t>采购活动，工程的施工单位全部为符合政策要求的中小企业（或者</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服务全部由符合政策要求的中小企业承接）。相关企业（含联合体中的中小企业、签订分包意向协议的中小企业）的具体情况如下</w:t>
      </w:r>
      <w:r>
        <w:rPr>
          <w:rFonts w:hint="eastAsia" w:ascii="宋体" w:hAnsi="宋体" w:eastAsia="宋体" w:cs="宋体"/>
          <w:color w:val="auto"/>
          <w:sz w:val="24"/>
          <w:highlight w:val="none"/>
          <w:lang w:eastAsia="zh-CN"/>
        </w:rPr>
        <w:t>：</w:t>
      </w:r>
    </w:p>
    <w:p w14:paraId="058E39C2">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 xml:space="preserve">，属于 </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 xml:space="preserve"> ；承接企业为 </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 xml:space="preserve"> ，从业人员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 xml:space="preserve"> （中型企业、小型企业、微型企业） </w:t>
      </w:r>
      <w:r>
        <w:rPr>
          <w:rFonts w:hint="eastAsia" w:ascii="宋体" w:hAnsi="宋体" w:eastAsia="宋体" w:cs="宋体"/>
          <w:color w:val="auto"/>
          <w:sz w:val="24"/>
          <w:highlight w:val="none"/>
        </w:rPr>
        <w:t>；</w:t>
      </w:r>
    </w:p>
    <w:p w14:paraId="146A25EA">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 xml:space="preserve">，属于 </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 xml:space="preserve"> ；承接企业为 </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 xml:space="preserve"> ，从业人员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 xml:space="preserve"> （中型企业、小型企业、微型企业） </w:t>
      </w:r>
      <w:r>
        <w:rPr>
          <w:rFonts w:hint="eastAsia" w:ascii="宋体" w:hAnsi="宋体" w:eastAsia="宋体" w:cs="宋体"/>
          <w:color w:val="auto"/>
          <w:sz w:val="24"/>
          <w:highlight w:val="none"/>
        </w:rPr>
        <w:t>；</w:t>
      </w:r>
    </w:p>
    <w:p w14:paraId="09DC9B5B">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721CFBAE">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56C6AA79">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478F8C12">
      <w:pPr>
        <w:spacing w:line="360" w:lineRule="auto"/>
        <w:ind w:right="1760"/>
        <w:jc w:val="right"/>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lang w:val="zh-CN"/>
        </w:rPr>
        <w:t>磋商供应商名称(</w:t>
      </w:r>
      <w:r>
        <w:rPr>
          <w:rFonts w:hint="eastAsia" w:ascii="宋体" w:hAnsi="宋体" w:eastAsia="宋体" w:cs="宋体"/>
          <w:color w:val="auto"/>
          <w:kern w:val="0"/>
          <w:sz w:val="24"/>
          <w:highlight w:val="none"/>
          <w:lang w:val="en-US" w:eastAsia="zh-CN"/>
        </w:rPr>
        <w:t>电子</w:t>
      </w:r>
      <w:r>
        <w:rPr>
          <w:rFonts w:hint="eastAsia" w:ascii="宋体" w:hAnsi="宋体" w:eastAsia="宋体" w:cs="宋体"/>
          <w:color w:val="auto"/>
          <w:kern w:val="0"/>
          <w:sz w:val="24"/>
          <w:highlight w:val="none"/>
          <w:lang w:val="zh-CN"/>
        </w:rPr>
        <w:t>公章)</w:t>
      </w:r>
      <w:r>
        <w:rPr>
          <w:rFonts w:hint="eastAsia" w:ascii="宋体" w:hAnsi="宋体" w:eastAsia="宋体" w:cs="宋体"/>
          <w:color w:val="auto"/>
          <w:sz w:val="24"/>
          <w:highlight w:val="none"/>
          <w:lang w:eastAsia="zh-CN"/>
        </w:rPr>
        <w:t>：</w:t>
      </w:r>
    </w:p>
    <w:p w14:paraId="273FD310">
      <w:pPr>
        <w:spacing w:line="360" w:lineRule="auto"/>
        <w:ind w:right="1120" w:firstLine="4680" w:firstLineChars="195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lang w:eastAsia="zh-CN"/>
        </w:rPr>
        <w:t>：</w:t>
      </w:r>
    </w:p>
    <w:p w14:paraId="3395E7C0">
      <w:pPr>
        <w:spacing w:line="360" w:lineRule="auto"/>
        <w:ind w:right="42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   注</w:t>
      </w:r>
      <w:r>
        <w:rPr>
          <w:rFonts w:hint="eastAsia" w:ascii="宋体" w:hAnsi="宋体" w:eastAsia="宋体" w:cs="宋体"/>
          <w:color w:val="auto"/>
          <w:sz w:val="24"/>
          <w:highlight w:val="none"/>
          <w:lang w:eastAsia="zh-CN"/>
        </w:rPr>
        <w:t>：</w:t>
      </w:r>
    </w:p>
    <w:p w14:paraId="45B7B10A">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1、填写要求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①“标的名称”、“采购文件中明确的所属行业”依据磋商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11EE55A2">
      <w:pPr>
        <w:spacing w:line="360" w:lineRule="auto"/>
        <w:ind w:right="420"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2、符合《关于促进残疾人就业政府采购政策的通知》（财库〔2017〕141号）规定的条件并提供《残疾人福利性单位声明函》（附件3）的残疾人福利性单位视同小型、微型企业；根据《关于政府采购支持监狱企业发展有关问题的通知》（财库</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2014</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68号）的规定，供应商提供由省级以上监狱管理局、戒毒管理局（含新疆生产建设兵团）出具的属于监狱企业证明文件的，视同为小型和微型企业。</w:t>
      </w:r>
    </w:p>
    <w:p w14:paraId="4605FB3C">
      <w:pPr>
        <w:spacing w:line="360" w:lineRule="auto"/>
        <w:rPr>
          <w:rFonts w:hint="eastAsia" w:ascii="宋体" w:hAnsi="宋体" w:eastAsia="宋体" w:cs="宋体"/>
          <w:b/>
          <w:color w:val="auto"/>
          <w:sz w:val="24"/>
          <w:highlight w:val="none"/>
        </w:rPr>
      </w:pPr>
    </w:p>
    <w:p w14:paraId="7E8C6039">
      <w:pPr>
        <w:widowControl/>
        <w:spacing w:line="330" w:lineRule="atLeast"/>
        <w:jc w:val="center"/>
        <w:rPr>
          <w:rFonts w:hint="eastAsia" w:ascii="宋体" w:hAnsi="宋体" w:eastAsia="宋体" w:cs="宋体"/>
          <w:color w:val="auto"/>
          <w:kern w:val="0"/>
          <w:sz w:val="36"/>
          <w:szCs w:val="32"/>
          <w:highlight w:val="none"/>
        </w:rPr>
      </w:pPr>
    </w:p>
    <w:p w14:paraId="560019F9">
      <w:pPr>
        <w:widowControl/>
        <w:spacing w:line="330" w:lineRule="atLeast"/>
        <w:jc w:val="center"/>
        <w:rPr>
          <w:rFonts w:hint="eastAsia" w:ascii="宋体" w:hAnsi="宋体" w:eastAsia="宋体" w:cs="宋体"/>
          <w:color w:val="auto"/>
          <w:kern w:val="0"/>
          <w:sz w:val="36"/>
          <w:szCs w:val="32"/>
          <w:highlight w:val="none"/>
        </w:rPr>
      </w:pPr>
    </w:p>
    <w:p w14:paraId="299B26DE">
      <w:pPr>
        <w:widowControl/>
        <w:spacing w:line="330" w:lineRule="atLeast"/>
        <w:jc w:val="center"/>
        <w:rPr>
          <w:rFonts w:hint="eastAsia" w:ascii="宋体" w:hAnsi="宋体" w:eastAsia="宋体" w:cs="宋体"/>
          <w:color w:val="auto"/>
          <w:kern w:val="0"/>
          <w:sz w:val="36"/>
          <w:szCs w:val="32"/>
          <w:highlight w:val="none"/>
        </w:rPr>
      </w:pPr>
    </w:p>
    <w:p w14:paraId="6FB25758">
      <w:pPr>
        <w:widowControl/>
        <w:spacing w:line="330" w:lineRule="atLeast"/>
        <w:jc w:val="center"/>
        <w:rPr>
          <w:rFonts w:hint="eastAsia" w:ascii="宋体" w:hAnsi="宋体" w:eastAsia="宋体" w:cs="宋体"/>
          <w:color w:val="auto"/>
          <w:kern w:val="0"/>
          <w:sz w:val="36"/>
          <w:szCs w:val="32"/>
          <w:highlight w:val="none"/>
        </w:rPr>
      </w:pPr>
    </w:p>
    <w:p w14:paraId="0B1E0D39">
      <w:pPr>
        <w:widowControl/>
        <w:spacing w:line="330" w:lineRule="atLeast"/>
        <w:jc w:val="center"/>
        <w:rPr>
          <w:rFonts w:hint="eastAsia" w:ascii="宋体" w:hAnsi="宋体" w:eastAsia="宋体" w:cs="宋体"/>
          <w:color w:val="auto"/>
          <w:kern w:val="0"/>
          <w:sz w:val="36"/>
          <w:szCs w:val="32"/>
          <w:highlight w:val="none"/>
        </w:rPr>
      </w:pPr>
    </w:p>
    <w:p w14:paraId="6D06848E">
      <w:pPr>
        <w:widowControl/>
        <w:spacing w:line="330" w:lineRule="atLeast"/>
        <w:jc w:val="center"/>
        <w:rPr>
          <w:rFonts w:hint="eastAsia" w:ascii="宋体" w:hAnsi="宋体" w:eastAsia="宋体" w:cs="宋体"/>
          <w:color w:val="auto"/>
          <w:kern w:val="0"/>
          <w:sz w:val="36"/>
          <w:szCs w:val="32"/>
          <w:highlight w:val="none"/>
        </w:rPr>
      </w:pPr>
    </w:p>
    <w:p w14:paraId="1577E2B0">
      <w:pPr>
        <w:widowControl/>
        <w:spacing w:line="330" w:lineRule="atLeast"/>
        <w:jc w:val="center"/>
        <w:rPr>
          <w:rFonts w:hint="eastAsia" w:ascii="宋体" w:hAnsi="宋体" w:eastAsia="宋体" w:cs="宋体"/>
          <w:color w:val="auto"/>
          <w:kern w:val="0"/>
          <w:sz w:val="36"/>
          <w:szCs w:val="32"/>
          <w:highlight w:val="none"/>
        </w:rPr>
      </w:pPr>
    </w:p>
    <w:p w14:paraId="53A61EE6">
      <w:pPr>
        <w:widowControl/>
        <w:spacing w:line="330" w:lineRule="atLeast"/>
        <w:jc w:val="center"/>
        <w:rPr>
          <w:rFonts w:hint="eastAsia" w:ascii="宋体" w:hAnsi="宋体" w:eastAsia="宋体" w:cs="宋体"/>
          <w:color w:val="auto"/>
          <w:kern w:val="0"/>
          <w:sz w:val="36"/>
          <w:szCs w:val="32"/>
          <w:highlight w:val="none"/>
        </w:rPr>
      </w:pPr>
    </w:p>
    <w:p w14:paraId="1285C908">
      <w:pPr>
        <w:widowControl/>
        <w:spacing w:line="330" w:lineRule="atLeast"/>
        <w:jc w:val="center"/>
        <w:rPr>
          <w:rFonts w:hint="eastAsia" w:ascii="宋体" w:hAnsi="宋体" w:eastAsia="宋体" w:cs="宋体"/>
          <w:color w:val="auto"/>
          <w:kern w:val="0"/>
          <w:sz w:val="36"/>
          <w:szCs w:val="32"/>
          <w:highlight w:val="none"/>
        </w:rPr>
      </w:pPr>
    </w:p>
    <w:p w14:paraId="61728531">
      <w:pPr>
        <w:widowControl/>
        <w:spacing w:line="330" w:lineRule="atLeast"/>
        <w:jc w:val="center"/>
        <w:rPr>
          <w:rFonts w:hint="eastAsia" w:ascii="宋体" w:hAnsi="宋体" w:eastAsia="宋体" w:cs="宋体"/>
          <w:color w:val="auto"/>
          <w:kern w:val="0"/>
          <w:sz w:val="36"/>
          <w:szCs w:val="32"/>
          <w:highlight w:val="none"/>
        </w:rPr>
      </w:pPr>
    </w:p>
    <w:p w14:paraId="1BE162F0">
      <w:pPr>
        <w:widowControl/>
        <w:spacing w:line="330" w:lineRule="atLeast"/>
        <w:jc w:val="center"/>
        <w:rPr>
          <w:rFonts w:hint="eastAsia" w:ascii="宋体" w:hAnsi="宋体" w:eastAsia="宋体" w:cs="宋体"/>
          <w:color w:val="auto"/>
          <w:kern w:val="0"/>
          <w:sz w:val="36"/>
          <w:szCs w:val="32"/>
          <w:highlight w:val="none"/>
        </w:rPr>
      </w:pPr>
    </w:p>
    <w:p w14:paraId="18F99950">
      <w:pPr>
        <w:widowControl/>
        <w:spacing w:line="330" w:lineRule="atLeast"/>
        <w:jc w:val="center"/>
        <w:rPr>
          <w:rFonts w:hint="eastAsia" w:ascii="宋体" w:hAnsi="宋体" w:eastAsia="宋体" w:cs="宋体"/>
          <w:color w:val="auto"/>
          <w:kern w:val="0"/>
          <w:sz w:val="36"/>
          <w:szCs w:val="32"/>
          <w:highlight w:val="none"/>
        </w:rPr>
      </w:pPr>
    </w:p>
    <w:p w14:paraId="1A598E44">
      <w:pPr>
        <w:widowControl/>
        <w:spacing w:line="330" w:lineRule="atLeast"/>
        <w:jc w:val="center"/>
        <w:rPr>
          <w:rFonts w:hint="eastAsia" w:ascii="宋体" w:hAnsi="宋体" w:eastAsia="宋体" w:cs="宋体"/>
          <w:color w:val="auto"/>
          <w:kern w:val="0"/>
          <w:sz w:val="36"/>
          <w:szCs w:val="32"/>
          <w:highlight w:val="none"/>
        </w:rPr>
      </w:pPr>
    </w:p>
    <w:p w14:paraId="248387C5">
      <w:pPr>
        <w:widowControl/>
        <w:spacing w:line="330" w:lineRule="atLeast"/>
        <w:jc w:val="center"/>
        <w:rPr>
          <w:rFonts w:hint="eastAsia" w:ascii="宋体" w:hAnsi="宋体" w:eastAsia="宋体" w:cs="宋体"/>
          <w:color w:val="auto"/>
          <w:kern w:val="0"/>
          <w:sz w:val="36"/>
          <w:szCs w:val="32"/>
          <w:highlight w:val="none"/>
        </w:rPr>
      </w:pPr>
    </w:p>
    <w:p w14:paraId="17B4EE10">
      <w:pPr>
        <w:widowControl/>
        <w:spacing w:line="330" w:lineRule="atLeast"/>
        <w:jc w:val="center"/>
        <w:rPr>
          <w:rFonts w:hint="eastAsia" w:ascii="宋体" w:hAnsi="宋体" w:eastAsia="宋体" w:cs="宋体"/>
          <w:color w:val="auto"/>
          <w:kern w:val="0"/>
          <w:sz w:val="36"/>
          <w:szCs w:val="32"/>
          <w:highlight w:val="none"/>
        </w:rPr>
      </w:pPr>
    </w:p>
    <w:p w14:paraId="6C0C4D3A">
      <w:pPr>
        <w:widowControl/>
        <w:spacing w:line="330" w:lineRule="atLeast"/>
        <w:jc w:val="center"/>
        <w:rPr>
          <w:rFonts w:hint="eastAsia" w:ascii="宋体" w:hAnsi="宋体" w:eastAsia="宋体" w:cs="宋体"/>
          <w:color w:val="auto"/>
          <w:kern w:val="0"/>
          <w:sz w:val="36"/>
          <w:szCs w:val="32"/>
          <w:highlight w:val="none"/>
        </w:rPr>
      </w:pPr>
    </w:p>
    <w:p w14:paraId="4403E08B">
      <w:pPr>
        <w:widowControl/>
        <w:spacing w:line="330" w:lineRule="atLeast"/>
        <w:jc w:val="center"/>
        <w:rPr>
          <w:rFonts w:hint="eastAsia" w:ascii="宋体" w:hAnsi="宋体" w:eastAsia="宋体" w:cs="宋体"/>
          <w:color w:val="auto"/>
          <w:kern w:val="0"/>
          <w:sz w:val="36"/>
          <w:szCs w:val="32"/>
          <w:highlight w:val="none"/>
        </w:rPr>
      </w:pPr>
    </w:p>
    <w:p w14:paraId="6AE51661">
      <w:pPr>
        <w:widowControl/>
        <w:spacing w:line="330" w:lineRule="atLeast"/>
        <w:jc w:val="center"/>
        <w:rPr>
          <w:rFonts w:hint="eastAsia" w:ascii="宋体" w:hAnsi="宋体" w:eastAsia="宋体" w:cs="宋体"/>
          <w:color w:val="auto"/>
          <w:kern w:val="0"/>
          <w:sz w:val="36"/>
          <w:szCs w:val="32"/>
          <w:highlight w:val="none"/>
        </w:rPr>
      </w:pPr>
    </w:p>
    <w:p w14:paraId="58A23E1A">
      <w:pPr>
        <w:widowControl/>
        <w:spacing w:line="330" w:lineRule="atLeast"/>
        <w:jc w:val="center"/>
        <w:rPr>
          <w:rFonts w:hint="eastAsia" w:ascii="宋体" w:hAnsi="宋体" w:eastAsia="宋体" w:cs="宋体"/>
          <w:color w:val="auto"/>
          <w:kern w:val="0"/>
          <w:sz w:val="36"/>
          <w:szCs w:val="32"/>
          <w:highlight w:val="none"/>
        </w:rPr>
      </w:pPr>
    </w:p>
    <w:p w14:paraId="2DB6ED7D">
      <w:pPr>
        <w:widowControl/>
        <w:spacing w:line="330" w:lineRule="atLeast"/>
        <w:jc w:val="center"/>
        <w:rPr>
          <w:rFonts w:hint="eastAsia" w:ascii="宋体" w:hAnsi="宋体" w:eastAsia="宋体" w:cs="宋体"/>
          <w:color w:val="auto"/>
          <w:kern w:val="0"/>
          <w:sz w:val="36"/>
          <w:szCs w:val="32"/>
          <w:highlight w:val="none"/>
        </w:rPr>
      </w:pPr>
    </w:p>
    <w:p w14:paraId="20EB1C1F">
      <w:pPr>
        <w:widowControl/>
        <w:spacing w:line="330" w:lineRule="atLeast"/>
        <w:jc w:val="center"/>
        <w:rPr>
          <w:rFonts w:hint="eastAsia" w:ascii="宋体" w:hAnsi="宋体" w:eastAsia="宋体" w:cs="宋体"/>
          <w:color w:val="auto"/>
          <w:kern w:val="0"/>
          <w:sz w:val="36"/>
          <w:szCs w:val="32"/>
          <w:highlight w:val="none"/>
        </w:rPr>
      </w:pPr>
    </w:p>
    <w:p w14:paraId="15DC22EE">
      <w:pPr>
        <w:rPr>
          <w:rFonts w:hint="eastAsia" w:ascii="宋体" w:hAnsi="宋体" w:eastAsia="宋体" w:cs="宋体"/>
          <w:color w:val="auto"/>
          <w:kern w:val="0"/>
          <w:sz w:val="36"/>
          <w:szCs w:val="32"/>
          <w:highlight w:val="none"/>
        </w:rPr>
      </w:pPr>
      <w:r>
        <w:rPr>
          <w:rFonts w:hint="eastAsia" w:ascii="宋体" w:hAnsi="宋体" w:eastAsia="宋体" w:cs="宋体"/>
          <w:color w:val="auto"/>
          <w:kern w:val="0"/>
          <w:sz w:val="36"/>
          <w:szCs w:val="32"/>
          <w:highlight w:val="none"/>
        </w:rPr>
        <w:br w:type="page"/>
      </w:r>
    </w:p>
    <w:p w14:paraId="61CB0820">
      <w:pPr>
        <w:widowControl/>
        <w:spacing w:line="330" w:lineRule="atLeast"/>
        <w:jc w:val="center"/>
        <w:rPr>
          <w:rFonts w:hint="eastAsia" w:ascii="宋体" w:hAnsi="宋体" w:eastAsia="宋体" w:cs="宋体"/>
          <w:color w:val="auto"/>
          <w:kern w:val="0"/>
          <w:sz w:val="36"/>
          <w:szCs w:val="32"/>
          <w:highlight w:val="none"/>
        </w:rPr>
      </w:pPr>
      <w:r>
        <w:rPr>
          <w:rFonts w:hint="eastAsia" w:ascii="宋体" w:hAnsi="宋体" w:eastAsia="宋体" w:cs="宋体"/>
          <w:color w:val="auto"/>
          <w:kern w:val="0"/>
          <w:sz w:val="36"/>
          <w:szCs w:val="32"/>
          <w:highlight w:val="none"/>
        </w:rPr>
        <w:t>统计上大中小微型企业划分标准</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4A96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vAlign w:val="center"/>
          </w:tcPr>
          <w:p w14:paraId="51E12A4B">
            <w:pPr>
              <w:widowControl/>
              <w:spacing w:line="240" w:lineRule="exact"/>
              <w:jc w:val="center"/>
              <w:rPr>
                <w:rFonts w:hint="eastAsia"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1369" w:type="dxa"/>
            <w:vAlign w:val="center"/>
          </w:tcPr>
          <w:p w14:paraId="2785A3C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709" w:type="dxa"/>
            <w:vAlign w:val="center"/>
          </w:tcPr>
          <w:p w14:paraId="648DA63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计量</w:t>
            </w:r>
          </w:p>
          <w:p w14:paraId="3A5F20D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1125" w:type="dxa"/>
            <w:vAlign w:val="center"/>
          </w:tcPr>
          <w:p w14:paraId="20581ED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701" w:type="dxa"/>
            <w:vAlign w:val="center"/>
          </w:tcPr>
          <w:p w14:paraId="21C4C7C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426" w:type="dxa"/>
            <w:vAlign w:val="center"/>
          </w:tcPr>
          <w:p w14:paraId="3CECE13F">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vAlign w:val="center"/>
          </w:tcPr>
          <w:p w14:paraId="62A654B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14:paraId="32ABC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55332A3E">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369" w:type="dxa"/>
            <w:vAlign w:val="center"/>
          </w:tcPr>
          <w:p w14:paraId="440EFEC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4F20610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6880D70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vAlign w:val="center"/>
          </w:tcPr>
          <w:p w14:paraId="7582467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500≤Y＜20000</w:t>
            </w:r>
          </w:p>
        </w:tc>
        <w:tc>
          <w:tcPr>
            <w:tcW w:w="1426" w:type="dxa"/>
            <w:vAlign w:val="center"/>
          </w:tcPr>
          <w:p w14:paraId="28BBAF8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50≤Y＜500</w:t>
            </w:r>
          </w:p>
        </w:tc>
        <w:tc>
          <w:tcPr>
            <w:tcW w:w="992" w:type="dxa"/>
            <w:vAlign w:val="center"/>
          </w:tcPr>
          <w:p w14:paraId="1E696C7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295D2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5C8748D">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 *</w:t>
            </w:r>
          </w:p>
        </w:tc>
        <w:tc>
          <w:tcPr>
            <w:tcW w:w="1369" w:type="dxa"/>
            <w:vAlign w:val="center"/>
          </w:tcPr>
          <w:p w14:paraId="500CFE5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13D1D08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6756C5F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vAlign w:val="center"/>
          </w:tcPr>
          <w:p w14:paraId="4046015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vAlign w:val="center"/>
          </w:tcPr>
          <w:p w14:paraId="081A8DD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20≤X＜300</w:t>
            </w:r>
          </w:p>
        </w:tc>
        <w:tc>
          <w:tcPr>
            <w:tcW w:w="992" w:type="dxa"/>
            <w:vAlign w:val="center"/>
          </w:tcPr>
          <w:p w14:paraId="5370B52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646AD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D943882">
            <w:pPr>
              <w:widowControl/>
              <w:jc w:val="left"/>
              <w:rPr>
                <w:rFonts w:hint="eastAsia" w:ascii="宋体" w:hAnsi="宋体" w:eastAsia="宋体" w:cs="宋体"/>
                <w:color w:val="auto"/>
                <w:kern w:val="0"/>
                <w:sz w:val="18"/>
                <w:szCs w:val="18"/>
                <w:highlight w:val="none"/>
              </w:rPr>
            </w:pPr>
          </w:p>
        </w:tc>
        <w:tc>
          <w:tcPr>
            <w:tcW w:w="1369" w:type="dxa"/>
            <w:vAlign w:val="center"/>
          </w:tcPr>
          <w:p w14:paraId="14FAC683">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3EBB079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3424018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vAlign w:val="center"/>
          </w:tcPr>
          <w:p w14:paraId="442F9A6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26" w:type="dxa"/>
            <w:vAlign w:val="center"/>
          </w:tcPr>
          <w:p w14:paraId="6FFA7E2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300≤Y＜2000</w:t>
            </w:r>
          </w:p>
        </w:tc>
        <w:tc>
          <w:tcPr>
            <w:tcW w:w="992" w:type="dxa"/>
            <w:vAlign w:val="center"/>
          </w:tcPr>
          <w:p w14:paraId="5110C00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0C3A8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4017462">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369" w:type="dxa"/>
            <w:vAlign w:val="center"/>
          </w:tcPr>
          <w:p w14:paraId="252E565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459EB31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1A955C4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701" w:type="dxa"/>
            <w:vAlign w:val="center"/>
          </w:tcPr>
          <w:p w14:paraId="56F521D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26" w:type="dxa"/>
            <w:vAlign w:val="center"/>
          </w:tcPr>
          <w:p w14:paraId="2213678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300≤Y＜6000</w:t>
            </w:r>
          </w:p>
        </w:tc>
        <w:tc>
          <w:tcPr>
            <w:tcW w:w="992" w:type="dxa"/>
            <w:vAlign w:val="center"/>
          </w:tcPr>
          <w:p w14:paraId="528838E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63A75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B3B0EDA">
            <w:pPr>
              <w:widowControl/>
              <w:jc w:val="left"/>
              <w:rPr>
                <w:rFonts w:hint="eastAsia" w:ascii="宋体" w:hAnsi="宋体" w:eastAsia="宋体" w:cs="宋体"/>
                <w:color w:val="auto"/>
                <w:kern w:val="0"/>
                <w:sz w:val="18"/>
                <w:szCs w:val="18"/>
                <w:highlight w:val="none"/>
              </w:rPr>
            </w:pPr>
          </w:p>
        </w:tc>
        <w:tc>
          <w:tcPr>
            <w:tcW w:w="1369" w:type="dxa"/>
            <w:vAlign w:val="center"/>
          </w:tcPr>
          <w:p w14:paraId="5FDCC04B">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vAlign w:val="center"/>
          </w:tcPr>
          <w:p w14:paraId="5F71447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4603BE2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701" w:type="dxa"/>
            <w:vAlign w:val="center"/>
          </w:tcPr>
          <w:p w14:paraId="34C9C11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26" w:type="dxa"/>
            <w:vAlign w:val="center"/>
          </w:tcPr>
          <w:p w14:paraId="50CD363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300≤Z＜5000</w:t>
            </w:r>
          </w:p>
        </w:tc>
        <w:tc>
          <w:tcPr>
            <w:tcW w:w="992" w:type="dxa"/>
            <w:vAlign w:val="center"/>
          </w:tcPr>
          <w:p w14:paraId="09C3977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5B243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B8578F3">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369" w:type="dxa"/>
            <w:vAlign w:val="center"/>
          </w:tcPr>
          <w:p w14:paraId="508204B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50A7BBA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0D25272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vAlign w:val="center"/>
          </w:tcPr>
          <w:p w14:paraId="1DBF5A8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426" w:type="dxa"/>
            <w:vAlign w:val="center"/>
          </w:tcPr>
          <w:p w14:paraId="5D7EB57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5≤X＜20</w:t>
            </w:r>
          </w:p>
        </w:tc>
        <w:tc>
          <w:tcPr>
            <w:tcW w:w="992" w:type="dxa"/>
            <w:vAlign w:val="center"/>
          </w:tcPr>
          <w:p w14:paraId="0610DAB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3895F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AB616AE">
            <w:pPr>
              <w:widowControl/>
              <w:jc w:val="left"/>
              <w:rPr>
                <w:rFonts w:hint="eastAsia" w:ascii="宋体" w:hAnsi="宋体" w:eastAsia="宋体" w:cs="宋体"/>
                <w:color w:val="auto"/>
                <w:kern w:val="0"/>
                <w:sz w:val="18"/>
                <w:szCs w:val="18"/>
                <w:highlight w:val="none"/>
              </w:rPr>
            </w:pPr>
          </w:p>
        </w:tc>
        <w:tc>
          <w:tcPr>
            <w:tcW w:w="1369" w:type="dxa"/>
            <w:vAlign w:val="center"/>
          </w:tcPr>
          <w:p w14:paraId="129A5B2D">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14E1507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65F28A1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vAlign w:val="center"/>
          </w:tcPr>
          <w:p w14:paraId="73C51C3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26" w:type="dxa"/>
            <w:vAlign w:val="center"/>
          </w:tcPr>
          <w:p w14:paraId="20B6677F">
            <w:pPr>
              <w:widowControl/>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92" w:type="dxa"/>
            <w:vAlign w:val="center"/>
          </w:tcPr>
          <w:p w14:paraId="7D598B0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56028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AA8981F">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369" w:type="dxa"/>
            <w:vAlign w:val="center"/>
          </w:tcPr>
          <w:p w14:paraId="3C3EF71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1CA9E3E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2EAAEF9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vAlign w:val="center"/>
          </w:tcPr>
          <w:p w14:paraId="02DCD3B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426" w:type="dxa"/>
            <w:vAlign w:val="center"/>
          </w:tcPr>
          <w:p w14:paraId="328A04A1">
            <w:pPr>
              <w:widowControl/>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10≤X＜50 </w:t>
            </w:r>
          </w:p>
        </w:tc>
        <w:tc>
          <w:tcPr>
            <w:tcW w:w="992" w:type="dxa"/>
            <w:vAlign w:val="center"/>
          </w:tcPr>
          <w:p w14:paraId="103C6F8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950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54D0096">
            <w:pPr>
              <w:widowControl/>
              <w:jc w:val="left"/>
              <w:rPr>
                <w:rFonts w:hint="eastAsia" w:ascii="宋体" w:hAnsi="宋体" w:eastAsia="宋体" w:cs="宋体"/>
                <w:color w:val="auto"/>
                <w:kern w:val="0"/>
                <w:sz w:val="18"/>
                <w:szCs w:val="18"/>
                <w:highlight w:val="none"/>
              </w:rPr>
            </w:pPr>
          </w:p>
        </w:tc>
        <w:tc>
          <w:tcPr>
            <w:tcW w:w="1369" w:type="dxa"/>
            <w:vAlign w:val="center"/>
          </w:tcPr>
          <w:p w14:paraId="671EC9E3">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2C5BDFD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4114081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vAlign w:val="center"/>
          </w:tcPr>
          <w:p w14:paraId="71213E2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500≤Y＜20000</w:t>
            </w:r>
          </w:p>
        </w:tc>
        <w:tc>
          <w:tcPr>
            <w:tcW w:w="1426" w:type="dxa"/>
            <w:vAlign w:val="center"/>
          </w:tcPr>
          <w:p w14:paraId="1AC2B9E7">
            <w:pPr>
              <w:widowControl/>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100≤Y＜500 </w:t>
            </w:r>
          </w:p>
        </w:tc>
        <w:tc>
          <w:tcPr>
            <w:tcW w:w="992" w:type="dxa"/>
            <w:vAlign w:val="center"/>
          </w:tcPr>
          <w:p w14:paraId="4718D6C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93A0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5D9B10F">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 *</w:t>
            </w:r>
          </w:p>
        </w:tc>
        <w:tc>
          <w:tcPr>
            <w:tcW w:w="1369" w:type="dxa"/>
            <w:vAlign w:val="center"/>
          </w:tcPr>
          <w:p w14:paraId="0A45D3D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2F6D51F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745C85E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vAlign w:val="center"/>
          </w:tcPr>
          <w:p w14:paraId="0E0D718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vAlign w:val="center"/>
          </w:tcPr>
          <w:p w14:paraId="7588B26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20≤X＜300</w:t>
            </w:r>
          </w:p>
        </w:tc>
        <w:tc>
          <w:tcPr>
            <w:tcW w:w="992" w:type="dxa"/>
            <w:vAlign w:val="center"/>
          </w:tcPr>
          <w:p w14:paraId="5696DF0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524F5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198414F">
            <w:pPr>
              <w:widowControl/>
              <w:jc w:val="left"/>
              <w:rPr>
                <w:rFonts w:hint="eastAsia" w:ascii="宋体" w:hAnsi="宋体" w:eastAsia="宋体" w:cs="宋体"/>
                <w:color w:val="auto"/>
                <w:kern w:val="0"/>
                <w:sz w:val="18"/>
                <w:szCs w:val="18"/>
                <w:highlight w:val="none"/>
              </w:rPr>
            </w:pPr>
          </w:p>
        </w:tc>
        <w:tc>
          <w:tcPr>
            <w:tcW w:w="1369" w:type="dxa"/>
            <w:vAlign w:val="center"/>
          </w:tcPr>
          <w:p w14:paraId="610524EA">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28FCBC3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3A99629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vAlign w:val="center"/>
          </w:tcPr>
          <w:p w14:paraId="0B87CCE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26" w:type="dxa"/>
            <w:vAlign w:val="center"/>
          </w:tcPr>
          <w:p w14:paraId="33EFD5A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200≤Y＜3000</w:t>
            </w:r>
          </w:p>
        </w:tc>
        <w:tc>
          <w:tcPr>
            <w:tcW w:w="992" w:type="dxa"/>
            <w:vAlign w:val="center"/>
          </w:tcPr>
          <w:p w14:paraId="3943ADB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63BED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2079AA5">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369" w:type="dxa"/>
            <w:vAlign w:val="center"/>
          </w:tcPr>
          <w:p w14:paraId="289BE6C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4E9C471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79B9007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vAlign w:val="center"/>
          </w:tcPr>
          <w:p w14:paraId="3373CFFB">
            <w:pPr>
              <w:widowControl/>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426" w:type="dxa"/>
            <w:vAlign w:val="center"/>
          </w:tcPr>
          <w:p w14:paraId="1BC39C5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20≤X＜100</w:t>
            </w:r>
          </w:p>
        </w:tc>
        <w:tc>
          <w:tcPr>
            <w:tcW w:w="992" w:type="dxa"/>
            <w:vAlign w:val="center"/>
          </w:tcPr>
          <w:p w14:paraId="67B0FCB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3D21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76B6DE8">
            <w:pPr>
              <w:widowControl/>
              <w:jc w:val="left"/>
              <w:rPr>
                <w:rFonts w:hint="eastAsia" w:ascii="宋体" w:hAnsi="宋体" w:eastAsia="宋体" w:cs="宋体"/>
                <w:color w:val="auto"/>
                <w:kern w:val="0"/>
                <w:sz w:val="18"/>
                <w:szCs w:val="18"/>
                <w:highlight w:val="none"/>
              </w:rPr>
            </w:pPr>
          </w:p>
        </w:tc>
        <w:tc>
          <w:tcPr>
            <w:tcW w:w="1369" w:type="dxa"/>
            <w:vAlign w:val="center"/>
          </w:tcPr>
          <w:p w14:paraId="3E4C3C1D">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31140CF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3F0B9D0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vAlign w:val="center"/>
          </w:tcPr>
          <w:p w14:paraId="10B68DA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26" w:type="dxa"/>
            <w:vAlign w:val="center"/>
          </w:tcPr>
          <w:p w14:paraId="0A8076D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100≤Y＜1000</w:t>
            </w:r>
          </w:p>
        </w:tc>
        <w:tc>
          <w:tcPr>
            <w:tcW w:w="992" w:type="dxa"/>
            <w:vAlign w:val="center"/>
          </w:tcPr>
          <w:p w14:paraId="5429A33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A874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8C658E9">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369" w:type="dxa"/>
            <w:vAlign w:val="center"/>
          </w:tcPr>
          <w:p w14:paraId="53EF81E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277D46D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4A1DC6C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vAlign w:val="center"/>
          </w:tcPr>
          <w:p w14:paraId="5B6A8B1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vAlign w:val="center"/>
          </w:tcPr>
          <w:p w14:paraId="44A5B8F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20≤X＜300</w:t>
            </w:r>
          </w:p>
        </w:tc>
        <w:tc>
          <w:tcPr>
            <w:tcW w:w="992" w:type="dxa"/>
            <w:vAlign w:val="center"/>
          </w:tcPr>
          <w:p w14:paraId="23E56DF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77D6F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AF50F6E">
            <w:pPr>
              <w:widowControl/>
              <w:jc w:val="left"/>
              <w:rPr>
                <w:rFonts w:hint="eastAsia" w:ascii="宋体" w:hAnsi="宋体" w:eastAsia="宋体" w:cs="宋体"/>
                <w:color w:val="auto"/>
                <w:kern w:val="0"/>
                <w:sz w:val="18"/>
                <w:szCs w:val="18"/>
                <w:highlight w:val="none"/>
              </w:rPr>
            </w:pPr>
          </w:p>
        </w:tc>
        <w:tc>
          <w:tcPr>
            <w:tcW w:w="1369" w:type="dxa"/>
            <w:vAlign w:val="center"/>
          </w:tcPr>
          <w:p w14:paraId="20DBE882">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0E76343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66641DC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vAlign w:val="center"/>
          </w:tcPr>
          <w:p w14:paraId="7CAEB76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26" w:type="dxa"/>
            <w:vAlign w:val="center"/>
          </w:tcPr>
          <w:p w14:paraId="1E44B10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100≤Y＜2000</w:t>
            </w:r>
          </w:p>
        </w:tc>
        <w:tc>
          <w:tcPr>
            <w:tcW w:w="992" w:type="dxa"/>
            <w:vAlign w:val="center"/>
          </w:tcPr>
          <w:p w14:paraId="17D71ED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EE70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2053E5D">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369" w:type="dxa"/>
            <w:vAlign w:val="center"/>
          </w:tcPr>
          <w:p w14:paraId="1502FA6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0015356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3F0367E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vAlign w:val="center"/>
          </w:tcPr>
          <w:p w14:paraId="341A0A45">
            <w:pPr>
              <w:widowControl/>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vAlign w:val="center"/>
          </w:tcPr>
          <w:p w14:paraId="040AC24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10≤X＜100</w:t>
            </w:r>
          </w:p>
        </w:tc>
        <w:tc>
          <w:tcPr>
            <w:tcW w:w="992" w:type="dxa"/>
            <w:vAlign w:val="center"/>
          </w:tcPr>
          <w:p w14:paraId="20A83F9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BF9C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3A74CEB">
            <w:pPr>
              <w:widowControl/>
              <w:jc w:val="left"/>
              <w:rPr>
                <w:rFonts w:hint="eastAsia" w:ascii="宋体" w:hAnsi="宋体" w:eastAsia="宋体" w:cs="宋体"/>
                <w:color w:val="auto"/>
                <w:kern w:val="0"/>
                <w:sz w:val="18"/>
                <w:szCs w:val="18"/>
                <w:highlight w:val="none"/>
              </w:rPr>
            </w:pPr>
          </w:p>
        </w:tc>
        <w:tc>
          <w:tcPr>
            <w:tcW w:w="1369" w:type="dxa"/>
            <w:vAlign w:val="center"/>
          </w:tcPr>
          <w:p w14:paraId="3B035F40">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57BD45A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30DE63B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vAlign w:val="center"/>
          </w:tcPr>
          <w:p w14:paraId="3BB3C46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vAlign w:val="center"/>
          </w:tcPr>
          <w:p w14:paraId="19E3D81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100≤Y＜2000</w:t>
            </w:r>
          </w:p>
        </w:tc>
        <w:tc>
          <w:tcPr>
            <w:tcW w:w="992" w:type="dxa"/>
            <w:vAlign w:val="center"/>
          </w:tcPr>
          <w:p w14:paraId="075D243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4259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4DC2C1D">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369" w:type="dxa"/>
            <w:vAlign w:val="center"/>
          </w:tcPr>
          <w:p w14:paraId="3AC4CDC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5E575DB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2D1E510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vAlign w:val="center"/>
          </w:tcPr>
          <w:p w14:paraId="20391048">
            <w:pPr>
              <w:widowControl/>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vAlign w:val="center"/>
          </w:tcPr>
          <w:p w14:paraId="23B55B5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10≤X＜100</w:t>
            </w:r>
          </w:p>
        </w:tc>
        <w:tc>
          <w:tcPr>
            <w:tcW w:w="992" w:type="dxa"/>
            <w:vAlign w:val="center"/>
          </w:tcPr>
          <w:p w14:paraId="680A586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87BB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17C3772">
            <w:pPr>
              <w:widowControl/>
              <w:jc w:val="left"/>
              <w:rPr>
                <w:rFonts w:hint="eastAsia" w:ascii="宋体" w:hAnsi="宋体" w:eastAsia="宋体" w:cs="宋体"/>
                <w:color w:val="auto"/>
                <w:kern w:val="0"/>
                <w:sz w:val="18"/>
                <w:szCs w:val="18"/>
                <w:highlight w:val="none"/>
              </w:rPr>
            </w:pPr>
          </w:p>
        </w:tc>
        <w:tc>
          <w:tcPr>
            <w:tcW w:w="1369" w:type="dxa"/>
            <w:vAlign w:val="center"/>
          </w:tcPr>
          <w:p w14:paraId="7E85AF9B">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2924447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6FD82A1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vAlign w:val="center"/>
          </w:tcPr>
          <w:p w14:paraId="5913BF9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vAlign w:val="center"/>
          </w:tcPr>
          <w:p w14:paraId="70088A1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100≤Y＜2000</w:t>
            </w:r>
          </w:p>
        </w:tc>
        <w:tc>
          <w:tcPr>
            <w:tcW w:w="992" w:type="dxa"/>
            <w:vAlign w:val="center"/>
          </w:tcPr>
          <w:p w14:paraId="5240C1D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CF58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7FDD350">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 *</w:t>
            </w:r>
          </w:p>
        </w:tc>
        <w:tc>
          <w:tcPr>
            <w:tcW w:w="1369" w:type="dxa"/>
            <w:vAlign w:val="center"/>
          </w:tcPr>
          <w:p w14:paraId="11F2726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4A160EF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1DFC701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X≥2000</w:t>
            </w:r>
          </w:p>
        </w:tc>
        <w:tc>
          <w:tcPr>
            <w:tcW w:w="1701" w:type="dxa"/>
            <w:vAlign w:val="center"/>
          </w:tcPr>
          <w:p w14:paraId="3CFE542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426" w:type="dxa"/>
            <w:vAlign w:val="center"/>
          </w:tcPr>
          <w:p w14:paraId="1107259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10≤X＜100</w:t>
            </w:r>
          </w:p>
        </w:tc>
        <w:tc>
          <w:tcPr>
            <w:tcW w:w="992" w:type="dxa"/>
            <w:vAlign w:val="center"/>
          </w:tcPr>
          <w:p w14:paraId="0D2ED44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6AD8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BEB9FC6">
            <w:pPr>
              <w:widowControl/>
              <w:jc w:val="left"/>
              <w:rPr>
                <w:rFonts w:hint="eastAsia" w:ascii="宋体" w:hAnsi="宋体" w:eastAsia="宋体" w:cs="宋体"/>
                <w:color w:val="auto"/>
                <w:kern w:val="0"/>
                <w:sz w:val="18"/>
                <w:szCs w:val="18"/>
                <w:highlight w:val="none"/>
              </w:rPr>
            </w:pPr>
          </w:p>
        </w:tc>
        <w:tc>
          <w:tcPr>
            <w:tcW w:w="1369" w:type="dxa"/>
            <w:vAlign w:val="center"/>
          </w:tcPr>
          <w:p w14:paraId="7FF2E324">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33C8874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1132679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701" w:type="dxa"/>
            <w:vAlign w:val="center"/>
          </w:tcPr>
          <w:p w14:paraId="135799D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1000≤Y＜100000</w:t>
            </w:r>
          </w:p>
        </w:tc>
        <w:tc>
          <w:tcPr>
            <w:tcW w:w="1426" w:type="dxa"/>
            <w:vAlign w:val="center"/>
          </w:tcPr>
          <w:p w14:paraId="3D6A209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100≤Y＜1000</w:t>
            </w:r>
          </w:p>
        </w:tc>
        <w:tc>
          <w:tcPr>
            <w:tcW w:w="992" w:type="dxa"/>
            <w:vAlign w:val="center"/>
          </w:tcPr>
          <w:p w14:paraId="43B2339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167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041D731B">
            <w:pPr>
              <w:widowControl/>
              <w:spacing w:line="240" w:lineRule="exact"/>
              <w:jc w:val="left"/>
              <w:rPr>
                <w:rFonts w:hint="eastAsia"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1369" w:type="dxa"/>
            <w:vAlign w:val="center"/>
          </w:tcPr>
          <w:p w14:paraId="59DD892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48A6555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7B7776E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vAlign w:val="center"/>
          </w:tcPr>
          <w:p w14:paraId="110CC5DB">
            <w:pPr>
              <w:widowControl/>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vAlign w:val="center"/>
          </w:tcPr>
          <w:p w14:paraId="731A534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10≤X＜100</w:t>
            </w:r>
          </w:p>
        </w:tc>
        <w:tc>
          <w:tcPr>
            <w:tcW w:w="992" w:type="dxa"/>
            <w:vAlign w:val="center"/>
          </w:tcPr>
          <w:p w14:paraId="6C2F57E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1E850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22DE8F2">
            <w:pPr>
              <w:widowControl/>
              <w:jc w:val="left"/>
              <w:rPr>
                <w:rFonts w:hint="eastAsia" w:ascii="宋体" w:hAnsi="宋体" w:eastAsia="宋体" w:cs="宋体"/>
                <w:color w:val="auto"/>
                <w:spacing w:val="-12"/>
                <w:kern w:val="0"/>
                <w:sz w:val="18"/>
                <w:szCs w:val="18"/>
                <w:highlight w:val="none"/>
              </w:rPr>
            </w:pPr>
          </w:p>
        </w:tc>
        <w:tc>
          <w:tcPr>
            <w:tcW w:w="1369" w:type="dxa"/>
            <w:vAlign w:val="center"/>
          </w:tcPr>
          <w:p w14:paraId="5C255E6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428DEDE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4B38DE1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vAlign w:val="center"/>
          </w:tcPr>
          <w:p w14:paraId="5FAA906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26" w:type="dxa"/>
            <w:vAlign w:val="center"/>
          </w:tcPr>
          <w:p w14:paraId="6C86F2F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50≤Y＜1000</w:t>
            </w:r>
          </w:p>
        </w:tc>
        <w:tc>
          <w:tcPr>
            <w:tcW w:w="992" w:type="dxa"/>
            <w:vAlign w:val="center"/>
          </w:tcPr>
          <w:p w14:paraId="0573ADD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673C0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56C2487B">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369" w:type="dxa"/>
            <w:vAlign w:val="center"/>
          </w:tcPr>
          <w:p w14:paraId="635B126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7FCE628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1033734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701" w:type="dxa"/>
            <w:vAlign w:val="center"/>
          </w:tcPr>
          <w:p w14:paraId="154D6BA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1000≤Y＜200000</w:t>
            </w:r>
          </w:p>
        </w:tc>
        <w:tc>
          <w:tcPr>
            <w:tcW w:w="1426" w:type="dxa"/>
            <w:vAlign w:val="center"/>
          </w:tcPr>
          <w:p w14:paraId="583F815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100≤Y＜1000</w:t>
            </w:r>
          </w:p>
        </w:tc>
        <w:tc>
          <w:tcPr>
            <w:tcW w:w="992" w:type="dxa"/>
            <w:vAlign w:val="center"/>
          </w:tcPr>
          <w:p w14:paraId="6680BD5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AD0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257923C8">
            <w:pPr>
              <w:widowControl/>
              <w:jc w:val="left"/>
              <w:rPr>
                <w:rFonts w:hint="eastAsia" w:ascii="宋体" w:hAnsi="宋体" w:eastAsia="宋体" w:cs="宋体"/>
                <w:color w:val="auto"/>
                <w:kern w:val="0"/>
                <w:sz w:val="18"/>
                <w:szCs w:val="18"/>
                <w:highlight w:val="none"/>
              </w:rPr>
            </w:pPr>
          </w:p>
        </w:tc>
        <w:tc>
          <w:tcPr>
            <w:tcW w:w="1369" w:type="dxa"/>
            <w:vAlign w:val="center"/>
          </w:tcPr>
          <w:p w14:paraId="33E9269C">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vAlign w:val="center"/>
          </w:tcPr>
          <w:p w14:paraId="65B7A66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5CD3716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701" w:type="dxa"/>
            <w:vAlign w:val="center"/>
          </w:tcPr>
          <w:p w14:paraId="2AFF786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26" w:type="dxa"/>
            <w:vAlign w:val="center"/>
          </w:tcPr>
          <w:p w14:paraId="4927143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2000≤Z＜5000   </w:t>
            </w:r>
          </w:p>
        </w:tc>
        <w:tc>
          <w:tcPr>
            <w:tcW w:w="992" w:type="dxa"/>
            <w:vAlign w:val="center"/>
          </w:tcPr>
          <w:p w14:paraId="4D4136A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Z＜2000</w:t>
            </w:r>
          </w:p>
        </w:tc>
      </w:tr>
      <w:tr w14:paraId="20C7F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716D1091">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369" w:type="dxa"/>
            <w:vAlign w:val="center"/>
          </w:tcPr>
          <w:p w14:paraId="1782E04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1FB4791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042EFEC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vAlign w:val="center"/>
          </w:tcPr>
          <w:p w14:paraId="02A406A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vAlign w:val="center"/>
          </w:tcPr>
          <w:p w14:paraId="0E2B6A8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992" w:type="dxa"/>
            <w:vAlign w:val="center"/>
          </w:tcPr>
          <w:p w14:paraId="2367613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2440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2F35F34">
            <w:pPr>
              <w:widowControl/>
              <w:jc w:val="left"/>
              <w:rPr>
                <w:rFonts w:hint="eastAsia" w:ascii="宋体" w:hAnsi="宋体" w:eastAsia="宋体" w:cs="宋体"/>
                <w:color w:val="auto"/>
                <w:kern w:val="0"/>
                <w:sz w:val="18"/>
                <w:szCs w:val="18"/>
                <w:highlight w:val="none"/>
              </w:rPr>
            </w:pPr>
          </w:p>
        </w:tc>
        <w:tc>
          <w:tcPr>
            <w:tcW w:w="1369" w:type="dxa"/>
            <w:vAlign w:val="center"/>
          </w:tcPr>
          <w:p w14:paraId="7E273C25">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471A648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389FF16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701" w:type="dxa"/>
            <w:vAlign w:val="center"/>
          </w:tcPr>
          <w:p w14:paraId="580C5EF5">
            <w:pPr>
              <w:widowControl/>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1000≤Y＜5000 </w:t>
            </w:r>
          </w:p>
        </w:tc>
        <w:tc>
          <w:tcPr>
            <w:tcW w:w="1426" w:type="dxa"/>
            <w:vAlign w:val="center"/>
          </w:tcPr>
          <w:p w14:paraId="1E5179A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500≤Y＜1000</w:t>
            </w:r>
          </w:p>
        </w:tc>
        <w:tc>
          <w:tcPr>
            <w:tcW w:w="992" w:type="dxa"/>
            <w:vAlign w:val="center"/>
          </w:tcPr>
          <w:p w14:paraId="7F29D7A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48284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25C4E2EA">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369" w:type="dxa"/>
            <w:vAlign w:val="center"/>
          </w:tcPr>
          <w:p w14:paraId="659653D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25FD7F8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00F46D2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vAlign w:val="center"/>
          </w:tcPr>
          <w:p w14:paraId="1DF636EB">
            <w:pPr>
              <w:widowControl/>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vAlign w:val="center"/>
          </w:tcPr>
          <w:p w14:paraId="132F0AE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10≤X＜100</w:t>
            </w:r>
          </w:p>
        </w:tc>
        <w:tc>
          <w:tcPr>
            <w:tcW w:w="992" w:type="dxa"/>
            <w:vAlign w:val="center"/>
          </w:tcPr>
          <w:p w14:paraId="2FF34B6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D0DD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77E45489">
            <w:pPr>
              <w:widowControl/>
              <w:jc w:val="left"/>
              <w:rPr>
                <w:rFonts w:hint="eastAsia" w:ascii="宋体" w:hAnsi="宋体" w:eastAsia="宋体" w:cs="宋体"/>
                <w:color w:val="auto"/>
                <w:kern w:val="0"/>
                <w:sz w:val="18"/>
                <w:szCs w:val="18"/>
                <w:highlight w:val="none"/>
              </w:rPr>
            </w:pPr>
          </w:p>
        </w:tc>
        <w:tc>
          <w:tcPr>
            <w:tcW w:w="1369" w:type="dxa"/>
            <w:vAlign w:val="center"/>
          </w:tcPr>
          <w:p w14:paraId="19ACAB6B">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vAlign w:val="center"/>
          </w:tcPr>
          <w:p w14:paraId="7A4A049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6B8E635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701" w:type="dxa"/>
            <w:vAlign w:val="center"/>
          </w:tcPr>
          <w:p w14:paraId="44270EE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8000≤Z＜120000</w:t>
            </w:r>
          </w:p>
        </w:tc>
        <w:tc>
          <w:tcPr>
            <w:tcW w:w="1426" w:type="dxa"/>
            <w:vAlign w:val="center"/>
          </w:tcPr>
          <w:p w14:paraId="059DD67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100≤Z＜8000</w:t>
            </w:r>
          </w:p>
        </w:tc>
        <w:tc>
          <w:tcPr>
            <w:tcW w:w="992" w:type="dxa"/>
            <w:vAlign w:val="center"/>
          </w:tcPr>
          <w:p w14:paraId="339850A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w:t>
            </w:r>
          </w:p>
        </w:tc>
      </w:tr>
      <w:tr w14:paraId="2949D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23D3ED10">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 *</w:t>
            </w:r>
          </w:p>
        </w:tc>
        <w:tc>
          <w:tcPr>
            <w:tcW w:w="1369" w:type="dxa"/>
            <w:vAlign w:val="center"/>
          </w:tcPr>
          <w:p w14:paraId="0968858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65F1167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50C6029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vAlign w:val="center"/>
          </w:tcPr>
          <w:p w14:paraId="5513168C">
            <w:pPr>
              <w:widowControl/>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vAlign w:val="center"/>
          </w:tcPr>
          <w:p w14:paraId="660CBD0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10≤X＜100</w:t>
            </w:r>
          </w:p>
        </w:tc>
        <w:tc>
          <w:tcPr>
            <w:tcW w:w="992" w:type="dxa"/>
            <w:vAlign w:val="center"/>
          </w:tcPr>
          <w:p w14:paraId="77F2C77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0AB4AA4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pacing w:val="8"/>
          <w:kern w:val="0"/>
          <w:sz w:val="21"/>
          <w:szCs w:val="21"/>
          <w:highlight w:val="none"/>
          <w:lang w:eastAsia="zh-CN"/>
        </w:rPr>
      </w:pPr>
      <w:r>
        <w:rPr>
          <w:rFonts w:hint="eastAsia" w:ascii="宋体" w:hAnsi="宋体" w:eastAsia="宋体" w:cs="宋体"/>
          <w:color w:val="auto"/>
          <w:spacing w:val="8"/>
          <w:kern w:val="0"/>
          <w:sz w:val="21"/>
          <w:szCs w:val="21"/>
          <w:highlight w:val="none"/>
        </w:rPr>
        <w:t>说明</w:t>
      </w:r>
      <w:r>
        <w:rPr>
          <w:rFonts w:hint="eastAsia" w:ascii="宋体" w:hAnsi="宋体" w:eastAsia="宋体" w:cs="宋体"/>
          <w:color w:val="auto"/>
          <w:spacing w:val="8"/>
          <w:kern w:val="0"/>
          <w:sz w:val="21"/>
          <w:szCs w:val="21"/>
          <w:highlight w:val="none"/>
          <w:lang w:eastAsia="zh-CN"/>
        </w:rPr>
        <w:t>：</w:t>
      </w:r>
    </w:p>
    <w:p w14:paraId="528AA7D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　　1.大型、中型和小型企业须同时满足所列指标的下限，否则下划一档；微型企业只须满足所列指标中的一项即可。</w:t>
      </w:r>
    </w:p>
    <w:p w14:paraId="66E3BA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宋体" w:hAnsi="宋体" w:eastAsia="宋体" w:cs="宋体"/>
          <w:color w:val="auto"/>
          <w:spacing w:val="8"/>
          <w:kern w:val="0"/>
          <w:sz w:val="21"/>
          <w:szCs w:val="21"/>
          <w:highlight w:val="none"/>
          <w:lang w:eastAsia="zh-CN"/>
        </w:rPr>
        <w:t>；</w:t>
      </w:r>
      <w:r>
        <w:rPr>
          <w:rFonts w:hint="eastAsia" w:ascii="宋体" w:hAnsi="宋体" w:eastAsia="宋体" w:cs="宋体"/>
          <w:color w:val="auto"/>
          <w:spacing w:val="8"/>
          <w:kern w:val="0"/>
          <w:sz w:val="21"/>
          <w:szCs w:val="21"/>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98537E0">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spacing w:val="8"/>
          <w:kern w:val="0"/>
          <w:sz w:val="21"/>
          <w:szCs w:val="21"/>
          <w:highlight w:val="none"/>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r>
        <w:rPr>
          <w:rFonts w:hint="eastAsia" w:ascii="宋体" w:hAnsi="宋体" w:eastAsia="宋体" w:cs="宋体"/>
          <w:color w:val="auto"/>
          <w:spacing w:val="8"/>
          <w:kern w:val="0"/>
          <w:sz w:val="21"/>
          <w:szCs w:val="21"/>
          <w:highlight w:val="none"/>
          <w:lang w:eastAsia="zh-CN"/>
        </w:rPr>
        <w:t>。</w:t>
      </w:r>
    </w:p>
    <w:p w14:paraId="37506827">
      <w:pPr>
        <w:spacing w:line="360" w:lineRule="auto"/>
        <w:ind w:firstLine="482" w:firstLineChars="200"/>
        <w:rPr>
          <w:rFonts w:hint="eastAsia" w:ascii="宋体" w:hAnsi="宋体" w:eastAsia="宋体" w:cs="宋体"/>
          <w:b/>
          <w:color w:val="auto"/>
          <w:sz w:val="24"/>
          <w:highlight w:val="none"/>
        </w:rPr>
      </w:pPr>
    </w:p>
    <w:bookmarkEnd w:id="182"/>
    <w:sectPr>
      <w:pgSz w:w="11906" w:h="16838"/>
      <w:pgMar w:top="779" w:right="1418" w:bottom="468"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2000009F" w:csb1="DFD7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幼圆">
    <w:altName w:val="宋体"/>
    <w:panose1 w:val="02010509060101010101"/>
    <w:charset w:val="86"/>
    <w:family w:val="modern"/>
    <w:pitch w:val="default"/>
    <w:sig w:usb0="00000000" w:usb1="0000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MS Mincho">
    <w:altName w:val="Yu Gothic UI"/>
    <w:panose1 w:val="02020609040205080304"/>
    <w:charset w:val="80"/>
    <w:family w:val="modern"/>
    <w:pitch w:val="default"/>
    <w:sig w:usb0="00000000" w:usb1="00000000"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B9AB2">
    <w:pPr>
      <w:pStyle w:val="38"/>
      <w:rPr>
        <w:rFonts w:ascii="仿宋_GB2312" w:eastAsia="仿宋_GB2312"/>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5F47F3">
                          <w:pPr>
                            <w:pStyle w:val="3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5F47F3">
                    <w:pPr>
                      <w:pStyle w:val="3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14184">
    <w:pPr>
      <w:pStyle w:val="38"/>
      <w:jc w:val="center"/>
      <w:rPr>
        <w:rFonts w:ascii="仿宋_GB2312" w:eastAsia="仿宋_GB2312"/>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A4374E">
                          <w:pPr>
                            <w:pStyle w:val="38"/>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FA4374E">
                    <w:pPr>
                      <w:pStyle w:val="38"/>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D7603">
    <w:pPr>
      <w:pStyle w:val="38"/>
      <w:jc w:val="center"/>
      <w:rPr>
        <w:rFonts w:ascii="仿宋_GB2312" w:eastAsia="仿宋_GB2312"/>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D827F4">
                          <w:pPr>
                            <w:pStyle w:val="3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5D827F4">
                    <w:pPr>
                      <w:pStyle w:val="3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F9044">
    <w:pPr>
      <w:pStyle w:val="38"/>
      <w:framePr w:wrap="around" w:vAnchor="text" w:hAnchor="margin" w:xAlign="right" w:y="1"/>
      <w:rPr>
        <w:rStyle w:val="65"/>
      </w:rPr>
    </w:pPr>
    <w:r>
      <w:fldChar w:fldCharType="begin"/>
    </w:r>
    <w:r>
      <w:rPr>
        <w:rStyle w:val="65"/>
      </w:rPr>
      <w:instrText xml:space="preserve">PAGE  </w:instrText>
    </w:r>
    <w:r>
      <w:fldChar w:fldCharType="end"/>
    </w:r>
  </w:p>
  <w:p w14:paraId="40EE9020">
    <w:pPr>
      <w:pStyle w:val="3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C0B64">
    <w:pPr>
      <w:pStyle w:val="38"/>
      <w:jc w:val="center"/>
      <w:rPr>
        <w:rFonts w:ascii="仿宋_GB2312" w:eastAsia="仿宋_GB2312"/>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9CE81D">
                          <w:pPr>
                            <w:pStyle w:val="38"/>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59CE81D">
                    <w:pPr>
                      <w:pStyle w:val="38"/>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13228">
    <w:pPr>
      <w:pStyle w:val="38"/>
      <w:jc w:val="center"/>
      <w:rPr>
        <w:rFonts w:ascii="仿宋_GB2312" w:eastAsia="仿宋_GB2312"/>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68B556">
                          <w:pPr>
                            <w:pStyle w:val="38"/>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E68B556">
                    <w:pPr>
                      <w:pStyle w:val="38"/>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5F59F">
    <w:pPr>
      <w:pStyle w:val="38"/>
      <w:framePr w:wrap="around" w:vAnchor="text" w:hAnchor="margin" w:xAlign="right" w:y="1"/>
      <w:rPr>
        <w:rStyle w:val="65"/>
      </w:rPr>
    </w:pPr>
    <w:r>
      <w:fldChar w:fldCharType="begin"/>
    </w:r>
    <w:r>
      <w:rPr>
        <w:rStyle w:val="65"/>
      </w:rPr>
      <w:instrText xml:space="preserve">PAGE  </w:instrText>
    </w:r>
    <w:r>
      <w:fldChar w:fldCharType="end"/>
    </w:r>
  </w:p>
  <w:p w14:paraId="36C598F9">
    <w:pPr>
      <w:pStyle w:val="3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C046B">
    <w:pPr>
      <w:pStyle w:val="38"/>
      <w:jc w:val="center"/>
      <w:rPr>
        <w:rFonts w:ascii="仿宋_GB2312" w:eastAsia="仿宋_GB2312"/>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6FBCF6">
                          <w:pPr>
                            <w:pStyle w:val="38"/>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B6FBCF6">
                    <w:pPr>
                      <w:pStyle w:val="38"/>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1AA24">
    <w:pPr>
      <w:pStyle w:val="38"/>
      <w:jc w:val="center"/>
      <w:rPr>
        <w:rFonts w:ascii="仿宋_GB2312" w:eastAsia="仿宋_GB2312"/>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4B51FF">
                          <w:pPr>
                            <w:pStyle w:val="38"/>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24B51FF">
                    <w:pPr>
                      <w:pStyle w:val="38"/>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C2E6F">
    <w:pPr>
      <w:pStyle w:val="38"/>
      <w:framePr w:wrap="around" w:vAnchor="text" w:hAnchor="margin" w:xAlign="right" w:y="1"/>
      <w:rPr>
        <w:rStyle w:val="65"/>
      </w:rPr>
    </w:pPr>
    <w:r>
      <w:fldChar w:fldCharType="begin"/>
    </w:r>
    <w:r>
      <w:rPr>
        <w:rStyle w:val="65"/>
      </w:rPr>
      <w:instrText xml:space="preserve">PAGE  </w:instrText>
    </w:r>
    <w:r>
      <w:fldChar w:fldCharType="end"/>
    </w:r>
  </w:p>
  <w:p w14:paraId="64D5ADA2">
    <w:pPr>
      <w:pStyle w:val="3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72280">
    <w:pPr>
      <w:pStyle w:val="39"/>
      <w:pBdr>
        <w:bottom w:val="none" w:color="auto" w:sz="0" w:space="4"/>
      </w:pBdr>
      <w:jc w:val="right"/>
    </w:pPr>
    <w:r>
      <w:t></w:t>
    </w:r>
    <w:r>
      <w:rPr>
        <w:rFonts w:hint="eastAsia"/>
      </w:rPr>
      <w:t xml:space="preserve">        </w:t>
    </w:r>
    <w:r>
      <w:rPr>
        <w:rFonts w:hint="eastAsia"/>
        <w:sz w:val="21"/>
        <w:szCs w:val="21"/>
      </w:rPr>
      <w:t xml:space="preserve"> </w:t>
    </w:r>
  </w:p>
  <w:p w14:paraId="004C8212">
    <w:pPr>
      <w:pStyle w:val="57"/>
      <w:pBdr>
        <w:bottom w:val="none" w:color="auto" w:sz="0" w:space="0"/>
      </w:pBdr>
      <w:tabs>
        <w:tab w:val="center" w:pos="4535"/>
        <w:tab w:val="right" w:pos="9070"/>
      </w:tabs>
      <w:ind w:firstLine="180" w:firstLineChars="100"/>
      <w:jc w:val="both"/>
      <w:rPr>
        <w:rFonts w:ascii="仿宋_GB2312" w:eastAsia="仿宋_GB2312"/>
        <w:b w:val="0"/>
        <w:i/>
        <w:sz w:val="18"/>
        <w:u w:val="single"/>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C8A21">
    <w:pPr>
      <w:pStyle w:val="3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F2F3B">
    <w:pPr>
      <w:pStyle w:val="39"/>
      <w:pBdr>
        <w:bottom w:val="none" w:color="auto" w:sz="0" w:space="1"/>
      </w:pBdr>
      <w:jc w:val="right"/>
      <w:rPr>
        <w:rFonts w:eastAsia="仿宋_GB2312"/>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90228">
    <w:pPr>
      <w:pStyle w:val="39"/>
      <w:pBdr>
        <w:bottom w:val="none" w:color="auto" w:sz="0" w:space="1"/>
      </w:pBdr>
      <w:jc w:val="right"/>
      <w:rPr>
        <w:rFonts w:eastAsia="仿宋_GB2312"/>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E9747">
    <w:pPr>
      <w:pStyle w:val="39"/>
      <w:pBdr>
        <w:bottom w:val="none" w:color="auto" w:sz="0" w:space="1"/>
      </w:pBdr>
      <w:jc w:val="right"/>
      <w:rPr>
        <w:rFonts w:eastAsia="仿宋_GB2312"/>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1AAE4">
    <w:pPr>
      <w:pStyle w:val="39"/>
      <w:pBdr>
        <w:bottom w:val="none" w:color="auto" w:sz="0" w:space="1"/>
      </w:pBdr>
      <w:jc w:val="right"/>
      <w:rPr>
        <w:rFonts w:eastAsia="仿宋_GB2312"/>
        <w:sz w:val="21"/>
        <w:szCs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A2814">
    <w:pPr>
      <w:pStyle w:val="39"/>
      <w:pBdr>
        <w:bottom w:val="none" w:color="auto" w:sz="0" w:space="1"/>
      </w:pBdr>
      <w:jc w:val="right"/>
      <w:rPr>
        <w:rFonts w:eastAsia="仿宋_GB2312"/>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1">
    <w:nsid w:val="00000007"/>
    <w:multiLevelType w:val="multilevel"/>
    <w:tmpl w:val="00000007"/>
    <w:lvl w:ilvl="0" w:tentative="0">
      <w:start w:val="1"/>
      <w:numFmt w:val="bullet"/>
      <w:pStyle w:val="102"/>
      <w:lvlText w:val=""/>
      <w:lvlJc w:val="left"/>
      <w:pPr>
        <w:tabs>
          <w:tab w:val="left" w:pos="840"/>
        </w:tabs>
        <w:ind w:left="840" w:hanging="420"/>
      </w:pPr>
      <w:rPr>
        <w:rFonts w:hint="default" w:ascii="Wingdings" w:hAnsi="Wingdings"/>
      </w:rPr>
    </w:lvl>
    <w:lvl w:ilvl="1" w:tentative="0">
      <w:start w:val="1"/>
      <w:numFmt w:val="bullet"/>
      <w:pStyle w:val="85"/>
      <w:lvlText w:val=""/>
      <w:lvlJc w:val="left"/>
      <w:pPr>
        <w:tabs>
          <w:tab w:val="left" w:pos="1260"/>
        </w:tabs>
        <w:ind w:left="1260" w:hanging="420"/>
      </w:pPr>
      <w:rPr>
        <w:rFonts w:hint="default" w:ascii="Wingdings" w:hAnsi="Wingdings"/>
      </w:rPr>
    </w:lvl>
    <w:lvl w:ilvl="2" w:tentative="0">
      <w:start w:val="1"/>
      <w:numFmt w:val="bullet"/>
      <w:pStyle w:val="341"/>
      <w:lvlText w:val=""/>
      <w:lvlJc w:val="left"/>
      <w:pPr>
        <w:tabs>
          <w:tab w:val="left" w:pos="1680"/>
        </w:tabs>
        <w:ind w:left="1680" w:hanging="420"/>
      </w:pPr>
      <w:rPr>
        <w:rFonts w:hint="default" w:ascii="Wingdings" w:hAnsi="Wingdings"/>
      </w:rPr>
    </w:lvl>
    <w:lvl w:ilvl="3" w:tentative="0">
      <w:start w:val="1"/>
      <w:numFmt w:val="bullet"/>
      <w:pStyle w:val="174"/>
      <w:lvlText w:val=""/>
      <w:lvlJc w:val="left"/>
      <w:pPr>
        <w:tabs>
          <w:tab w:val="left" w:pos="2100"/>
        </w:tabs>
        <w:ind w:left="2100" w:hanging="420"/>
      </w:pPr>
      <w:rPr>
        <w:rFonts w:hint="default" w:ascii="Wingdings" w:hAnsi="Wingdings"/>
      </w:rPr>
    </w:lvl>
    <w:lvl w:ilvl="4" w:tentative="0">
      <w:start w:val="1"/>
      <w:numFmt w:val="bullet"/>
      <w:pStyle w:val="410"/>
      <w:lvlText w:val=""/>
      <w:lvlJc w:val="left"/>
      <w:pPr>
        <w:tabs>
          <w:tab w:val="left" w:pos="2520"/>
        </w:tabs>
        <w:ind w:left="2520" w:hanging="420"/>
      </w:pPr>
      <w:rPr>
        <w:rFonts w:hint="default" w:ascii="Wingdings" w:hAnsi="Wingdings"/>
      </w:rPr>
    </w:lvl>
    <w:lvl w:ilvl="5" w:tentative="0">
      <w:start w:val="1"/>
      <w:numFmt w:val="bullet"/>
      <w:pStyle w:val="172"/>
      <w:lvlText w:val=""/>
      <w:lvlJc w:val="left"/>
      <w:pPr>
        <w:tabs>
          <w:tab w:val="left" w:pos="2940"/>
        </w:tabs>
        <w:ind w:left="2940" w:hanging="420"/>
      </w:pPr>
      <w:rPr>
        <w:rFonts w:hint="default" w:ascii="Wingdings" w:hAnsi="Wingdings"/>
      </w:rPr>
    </w:lvl>
    <w:lvl w:ilvl="6" w:tentative="0">
      <w:start w:val="1"/>
      <w:numFmt w:val="bullet"/>
      <w:pStyle w:val="399"/>
      <w:lvlText w:val=""/>
      <w:lvlJc w:val="left"/>
      <w:pPr>
        <w:tabs>
          <w:tab w:val="left" w:pos="3360"/>
        </w:tabs>
        <w:ind w:left="3360" w:hanging="420"/>
      </w:pPr>
      <w:rPr>
        <w:rFonts w:hint="default" w:ascii="Wingdings" w:hAnsi="Wingdings"/>
      </w:rPr>
    </w:lvl>
    <w:lvl w:ilvl="7" w:tentative="0">
      <w:start w:val="1"/>
      <w:numFmt w:val="bullet"/>
      <w:pStyle w:val="279"/>
      <w:lvlText w:val=""/>
      <w:lvlJc w:val="left"/>
      <w:pPr>
        <w:tabs>
          <w:tab w:val="left" w:pos="3780"/>
        </w:tabs>
        <w:ind w:left="3780" w:hanging="420"/>
      </w:pPr>
      <w:rPr>
        <w:rFonts w:hint="default" w:ascii="Wingdings" w:hAnsi="Wingdings"/>
      </w:rPr>
    </w:lvl>
    <w:lvl w:ilvl="8" w:tentative="0">
      <w:start w:val="1"/>
      <w:numFmt w:val="bullet"/>
      <w:pStyle w:val="372"/>
      <w:lvlText w:val=""/>
      <w:lvlJc w:val="left"/>
      <w:pPr>
        <w:tabs>
          <w:tab w:val="left" w:pos="4200"/>
        </w:tabs>
        <w:ind w:left="4200" w:hanging="420"/>
      </w:pPr>
      <w:rPr>
        <w:rFonts w:hint="default" w:ascii="Wingdings" w:hAnsi="Wingdings"/>
      </w:rPr>
    </w:lvl>
  </w:abstractNum>
  <w:abstractNum w:abstractNumId="2">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11744E57"/>
    <w:multiLevelType w:val="multilevel"/>
    <w:tmpl w:val="11744E57"/>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4">
    <w:nsid w:val="578B3BD2"/>
    <w:multiLevelType w:val="multilevel"/>
    <w:tmpl w:val="578B3BD2"/>
    <w:lvl w:ilvl="0" w:tentative="0">
      <w:start w:val="1"/>
      <w:numFmt w:val="decimal"/>
      <w:pStyle w:val="413"/>
      <w:lvlText w:val="%1"/>
      <w:lvlJc w:val="left"/>
      <w:pPr>
        <w:tabs>
          <w:tab w:val="left" w:pos="480"/>
        </w:tabs>
        <w:ind w:left="480" w:hanging="480"/>
      </w:pPr>
      <w:rPr>
        <w:rFonts w:hint="eastAsia"/>
        <w:sz w:val="44"/>
        <w:szCs w:val="44"/>
      </w:rPr>
    </w:lvl>
    <w:lvl w:ilvl="1" w:tentative="0">
      <w:start w:val="1"/>
      <w:numFmt w:val="decimal"/>
      <w:pStyle w:val="334"/>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2"/>
      <w:lvlText w:val="%1.%2.%3.%4.%5"/>
      <w:lvlJc w:val="left"/>
      <w:pPr>
        <w:tabs>
          <w:tab w:val="left" w:pos="1080"/>
        </w:tabs>
        <w:ind w:left="1080" w:hanging="1080"/>
      </w:pPr>
      <w:rPr>
        <w:rFonts w:hint="default"/>
      </w:rPr>
    </w:lvl>
    <w:lvl w:ilvl="5" w:tentative="0">
      <w:start w:val="1"/>
      <w:numFmt w:val="decimal"/>
      <w:pStyle w:val="216"/>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5">
    <w:nsid w:val="73596DCC"/>
    <w:multiLevelType w:val="multilevel"/>
    <w:tmpl w:val="73596DCC"/>
    <w:lvl w:ilvl="0" w:tentative="0">
      <w:start w:val="1"/>
      <w:numFmt w:val="bullet"/>
      <w:pStyle w:val="320"/>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B62F5"/>
    <w:rsid w:val="02166F15"/>
    <w:rsid w:val="034B326D"/>
    <w:rsid w:val="09522A21"/>
    <w:rsid w:val="09D36191"/>
    <w:rsid w:val="0EA1304B"/>
    <w:rsid w:val="0FEB3209"/>
    <w:rsid w:val="12967BEE"/>
    <w:rsid w:val="136E6DFB"/>
    <w:rsid w:val="13F35552"/>
    <w:rsid w:val="14F84330"/>
    <w:rsid w:val="15A5743F"/>
    <w:rsid w:val="1D1C7687"/>
    <w:rsid w:val="1DA56063"/>
    <w:rsid w:val="1F26058E"/>
    <w:rsid w:val="2034523A"/>
    <w:rsid w:val="20C444FE"/>
    <w:rsid w:val="218E2416"/>
    <w:rsid w:val="21D91D6E"/>
    <w:rsid w:val="224551CB"/>
    <w:rsid w:val="233C6462"/>
    <w:rsid w:val="245931AF"/>
    <w:rsid w:val="24B8039E"/>
    <w:rsid w:val="24F61C74"/>
    <w:rsid w:val="253F39D5"/>
    <w:rsid w:val="25645668"/>
    <w:rsid w:val="269009DE"/>
    <w:rsid w:val="27151385"/>
    <w:rsid w:val="271C4617"/>
    <w:rsid w:val="276A1EE4"/>
    <w:rsid w:val="27A9472D"/>
    <w:rsid w:val="298D5F53"/>
    <w:rsid w:val="2A043570"/>
    <w:rsid w:val="2AA151B4"/>
    <w:rsid w:val="2ACD0453"/>
    <w:rsid w:val="2B613597"/>
    <w:rsid w:val="2B681337"/>
    <w:rsid w:val="2B6D41BC"/>
    <w:rsid w:val="2BBD4024"/>
    <w:rsid w:val="2D5C63B7"/>
    <w:rsid w:val="2F4410F9"/>
    <w:rsid w:val="31710F12"/>
    <w:rsid w:val="32957AA8"/>
    <w:rsid w:val="32C1139D"/>
    <w:rsid w:val="330C5891"/>
    <w:rsid w:val="33E64AB9"/>
    <w:rsid w:val="3444025F"/>
    <w:rsid w:val="34C640CD"/>
    <w:rsid w:val="366118FB"/>
    <w:rsid w:val="373F6235"/>
    <w:rsid w:val="375C2F4A"/>
    <w:rsid w:val="382A5D29"/>
    <w:rsid w:val="384E016F"/>
    <w:rsid w:val="39D877FB"/>
    <w:rsid w:val="3A0455C7"/>
    <w:rsid w:val="3C782E83"/>
    <w:rsid w:val="3EDD5BA6"/>
    <w:rsid w:val="3EEA3F2D"/>
    <w:rsid w:val="43A07623"/>
    <w:rsid w:val="44050289"/>
    <w:rsid w:val="47AA2A87"/>
    <w:rsid w:val="47C307BC"/>
    <w:rsid w:val="4B9E1021"/>
    <w:rsid w:val="4BF46BA9"/>
    <w:rsid w:val="4DAE3F19"/>
    <w:rsid w:val="50A536CE"/>
    <w:rsid w:val="518F7ED1"/>
    <w:rsid w:val="54530D6E"/>
    <w:rsid w:val="54777B98"/>
    <w:rsid w:val="57BD7AFE"/>
    <w:rsid w:val="5847364B"/>
    <w:rsid w:val="58BC728D"/>
    <w:rsid w:val="5A455CEF"/>
    <w:rsid w:val="5B5C6B06"/>
    <w:rsid w:val="5BE80002"/>
    <w:rsid w:val="5BF62AB6"/>
    <w:rsid w:val="5DC50B81"/>
    <w:rsid w:val="61C72245"/>
    <w:rsid w:val="65B03F11"/>
    <w:rsid w:val="667D7425"/>
    <w:rsid w:val="67242BCD"/>
    <w:rsid w:val="67DB3B7D"/>
    <w:rsid w:val="68496716"/>
    <w:rsid w:val="6854116D"/>
    <w:rsid w:val="68645A6D"/>
    <w:rsid w:val="68EF0FB9"/>
    <w:rsid w:val="6B1116BB"/>
    <w:rsid w:val="6D785A21"/>
    <w:rsid w:val="6E220C15"/>
    <w:rsid w:val="6EF54E4F"/>
    <w:rsid w:val="71436346"/>
    <w:rsid w:val="71EE1EBD"/>
    <w:rsid w:val="7303612B"/>
    <w:rsid w:val="73B726C7"/>
    <w:rsid w:val="779B11D3"/>
    <w:rsid w:val="7950134A"/>
    <w:rsid w:val="79886AB8"/>
    <w:rsid w:val="7ABB0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9"/>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599"/>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3"/>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2"/>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81"/>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71"/>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19"/>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3">
    <w:name w:val="Default Paragraph Font"/>
    <w:unhideWhenUsed/>
    <w:qFormat/>
    <w:uiPriority w:val="1"/>
  </w:style>
  <w:style w:type="table" w:default="1" w:styleId="61">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613"/>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semiHidden/>
    <w:qFormat/>
    <w:uiPriority w:val="0"/>
    <w:pPr>
      <w:shd w:val="clear" w:color="auto" w:fill="000080"/>
    </w:pPr>
  </w:style>
  <w:style w:type="paragraph" w:styleId="19">
    <w:name w:val="annotation text"/>
    <w:basedOn w:val="1"/>
    <w:link w:val="614"/>
    <w:qFormat/>
    <w:uiPriority w:val="99"/>
    <w:pPr>
      <w:jc w:val="left"/>
    </w:pPr>
  </w:style>
  <w:style w:type="paragraph" w:styleId="20">
    <w:name w:val="Salutation"/>
    <w:basedOn w:val="1"/>
    <w:next w:val="1"/>
    <w:link w:val="482"/>
    <w:qFormat/>
    <w:uiPriority w:val="0"/>
    <w:rPr>
      <w:rFonts w:ascii="仿宋_GB2312" w:eastAsia="仿宋_GB2312"/>
      <w:sz w:val="28"/>
      <w:szCs w:val="20"/>
    </w:rPr>
  </w:style>
  <w:style w:type="paragraph" w:styleId="21">
    <w:name w:val="Body Text 3"/>
    <w:basedOn w:val="1"/>
    <w:link w:val="581"/>
    <w:qFormat/>
    <w:uiPriority w:val="0"/>
    <w:pPr>
      <w:jc w:val="center"/>
    </w:pPr>
    <w:rPr>
      <w:szCs w:val="20"/>
    </w:rPr>
  </w:style>
  <w:style w:type="paragraph" w:styleId="22">
    <w:name w:val="Body Text"/>
    <w:basedOn w:val="1"/>
    <w:link w:val="512"/>
    <w:qFormat/>
    <w:uiPriority w:val="0"/>
    <w:pPr>
      <w:autoSpaceDE w:val="0"/>
      <w:autoSpaceDN w:val="0"/>
      <w:spacing w:line="360" w:lineRule="auto"/>
    </w:pPr>
    <w:rPr>
      <w:rFonts w:ascii="宋体"/>
      <w:sz w:val="24"/>
      <w:szCs w:val="21"/>
      <w:lang w:val="zh-CN"/>
    </w:rPr>
  </w:style>
  <w:style w:type="paragraph" w:styleId="23">
    <w:name w:val="Body Text Indent"/>
    <w:basedOn w:val="1"/>
    <w:link w:val="475"/>
    <w:qFormat/>
    <w:uiPriority w:val="0"/>
    <w:pPr>
      <w:spacing w:line="480" w:lineRule="exact"/>
      <w:ind w:firstLine="480" w:firstLineChars="200"/>
    </w:pPr>
    <w:rPr>
      <w:rFonts w:ascii="宋体" w:hAnsi="宋体"/>
      <w:sz w:val="24"/>
    </w:rPr>
  </w:style>
  <w:style w:type="paragraph" w:styleId="24">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5">
    <w:name w:val="List 2"/>
    <w:basedOn w:val="1"/>
    <w:qFormat/>
    <w:uiPriority w:val="0"/>
    <w:pPr>
      <w:adjustRightInd/>
      <w:spacing w:line="360" w:lineRule="auto"/>
      <w:ind w:left="100" w:leftChars="200" w:hanging="200" w:hangingChars="200"/>
    </w:pPr>
    <w:rPr>
      <w:rFonts w:eastAsia="微软雅黑"/>
    </w:rPr>
  </w:style>
  <w:style w:type="paragraph" w:styleId="26">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7">
    <w:name w:val="List Bullet 2"/>
    <w:basedOn w:val="1"/>
    <w:qFormat/>
    <w:uiPriority w:val="0"/>
    <w:pPr>
      <w:autoSpaceDE w:val="0"/>
      <w:autoSpaceDN w:val="0"/>
      <w:ind w:left="420"/>
      <w:jc w:val="left"/>
    </w:pPr>
    <w:rPr>
      <w:rFonts w:ascii="宋体" w:hAnsi="宋体"/>
      <w:color w:val="000000"/>
      <w:kern w:val="0"/>
      <w:sz w:val="24"/>
      <w:szCs w:val="20"/>
    </w:rPr>
  </w:style>
  <w:style w:type="paragraph" w:styleId="28">
    <w:name w:val="HTML Address"/>
    <w:basedOn w:val="1"/>
    <w:link w:val="571"/>
    <w:qFormat/>
    <w:uiPriority w:val="0"/>
    <w:pPr>
      <w:widowControl/>
      <w:adjustRightInd/>
      <w:ind w:firstLine="200" w:firstLineChars="200"/>
      <w:jc w:val="left"/>
    </w:pPr>
    <w:rPr>
      <w:rFonts w:ascii="宋体" w:hAnsi="宋体"/>
      <w:i/>
      <w:iCs/>
      <w:kern w:val="0"/>
      <w:sz w:val="24"/>
    </w:rPr>
  </w:style>
  <w:style w:type="paragraph" w:styleId="29">
    <w:name w:val="index 4"/>
    <w:basedOn w:val="1"/>
    <w:next w:val="1"/>
    <w:unhideWhenUsed/>
    <w:qFormat/>
    <w:uiPriority w:val="99"/>
    <w:rPr>
      <w:b/>
      <w:sz w:val="24"/>
      <w:lang w:val="zh-CN"/>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489"/>
    <w:qFormat/>
    <w:uiPriority w:val="0"/>
    <w:rPr>
      <w:rFonts w:ascii="宋体" w:hAnsi="Courier New"/>
      <w:szCs w:val="20"/>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598"/>
    <w:qFormat/>
    <w:uiPriority w:val="0"/>
    <w:pPr>
      <w:ind w:left="100" w:leftChars="2500"/>
    </w:pPr>
    <w:rPr>
      <w:rFonts w:ascii="宋体"/>
      <w:sz w:val="24"/>
      <w:szCs w:val="21"/>
      <w:lang w:val="zh-CN"/>
    </w:rPr>
  </w:style>
  <w:style w:type="paragraph" w:styleId="36">
    <w:name w:val="Body Text Indent 2"/>
    <w:basedOn w:val="1"/>
    <w:link w:val="503"/>
    <w:qFormat/>
    <w:uiPriority w:val="0"/>
    <w:pPr>
      <w:spacing w:line="360" w:lineRule="auto"/>
      <w:ind w:firstLine="601"/>
      <w:textAlignment w:val="baseline"/>
    </w:pPr>
    <w:rPr>
      <w:rFonts w:ascii="宋体"/>
      <w:kern w:val="0"/>
      <w:sz w:val="28"/>
      <w:szCs w:val="20"/>
    </w:rPr>
  </w:style>
  <w:style w:type="paragraph" w:styleId="37">
    <w:name w:val="Balloon Text"/>
    <w:basedOn w:val="1"/>
    <w:link w:val="615"/>
    <w:semiHidden/>
    <w:qFormat/>
    <w:uiPriority w:val="0"/>
    <w:rPr>
      <w:sz w:val="18"/>
      <w:szCs w:val="18"/>
    </w:rPr>
  </w:style>
  <w:style w:type="paragraph" w:styleId="38">
    <w:name w:val="footer"/>
    <w:basedOn w:val="1"/>
    <w:qFormat/>
    <w:uiPriority w:val="0"/>
    <w:pPr>
      <w:tabs>
        <w:tab w:val="center" w:pos="4153"/>
        <w:tab w:val="right" w:pos="8306"/>
      </w:tabs>
      <w:snapToGrid w:val="0"/>
      <w:jc w:val="left"/>
    </w:pPr>
    <w:rPr>
      <w:sz w:val="18"/>
      <w:szCs w:val="18"/>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0">
    <w:name w:val="Signature"/>
    <w:basedOn w:val="1"/>
    <w:link w:val="435"/>
    <w:qFormat/>
    <w:uiPriority w:val="0"/>
    <w:pPr>
      <w:spacing w:after="600" w:line="312" w:lineRule="atLeast"/>
      <w:jc w:val="center"/>
      <w:textAlignment w:val="baseline"/>
    </w:pPr>
    <w:rPr>
      <w:rFonts w:eastAsia="仿宋_GB2312"/>
      <w:kern w:val="0"/>
      <w:sz w:val="24"/>
      <w:szCs w:val="20"/>
    </w:rPr>
  </w:style>
  <w:style w:type="paragraph" w:styleId="41">
    <w:name w:val="toc 1"/>
    <w:basedOn w:val="1"/>
    <w:next w:val="1"/>
    <w:qFormat/>
    <w:uiPriority w:val="39"/>
  </w:style>
  <w:style w:type="paragraph" w:styleId="42">
    <w:name w:val="toc 4"/>
    <w:basedOn w:val="1"/>
    <w:next w:val="1"/>
    <w:qFormat/>
    <w:uiPriority w:val="0"/>
    <w:pPr>
      <w:ind w:left="1260" w:leftChars="600"/>
    </w:pPr>
  </w:style>
  <w:style w:type="paragraph" w:styleId="43">
    <w:name w:val="index heading"/>
    <w:basedOn w:val="1"/>
    <w:next w:val="44"/>
    <w:qFormat/>
    <w:uiPriority w:val="0"/>
    <w:pPr>
      <w:adjustRightInd/>
      <w:ind w:firstLine="200" w:firstLineChars="200"/>
    </w:pPr>
  </w:style>
  <w:style w:type="paragraph" w:styleId="44">
    <w:name w:val="index 1"/>
    <w:basedOn w:val="1"/>
    <w:next w:val="1"/>
    <w:qFormat/>
    <w:uiPriority w:val="0"/>
    <w:pPr>
      <w:adjustRightInd/>
      <w:spacing w:line="360" w:lineRule="auto"/>
      <w:ind w:firstLine="200" w:firstLineChars="200"/>
      <w:jc w:val="center"/>
    </w:pPr>
    <w:rPr>
      <w:sz w:val="24"/>
      <w:szCs w:val="20"/>
    </w:rPr>
  </w:style>
  <w:style w:type="paragraph" w:styleId="45">
    <w:name w:val="Subtitle"/>
    <w:link w:val="488"/>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6">
    <w:name w:val="List Number 5"/>
    <w:basedOn w:val="1"/>
    <w:qFormat/>
    <w:uiPriority w:val="0"/>
    <w:pPr>
      <w:tabs>
        <w:tab w:val="left" w:pos="902"/>
      </w:tabs>
      <w:adjustRightInd/>
      <w:spacing w:line="400" w:lineRule="exact"/>
      <w:ind w:left="902" w:hanging="420"/>
    </w:pPr>
    <w:rPr>
      <w:sz w:val="24"/>
      <w:szCs w:val="20"/>
    </w:rPr>
  </w:style>
  <w:style w:type="paragraph" w:styleId="47">
    <w:name w:val="List"/>
    <w:basedOn w:val="1"/>
    <w:qFormat/>
    <w:uiPriority w:val="0"/>
    <w:pPr>
      <w:ind w:left="200" w:hanging="200" w:hangingChars="200"/>
    </w:pPr>
  </w:style>
  <w:style w:type="paragraph" w:styleId="48">
    <w:name w:val="footnote text"/>
    <w:basedOn w:val="15"/>
    <w:link w:val="473"/>
    <w:qFormat/>
    <w:uiPriority w:val="0"/>
    <w:pPr>
      <w:adjustRightInd/>
      <w:snapToGrid/>
      <w:spacing w:before="60" w:after="60" w:line="300" w:lineRule="exact"/>
      <w:ind w:firstLine="0"/>
    </w:pPr>
    <w:rPr>
      <w:rFonts w:ascii="Times New Roman"/>
      <w:color w:val="0000FF"/>
      <w:kern w:val="0"/>
      <w:sz w:val="21"/>
    </w:rPr>
  </w:style>
  <w:style w:type="paragraph" w:styleId="49">
    <w:name w:val="toc 6"/>
    <w:basedOn w:val="1"/>
    <w:next w:val="1"/>
    <w:qFormat/>
    <w:uiPriority w:val="0"/>
    <w:pPr>
      <w:ind w:left="2100" w:leftChars="1000"/>
    </w:pPr>
  </w:style>
  <w:style w:type="paragraph" w:styleId="50">
    <w:name w:val="List 5"/>
    <w:basedOn w:val="1"/>
    <w:qFormat/>
    <w:uiPriority w:val="0"/>
    <w:pPr>
      <w:adjustRightInd/>
      <w:ind w:left="100" w:leftChars="800" w:hanging="200" w:hangingChars="200"/>
    </w:pPr>
  </w:style>
  <w:style w:type="paragraph" w:styleId="51">
    <w:name w:val="Body Text Indent 3"/>
    <w:basedOn w:val="1"/>
    <w:link w:val="588"/>
    <w:qFormat/>
    <w:uiPriority w:val="0"/>
    <w:pPr>
      <w:spacing w:line="360" w:lineRule="auto"/>
      <w:ind w:firstLine="420"/>
    </w:pPr>
    <w:rPr>
      <w:sz w:val="24"/>
      <w:szCs w:val="20"/>
    </w:rPr>
  </w:style>
  <w:style w:type="paragraph" w:styleId="52">
    <w:name w:val="toc 2"/>
    <w:basedOn w:val="1"/>
    <w:next w:val="1"/>
    <w:qFormat/>
    <w:uiPriority w:val="0"/>
    <w:pPr>
      <w:ind w:left="420" w:leftChars="200"/>
    </w:pPr>
  </w:style>
  <w:style w:type="paragraph" w:styleId="53">
    <w:name w:val="toc 9"/>
    <w:basedOn w:val="1"/>
    <w:next w:val="1"/>
    <w:qFormat/>
    <w:uiPriority w:val="0"/>
    <w:pPr>
      <w:ind w:left="3360" w:leftChars="1600"/>
    </w:pPr>
  </w:style>
  <w:style w:type="paragraph" w:styleId="54">
    <w:name w:val="Body Text 2"/>
    <w:basedOn w:val="1"/>
    <w:qFormat/>
    <w:uiPriority w:val="0"/>
    <w:pPr>
      <w:spacing w:after="120" w:line="480" w:lineRule="auto"/>
    </w:pPr>
  </w:style>
  <w:style w:type="paragraph" w:styleId="55">
    <w:name w:val="HTML Preformatted"/>
    <w:basedOn w:val="1"/>
    <w:link w:val="5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6">
    <w:name w:val="Normal (Web)"/>
    <w:basedOn w:val="1"/>
    <w:qFormat/>
    <w:uiPriority w:val="99"/>
    <w:pPr>
      <w:widowControl/>
      <w:spacing w:before="100" w:beforeAutospacing="1" w:after="100" w:afterAutospacing="1"/>
      <w:jc w:val="left"/>
    </w:pPr>
    <w:rPr>
      <w:rFonts w:ascii="宋体" w:hAnsi="宋体"/>
      <w:kern w:val="0"/>
      <w:sz w:val="24"/>
    </w:rPr>
  </w:style>
  <w:style w:type="paragraph" w:styleId="57">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8">
    <w:name w:val="annotation subject"/>
    <w:basedOn w:val="19"/>
    <w:next w:val="19"/>
    <w:semiHidden/>
    <w:qFormat/>
    <w:uiPriority w:val="0"/>
    <w:rPr>
      <w:b/>
      <w:bCs/>
    </w:rPr>
  </w:style>
  <w:style w:type="paragraph" w:styleId="59">
    <w:name w:val="Body Text First Indent"/>
    <w:basedOn w:val="22"/>
    <w:link w:val="545"/>
    <w:qFormat/>
    <w:uiPriority w:val="0"/>
    <w:pPr>
      <w:ind w:firstLine="420"/>
    </w:pPr>
    <w:rPr>
      <w:szCs w:val="20"/>
    </w:rPr>
  </w:style>
  <w:style w:type="paragraph" w:styleId="60">
    <w:name w:val="Body Text First Indent 2"/>
    <w:basedOn w:val="23"/>
    <w:next w:val="15"/>
    <w:link w:val="502"/>
    <w:qFormat/>
    <w:uiPriority w:val="0"/>
    <w:pPr>
      <w:adjustRightInd/>
      <w:spacing w:after="120" w:line="240" w:lineRule="auto"/>
      <w:ind w:left="420" w:leftChars="200" w:firstLine="210"/>
    </w:pPr>
    <w:rPr>
      <w:sz w:val="21"/>
    </w:rPr>
  </w:style>
  <w:style w:type="table" w:styleId="62">
    <w:name w:val="Table Grid"/>
    <w:basedOn w:val="61"/>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4">
    <w:name w:val="Strong"/>
    <w:qFormat/>
    <w:uiPriority w:val="22"/>
    <w:rPr>
      <w:b/>
      <w:bCs/>
    </w:rPr>
  </w:style>
  <w:style w:type="character" w:styleId="65">
    <w:name w:val="page number"/>
    <w:basedOn w:val="63"/>
    <w:qFormat/>
    <w:uiPriority w:val="0"/>
  </w:style>
  <w:style w:type="character" w:styleId="66">
    <w:name w:val="FollowedHyperlink"/>
    <w:qFormat/>
    <w:uiPriority w:val="0"/>
    <w:rPr>
      <w:rFonts w:ascii="Arial" w:hAnsi="Arial" w:eastAsia="黑体" w:cs="Arial"/>
      <w:snapToGrid w:val="0"/>
      <w:color w:val="000000"/>
      <w:kern w:val="0"/>
      <w:sz w:val="18"/>
      <w:szCs w:val="18"/>
      <w:u w:val="none"/>
    </w:rPr>
  </w:style>
  <w:style w:type="character" w:styleId="67">
    <w:name w:val="Emphasis"/>
    <w:qFormat/>
    <w:uiPriority w:val="0"/>
    <w:rPr>
      <w:color w:val="CC0033"/>
    </w:rPr>
  </w:style>
  <w:style w:type="character" w:styleId="68">
    <w:name w:val="line number"/>
    <w:basedOn w:val="63"/>
    <w:qFormat/>
    <w:uiPriority w:val="0"/>
  </w:style>
  <w:style w:type="character" w:styleId="69">
    <w:name w:val="Hyperlink"/>
    <w:qFormat/>
    <w:uiPriority w:val="99"/>
    <w:rPr>
      <w:rFonts w:ascii="Arial" w:hAnsi="Arial" w:eastAsia="黑体" w:cs="Arial"/>
      <w:snapToGrid w:val="0"/>
      <w:color w:val="000000"/>
      <w:kern w:val="0"/>
      <w:sz w:val="18"/>
      <w:szCs w:val="18"/>
      <w:u w:val="none"/>
    </w:rPr>
  </w:style>
  <w:style w:type="character" w:styleId="70">
    <w:name w:val="HTML Code"/>
    <w:qFormat/>
    <w:uiPriority w:val="0"/>
    <w:rPr>
      <w:rFonts w:ascii="黑体" w:hAnsi="Courier New" w:eastAsia="黑体" w:cs="楷体_GB2312"/>
      <w:sz w:val="20"/>
      <w:szCs w:val="20"/>
    </w:rPr>
  </w:style>
  <w:style w:type="character" w:styleId="71">
    <w:name w:val="annotation reference"/>
    <w:qFormat/>
    <w:uiPriority w:val="99"/>
    <w:rPr>
      <w:sz w:val="21"/>
      <w:szCs w:val="21"/>
    </w:rPr>
  </w:style>
  <w:style w:type="character" w:styleId="72">
    <w:name w:val="HTML Sample"/>
    <w:basedOn w:val="63"/>
    <w:qFormat/>
    <w:uiPriority w:val="0"/>
    <w:rPr>
      <w:rFonts w:ascii="Courier New" w:hAnsi="Courier New"/>
    </w:rPr>
  </w:style>
  <w:style w:type="paragraph" w:customStyle="1" w:styleId="73">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4">
    <w:name w:val="冯"/>
    <w:basedOn w:val="1"/>
    <w:link w:val="516"/>
    <w:qFormat/>
    <w:uiPriority w:val="0"/>
    <w:pPr>
      <w:widowControl/>
      <w:adjustRightInd/>
      <w:spacing w:line="360" w:lineRule="auto"/>
      <w:ind w:firstLine="480" w:firstLineChars="200"/>
    </w:pPr>
    <w:rPr>
      <w:rFonts w:ascii="宋体" w:hAnsi="宋体"/>
      <w:color w:val="000000"/>
      <w:kern w:val="0"/>
      <w:sz w:val="24"/>
    </w:rPr>
  </w:style>
  <w:style w:type="paragraph" w:customStyle="1" w:styleId="75">
    <w:name w:val="样式3"/>
    <w:basedOn w:val="76"/>
    <w:qFormat/>
    <w:uiPriority w:val="0"/>
    <w:pPr>
      <w:tabs>
        <w:tab w:val="left" w:pos="2790"/>
        <w:tab w:val="left" w:pos="4230"/>
      </w:tabs>
      <w:spacing w:before="312" w:beforeLines="100"/>
      <w:jc w:val="left"/>
    </w:pPr>
  </w:style>
  <w:style w:type="paragraph" w:customStyle="1" w:styleId="76">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7">
    <w:name w:val="P1"/>
    <w:basedOn w:val="1"/>
    <w:qFormat/>
    <w:uiPriority w:val="0"/>
    <w:pPr>
      <w:adjustRightInd/>
      <w:spacing w:line="288" w:lineRule="auto"/>
      <w:ind w:firstLine="425" w:firstLineChars="200"/>
    </w:pPr>
  </w:style>
  <w:style w:type="paragraph" w:customStyle="1" w:styleId="78">
    <w:name w:val="Char1 Char Char Char"/>
    <w:basedOn w:val="1"/>
    <w:qFormat/>
    <w:uiPriority w:val="0"/>
    <w:rPr>
      <w:rFonts w:ascii="Tahoma" w:hAnsi="Tahoma"/>
      <w:sz w:val="24"/>
      <w:szCs w:val="20"/>
    </w:rPr>
  </w:style>
  <w:style w:type="paragraph" w:customStyle="1" w:styleId="7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0">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1">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2">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
    <w:name w:val="样式7"/>
    <w:basedOn w:val="84"/>
    <w:next w:val="1"/>
    <w:qFormat/>
    <w:uiPriority w:val="0"/>
    <w:pPr>
      <w:spacing w:after="156" w:afterLines="50"/>
      <w:jc w:val="left"/>
      <w:outlineLvl w:val="3"/>
    </w:pPr>
    <w:rPr>
      <w:sz w:val="24"/>
      <w:szCs w:val="24"/>
    </w:rPr>
  </w:style>
  <w:style w:type="paragraph" w:customStyle="1" w:styleId="84">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5">
    <w:name w:val="Bulleted List"/>
    <w:basedOn w:val="1"/>
    <w:qFormat/>
    <w:uiPriority w:val="0"/>
    <w:pPr>
      <w:numPr>
        <w:ilvl w:val="1"/>
        <w:numId w:val="4"/>
      </w:numPr>
      <w:adjustRightInd/>
    </w:pPr>
  </w:style>
  <w:style w:type="paragraph" w:customStyle="1" w:styleId="86">
    <w:name w:val="Char3"/>
    <w:basedOn w:val="1"/>
    <w:qFormat/>
    <w:uiPriority w:val="0"/>
    <w:pPr>
      <w:adjustRightInd/>
    </w:pPr>
    <w:rPr>
      <w:rFonts w:ascii="仿宋_GB2312" w:eastAsia="仿宋_GB2312"/>
      <w:b/>
      <w:sz w:val="32"/>
      <w:szCs w:val="32"/>
    </w:rPr>
  </w:style>
  <w:style w:type="paragraph" w:customStyle="1" w:styleId="87">
    <w:name w:val="Char Char1 Char Char Char Char Char Char"/>
    <w:basedOn w:val="1"/>
    <w:qFormat/>
    <w:uiPriority w:val="0"/>
    <w:rPr>
      <w:rFonts w:ascii="仿宋_GB2312" w:eastAsia="仿宋_GB2312"/>
      <w:b/>
      <w:sz w:val="32"/>
      <w:szCs w:val="20"/>
    </w:rPr>
  </w:style>
  <w:style w:type="paragraph" w:customStyle="1" w:styleId="88">
    <w:name w:val="文本正文 Char"/>
    <w:basedOn w:val="1"/>
    <w:qFormat/>
    <w:uiPriority w:val="0"/>
    <w:pPr>
      <w:spacing w:line="360" w:lineRule="auto"/>
      <w:ind w:firstLine="200" w:firstLineChars="200"/>
    </w:pPr>
    <w:rPr>
      <w:kern w:val="0"/>
      <w:sz w:val="24"/>
      <w:szCs w:val="20"/>
    </w:rPr>
  </w:style>
  <w:style w:type="paragraph" w:customStyle="1" w:styleId="8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90">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1">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3">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4">
    <w:name w:val="样式 标题 22h2L1 Heading 2H2sect 1.2H21sect 1.21H22sect 1.2..."/>
    <w:basedOn w:val="3"/>
    <w:next w:val="1"/>
    <w:qFormat/>
    <w:uiPriority w:val="0"/>
    <w:pPr>
      <w:numPr>
        <w:numId w:val="0"/>
      </w:numPr>
      <w:tabs>
        <w:tab w:val="left" w:pos="425"/>
      </w:tabs>
      <w:spacing w:before="260" w:after="260" w:line="415" w:lineRule="auto"/>
      <w:ind w:left="425" w:hanging="425"/>
    </w:pPr>
    <w:rPr>
      <w:rFonts w:ascii="微软雅黑" w:hAnsi="微软雅黑" w:eastAsia="微软雅黑"/>
      <w:lang w:val="en-US"/>
    </w:rPr>
  </w:style>
  <w:style w:type="paragraph" w:customStyle="1" w:styleId="95">
    <w:name w:val="正文首行缩进1"/>
    <w:basedOn w:val="2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6">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7">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8">
    <w:name w:val="Char1"/>
    <w:basedOn w:val="1"/>
    <w:qFormat/>
    <w:uiPriority w:val="0"/>
    <w:rPr>
      <w:rFonts w:ascii="仿宋_GB2312" w:eastAsia="仿宋_GB2312"/>
      <w:b/>
      <w:sz w:val="32"/>
      <w:szCs w:val="32"/>
    </w:rPr>
  </w:style>
  <w:style w:type="paragraph" w:customStyle="1" w:styleId="99">
    <w:name w:val="CM14"/>
    <w:basedOn w:val="100"/>
    <w:next w:val="100"/>
    <w:qFormat/>
    <w:uiPriority w:val="0"/>
    <w:pPr>
      <w:spacing w:after="68"/>
    </w:pPr>
    <w:rPr>
      <w:rFonts w:ascii="FHLHE E+ Futura Bk" w:eastAsia="FHLHE E+ Futura Bk" w:cs="Times New Roman"/>
      <w:color w:val="auto"/>
    </w:rPr>
  </w:style>
  <w:style w:type="paragraph" w:customStyle="1" w:styleId="100">
    <w:name w:val="Default"/>
    <w:next w:val="1"/>
    <w:link w:val="627"/>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1">
    <w:name w:val="正文文字缩进2字"/>
    <w:basedOn w:val="22"/>
    <w:qFormat/>
    <w:uiPriority w:val="0"/>
    <w:pPr>
      <w:autoSpaceDE/>
      <w:autoSpaceDN/>
      <w:adjustRightInd/>
      <w:spacing w:before="60" w:after="60"/>
      <w:ind w:firstLine="200" w:firstLineChars="200"/>
    </w:pPr>
    <w:rPr>
      <w:rFonts w:ascii="Times New Roman"/>
      <w:szCs w:val="20"/>
      <w:lang w:val="en-US"/>
    </w:rPr>
  </w:style>
  <w:style w:type="paragraph" w:customStyle="1" w:styleId="102">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3">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5">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customStyle="1" w:styleId="106">
    <w:name w:val="List Paragraph"/>
    <w:basedOn w:val="1"/>
    <w:qFormat/>
    <w:uiPriority w:val="0"/>
    <w:pPr>
      <w:spacing w:line="360" w:lineRule="auto"/>
      <w:ind w:firstLine="200" w:firstLineChars="200"/>
    </w:pPr>
    <w:rPr>
      <w:rFonts w:eastAsia="楷体_GB2312" w:cs="Lucida Sans"/>
      <w:sz w:val="24"/>
    </w:rPr>
  </w:style>
  <w:style w:type="paragraph" w:customStyle="1" w:styleId="107">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8">
    <w:name w:val="Char2 Char Char Char"/>
    <w:basedOn w:val="1"/>
    <w:qFormat/>
    <w:uiPriority w:val="0"/>
    <w:rPr>
      <w:rFonts w:ascii="仿宋_GB2312" w:eastAsia="仿宋_GB2312"/>
      <w:b/>
      <w:sz w:val="32"/>
      <w:szCs w:val="32"/>
    </w:rPr>
  </w:style>
  <w:style w:type="paragraph" w:customStyle="1" w:styleId="109">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10">
    <w:name w:val="样式 正文文本缩进 + 左侧:  2 字符 首行缩进:  2 字符"/>
    <w:basedOn w:val="23"/>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1">
    <w:name w:val="Char Char Char"/>
    <w:basedOn w:val="1"/>
    <w:qFormat/>
    <w:uiPriority w:val="0"/>
    <w:rPr>
      <w:rFonts w:ascii="Tahoma" w:hAnsi="Tahoma"/>
      <w:sz w:val="24"/>
      <w:szCs w:val="20"/>
    </w:rPr>
  </w:style>
  <w:style w:type="paragraph" w:customStyle="1" w:styleId="112">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3">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4">
    <w:name w:val="样式 正文缩进 + 首行缩进:  2 字符"/>
    <w:basedOn w:val="15"/>
    <w:qFormat/>
    <w:uiPriority w:val="0"/>
    <w:pPr>
      <w:widowControl w:val="0"/>
      <w:adjustRightInd/>
      <w:snapToGrid/>
      <w:spacing w:line="360" w:lineRule="auto"/>
      <w:ind w:firstLine="200" w:firstLineChars="200"/>
    </w:pPr>
    <w:rPr>
      <w:rFonts w:ascii="Times New Roman" w:cs="宋体"/>
      <w:color w:val="auto"/>
      <w:kern w:val="2"/>
      <w:sz w:val="24"/>
    </w:rPr>
  </w:style>
  <w:style w:type="paragraph" w:customStyle="1" w:styleId="11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6">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7">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9">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20">
    <w:name w:val="FA正文"/>
    <w:basedOn w:val="1"/>
    <w:qFormat/>
    <w:uiPriority w:val="0"/>
    <w:pPr>
      <w:spacing w:line="360" w:lineRule="auto"/>
      <w:ind w:firstLine="480" w:firstLineChars="200"/>
    </w:pPr>
    <w:rPr>
      <w:rFonts w:hAnsi="宋体"/>
      <w:sz w:val="24"/>
      <w:szCs w:val="20"/>
    </w:rPr>
  </w:style>
  <w:style w:type="paragraph" w:customStyle="1" w:styleId="121">
    <w:name w:val="MM Topic 4"/>
    <w:basedOn w:val="5"/>
    <w:qFormat/>
    <w:uiPriority w:val="0"/>
    <w:pPr>
      <w:numPr>
        <w:ilvl w:val="0"/>
        <w:numId w:val="0"/>
      </w:numPr>
      <w:tabs>
        <w:tab w:val="left" w:pos="2100"/>
      </w:tabs>
      <w:adjustRightInd/>
      <w:ind w:left="2100" w:hanging="420"/>
    </w:pPr>
    <w:rPr>
      <w:lang w:val="en-US"/>
    </w:rPr>
  </w:style>
  <w:style w:type="paragraph" w:customStyle="1" w:styleId="122">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3">
    <w:name w:val="有符号正文"/>
    <w:basedOn w:val="1"/>
    <w:qFormat/>
    <w:uiPriority w:val="0"/>
    <w:pPr>
      <w:adjustRightInd/>
      <w:spacing w:line="400" w:lineRule="exact"/>
      <w:ind w:firstLine="200" w:firstLineChars="200"/>
    </w:pPr>
    <w:rPr>
      <w:rFonts w:ascii="Arial" w:hAnsi="Arial"/>
    </w:rPr>
  </w:style>
  <w:style w:type="paragraph" w:customStyle="1" w:styleId="12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5">
    <w:name w:val="默认段落字体 Para Char"/>
    <w:basedOn w:val="1"/>
    <w:qFormat/>
    <w:uiPriority w:val="0"/>
    <w:rPr>
      <w:rFonts w:ascii="Tahoma" w:hAnsi="Tahoma"/>
      <w:sz w:val="24"/>
      <w:szCs w:val="20"/>
    </w:rPr>
  </w:style>
  <w:style w:type="paragraph" w:customStyle="1" w:styleId="126">
    <w:name w:val="Char1 Char Char Char2"/>
    <w:basedOn w:val="1"/>
    <w:qFormat/>
    <w:uiPriority w:val="0"/>
    <w:pPr>
      <w:adjustRightInd/>
      <w:ind w:firstLine="200" w:firstLineChars="200"/>
    </w:pPr>
    <w:rPr>
      <w:rFonts w:ascii="Tahoma" w:hAnsi="Tahoma"/>
      <w:sz w:val="24"/>
      <w:szCs w:val="20"/>
    </w:rPr>
  </w:style>
  <w:style w:type="paragraph" w:customStyle="1" w:styleId="127">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8">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9">
    <w:name w:val="注释"/>
    <w:basedOn w:val="1"/>
    <w:qFormat/>
    <w:uiPriority w:val="0"/>
    <w:pPr>
      <w:adjustRightInd/>
      <w:spacing w:line="360" w:lineRule="auto"/>
      <w:ind w:firstLine="480"/>
    </w:pPr>
    <w:rPr>
      <w:sz w:val="24"/>
    </w:rPr>
  </w:style>
  <w:style w:type="paragraph" w:customStyle="1" w:styleId="130">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1">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2">
    <w:name w:val="trademark"/>
    <w:qFormat/>
    <w:uiPriority w:val="0"/>
    <w:pPr>
      <w:spacing w:after="60"/>
    </w:pPr>
    <w:rPr>
      <w:rFonts w:ascii="Futura Bk" w:hAnsi="Futura Bk" w:eastAsia="宋体" w:cs="Times New Roman"/>
      <w:sz w:val="15"/>
      <w:lang w:val="en-US" w:eastAsia="en-US" w:bidi="ar-SA"/>
    </w:rPr>
  </w:style>
  <w:style w:type="paragraph" w:customStyle="1" w:styleId="13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4">
    <w:name w:val="EB_表格"/>
    <w:basedOn w:val="1"/>
    <w:qFormat/>
    <w:uiPriority w:val="0"/>
    <w:pPr>
      <w:adjustRightInd/>
      <w:spacing w:line="300" w:lineRule="auto"/>
      <w:jc w:val="center"/>
    </w:pPr>
  </w:style>
  <w:style w:type="paragraph" w:customStyle="1" w:styleId="135">
    <w:name w:val="Char Char Char1 Char"/>
    <w:basedOn w:val="1"/>
    <w:qFormat/>
    <w:uiPriority w:val="0"/>
    <w:rPr>
      <w:szCs w:val="20"/>
    </w:rPr>
  </w:style>
  <w:style w:type="paragraph" w:customStyle="1" w:styleId="136">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7">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8">
    <w:name w:val="章标题"/>
    <w:next w:val="139"/>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0">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1">
    <w:name w:val="标准有序列表（L1）"/>
    <w:basedOn w:val="15"/>
    <w:qFormat/>
    <w:uiPriority w:val="0"/>
    <w:pPr>
      <w:widowControl w:val="0"/>
      <w:tabs>
        <w:tab w:val="left" w:pos="0"/>
        <w:tab w:val="left" w:pos="992"/>
      </w:tabs>
      <w:adjustRightInd/>
      <w:snapToGrid/>
      <w:spacing w:line="360" w:lineRule="auto"/>
      <w:ind w:firstLine="0"/>
    </w:pPr>
    <w:rPr>
      <w:rFonts w:ascii="黑体" w:eastAsia="黑体"/>
      <w:kern w:val="2"/>
      <w:sz w:val="24"/>
    </w:rPr>
  </w:style>
  <w:style w:type="paragraph" w:customStyle="1" w:styleId="14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3">
    <w:name w:val="表文字"/>
    <w:qFormat/>
    <w:uiPriority w:val="0"/>
    <w:rPr>
      <w:rFonts w:ascii="宋体" w:hAnsi="Times New Roman" w:eastAsia="宋体" w:cs="Times New Roman"/>
      <w:kern w:val="2"/>
      <w:lang w:val="en-US" w:eastAsia="zh-CN" w:bidi="ar-SA"/>
    </w:rPr>
  </w:style>
  <w:style w:type="paragraph" w:customStyle="1" w:styleId="144">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5">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6">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7">
    <w:name w:val="列表内容"/>
    <w:basedOn w:val="1"/>
    <w:next w:val="1"/>
    <w:qFormat/>
    <w:uiPriority w:val="0"/>
    <w:pPr>
      <w:widowControl/>
      <w:tabs>
        <w:tab w:val="left" w:pos="840"/>
      </w:tabs>
      <w:ind w:left="840" w:hanging="420"/>
      <w:jc w:val="left"/>
    </w:pPr>
    <w:rPr>
      <w:kern w:val="0"/>
      <w:sz w:val="18"/>
    </w:rPr>
  </w:style>
  <w:style w:type="paragraph" w:customStyle="1" w:styleId="148">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9">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50">
    <w:name w:val="body text bold"/>
    <w:basedOn w:val="2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1">
    <w:name w:val="Char2 Char Char"/>
    <w:basedOn w:val="1"/>
    <w:qFormat/>
    <w:uiPriority w:val="0"/>
    <w:pPr>
      <w:adjustRightInd/>
    </w:pPr>
    <w:rPr>
      <w:rFonts w:ascii="Tahoma" w:hAnsi="Tahoma"/>
      <w:sz w:val="24"/>
      <w:szCs w:val="20"/>
    </w:rPr>
  </w:style>
  <w:style w:type="paragraph" w:customStyle="1" w:styleId="152">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3">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4">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5">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6">
    <w:name w:val="Char Char1 Char Char Char"/>
    <w:basedOn w:val="1"/>
    <w:qFormat/>
    <w:uiPriority w:val="0"/>
    <w:rPr>
      <w:rFonts w:ascii="仿宋_GB2312" w:eastAsia="仿宋_GB2312"/>
      <w:b/>
      <w:sz w:val="32"/>
      <w:szCs w:val="20"/>
    </w:rPr>
  </w:style>
  <w:style w:type="paragraph" w:customStyle="1" w:styleId="157">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8">
    <w:name w:val="WW-正文文字缩进 2"/>
    <w:basedOn w:val="1"/>
    <w:qFormat/>
    <w:uiPriority w:val="0"/>
    <w:pPr>
      <w:suppressAutoHyphens/>
      <w:adjustRightInd/>
      <w:ind w:firstLine="420"/>
    </w:pPr>
    <w:rPr>
      <w:kern w:val="1"/>
      <w:szCs w:val="20"/>
    </w:rPr>
  </w:style>
  <w:style w:type="paragraph" w:customStyle="1" w:styleId="159">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60">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1">
    <w:name w:val="默认段落字体 Para Char Char Char Char"/>
    <w:basedOn w:val="1"/>
    <w:qFormat/>
    <w:uiPriority w:val="0"/>
    <w:pPr>
      <w:spacing w:line="360" w:lineRule="auto"/>
    </w:pPr>
    <w:rPr>
      <w:szCs w:val="20"/>
    </w:rPr>
  </w:style>
  <w:style w:type="paragraph" w:customStyle="1" w:styleId="162">
    <w:name w:val="Char Char11 Char Char Char"/>
    <w:basedOn w:val="1"/>
    <w:qFormat/>
    <w:uiPriority w:val="0"/>
    <w:pPr>
      <w:spacing w:line="360" w:lineRule="auto"/>
    </w:pPr>
    <w:rPr>
      <w:szCs w:val="20"/>
    </w:rPr>
  </w:style>
  <w:style w:type="paragraph" w:customStyle="1" w:styleId="163">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5">
    <w:name w:val="左对齐表格文字"/>
    <w:basedOn w:val="1"/>
    <w:qFormat/>
    <w:uiPriority w:val="0"/>
    <w:pPr>
      <w:adjustRightInd/>
      <w:ind w:firstLine="200" w:firstLineChars="200"/>
      <w:jc w:val="right"/>
    </w:pPr>
  </w:style>
  <w:style w:type="paragraph" w:customStyle="1" w:styleId="166">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7">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8">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9">
    <w:name w:val="无间隔1"/>
    <w:link w:val="531"/>
    <w:qFormat/>
    <w:uiPriority w:val="1"/>
    <w:rPr>
      <w:rFonts w:ascii="Calibri" w:hAnsi="Calibri" w:eastAsia="宋体" w:cs="Times New Roman"/>
      <w:sz w:val="22"/>
      <w:szCs w:val="22"/>
      <w:lang w:val="en-US" w:eastAsia="zh-CN" w:bidi="ar-SA"/>
    </w:rPr>
  </w:style>
  <w:style w:type="paragraph" w:customStyle="1" w:styleId="170">
    <w:name w:val="样式 样式 标题 4h4H4Fab-4T5Ref Heading 1rh1Heading sqlsect 1.2.3.... +..."/>
    <w:basedOn w:val="171"/>
    <w:link w:val="609"/>
    <w:qFormat/>
    <w:uiPriority w:val="0"/>
    <w:pPr>
      <w:tabs>
        <w:tab w:val="left" w:pos="864"/>
        <w:tab w:val="left" w:pos="2356"/>
      </w:tabs>
    </w:pPr>
  </w:style>
  <w:style w:type="paragraph" w:customStyle="1" w:styleId="171">
    <w:name w:val="样式 标题 4h4H4Fab-4T5Ref Heading 1rh1Heading sqlsect 1.2.3...."/>
    <w:basedOn w:val="5"/>
    <w:link w:val="559"/>
    <w:qFormat/>
    <w:uiPriority w:val="0"/>
    <w:pPr>
      <w:numPr>
        <w:numId w:val="0"/>
      </w:numPr>
      <w:tabs>
        <w:tab w:val="left" w:pos="2356"/>
      </w:tabs>
      <w:adjustRightInd/>
      <w:spacing w:line="360" w:lineRule="auto"/>
      <w:ind w:left="1984" w:leftChars="75" w:hanging="708" w:firstLineChars="200"/>
    </w:pPr>
    <w:rPr>
      <w:rFonts w:ascii="微软雅黑" w:hAnsi="微软雅黑" w:eastAsia="微软雅黑"/>
      <w:sz w:val="24"/>
    </w:rPr>
  </w:style>
  <w:style w:type="paragraph" w:customStyle="1" w:styleId="172">
    <w:name w:val="四级条标题"/>
    <w:basedOn w:val="173"/>
    <w:next w:val="139"/>
    <w:qFormat/>
    <w:uiPriority w:val="0"/>
    <w:pPr>
      <w:numPr>
        <w:ilvl w:val="5"/>
        <w:numId w:val="4"/>
      </w:numPr>
      <w:tabs>
        <w:tab w:val="left" w:pos="1680"/>
        <w:tab w:val="left" w:pos="2100"/>
        <w:tab w:val="left" w:pos="2520"/>
      </w:tabs>
      <w:outlineLvl w:val="5"/>
    </w:pPr>
  </w:style>
  <w:style w:type="paragraph" w:customStyle="1" w:styleId="173">
    <w:name w:val="三级条标题"/>
    <w:basedOn w:val="174"/>
    <w:next w:val="139"/>
    <w:qFormat/>
    <w:uiPriority w:val="0"/>
    <w:pPr>
      <w:numPr>
        <w:ilvl w:val="0"/>
        <w:numId w:val="0"/>
      </w:numPr>
      <w:tabs>
        <w:tab w:val="left" w:pos="1680"/>
        <w:tab w:val="left" w:pos="2100"/>
        <w:tab w:val="left" w:pos="2520"/>
      </w:tabs>
      <w:ind w:left="2520" w:hanging="420"/>
      <w:outlineLvl w:val="4"/>
    </w:pPr>
  </w:style>
  <w:style w:type="paragraph" w:customStyle="1" w:styleId="174">
    <w:name w:val="二级条标题"/>
    <w:basedOn w:val="175"/>
    <w:next w:val="139"/>
    <w:qFormat/>
    <w:uiPriority w:val="0"/>
    <w:pPr>
      <w:numPr>
        <w:ilvl w:val="3"/>
        <w:numId w:val="4"/>
      </w:numPr>
      <w:tabs>
        <w:tab w:val="left" w:pos="1680"/>
      </w:tabs>
      <w:ind w:left="0"/>
      <w:outlineLvl w:val="3"/>
    </w:pPr>
  </w:style>
  <w:style w:type="paragraph" w:customStyle="1" w:styleId="175">
    <w:name w:val="一级条标题"/>
    <w:basedOn w:val="138"/>
    <w:next w:val="139"/>
    <w:qFormat/>
    <w:uiPriority w:val="0"/>
    <w:pPr>
      <w:tabs>
        <w:tab w:val="left" w:pos="1680"/>
        <w:tab w:val="clear" w:pos="1260"/>
      </w:tabs>
      <w:spacing w:before="0" w:beforeLines="0" w:after="0" w:afterLines="0"/>
      <w:ind w:left="1680"/>
      <w:outlineLvl w:val="2"/>
    </w:pPr>
  </w:style>
  <w:style w:type="paragraph" w:customStyle="1" w:styleId="17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7">
    <w:name w:val="标准小四"/>
    <w:basedOn w:val="1"/>
    <w:qFormat/>
    <w:uiPriority w:val="0"/>
    <w:pPr>
      <w:spacing w:line="360" w:lineRule="auto"/>
      <w:ind w:firstLine="480" w:firstLineChars="200"/>
    </w:pPr>
    <w:rPr>
      <w:rFonts w:ascii="Arial" w:hAnsi="Arial"/>
      <w:sz w:val="24"/>
      <w:szCs w:val="21"/>
    </w:rPr>
  </w:style>
  <w:style w:type="paragraph" w:customStyle="1" w:styleId="178">
    <w:name w:val="表格"/>
    <w:basedOn w:val="1"/>
    <w:qFormat/>
    <w:uiPriority w:val="0"/>
    <w:pPr>
      <w:snapToGrid w:val="0"/>
      <w:ind w:firstLine="42" w:firstLineChars="21"/>
    </w:pPr>
    <w:rPr>
      <w:rFonts w:ascii="宋体" w:hAnsi="宋体"/>
      <w:kern w:val="0"/>
      <w:sz w:val="20"/>
      <w:szCs w:val="20"/>
    </w:rPr>
  </w:style>
  <w:style w:type="paragraph" w:customStyle="1" w:styleId="17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80">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1">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2">
    <w:name w:val="封面公司名"/>
    <w:qFormat/>
    <w:uiPriority w:val="0"/>
    <w:pPr>
      <w:jc w:val="center"/>
    </w:pPr>
    <w:rPr>
      <w:rFonts w:ascii="Arial" w:hAnsi="Arial" w:eastAsia="楷体_GB2312" w:cs="宋体"/>
      <w:bCs/>
      <w:kern w:val="2"/>
      <w:sz w:val="28"/>
      <w:lang w:val="en-US" w:eastAsia="zh-CN" w:bidi="ar-SA"/>
    </w:rPr>
  </w:style>
  <w:style w:type="paragraph" w:customStyle="1" w:styleId="183">
    <w:name w:val="Char2 Char Char Char1"/>
    <w:basedOn w:val="1"/>
    <w:qFormat/>
    <w:uiPriority w:val="0"/>
    <w:rPr>
      <w:rFonts w:ascii="仿宋_GB2312" w:eastAsia="仿宋_GB2312"/>
      <w:b/>
      <w:sz w:val="32"/>
      <w:szCs w:val="32"/>
    </w:rPr>
  </w:style>
  <w:style w:type="paragraph" w:customStyle="1" w:styleId="1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5">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7">
    <w:name w:val="Char2"/>
    <w:basedOn w:val="1"/>
    <w:qFormat/>
    <w:uiPriority w:val="0"/>
    <w:rPr>
      <w:rFonts w:ascii="仿宋_GB2312" w:eastAsia="仿宋_GB2312"/>
      <w:b/>
      <w:sz w:val="32"/>
      <w:szCs w:val="32"/>
    </w:rPr>
  </w:style>
  <w:style w:type="paragraph" w:customStyle="1" w:styleId="188">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9">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90">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1">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2">
    <w:name w:val="!大节"/>
    <w:basedOn w:val="3"/>
    <w:qFormat/>
    <w:uiPriority w:val="0"/>
    <w:pPr>
      <w:numPr>
        <w:numId w:val="0"/>
      </w:numPr>
      <w:spacing w:before="260" w:after="260" w:line="415" w:lineRule="auto"/>
      <w:ind w:left="420" w:hanging="420"/>
    </w:pPr>
    <w:rPr>
      <w:rFonts w:ascii="Arial" w:hAnsi="Arial" w:eastAsia="微软雅黑"/>
      <w:lang w:val="en-US"/>
    </w:rPr>
  </w:style>
  <w:style w:type="paragraph" w:customStyle="1" w:styleId="193">
    <w:name w:val="Char Char4 Char Char"/>
    <w:basedOn w:val="1"/>
    <w:qFormat/>
    <w:uiPriority w:val="0"/>
    <w:pPr>
      <w:widowControl/>
      <w:adjustRightInd/>
      <w:spacing w:after="160" w:line="240" w:lineRule="exact"/>
      <w:jc w:val="left"/>
    </w:pPr>
  </w:style>
  <w:style w:type="paragraph" w:customStyle="1" w:styleId="194">
    <w:name w:val="Char2 Char Char1"/>
    <w:basedOn w:val="1"/>
    <w:qFormat/>
    <w:uiPriority w:val="0"/>
    <w:pPr>
      <w:adjustRightInd/>
    </w:pPr>
    <w:rPr>
      <w:rFonts w:ascii="Tahoma" w:hAnsi="Tahoma"/>
      <w:sz w:val="24"/>
      <w:szCs w:val="20"/>
    </w:rPr>
  </w:style>
  <w:style w:type="paragraph" w:customStyle="1" w:styleId="195">
    <w:name w:val="默认段落字体 Para Char Char Char Char Char Char Char"/>
    <w:basedOn w:val="1"/>
    <w:qFormat/>
    <w:uiPriority w:val="0"/>
    <w:rPr>
      <w:rFonts w:eastAsia="仿宋_GB2312"/>
      <w:sz w:val="28"/>
      <w:szCs w:val="20"/>
    </w:rPr>
  </w:style>
  <w:style w:type="paragraph" w:customStyle="1" w:styleId="196">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7">
    <w:name w:val="正文21"/>
    <w:basedOn w:val="1"/>
    <w:qFormat/>
    <w:uiPriority w:val="0"/>
    <w:pPr>
      <w:adjustRightInd/>
      <w:spacing w:before="156" w:line="360" w:lineRule="auto"/>
      <w:ind w:firstLine="510" w:firstLineChars="200"/>
    </w:pPr>
    <w:rPr>
      <w:sz w:val="24"/>
      <w:szCs w:val="20"/>
    </w:rPr>
  </w:style>
  <w:style w:type="paragraph" w:customStyle="1" w:styleId="198">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199">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00">
    <w:name w:val="标题五"/>
    <w:basedOn w:val="1"/>
    <w:qFormat/>
    <w:uiPriority w:val="0"/>
    <w:pPr>
      <w:adjustRightInd/>
      <w:spacing w:before="156" w:beforeLines="50" w:line="360" w:lineRule="auto"/>
    </w:pPr>
    <w:rPr>
      <w:b/>
      <w:sz w:val="24"/>
    </w:rPr>
  </w:style>
  <w:style w:type="paragraph" w:customStyle="1" w:styleId="201">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2">
    <w:name w:val="Char Char11"/>
    <w:basedOn w:val="1"/>
    <w:qFormat/>
    <w:uiPriority w:val="0"/>
    <w:pPr>
      <w:spacing w:line="360" w:lineRule="auto"/>
    </w:pPr>
    <w:rPr>
      <w:szCs w:val="20"/>
    </w:rPr>
  </w:style>
  <w:style w:type="paragraph" w:customStyle="1" w:styleId="203">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4">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205">
    <w:name w:val="样式 标题 1章节第一层h1H"/>
    <w:basedOn w:val="2"/>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8">
    <w:name w:val="Char Char11 Char Char Char Char Char Char Char Char Char"/>
    <w:basedOn w:val="1"/>
    <w:qFormat/>
    <w:uiPriority w:val="0"/>
    <w:pPr>
      <w:spacing w:line="360" w:lineRule="auto"/>
    </w:pPr>
    <w:rPr>
      <w:szCs w:val="20"/>
    </w:rPr>
  </w:style>
  <w:style w:type="paragraph" w:customStyle="1" w:styleId="209">
    <w:name w:val="Char Char1 Char Char Char1"/>
    <w:basedOn w:val="1"/>
    <w:qFormat/>
    <w:uiPriority w:val="0"/>
    <w:rPr>
      <w:rFonts w:ascii="仿宋_GB2312" w:eastAsia="仿宋_GB2312"/>
      <w:b/>
      <w:sz w:val="32"/>
      <w:szCs w:val="32"/>
    </w:rPr>
  </w:style>
  <w:style w:type="paragraph" w:customStyle="1" w:styleId="210">
    <w:name w:val="样式 标题 4PIM 4H4h4bulletblbbH41H42H43H44H45H46H47H48...1"/>
    <w:basedOn w:val="5"/>
    <w:qFormat/>
    <w:uiPriority w:val="0"/>
    <w:pPr>
      <w:widowControl/>
      <w:jc w:val="left"/>
    </w:pPr>
    <w:rPr>
      <w:rFonts w:cs="宋体"/>
      <w:sz w:val="24"/>
      <w:szCs w:val="20"/>
    </w:rPr>
  </w:style>
  <w:style w:type="paragraph" w:customStyle="1" w:styleId="21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2">
    <w:name w:val="表格标题2"/>
    <w:basedOn w:val="213"/>
    <w:qFormat/>
    <w:uiPriority w:val="0"/>
    <w:rPr>
      <w:b/>
    </w:rPr>
  </w:style>
  <w:style w:type="paragraph" w:customStyle="1" w:styleId="213">
    <w:name w:val="表格内文"/>
    <w:basedOn w:val="1"/>
    <w:qFormat/>
    <w:uiPriority w:val="0"/>
    <w:pPr>
      <w:adjustRightInd/>
      <w:spacing w:line="360" w:lineRule="auto"/>
    </w:pPr>
    <w:rPr>
      <w:rFonts w:ascii="宋体" w:hAnsi="宋体" w:cs="宋体"/>
      <w:color w:val="000000"/>
      <w:szCs w:val="20"/>
    </w:rPr>
  </w:style>
  <w:style w:type="paragraph" w:customStyle="1" w:styleId="214">
    <w:name w:val="Char Char Char Char Char Char Char"/>
    <w:basedOn w:val="1"/>
    <w:qFormat/>
    <w:uiPriority w:val="0"/>
    <w:rPr>
      <w:rFonts w:ascii="仿宋_GB2312" w:eastAsia="仿宋_GB2312"/>
      <w:b/>
      <w:sz w:val="32"/>
      <w:szCs w:val="32"/>
    </w:rPr>
  </w:style>
  <w:style w:type="paragraph" w:customStyle="1" w:styleId="215">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6">
    <w:name w:val="数字标题6"/>
    <w:basedOn w:val="7"/>
    <w:next w:val="1"/>
    <w:qFormat/>
    <w:uiPriority w:val="0"/>
    <w:pPr>
      <w:numPr>
        <w:numId w:val="5"/>
      </w:numPr>
      <w:tabs>
        <w:tab w:val="left" w:pos="480"/>
        <w:tab w:val="left" w:pos="1080"/>
      </w:tabs>
    </w:pPr>
    <w:rPr>
      <w:rFonts w:ascii="Times New Roman" w:hAnsi="Times New Roman" w:eastAsia="宋体"/>
      <w:i/>
    </w:rPr>
  </w:style>
  <w:style w:type="paragraph" w:customStyle="1" w:styleId="2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8">
    <w:name w:val="列出段落2"/>
    <w:basedOn w:val="1"/>
    <w:qFormat/>
    <w:uiPriority w:val="0"/>
    <w:pPr>
      <w:adjustRightInd/>
      <w:ind w:firstLine="420" w:firstLineChars="200"/>
    </w:pPr>
    <w:rPr>
      <w:rFonts w:ascii="宋体" w:hAnsi="宋体"/>
      <w:sz w:val="24"/>
    </w:rPr>
  </w:style>
  <w:style w:type="paragraph" w:customStyle="1" w:styleId="219">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20">
    <w:name w:val="TOC 标题1"/>
    <w:basedOn w:val="2"/>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1">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2">
    <w:name w:val="正文 首行缩进:  2 字符 Char"/>
    <w:basedOn w:val="1"/>
    <w:qFormat/>
    <w:uiPriority w:val="0"/>
    <w:pPr>
      <w:adjustRightInd/>
      <w:spacing w:line="360" w:lineRule="auto"/>
      <w:ind w:firstLine="480"/>
    </w:pPr>
    <w:rPr>
      <w:rFonts w:cs="宋体"/>
      <w:sz w:val="24"/>
      <w:szCs w:val="20"/>
    </w:rPr>
  </w:style>
  <w:style w:type="paragraph" w:customStyle="1" w:styleId="223">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4">
    <w:name w:val="Table Text"/>
    <w:basedOn w:val="1"/>
    <w:qFormat/>
    <w:uiPriority w:val="0"/>
    <w:pPr>
      <w:widowControl/>
      <w:spacing w:before="60" w:after="60"/>
      <w:jc w:val="left"/>
    </w:pPr>
    <w:rPr>
      <w:kern w:val="0"/>
      <w:sz w:val="24"/>
    </w:rPr>
  </w:style>
  <w:style w:type="paragraph" w:customStyle="1" w:styleId="225">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7">
    <w:name w:val="Char Char Char Char Char Char Char Char Char Char"/>
    <w:basedOn w:val="1"/>
    <w:qFormat/>
    <w:uiPriority w:val="0"/>
    <w:rPr>
      <w:rFonts w:ascii="仿宋_GB2312" w:eastAsia="仿宋_GB2312"/>
      <w:b/>
      <w:sz w:val="32"/>
      <w:szCs w:val="32"/>
    </w:rPr>
  </w:style>
  <w:style w:type="paragraph" w:customStyle="1" w:styleId="228">
    <w:name w:val="MM Title"/>
    <w:basedOn w:val="57"/>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9">
    <w:name w:val="正文文字表格居中"/>
    <w:basedOn w:val="1"/>
    <w:next w:val="54"/>
    <w:qFormat/>
    <w:uiPriority w:val="0"/>
    <w:pPr>
      <w:snapToGrid w:val="0"/>
      <w:spacing w:line="360" w:lineRule="auto"/>
    </w:pPr>
    <w:rPr>
      <w:rFonts w:ascii="宋体"/>
      <w:b/>
      <w:sz w:val="24"/>
      <w:szCs w:val="20"/>
    </w:rPr>
  </w:style>
  <w:style w:type="paragraph" w:customStyle="1" w:styleId="230">
    <w:name w:val="模板普通正文"/>
    <w:basedOn w:val="23"/>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1">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2">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4">
    <w:name w:val="Char"/>
    <w:basedOn w:val="1"/>
    <w:qFormat/>
    <w:uiPriority w:val="0"/>
    <w:rPr>
      <w:rFonts w:ascii="仿宋_GB2312" w:eastAsia="仿宋_GB2312"/>
      <w:b/>
      <w:sz w:val="32"/>
      <w:szCs w:val="32"/>
    </w:rPr>
  </w:style>
  <w:style w:type="paragraph" w:customStyle="1" w:styleId="235">
    <w:name w:val="冯广丽"/>
    <w:basedOn w:val="1"/>
    <w:link w:val="472"/>
    <w:qFormat/>
    <w:uiPriority w:val="0"/>
    <w:pPr>
      <w:adjustRightInd/>
      <w:spacing w:line="360" w:lineRule="auto"/>
      <w:ind w:firstLine="480" w:firstLineChars="200"/>
    </w:pPr>
    <w:rPr>
      <w:rFonts w:ascii="宋体" w:hAnsi="宋体"/>
      <w:sz w:val="24"/>
      <w:szCs w:val="22"/>
    </w:rPr>
  </w:style>
  <w:style w:type="paragraph" w:customStyle="1" w:styleId="236">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7">
    <w:name w:val="Char31"/>
    <w:basedOn w:val="1"/>
    <w:qFormat/>
    <w:uiPriority w:val="0"/>
    <w:pPr>
      <w:adjustRightInd/>
      <w:ind w:firstLine="200" w:firstLineChars="200"/>
    </w:pPr>
    <w:rPr>
      <w:rFonts w:ascii="Tahoma" w:hAnsi="Tahoma"/>
      <w:sz w:val="24"/>
      <w:szCs w:val="20"/>
    </w:rPr>
  </w:style>
  <w:style w:type="paragraph" w:customStyle="1" w:styleId="238">
    <w:name w:val="Char Char11 Char Char Char1"/>
    <w:basedOn w:val="1"/>
    <w:qFormat/>
    <w:uiPriority w:val="0"/>
    <w:pPr>
      <w:spacing w:line="360" w:lineRule="auto"/>
    </w:pPr>
    <w:rPr>
      <w:szCs w:val="20"/>
    </w:rPr>
  </w:style>
  <w:style w:type="paragraph" w:customStyle="1" w:styleId="239">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40">
    <w:name w:val="_Style 236"/>
    <w:qFormat/>
    <w:uiPriority w:val="0"/>
    <w:rPr>
      <w:rFonts w:ascii="Times New Roman" w:hAnsi="Times New Roman" w:eastAsia="宋体" w:cs="Times New Roman"/>
      <w:kern w:val="2"/>
      <w:sz w:val="21"/>
      <w:lang w:val="en-US" w:eastAsia="zh-CN" w:bidi="ar-SA"/>
    </w:rPr>
  </w:style>
  <w:style w:type="paragraph" w:customStyle="1" w:styleId="241">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2">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3">
    <w:name w:val="正文文字缩进项目"/>
    <w:basedOn w:val="23"/>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4">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5">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6">
    <w:name w:val="文章标题"/>
    <w:next w:val="182"/>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7">
    <w:name w:val="4"/>
    <w:basedOn w:val="1"/>
    <w:next w:val="36"/>
    <w:qFormat/>
    <w:uiPriority w:val="0"/>
    <w:pPr>
      <w:spacing w:after="120" w:line="480" w:lineRule="auto"/>
      <w:ind w:left="420" w:leftChars="200"/>
    </w:pPr>
    <w:rPr>
      <w:sz w:val="24"/>
      <w:szCs w:val="20"/>
    </w:rPr>
  </w:style>
  <w:style w:type="paragraph" w:customStyle="1" w:styleId="248">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9">
    <w:name w:val="Char Char Char Char Char Char Char Char Char Char Char1 Char"/>
    <w:basedOn w:val="1"/>
    <w:qFormat/>
    <w:uiPriority w:val="0"/>
    <w:pPr>
      <w:adjustRightInd/>
    </w:pPr>
    <w:rPr>
      <w:rFonts w:ascii="Tahoma" w:hAnsi="Tahoma"/>
      <w:sz w:val="24"/>
    </w:rPr>
  </w:style>
  <w:style w:type="paragraph" w:customStyle="1" w:styleId="25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1">
    <w:name w:val="标书表格字体格式"/>
    <w:next w:val="155"/>
    <w:qFormat/>
    <w:uiPriority w:val="0"/>
    <w:rPr>
      <w:rFonts w:ascii="Times New Roman" w:hAnsi="Times New Roman" w:eastAsia="宋体" w:cs="Times New Roman"/>
      <w:kern w:val="2"/>
      <w:sz w:val="21"/>
      <w:szCs w:val="24"/>
      <w:lang w:val="en-US" w:eastAsia="zh-CN" w:bidi="ar-SA"/>
    </w:rPr>
  </w:style>
  <w:style w:type="paragraph" w:customStyle="1" w:styleId="25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3">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4">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255">
    <w:name w:val="带编号样式"/>
    <w:basedOn w:val="88"/>
    <w:qFormat/>
    <w:uiPriority w:val="0"/>
    <w:pPr>
      <w:tabs>
        <w:tab w:val="left" w:pos="840"/>
      </w:tabs>
      <w:snapToGrid w:val="0"/>
      <w:ind w:left="840" w:firstLine="0" w:firstLineChars="0"/>
    </w:pPr>
    <w:rPr>
      <w:rFonts w:ascii="仿宋_GB2312" w:eastAsia="仿宋_GB2312"/>
      <w:color w:val="000000"/>
    </w:rPr>
  </w:style>
  <w:style w:type="paragraph" w:customStyle="1" w:styleId="256">
    <w:name w:val="正文文字 2"/>
    <w:basedOn w:val="100"/>
    <w:next w:val="100"/>
    <w:qFormat/>
    <w:uiPriority w:val="0"/>
    <w:rPr>
      <w:rFonts w:ascii="宋体" w:eastAsia="宋体" w:cs="Times New Roman"/>
      <w:color w:val="auto"/>
    </w:rPr>
  </w:style>
  <w:style w:type="paragraph" w:customStyle="1" w:styleId="257">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8">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59">
    <w:name w:val="Char5"/>
    <w:basedOn w:val="1"/>
    <w:qFormat/>
    <w:uiPriority w:val="0"/>
    <w:rPr>
      <w:rFonts w:ascii="仿宋_GB2312" w:eastAsia="仿宋_GB2312"/>
      <w:b/>
      <w:sz w:val="32"/>
      <w:szCs w:val="32"/>
    </w:rPr>
  </w:style>
  <w:style w:type="paragraph" w:customStyle="1" w:styleId="26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1">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2">
    <w:name w:val="Item List"/>
    <w:link w:val="477"/>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3">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4">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2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7">
    <w:name w:val="Char Char1 Char Char Char Char Char Char1"/>
    <w:basedOn w:val="1"/>
    <w:qFormat/>
    <w:uiPriority w:val="0"/>
    <w:rPr>
      <w:rFonts w:ascii="仿宋_GB2312" w:eastAsia="仿宋_GB2312"/>
      <w:b/>
      <w:sz w:val="32"/>
      <w:szCs w:val="20"/>
    </w:rPr>
  </w:style>
  <w:style w:type="paragraph" w:customStyle="1" w:styleId="268">
    <w:name w:val="Char Char Char Char Char Char Char Char Char Char Char Char1 Char"/>
    <w:basedOn w:val="1"/>
    <w:qFormat/>
    <w:uiPriority w:val="0"/>
    <w:rPr>
      <w:rFonts w:ascii="Tahoma" w:hAnsi="Tahoma" w:cs="仿宋_GB2312"/>
      <w:sz w:val="24"/>
      <w:szCs w:val="20"/>
    </w:rPr>
  </w:style>
  <w:style w:type="paragraph" w:customStyle="1" w:styleId="269">
    <w:name w:val="表格项目符号 2"/>
    <w:basedOn w:val="27"/>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1">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272">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3">
    <w:name w:val="样式 正文文本缩进 + 段前: 2 字符"/>
    <w:basedOn w:val="1"/>
    <w:qFormat/>
    <w:uiPriority w:val="0"/>
    <w:pPr>
      <w:adjustRightInd/>
      <w:ind w:left="420" w:leftChars="200"/>
      <w:jc w:val="left"/>
    </w:pPr>
    <w:rPr>
      <w:sz w:val="28"/>
      <w:szCs w:val="20"/>
      <w:lang w:eastAsia="zh-TW"/>
    </w:rPr>
  </w:style>
  <w:style w:type="paragraph" w:customStyle="1" w:styleId="274">
    <w:name w:val="Char1 Char Char Char3"/>
    <w:basedOn w:val="1"/>
    <w:qFormat/>
    <w:uiPriority w:val="0"/>
    <w:pPr>
      <w:adjustRightInd/>
      <w:ind w:firstLine="200" w:firstLineChars="200"/>
    </w:pPr>
    <w:rPr>
      <w:rFonts w:ascii="Tahoma" w:hAnsi="Tahoma"/>
      <w:sz w:val="24"/>
      <w:szCs w:val="20"/>
    </w:rPr>
  </w:style>
  <w:style w:type="paragraph" w:customStyle="1" w:styleId="275">
    <w:name w:val="_Style 271"/>
    <w:basedOn w:val="2"/>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6">
    <w:name w:val="Char Char Char Char Char Char Char Char Char Char Char Char1 Char1"/>
    <w:basedOn w:val="1"/>
    <w:qFormat/>
    <w:uiPriority w:val="0"/>
    <w:rPr>
      <w:rFonts w:ascii="Tahoma" w:hAnsi="Tahoma" w:cs="仿宋_GB2312"/>
      <w:sz w:val="24"/>
      <w:szCs w:val="20"/>
    </w:rPr>
  </w:style>
  <w:style w:type="paragraph" w:customStyle="1" w:styleId="277">
    <w:name w:val="Char Char1 Char1"/>
    <w:basedOn w:val="1"/>
    <w:qFormat/>
    <w:uiPriority w:val="0"/>
    <w:rPr>
      <w:rFonts w:ascii="仿宋_GB2312" w:eastAsia="仿宋_GB2312"/>
      <w:b/>
      <w:sz w:val="32"/>
      <w:szCs w:val="32"/>
    </w:rPr>
  </w:style>
  <w:style w:type="paragraph" w:customStyle="1" w:styleId="278">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9">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80">
    <w:name w:val="Bulleting First Indent 1"/>
    <w:basedOn w:val="59"/>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1">
    <w:name w:val="Char Char1"/>
    <w:basedOn w:val="1"/>
    <w:qFormat/>
    <w:uiPriority w:val="0"/>
    <w:pPr>
      <w:widowControl/>
      <w:spacing w:after="160" w:line="240" w:lineRule="exact"/>
      <w:jc w:val="left"/>
    </w:pPr>
    <w:rPr>
      <w:rFonts w:eastAsia="仿宋_GB2312"/>
      <w:sz w:val="28"/>
    </w:rPr>
  </w:style>
  <w:style w:type="paragraph" w:customStyle="1" w:styleId="282">
    <w:name w:val="单元格居中"/>
    <w:basedOn w:val="1"/>
    <w:qFormat/>
    <w:uiPriority w:val="0"/>
    <w:pPr>
      <w:adjustRightInd/>
      <w:spacing w:line="360" w:lineRule="auto"/>
      <w:jc w:val="center"/>
    </w:pPr>
    <w:rPr>
      <w:sz w:val="24"/>
    </w:rPr>
  </w:style>
  <w:style w:type="paragraph" w:customStyle="1" w:styleId="283">
    <w:name w:val="正文缩进1"/>
    <w:basedOn w:val="1"/>
    <w:next w:val="23"/>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4">
    <w:name w:val="样式 标题 1Level 1 HeadPIM 1Section Headh1l11Heading 0Datash..."/>
    <w:basedOn w:val="2"/>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5">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6">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7">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8">
    <w:name w:val="MM Empty"/>
    <w:basedOn w:val="1"/>
    <w:qFormat/>
    <w:uiPriority w:val="0"/>
    <w:pPr>
      <w:adjustRightInd/>
    </w:pPr>
  </w:style>
  <w:style w:type="paragraph" w:customStyle="1" w:styleId="289">
    <w:name w:val="文档正文"/>
    <w:basedOn w:val="1"/>
    <w:qFormat/>
    <w:uiPriority w:val="0"/>
    <w:pPr>
      <w:spacing w:line="480" w:lineRule="atLeast"/>
      <w:ind w:firstLine="567"/>
      <w:textAlignment w:val="baseline"/>
    </w:pPr>
    <w:rPr>
      <w:kern w:val="0"/>
      <w:sz w:val="24"/>
      <w:szCs w:val="20"/>
    </w:rPr>
  </w:style>
  <w:style w:type="paragraph" w:customStyle="1" w:styleId="290">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1">
    <w:name w:val="Char Char1 Char Char1 Char Char1"/>
    <w:basedOn w:val="1"/>
    <w:qFormat/>
    <w:uiPriority w:val="0"/>
    <w:pPr>
      <w:tabs>
        <w:tab w:val="left" w:pos="840"/>
      </w:tabs>
      <w:ind w:left="840" w:hanging="420"/>
    </w:pPr>
    <w:rPr>
      <w:rFonts w:ascii="Tahoma" w:hAnsi="Tahoma"/>
      <w:sz w:val="24"/>
    </w:rPr>
  </w:style>
  <w:style w:type="paragraph" w:customStyle="1" w:styleId="292">
    <w:name w:val="样式 标题 2H2h2Underrubrik1prop2l2Chapter Titlesect 1.2DO NO..."/>
    <w:basedOn w:val="3"/>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3">
    <w:name w:val="Char Char Char Char Char Char Char Char Char Char1"/>
    <w:basedOn w:val="1"/>
    <w:qFormat/>
    <w:uiPriority w:val="0"/>
    <w:rPr>
      <w:rFonts w:ascii="仿宋_GB2312" w:eastAsia="仿宋_GB2312"/>
      <w:b/>
      <w:sz w:val="32"/>
      <w:szCs w:val="32"/>
    </w:rPr>
  </w:style>
  <w:style w:type="paragraph" w:customStyle="1" w:styleId="294">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5">
    <w:name w:val="默认段落字体 Para Char Char Char1 Char"/>
    <w:basedOn w:val="1"/>
    <w:qFormat/>
    <w:uiPriority w:val="0"/>
    <w:pPr>
      <w:spacing w:line="240" w:lineRule="atLeast"/>
      <w:ind w:left="420" w:firstLine="420"/>
    </w:pPr>
    <w:rPr>
      <w:sz w:val="24"/>
    </w:rPr>
  </w:style>
  <w:style w:type="paragraph" w:customStyle="1" w:styleId="29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7">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8">
    <w:name w:val="Char1 Char Char Char5"/>
    <w:basedOn w:val="1"/>
    <w:qFormat/>
    <w:uiPriority w:val="0"/>
    <w:pPr>
      <w:adjustRightInd/>
      <w:ind w:firstLine="200" w:firstLineChars="200"/>
    </w:pPr>
    <w:rPr>
      <w:rFonts w:ascii="Tahoma" w:hAnsi="Tahoma"/>
      <w:sz w:val="24"/>
      <w:szCs w:val="20"/>
    </w:rPr>
  </w:style>
  <w:style w:type="paragraph" w:customStyle="1" w:styleId="299">
    <w:name w:val="Char Char Char Char Char Char Char1"/>
    <w:basedOn w:val="1"/>
    <w:qFormat/>
    <w:uiPriority w:val="0"/>
    <w:rPr>
      <w:rFonts w:ascii="仿宋_GB2312" w:eastAsia="仿宋_GB2312"/>
      <w:b/>
      <w:sz w:val="32"/>
      <w:szCs w:val="32"/>
    </w:rPr>
  </w:style>
  <w:style w:type="paragraph" w:customStyle="1" w:styleId="300">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1">
    <w:name w:val="正文表标题"/>
    <w:next w:val="139"/>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2">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3">
    <w:name w:val="四号　首行缩进"/>
    <w:basedOn w:val="1"/>
    <w:qFormat/>
    <w:uiPriority w:val="0"/>
    <w:pPr>
      <w:adjustRightInd/>
      <w:spacing w:line="360" w:lineRule="auto"/>
    </w:pPr>
    <w:rPr>
      <w:rFonts w:ascii="宋体" w:hAnsi="宋体"/>
      <w:szCs w:val="20"/>
    </w:rPr>
  </w:style>
  <w:style w:type="paragraph" w:customStyle="1" w:styleId="304">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5">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6">
    <w:name w:val="首行缩进"/>
    <w:basedOn w:val="1"/>
    <w:qFormat/>
    <w:uiPriority w:val="0"/>
    <w:pPr>
      <w:spacing w:line="360" w:lineRule="auto"/>
      <w:ind w:firstLine="480" w:firstLineChars="200"/>
    </w:pPr>
    <w:rPr>
      <w:rFonts w:ascii="宋体"/>
      <w:sz w:val="24"/>
      <w:szCs w:val="20"/>
    </w:rPr>
  </w:style>
  <w:style w:type="paragraph" w:customStyle="1" w:styleId="307">
    <w:name w:val="Char1 Char Char Char1"/>
    <w:basedOn w:val="1"/>
    <w:qFormat/>
    <w:uiPriority w:val="0"/>
    <w:pPr>
      <w:adjustRightInd/>
      <w:ind w:firstLine="200" w:firstLineChars="200"/>
    </w:pPr>
    <w:rPr>
      <w:rFonts w:ascii="Tahoma" w:hAnsi="Tahoma"/>
      <w:sz w:val="24"/>
      <w:szCs w:val="20"/>
    </w:rPr>
  </w:style>
  <w:style w:type="paragraph" w:customStyle="1" w:styleId="308">
    <w:name w:val="MM Topic 2"/>
    <w:basedOn w:val="3"/>
    <w:qFormat/>
    <w:uiPriority w:val="0"/>
    <w:pPr>
      <w:numPr>
        <w:numId w:val="0"/>
      </w:numPr>
      <w:tabs>
        <w:tab w:val="left" w:pos="860"/>
        <w:tab w:val="left" w:pos="1260"/>
      </w:tabs>
      <w:ind w:left="1260" w:hanging="420"/>
    </w:pPr>
    <w:rPr>
      <w:rFonts w:ascii="Arial" w:hAnsi="Arial" w:eastAsia="黑体"/>
      <w:lang w:val="en-US"/>
    </w:rPr>
  </w:style>
  <w:style w:type="paragraph" w:customStyle="1" w:styleId="309">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10">
    <w:name w:val="样式 样式2 + 左侧:  1 字符 右侧:  1 字符"/>
    <w:basedOn w:val="76"/>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1">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3">
    <w:name w:val="哈哈正文"/>
    <w:basedOn w:val="1"/>
    <w:link w:val="497"/>
    <w:qFormat/>
    <w:uiPriority w:val="0"/>
    <w:pPr>
      <w:adjustRightInd/>
      <w:spacing w:line="360" w:lineRule="auto"/>
      <w:ind w:firstLine="200" w:firstLineChars="200"/>
    </w:pPr>
    <w:rPr>
      <w:rFonts w:ascii="宋体" w:hAnsi="宋体"/>
      <w:sz w:val="24"/>
      <w:szCs w:val="20"/>
    </w:rPr>
  </w:style>
  <w:style w:type="paragraph" w:customStyle="1" w:styleId="314">
    <w:name w:val="List Paragraph1"/>
    <w:basedOn w:val="1"/>
    <w:qFormat/>
    <w:uiPriority w:val="34"/>
    <w:pPr>
      <w:spacing w:line="360" w:lineRule="auto"/>
      <w:ind w:firstLine="200" w:firstLineChars="200"/>
    </w:pPr>
    <w:rPr>
      <w:rFonts w:eastAsia="楷体_GB2312" w:cs="Lucida Sans"/>
      <w:sz w:val="24"/>
    </w:rPr>
  </w:style>
  <w:style w:type="paragraph" w:customStyle="1" w:styleId="31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6">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7">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8">
    <w:name w:val="Char Char11 Char Char Char Char Char Char Char Char Char1"/>
    <w:basedOn w:val="1"/>
    <w:qFormat/>
    <w:uiPriority w:val="0"/>
    <w:pPr>
      <w:spacing w:line="360" w:lineRule="auto"/>
    </w:pPr>
    <w:rPr>
      <w:szCs w:val="20"/>
    </w:rPr>
  </w:style>
  <w:style w:type="paragraph" w:customStyle="1" w:styleId="319">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0">
    <w:name w:val="正文 项目2"/>
    <w:basedOn w:val="321"/>
    <w:qFormat/>
    <w:uiPriority w:val="0"/>
    <w:pPr>
      <w:numPr>
        <w:ilvl w:val="0"/>
        <w:numId w:val="6"/>
      </w:numPr>
      <w:tabs>
        <w:tab w:val="left" w:pos="840"/>
      </w:tabs>
      <w:spacing w:after="0"/>
    </w:pPr>
  </w:style>
  <w:style w:type="paragraph" w:customStyle="1" w:styleId="321">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2">
    <w:name w:val="Char Char Char1 Char1"/>
    <w:basedOn w:val="1"/>
    <w:qFormat/>
    <w:uiPriority w:val="0"/>
    <w:rPr>
      <w:szCs w:val="20"/>
    </w:rPr>
  </w:style>
  <w:style w:type="paragraph" w:customStyle="1" w:styleId="323">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4">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5">
    <w:name w:val="封面"/>
    <w:basedOn w:val="1"/>
    <w:qFormat/>
    <w:uiPriority w:val="0"/>
    <w:pPr>
      <w:spacing w:line="360" w:lineRule="atLeast"/>
      <w:jc w:val="right"/>
      <w:textAlignment w:val="baseline"/>
    </w:pPr>
    <w:rPr>
      <w:rFonts w:ascii="Symbol" w:hAnsi="Symbol"/>
      <w:kern w:val="0"/>
      <w:szCs w:val="20"/>
    </w:rPr>
  </w:style>
  <w:style w:type="paragraph" w:customStyle="1" w:styleId="326">
    <w:name w:val="正文（缩进2汉字）"/>
    <w:basedOn w:val="1"/>
    <w:link w:val="586"/>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7">
    <w:name w:val="数字标题3"/>
    <w:basedOn w:val="4"/>
    <w:next w:val="1"/>
    <w:qFormat/>
    <w:uiPriority w:val="0"/>
    <w:pPr>
      <w:numPr>
        <w:numId w:val="0"/>
      </w:numPr>
      <w:spacing w:line="240" w:lineRule="auto"/>
    </w:pPr>
    <w:rPr>
      <w:sz w:val="28"/>
      <w:szCs w:val="28"/>
    </w:rPr>
  </w:style>
  <w:style w:type="paragraph" w:customStyle="1" w:styleId="328">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9">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30">
    <w:name w:val="正文（首行缩进2字符）"/>
    <w:basedOn w:val="1"/>
    <w:qFormat/>
    <w:uiPriority w:val="0"/>
    <w:pPr>
      <w:adjustRightInd/>
      <w:spacing w:line="360" w:lineRule="auto"/>
      <w:ind w:firstLine="480" w:firstLineChars="200"/>
    </w:pPr>
    <w:rPr>
      <w:sz w:val="24"/>
      <w:szCs w:val="20"/>
    </w:rPr>
  </w:style>
  <w:style w:type="paragraph" w:customStyle="1" w:styleId="331">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2">
    <w:name w:val="正文段"/>
    <w:basedOn w:val="1"/>
    <w:qFormat/>
    <w:uiPriority w:val="0"/>
    <w:pPr>
      <w:widowControl/>
      <w:snapToGrid w:val="0"/>
      <w:spacing w:after="156" w:afterLines="50"/>
      <w:ind w:firstLine="200" w:firstLineChars="200"/>
    </w:pPr>
    <w:rPr>
      <w:kern w:val="0"/>
      <w:sz w:val="24"/>
      <w:szCs w:val="20"/>
    </w:rPr>
  </w:style>
  <w:style w:type="paragraph" w:customStyle="1" w:styleId="333">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4">
    <w:name w:val="数字标题2"/>
    <w:basedOn w:val="3"/>
    <w:next w:val="1"/>
    <w:qFormat/>
    <w:uiPriority w:val="0"/>
    <w:pPr>
      <w:numPr>
        <w:ilvl w:val="1"/>
        <w:numId w:val="5"/>
      </w:numPr>
    </w:pPr>
    <w:rPr>
      <w:rFonts w:ascii="Times New Roman" w:eastAsia="宋体"/>
      <w:i/>
      <w:sz w:val="36"/>
      <w:szCs w:val="36"/>
      <w:lang w:val="en-US"/>
    </w:rPr>
  </w:style>
  <w:style w:type="paragraph" w:customStyle="1" w:styleId="335">
    <w:name w:val="彩色列表 - 强调文字颜色 11"/>
    <w:basedOn w:val="1"/>
    <w:qFormat/>
    <w:uiPriority w:val="0"/>
    <w:pPr>
      <w:adjustRightInd/>
      <w:ind w:firstLine="420" w:firstLineChars="200"/>
    </w:pPr>
    <w:rPr>
      <w:rFonts w:ascii="Calibri" w:hAnsi="Calibri"/>
      <w:szCs w:val="22"/>
    </w:rPr>
  </w:style>
  <w:style w:type="paragraph" w:customStyle="1" w:styleId="336">
    <w:name w:val="数字标题4"/>
    <w:basedOn w:val="5"/>
    <w:qFormat/>
    <w:uiPriority w:val="0"/>
    <w:pPr>
      <w:numPr>
        <w:numId w:val="0"/>
      </w:numPr>
      <w:tabs>
        <w:tab w:val="left" w:pos="0"/>
      </w:tabs>
      <w:spacing w:before="0" w:after="0" w:line="360" w:lineRule="auto"/>
      <w:ind w:left="1"/>
    </w:pPr>
    <w:rPr>
      <w:rFonts w:eastAsia="仿宋_GB2312" w:cs="Arial"/>
      <w:b w:val="0"/>
      <w:bCs w:val="0"/>
      <w:color w:val="000000"/>
      <w:kern w:val="0"/>
      <w:sz w:val="24"/>
      <w:szCs w:val="24"/>
      <w:lang w:val="en-US"/>
    </w:rPr>
  </w:style>
  <w:style w:type="paragraph" w:customStyle="1" w:styleId="337">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8">
    <w:name w:val="样式1 + (中宋体"/>
    <w:basedOn w:val="160"/>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9">
    <w:name w:val="仿宋正文"/>
    <w:basedOn w:val="1"/>
    <w:link w:val="462"/>
    <w:qFormat/>
    <w:uiPriority w:val="0"/>
    <w:pPr>
      <w:adjustRightInd/>
      <w:spacing w:line="360" w:lineRule="auto"/>
      <w:ind w:firstLine="480" w:firstLineChars="200"/>
    </w:pPr>
    <w:rPr>
      <w:rFonts w:ascii="仿宋_GB2312" w:eastAsia="仿宋_GB2312"/>
      <w:sz w:val="24"/>
      <w:szCs w:val="20"/>
    </w:rPr>
  </w:style>
  <w:style w:type="paragraph" w:customStyle="1" w:styleId="340">
    <w:name w:val="正文（标题三）"/>
    <w:basedOn w:val="1"/>
    <w:qFormat/>
    <w:uiPriority w:val="0"/>
    <w:pPr>
      <w:spacing w:line="360" w:lineRule="auto"/>
      <w:ind w:firstLine="200" w:firstLineChars="200"/>
    </w:pPr>
    <w:rPr>
      <w:sz w:val="24"/>
    </w:rPr>
  </w:style>
  <w:style w:type="paragraph" w:customStyle="1" w:styleId="341">
    <w:name w:val="MM Topic 3"/>
    <w:basedOn w:val="4"/>
    <w:qFormat/>
    <w:uiPriority w:val="0"/>
    <w:pPr>
      <w:numPr>
        <w:numId w:val="4"/>
      </w:numPr>
      <w:tabs>
        <w:tab w:val="left" w:pos="840"/>
        <w:tab w:val="left" w:pos="1680"/>
      </w:tabs>
      <w:adjustRightInd/>
    </w:pPr>
  </w:style>
  <w:style w:type="paragraph" w:customStyle="1" w:styleId="34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3">
    <w:name w:val="图中文字"/>
    <w:basedOn w:val="1"/>
    <w:qFormat/>
    <w:uiPriority w:val="0"/>
    <w:pPr>
      <w:snapToGrid w:val="0"/>
      <w:spacing w:line="0" w:lineRule="atLeast"/>
      <w:ind w:firstLine="200" w:firstLineChars="200"/>
      <w:jc w:val="center"/>
    </w:pPr>
    <w:rPr>
      <w:sz w:val="24"/>
      <w:szCs w:val="20"/>
    </w:rPr>
  </w:style>
  <w:style w:type="paragraph" w:customStyle="1" w:styleId="344">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color w:val="auto"/>
      <w:kern w:val="0"/>
      <w:sz w:val="24"/>
    </w:rPr>
  </w:style>
  <w:style w:type="paragraph" w:customStyle="1" w:styleId="345">
    <w:name w:val="Char21"/>
    <w:basedOn w:val="1"/>
    <w:qFormat/>
    <w:uiPriority w:val="0"/>
    <w:pPr>
      <w:adjustRightInd/>
      <w:ind w:firstLine="200" w:firstLineChars="200"/>
    </w:pPr>
    <w:rPr>
      <w:rFonts w:ascii="仿宋_GB2312" w:eastAsia="仿宋_GB2312"/>
      <w:b/>
      <w:sz w:val="32"/>
      <w:szCs w:val="32"/>
    </w:rPr>
  </w:style>
  <w:style w:type="paragraph" w:customStyle="1" w:styleId="34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7">
    <w:name w:val="标题4-dyf"/>
    <w:basedOn w:val="5"/>
    <w:link w:val="552"/>
    <w:qFormat/>
    <w:uiPriority w:val="0"/>
    <w:pPr>
      <w:numPr>
        <w:numId w:val="0"/>
      </w:numPr>
      <w:tabs>
        <w:tab w:val="left" w:pos="851"/>
      </w:tabs>
      <w:adjustRightInd/>
      <w:spacing w:line="376" w:lineRule="atLeast"/>
      <w:ind w:left="851" w:hanging="851"/>
    </w:pPr>
    <w:rPr>
      <w:rFonts w:ascii="Cambria" w:hAnsi="Cambria" w:eastAsia="宋体"/>
      <w:color w:val="000000"/>
      <w:sz w:val="21"/>
      <w:szCs w:val="21"/>
    </w:rPr>
  </w:style>
  <w:style w:type="paragraph" w:customStyle="1" w:styleId="348">
    <w:name w:val="Char1 Char Char Char4"/>
    <w:basedOn w:val="1"/>
    <w:qFormat/>
    <w:uiPriority w:val="0"/>
    <w:pPr>
      <w:adjustRightInd/>
      <w:ind w:firstLine="200" w:firstLineChars="200"/>
    </w:pPr>
    <w:rPr>
      <w:rFonts w:ascii="Tahoma" w:hAnsi="Tahoma"/>
      <w:sz w:val="24"/>
      <w:szCs w:val="20"/>
    </w:rPr>
  </w:style>
  <w:style w:type="paragraph" w:customStyle="1" w:styleId="349">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50">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1">
    <w:name w:val="Char23"/>
    <w:basedOn w:val="1"/>
    <w:qFormat/>
    <w:uiPriority w:val="0"/>
    <w:rPr>
      <w:rFonts w:ascii="仿宋_GB2312" w:eastAsia="仿宋_GB2312"/>
      <w:b/>
      <w:sz w:val="32"/>
      <w:szCs w:val="32"/>
    </w:rPr>
  </w:style>
  <w:style w:type="paragraph" w:customStyle="1" w:styleId="35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3">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4">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5">
    <w:name w:val="此正文"/>
    <w:basedOn w:val="1"/>
    <w:link w:val="440"/>
    <w:qFormat/>
    <w:uiPriority w:val="0"/>
    <w:pPr>
      <w:adjustRightInd/>
      <w:spacing w:line="360" w:lineRule="auto"/>
      <w:ind w:firstLine="200" w:firstLineChars="200"/>
    </w:pPr>
    <w:rPr>
      <w:sz w:val="24"/>
    </w:rPr>
  </w:style>
  <w:style w:type="paragraph" w:customStyle="1" w:styleId="35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7">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8">
    <w:name w:val="Char3 Char Char Char"/>
    <w:basedOn w:val="1"/>
    <w:qFormat/>
    <w:uiPriority w:val="0"/>
    <w:pPr>
      <w:widowControl/>
      <w:adjustRightInd/>
      <w:spacing w:after="160" w:line="240" w:lineRule="exact"/>
      <w:jc w:val="left"/>
    </w:pPr>
    <w:rPr>
      <w:szCs w:val="20"/>
    </w:rPr>
  </w:style>
  <w:style w:type="paragraph" w:customStyle="1" w:styleId="359">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60">
    <w:name w:val="Normal0"/>
    <w:qFormat/>
    <w:uiPriority w:val="0"/>
    <w:rPr>
      <w:rFonts w:ascii="Times New Roman" w:hAnsi="Times New Roman" w:eastAsia="宋体" w:cs="Times New Roman"/>
      <w:lang w:val="en-US" w:eastAsia="en-US" w:bidi="ar-SA"/>
    </w:rPr>
  </w:style>
  <w:style w:type="paragraph" w:customStyle="1" w:styleId="361">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2">
    <w:name w:val="a1"/>
    <w:basedOn w:val="1"/>
    <w:qFormat/>
    <w:uiPriority w:val="0"/>
    <w:pPr>
      <w:widowControl/>
      <w:spacing w:line="300" w:lineRule="atLeast"/>
      <w:jc w:val="left"/>
    </w:pPr>
    <w:rPr>
      <w:rFonts w:ascii="宋体" w:hAnsi="宋体"/>
      <w:kern w:val="0"/>
      <w:sz w:val="18"/>
      <w:szCs w:val="20"/>
    </w:rPr>
  </w:style>
  <w:style w:type="paragraph" w:customStyle="1" w:styleId="363">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4">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5">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6">
    <w:name w:val="Thf"/>
    <w:basedOn w:val="91"/>
    <w:qFormat/>
    <w:uiPriority w:val="0"/>
    <w:pPr>
      <w:ind w:left="0"/>
    </w:pPr>
  </w:style>
  <w:style w:type="paragraph" w:customStyle="1" w:styleId="367">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8">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9">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7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1">
    <w:name w:val="_Style 12"/>
    <w:basedOn w:val="18"/>
    <w:qFormat/>
    <w:uiPriority w:val="0"/>
    <w:pPr>
      <w:snapToGrid w:val="0"/>
      <w:spacing w:line="360" w:lineRule="auto"/>
    </w:pPr>
  </w:style>
  <w:style w:type="paragraph" w:customStyle="1" w:styleId="372">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4">
    <w:name w:val="标书标题2"/>
    <w:basedOn w:val="3"/>
    <w:qFormat/>
    <w:uiPriority w:val="0"/>
    <w:pPr>
      <w:keepLines w:val="0"/>
      <w:widowControl/>
      <w:numPr>
        <w:numId w:val="0"/>
      </w:numPr>
      <w:tabs>
        <w:tab w:val="left" w:pos="840"/>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5">
    <w:name w:val="Char Char"/>
    <w:basedOn w:val="1"/>
    <w:qFormat/>
    <w:uiPriority w:val="0"/>
    <w:pPr>
      <w:spacing w:line="360" w:lineRule="auto"/>
    </w:pPr>
    <w:rPr>
      <w:rFonts w:ascii="Tahoma" w:hAnsi="Tahoma"/>
      <w:sz w:val="24"/>
      <w:szCs w:val="20"/>
    </w:rPr>
  </w:style>
  <w:style w:type="paragraph" w:customStyle="1" w:styleId="376">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7">
    <w:name w:val="样式 标题 1 + 黑色 段前: 0.5 行 段后: 0.5 行1"/>
    <w:basedOn w:val="2"/>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8">
    <w:name w:val="彩色列表 - 强调文字颜色 12"/>
    <w:basedOn w:val="1"/>
    <w:qFormat/>
    <w:uiPriority w:val="0"/>
    <w:pPr>
      <w:adjustRightInd/>
      <w:ind w:firstLine="420" w:firstLineChars="200"/>
    </w:pPr>
    <w:rPr>
      <w:rFonts w:ascii="Calibri" w:hAnsi="Calibri"/>
      <w:szCs w:val="22"/>
    </w:rPr>
  </w:style>
  <w:style w:type="paragraph" w:customStyle="1" w:styleId="37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80">
    <w:name w:val="Char19"/>
    <w:basedOn w:val="1"/>
    <w:qFormat/>
    <w:uiPriority w:val="0"/>
    <w:pPr>
      <w:adjustRightInd/>
    </w:pPr>
    <w:rPr>
      <w:szCs w:val="20"/>
    </w:rPr>
  </w:style>
  <w:style w:type="paragraph" w:customStyle="1" w:styleId="381">
    <w:name w:val="CSS1级正文 Char"/>
    <w:basedOn w:val="22"/>
    <w:qFormat/>
    <w:uiPriority w:val="0"/>
    <w:pPr>
      <w:autoSpaceDE/>
      <w:autoSpaceDN/>
      <w:snapToGrid w:val="0"/>
      <w:ind w:firstLine="480" w:firstLineChars="200"/>
    </w:pPr>
    <w:rPr>
      <w:rFonts w:ascii="Times New Roman"/>
      <w:szCs w:val="24"/>
      <w:lang w:val="en-US"/>
    </w:rPr>
  </w:style>
  <w:style w:type="paragraph" w:customStyle="1" w:styleId="382">
    <w:name w:val="正文（首行缩进）"/>
    <w:basedOn w:val="23"/>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4">
    <w:name w:val="表格（小）"/>
    <w:basedOn w:val="1"/>
    <w:qFormat/>
    <w:uiPriority w:val="0"/>
    <w:pPr>
      <w:adjustRightInd/>
      <w:snapToGrid w:val="0"/>
      <w:spacing w:line="300" w:lineRule="auto"/>
    </w:pPr>
    <w:rPr>
      <w:rFonts w:eastAsia="仿宋"/>
      <w:szCs w:val="21"/>
    </w:rPr>
  </w:style>
  <w:style w:type="paragraph" w:customStyle="1" w:styleId="385">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6">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7">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8">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9">
    <w:name w:val="Char Char Char Char2"/>
    <w:basedOn w:val="1"/>
    <w:qFormat/>
    <w:uiPriority w:val="0"/>
    <w:rPr>
      <w:rFonts w:ascii="Tahoma" w:hAnsi="Tahoma"/>
      <w:sz w:val="24"/>
      <w:szCs w:val="20"/>
    </w:rPr>
  </w:style>
  <w:style w:type="paragraph" w:customStyle="1" w:styleId="390">
    <w:name w:val="p0"/>
    <w:basedOn w:val="1"/>
    <w:qFormat/>
    <w:uiPriority w:val="0"/>
    <w:pPr>
      <w:widowControl/>
      <w:adjustRightInd/>
    </w:pPr>
    <w:rPr>
      <w:kern w:val="0"/>
      <w:szCs w:val="21"/>
    </w:rPr>
  </w:style>
  <w:style w:type="paragraph" w:customStyle="1" w:styleId="391">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2">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3">
    <w:name w:val="默认段落样式"/>
    <w:basedOn w:val="394"/>
    <w:qFormat/>
    <w:uiPriority w:val="0"/>
    <w:pPr>
      <w:spacing w:before="0"/>
      <w:ind w:firstLine="480"/>
      <w:outlineLvl w:val="2"/>
    </w:pPr>
    <w:rPr>
      <w:rFonts w:ascii="仿宋_GB2312" w:hAnsi="宋体" w:eastAsia="仿宋_GB2312"/>
      <w:color w:val="000000"/>
      <w:szCs w:val="24"/>
    </w:rPr>
  </w:style>
  <w:style w:type="paragraph" w:customStyle="1" w:styleId="394">
    <w:name w:val="正文2"/>
    <w:basedOn w:val="1"/>
    <w:link w:val="447"/>
    <w:qFormat/>
    <w:uiPriority w:val="0"/>
    <w:pPr>
      <w:spacing w:before="156" w:line="360" w:lineRule="auto"/>
      <w:ind w:firstLine="510" w:firstLineChars="200"/>
    </w:pPr>
    <w:rPr>
      <w:sz w:val="24"/>
      <w:szCs w:val="20"/>
    </w:rPr>
  </w:style>
  <w:style w:type="paragraph" w:customStyle="1" w:styleId="39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6">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8">
    <w:name w:val="bullet"/>
    <w:basedOn w:val="1"/>
    <w:qFormat/>
    <w:uiPriority w:val="0"/>
    <w:pPr>
      <w:tabs>
        <w:tab w:val="left" w:pos="840"/>
      </w:tabs>
      <w:adjustRightInd/>
      <w:ind w:left="840" w:hanging="420"/>
    </w:pPr>
  </w:style>
  <w:style w:type="paragraph" w:customStyle="1" w:styleId="399">
    <w:name w:val="五级条标题"/>
    <w:basedOn w:val="172"/>
    <w:next w:val="139"/>
    <w:qFormat/>
    <w:uiPriority w:val="0"/>
    <w:pPr>
      <w:numPr>
        <w:ilvl w:val="6"/>
      </w:numPr>
      <w:tabs>
        <w:tab w:val="clear" w:pos="2940"/>
      </w:tabs>
      <w:outlineLvl w:val="6"/>
    </w:pPr>
  </w:style>
  <w:style w:type="paragraph" w:customStyle="1" w:styleId="400">
    <w:name w:val="Char Char Char Char Char Char Char Char"/>
    <w:basedOn w:val="1"/>
    <w:qFormat/>
    <w:uiPriority w:val="0"/>
    <w:pPr>
      <w:tabs>
        <w:tab w:val="left" w:pos="360"/>
      </w:tabs>
    </w:pPr>
    <w:rPr>
      <w:sz w:val="24"/>
      <w:szCs w:val="20"/>
    </w:rPr>
  </w:style>
  <w:style w:type="paragraph" w:customStyle="1" w:styleId="401">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2">
    <w:name w:val="数字标题5"/>
    <w:basedOn w:val="6"/>
    <w:next w:val="1"/>
    <w:qFormat/>
    <w:uiPriority w:val="0"/>
    <w:pPr>
      <w:numPr>
        <w:numId w:val="5"/>
      </w:numPr>
      <w:tabs>
        <w:tab w:val="left" w:pos="480"/>
        <w:tab w:val="left" w:pos="1080"/>
      </w:tabs>
    </w:pPr>
  </w:style>
  <w:style w:type="paragraph" w:customStyle="1" w:styleId="403">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4">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5">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6">
    <w:name w:val="表格文字"/>
    <w:basedOn w:val="23"/>
    <w:next w:val="22"/>
    <w:qFormat/>
    <w:uiPriority w:val="0"/>
    <w:pPr>
      <w:adjustRightInd/>
      <w:ind w:firstLine="200" w:firstLineChars="200"/>
    </w:pPr>
    <w:rPr>
      <w:rFonts w:ascii="Arial" w:hAnsi="Arial"/>
      <w:spacing w:val="-5"/>
      <w:kern w:val="0"/>
      <w:sz w:val="24"/>
      <w:szCs w:val="20"/>
    </w:rPr>
  </w:style>
  <w:style w:type="paragraph" w:customStyle="1" w:styleId="407">
    <w:name w:val="0"/>
    <w:basedOn w:val="1"/>
    <w:qFormat/>
    <w:uiPriority w:val="0"/>
    <w:pPr>
      <w:widowControl/>
    </w:pPr>
    <w:rPr>
      <w:kern w:val="0"/>
      <w:sz w:val="24"/>
      <w:szCs w:val="20"/>
    </w:rPr>
  </w:style>
  <w:style w:type="paragraph" w:customStyle="1" w:styleId="408">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9">
    <w:name w:val="b11_01b"/>
    <w:basedOn w:val="1"/>
    <w:next w:val="1"/>
    <w:link w:val="551"/>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10">
    <w:name w:val="MM Topic 5"/>
    <w:basedOn w:val="6"/>
    <w:qFormat/>
    <w:uiPriority w:val="0"/>
    <w:pPr>
      <w:numPr>
        <w:numId w:val="4"/>
      </w:numPr>
      <w:tabs>
        <w:tab w:val="left" w:pos="840"/>
        <w:tab w:val="left" w:pos="2520"/>
      </w:tabs>
      <w:adjustRightInd/>
    </w:pPr>
  </w:style>
  <w:style w:type="paragraph" w:customStyle="1" w:styleId="411">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2">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3">
    <w:name w:val="数字标题1"/>
    <w:basedOn w:val="2"/>
    <w:next w:val="1"/>
    <w:qFormat/>
    <w:uiPriority w:val="0"/>
    <w:pPr>
      <w:numPr>
        <w:numId w:val="5"/>
      </w:numPr>
      <w:tabs>
        <w:tab w:val="left" w:pos="480"/>
      </w:tabs>
    </w:pPr>
  </w:style>
  <w:style w:type="paragraph" w:customStyle="1" w:styleId="414">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5">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6">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7">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20">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1">
    <w:name w:val="MM Topic 1"/>
    <w:basedOn w:val="2"/>
    <w:qFormat/>
    <w:uiPriority w:val="0"/>
    <w:pPr>
      <w:numPr>
        <w:numId w:val="0"/>
      </w:numPr>
      <w:tabs>
        <w:tab w:val="left" w:pos="840"/>
      </w:tabs>
      <w:adjustRightInd/>
      <w:ind w:left="840" w:hanging="420"/>
    </w:pPr>
  </w:style>
  <w:style w:type="paragraph" w:customStyle="1" w:styleId="422">
    <w:name w:val="Char Char Char Char Char Char Char Char1"/>
    <w:basedOn w:val="1"/>
    <w:qFormat/>
    <w:uiPriority w:val="0"/>
    <w:pPr>
      <w:tabs>
        <w:tab w:val="left" w:pos="360"/>
      </w:tabs>
    </w:pPr>
    <w:rPr>
      <w:sz w:val="24"/>
      <w:szCs w:val="20"/>
    </w:rPr>
  </w:style>
  <w:style w:type="paragraph" w:customStyle="1" w:styleId="423">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4">
    <w:name w:val="Char3 Char Char Char1"/>
    <w:basedOn w:val="1"/>
    <w:qFormat/>
    <w:uiPriority w:val="0"/>
    <w:pPr>
      <w:widowControl/>
      <w:adjustRightInd/>
      <w:spacing w:after="160" w:line="240" w:lineRule="exact"/>
      <w:jc w:val="left"/>
    </w:pPr>
    <w:rPr>
      <w:szCs w:val="20"/>
    </w:rPr>
  </w:style>
  <w:style w:type="paragraph" w:customStyle="1" w:styleId="425">
    <w:name w:val="Char Char12"/>
    <w:basedOn w:val="1"/>
    <w:qFormat/>
    <w:uiPriority w:val="0"/>
    <w:pPr>
      <w:widowControl/>
      <w:spacing w:after="160" w:line="240" w:lineRule="exact"/>
      <w:jc w:val="left"/>
    </w:pPr>
    <w:rPr>
      <w:rFonts w:eastAsia="仿宋_GB2312"/>
      <w:sz w:val="28"/>
    </w:rPr>
  </w:style>
  <w:style w:type="paragraph" w:customStyle="1" w:styleId="426">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7">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8">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9">
    <w:name w:val="单元格左对齐"/>
    <w:basedOn w:val="1"/>
    <w:qFormat/>
    <w:uiPriority w:val="0"/>
    <w:pPr>
      <w:adjustRightInd/>
      <w:spacing w:line="360" w:lineRule="auto"/>
    </w:pPr>
    <w:rPr>
      <w:sz w:val="24"/>
    </w:rPr>
  </w:style>
  <w:style w:type="paragraph" w:customStyle="1" w:styleId="430">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1">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2">
    <w:name w:val="正文文本 Char"/>
    <w:qFormat/>
    <w:uiPriority w:val="0"/>
    <w:rPr>
      <w:rFonts w:eastAsia="宋体"/>
      <w:kern w:val="2"/>
      <w:sz w:val="24"/>
      <w:szCs w:val="24"/>
      <w:lang w:val="en-US" w:eastAsia="zh-CN" w:bidi="ar-SA"/>
    </w:rPr>
  </w:style>
  <w:style w:type="character" w:customStyle="1" w:styleId="433">
    <w:name w:val="myp1111"/>
    <w:qFormat/>
    <w:uiPriority w:val="0"/>
    <w:rPr>
      <w:rFonts w:hint="default" w:ascii="ˎ̥" w:hAnsi="ˎ̥"/>
      <w:color w:val="000000"/>
      <w:sz w:val="20"/>
      <w:szCs w:val="20"/>
      <w:u w:val="none"/>
    </w:rPr>
  </w:style>
  <w:style w:type="character" w:customStyle="1" w:styleId="434">
    <w:name w:val="mdeck"/>
    <w:qFormat/>
    <w:uiPriority w:val="0"/>
    <w:rPr>
      <w:rFonts w:ascii="仿宋_GB2312" w:eastAsia="微软雅黑"/>
      <w:b/>
      <w:kern w:val="2"/>
      <w:sz w:val="32"/>
      <w:szCs w:val="32"/>
      <w:lang w:val="en-US" w:eastAsia="zh-CN" w:bidi="ar-SA"/>
    </w:rPr>
  </w:style>
  <w:style w:type="character" w:customStyle="1" w:styleId="435">
    <w:name w:val="签名 Char"/>
    <w:link w:val="40"/>
    <w:qFormat/>
    <w:uiPriority w:val="0"/>
    <w:rPr>
      <w:rFonts w:eastAsia="仿宋_GB2312"/>
      <w:sz w:val="24"/>
    </w:rPr>
  </w:style>
  <w:style w:type="character" w:customStyle="1" w:styleId="436">
    <w:name w:val="tw4winMark"/>
    <w:qFormat/>
    <w:uiPriority w:val="0"/>
    <w:rPr>
      <w:rFonts w:ascii="Courier New" w:hAnsi="Courier New" w:cs="Courier New"/>
      <w:vanish/>
      <w:color w:val="800080"/>
      <w:sz w:val="24"/>
      <w:szCs w:val="24"/>
      <w:vertAlign w:val="subscript"/>
    </w:rPr>
  </w:style>
  <w:style w:type="character" w:customStyle="1" w:styleId="437">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8">
    <w:name w:val="Balloon Text Char"/>
    <w:semiHidden/>
    <w:qFormat/>
    <w:locked/>
    <w:uiPriority w:val="0"/>
    <w:rPr>
      <w:rFonts w:eastAsia="宋体"/>
      <w:kern w:val="2"/>
      <w:sz w:val="18"/>
      <w:szCs w:val="18"/>
      <w:lang w:val="en-US" w:eastAsia="zh-CN" w:bidi="ar-SA"/>
    </w:rPr>
  </w:style>
  <w:style w:type="character" w:customStyle="1" w:styleId="439">
    <w:name w:val="正文非缩进 Char"/>
    <w:qFormat/>
    <w:uiPriority w:val="0"/>
    <w:rPr>
      <w:rFonts w:ascii="宋体" w:eastAsia="宋体"/>
      <w:snapToGrid w:val="0"/>
      <w:color w:val="000000"/>
      <w:kern w:val="28"/>
      <w:sz w:val="28"/>
      <w:lang w:val="en-US" w:eastAsia="zh-CN" w:bidi="ar-SA"/>
    </w:rPr>
  </w:style>
  <w:style w:type="character" w:customStyle="1" w:styleId="440">
    <w:name w:val="此正文 Char"/>
    <w:link w:val="355"/>
    <w:qFormat/>
    <w:uiPriority w:val="0"/>
    <w:rPr>
      <w:kern w:val="2"/>
      <w:sz w:val="24"/>
      <w:szCs w:val="24"/>
    </w:rPr>
  </w:style>
  <w:style w:type="character" w:customStyle="1" w:styleId="441">
    <w:name w:val="Ò³Ã¼ Char Char"/>
    <w:qFormat/>
    <w:uiPriority w:val="0"/>
    <w:rPr>
      <w:rFonts w:eastAsia="宋体"/>
      <w:kern w:val="2"/>
      <w:sz w:val="18"/>
      <w:lang w:val="en-US" w:eastAsia="zh-CN" w:bidi="ar-SA"/>
    </w:rPr>
  </w:style>
  <w:style w:type="character" w:customStyle="1" w:styleId="442">
    <w:name w:val="style91"/>
    <w:qFormat/>
    <w:uiPriority w:val="0"/>
    <w:rPr>
      <w:color w:val="333333"/>
    </w:rPr>
  </w:style>
  <w:style w:type="character" w:customStyle="1" w:styleId="443">
    <w:name w:val="标书1 Char"/>
    <w:qFormat/>
    <w:uiPriority w:val="0"/>
    <w:rPr>
      <w:rFonts w:eastAsia="宋体"/>
      <w:b/>
      <w:bCs/>
      <w:kern w:val="44"/>
      <w:sz w:val="44"/>
      <w:szCs w:val="44"/>
      <w:lang w:val="en-US" w:eastAsia="zh-CN" w:bidi="ar-SA"/>
    </w:rPr>
  </w:style>
  <w:style w:type="character" w:customStyle="1" w:styleId="444">
    <w:name w:val="ca-131"/>
    <w:qFormat/>
    <w:uiPriority w:val="0"/>
    <w:rPr>
      <w:rFonts w:hint="eastAsia" w:ascii="仿宋_GB2312" w:eastAsia="仿宋_GB2312"/>
      <w:b/>
      <w:bCs/>
      <w:color w:val="000000"/>
      <w:spacing w:val="-20"/>
      <w:sz w:val="24"/>
      <w:szCs w:val="24"/>
    </w:rPr>
  </w:style>
  <w:style w:type="character" w:customStyle="1" w:styleId="445">
    <w:name w:val="标书正文格式 Char"/>
    <w:qFormat/>
    <w:uiPriority w:val="0"/>
    <w:rPr>
      <w:rFonts w:eastAsia="楷体_GB2312"/>
      <w:kern w:val="2"/>
      <w:sz w:val="24"/>
      <w:szCs w:val="24"/>
      <w:lang w:bidi="ar-SA"/>
    </w:rPr>
  </w:style>
  <w:style w:type="character" w:customStyle="1" w:styleId="446">
    <w:name w:val="Char Char6"/>
    <w:qFormat/>
    <w:uiPriority w:val="0"/>
    <w:rPr>
      <w:rFonts w:eastAsia="宋体"/>
      <w:kern w:val="2"/>
      <w:sz w:val="21"/>
      <w:szCs w:val="24"/>
      <w:lang w:val="en-US" w:eastAsia="zh-CN" w:bidi="ar-SA"/>
    </w:rPr>
  </w:style>
  <w:style w:type="character" w:customStyle="1" w:styleId="447">
    <w:name w:val="正文2 Char Char"/>
    <w:link w:val="394"/>
    <w:qFormat/>
    <w:uiPriority w:val="0"/>
    <w:rPr>
      <w:rFonts w:eastAsia="宋体"/>
      <w:kern w:val="2"/>
      <w:sz w:val="24"/>
      <w:lang w:val="en-US" w:eastAsia="zh-CN" w:bidi="ar-SA"/>
    </w:rPr>
  </w:style>
  <w:style w:type="character" w:customStyle="1" w:styleId="448">
    <w:name w:val="content"/>
    <w:qFormat/>
    <w:uiPriority w:val="0"/>
  </w:style>
  <w:style w:type="character" w:customStyle="1" w:styleId="449">
    <w:name w:val="正文文本 2 Char"/>
    <w:qFormat/>
    <w:uiPriority w:val="0"/>
    <w:rPr>
      <w:rFonts w:eastAsia="宋体"/>
      <w:kern w:val="2"/>
      <w:sz w:val="21"/>
      <w:szCs w:val="24"/>
      <w:lang w:val="en-US" w:eastAsia="zh-CN" w:bidi="ar-SA"/>
    </w:rPr>
  </w:style>
  <w:style w:type="character" w:customStyle="1" w:styleId="450">
    <w:name w:val="Heading 2 Hidden Char"/>
    <w:qFormat/>
    <w:uiPriority w:val="0"/>
    <w:rPr>
      <w:rFonts w:ascii="仿宋_GB2312" w:eastAsia="仿宋_GB2312"/>
      <w:b/>
      <w:bCs/>
      <w:kern w:val="2"/>
      <w:sz w:val="24"/>
      <w:szCs w:val="24"/>
      <w:lang w:val="zh-CN" w:eastAsia="zh-CN" w:bidi="ar-SA"/>
    </w:rPr>
  </w:style>
  <w:style w:type="character" w:customStyle="1" w:styleId="451">
    <w:name w:val="首行缩进 Char"/>
    <w:qFormat/>
    <w:uiPriority w:val="0"/>
    <w:rPr>
      <w:rFonts w:ascii="宋体" w:eastAsia="宋体"/>
      <w:kern w:val="2"/>
      <w:sz w:val="24"/>
      <w:lang w:val="en-US" w:eastAsia="zh-CN" w:bidi="ar-SA"/>
    </w:rPr>
  </w:style>
  <w:style w:type="character" w:customStyle="1" w:styleId="452">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3">
    <w:name w:val="普通文字 Char Char1"/>
    <w:qFormat/>
    <w:uiPriority w:val="0"/>
    <w:rPr>
      <w:rFonts w:ascii="宋体" w:hAnsi="Courier New"/>
      <w:kern w:val="2"/>
      <w:sz w:val="21"/>
    </w:rPr>
  </w:style>
  <w:style w:type="character" w:customStyle="1" w:styleId="454">
    <w:name w:val="Footer-Even Char"/>
    <w:qFormat/>
    <w:uiPriority w:val="0"/>
    <w:rPr>
      <w:rFonts w:eastAsia="宋体"/>
      <w:kern w:val="2"/>
      <w:sz w:val="18"/>
      <w:lang w:val="en-US" w:eastAsia="zh-CN" w:bidi="ar-SA"/>
    </w:rPr>
  </w:style>
  <w:style w:type="character" w:customStyle="1" w:styleId="455">
    <w:name w:val="dandyren_title1"/>
    <w:qFormat/>
    <w:uiPriority w:val="0"/>
    <w:rPr>
      <w:b/>
      <w:bCs/>
      <w:color w:val="FF6633"/>
      <w:sz w:val="18"/>
      <w:szCs w:val="18"/>
    </w:rPr>
  </w:style>
  <w:style w:type="character" w:customStyle="1" w:styleId="456">
    <w:name w:val="标题 3 Char2"/>
    <w:qFormat/>
    <w:uiPriority w:val="0"/>
    <w:rPr>
      <w:rFonts w:eastAsia="宋体"/>
      <w:b/>
      <w:bCs/>
      <w:kern w:val="2"/>
      <w:sz w:val="32"/>
      <w:szCs w:val="32"/>
      <w:lang w:val="en-US" w:eastAsia="zh-CN" w:bidi="ar-SA"/>
    </w:rPr>
  </w:style>
  <w:style w:type="character" w:customStyle="1" w:styleId="457">
    <w:name w:val="gray6"/>
    <w:basedOn w:val="63"/>
    <w:qFormat/>
    <w:uiPriority w:val="0"/>
  </w:style>
  <w:style w:type="character" w:customStyle="1" w:styleId="458">
    <w:name w:val="标准正文格式 Char"/>
    <w:qFormat/>
    <w:uiPriority w:val="0"/>
    <w:rPr>
      <w:rFonts w:ascii="宋体" w:eastAsia="仿宋_GB2312" w:cs="宋体"/>
      <w:color w:val="000000"/>
      <w:sz w:val="24"/>
      <w:lang w:val="en-US" w:eastAsia="zh-CN" w:bidi="ar-SA"/>
    </w:rPr>
  </w:style>
  <w:style w:type="character" w:customStyle="1" w:styleId="459">
    <w:name w:val="Char Char3"/>
    <w:qFormat/>
    <w:uiPriority w:val="0"/>
    <w:rPr>
      <w:rFonts w:eastAsia="宋体"/>
      <w:kern w:val="2"/>
      <w:sz w:val="21"/>
      <w:szCs w:val="24"/>
      <w:lang w:val="en-US" w:eastAsia="zh-CN" w:bidi="ar-SA"/>
    </w:rPr>
  </w:style>
  <w:style w:type="character" w:customStyle="1" w:styleId="460">
    <w:name w:val="px14"/>
    <w:qFormat/>
    <w:uiPriority w:val="0"/>
    <w:rPr>
      <w:rFonts w:ascii="仿宋_GB2312" w:eastAsia="微软雅黑" w:cs="Times New Roman"/>
      <w:b/>
      <w:kern w:val="2"/>
      <w:sz w:val="32"/>
      <w:szCs w:val="32"/>
      <w:lang w:val="en-US" w:eastAsia="zh-CN" w:bidi="ar-SA"/>
    </w:rPr>
  </w:style>
  <w:style w:type="character" w:customStyle="1" w:styleId="461">
    <w:name w:val="txt"/>
    <w:qFormat/>
    <w:uiPriority w:val="0"/>
    <w:rPr>
      <w:rFonts w:ascii="仿宋_GB2312" w:eastAsia="微软雅黑"/>
      <w:b/>
      <w:kern w:val="2"/>
      <w:sz w:val="32"/>
      <w:szCs w:val="32"/>
      <w:lang w:val="en-US" w:eastAsia="zh-CN" w:bidi="ar-SA"/>
    </w:rPr>
  </w:style>
  <w:style w:type="character" w:customStyle="1" w:styleId="462">
    <w:name w:val="仿宋正文 Char"/>
    <w:link w:val="339"/>
    <w:qFormat/>
    <w:uiPriority w:val="0"/>
    <w:rPr>
      <w:rFonts w:ascii="仿宋_GB2312" w:eastAsia="仿宋_GB2312"/>
      <w:kern w:val="2"/>
      <w:sz w:val="24"/>
      <w:lang w:val="en-US" w:eastAsia="zh-CN" w:bidi="ar-SA"/>
    </w:rPr>
  </w:style>
  <w:style w:type="character" w:customStyle="1" w:styleId="463">
    <w:name w:val="Comment Text Char"/>
    <w:semiHidden/>
    <w:qFormat/>
    <w:locked/>
    <w:uiPriority w:val="0"/>
    <w:rPr>
      <w:rFonts w:ascii="宋体" w:hAnsi="宋体" w:eastAsia="宋体"/>
      <w:kern w:val="2"/>
      <w:sz w:val="24"/>
      <w:lang w:val="en-US" w:eastAsia="zh-CN" w:bidi="ar-SA"/>
    </w:rPr>
  </w:style>
  <w:style w:type="character" w:customStyle="1" w:styleId="464">
    <w:name w:val="tw4winExternal"/>
    <w:qFormat/>
    <w:uiPriority w:val="0"/>
    <w:rPr>
      <w:rFonts w:ascii="Courier New" w:hAnsi="Courier New" w:cs="Courier New"/>
      <w:color w:val="808080"/>
    </w:rPr>
  </w:style>
  <w:style w:type="character" w:customStyle="1" w:styleId="465">
    <w:name w:val="Char Char10"/>
    <w:semiHidden/>
    <w:qFormat/>
    <w:uiPriority w:val="0"/>
    <w:rPr>
      <w:rFonts w:ascii="宋体" w:hAnsi="宋体"/>
      <w:kern w:val="2"/>
      <w:sz w:val="21"/>
      <w:szCs w:val="24"/>
    </w:rPr>
  </w:style>
  <w:style w:type="character" w:customStyle="1" w:styleId="466">
    <w:name w:val="Bold"/>
    <w:qFormat/>
    <w:uiPriority w:val="0"/>
    <w:rPr>
      <w:rFonts w:ascii="Arial" w:hAnsi="Arial" w:eastAsia="黑体" w:cs="Times New Roman"/>
      <w:b/>
      <w:kern w:val="2"/>
      <w:sz w:val="32"/>
      <w:szCs w:val="32"/>
      <w:lang w:val="en-US" w:eastAsia="zh-CN" w:bidi="ar-SA"/>
    </w:rPr>
  </w:style>
  <w:style w:type="character" w:customStyle="1" w:styleId="467">
    <w:name w:val="Font Style82"/>
    <w:qFormat/>
    <w:uiPriority w:val="99"/>
    <w:rPr>
      <w:rFonts w:ascii="宋体" w:eastAsia="宋体" w:cs="宋体"/>
      <w:color w:val="000000"/>
      <w:sz w:val="14"/>
      <w:szCs w:val="14"/>
    </w:rPr>
  </w:style>
  <w:style w:type="character" w:customStyle="1" w:styleId="468">
    <w:name w:val="标题 2 Char"/>
    <w:qFormat/>
    <w:uiPriority w:val="0"/>
    <w:rPr>
      <w:rFonts w:ascii="Arial" w:hAnsi="Arial" w:eastAsia="黑体"/>
      <w:b/>
      <w:kern w:val="2"/>
      <w:sz w:val="32"/>
      <w:lang w:val="en-US" w:eastAsia="zh-CN"/>
    </w:rPr>
  </w:style>
  <w:style w:type="character" w:customStyle="1" w:styleId="469">
    <w:name w:val="h3 Char"/>
    <w:qFormat/>
    <w:uiPriority w:val="0"/>
    <w:rPr>
      <w:rFonts w:eastAsia="宋体"/>
      <w:b/>
      <w:kern w:val="2"/>
      <w:sz w:val="32"/>
      <w:lang w:val="en-US" w:eastAsia="zh-CN" w:bidi="ar-SA"/>
    </w:rPr>
  </w:style>
  <w:style w:type="character" w:customStyle="1" w:styleId="470">
    <w:name w:val="页眉 Char1"/>
    <w:qFormat/>
    <w:uiPriority w:val="0"/>
    <w:rPr>
      <w:rFonts w:eastAsia="宋体"/>
      <w:kern w:val="2"/>
      <w:sz w:val="18"/>
      <w:szCs w:val="18"/>
      <w:lang w:val="en-US" w:eastAsia="zh-CN" w:bidi="ar-SA"/>
    </w:rPr>
  </w:style>
  <w:style w:type="character" w:customStyle="1" w:styleId="471">
    <w:name w:val="标题 8 Char"/>
    <w:link w:val="9"/>
    <w:qFormat/>
    <w:uiPriority w:val="0"/>
    <w:rPr>
      <w:rFonts w:ascii="Arial" w:hAnsi="Arial" w:eastAsia="黑体"/>
      <w:kern w:val="2"/>
      <w:sz w:val="24"/>
      <w:szCs w:val="24"/>
    </w:rPr>
  </w:style>
  <w:style w:type="character" w:customStyle="1" w:styleId="472">
    <w:name w:val="冯广丽 Char"/>
    <w:link w:val="235"/>
    <w:qFormat/>
    <w:uiPriority w:val="0"/>
    <w:rPr>
      <w:rFonts w:ascii="宋体" w:hAnsi="宋体"/>
      <w:kern w:val="2"/>
      <w:sz w:val="24"/>
      <w:szCs w:val="22"/>
    </w:rPr>
  </w:style>
  <w:style w:type="character" w:customStyle="1" w:styleId="473">
    <w:name w:val="脚注文本 Char"/>
    <w:link w:val="48"/>
    <w:qFormat/>
    <w:uiPriority w:val="0"/>
    <w:rPr>
      <w:color w:val="0000FF"/>
      <w:sz w:val="21"/>
    </w:rPr>
  </w:style>
  <w:style w:type="character" w:customStyle="1" w:styleId="474">
    <w:name w:val="font12gray1"/>
    <w:qFormat/>
    <w:uiPriority w:val="0"/>
    <w:rPr>
      <w:rFonts w:ascii="仿宋_GB2312" w:eastAsia="微软雅黑"/>
      <w:b/>
      <w:spacing w:val="300"/>
      <w:kern w:val="2"/>
      <w:sz w:val="18"/>
      <w:szCs w:val="18"/>
      <w:lang w:val="en-US" w:eastAsia="zh-CN" w:bidi="ar-SA"/>
    </w:rPr>
  </w:style>
  <w:style w:type="character" w:customStyle="1" w:styleId="475">
    <w:name w:val="正文文本缩进 Char1"/>
    <w:link w:val="23"/>
    <w:qFormat/>
    <w:uiPriority w:val="0"/>
    <w:rPr>
      <w:rFonts w:ascii="宋体" w:hAnsi="宋体"/>
      <w:kern w:val="2"/>
      <w:sz w:val="24"/>
      <w:szCs w:val="24"/>
    </w:rPr>
  </w:style>
  <w:style w:type="character" w:customStyle="1" w:styleId="476">
    <w:name w:val="方案正文 Char"/>
    <w:qFormat/>
    <w:uiPriority w:val="0"/>
    <w:rPr>
      <w:rFonts w:ascii="仿宋_GB2312" w:eastAsia="仿宋_GB2312"/>
      <w:b/>
      <w:color w:val="000000"/>
      <w:kern w:val="2"/>
      <w:sz w:val="24"/>
      <w:lang w:val="en-US" w:eastAsia="zh-CN" w:bidi="ar-SA"/>
    </w:rPr>
  </w:style>
  <w:style w:type="character" w:customStyle="1" w:styleId="477">
    <w:name w:val="Item List Char"/>
    <w:link w:val="262"/>
    <w:qFormat/>
    <w:uiPriority w:val="0"/>
    <w:rPr>
      <w:rFonts w:ascii="Arial"/>
      <w:bCs/>
      <w:sz w:val="21"/>
      <w:szCs w:val="21"/>
      <w:lang w:val="en-US" w:eastAsia="zh-CN" w:bidi="ar-SA"/>
    </w:rPr>
  </w:style>
  <w:style w:type="character" w:customStyle="1" w:styleId="478">
    <w:name w:val="Normal Indent Char Char"/>
    <w:qFormat/>
    <w:uiPriority w:val="0"/>
    <w:rPr>
      <w:rFonts w:eastAsia="宋体"/>
      <w:kern w:val="2"/>
      <w:sz w:val="21"/>
      <w:lang w:val="en-US" w:eastAsia="zh-CN" w:bidi="ar-SA"/>
    </w:rPr>
  </w:style>
  <w:style w:type="character" w:customStyle="1" w:styleId="479">
    <w:name w:val="t21"/>
    <w:qFormat/>
    <w:uiPriority w:val="0"/>
    <w:rPr>
      <w:rFonts w:ascii="仿宋_GB2312" w:eastAsia="微软雅黑"/>
      <w:b/>
      <w:kern w:val="2"/>
      <w:sz w:val="23"/>
      <w:szCs w:val="23"/>
      <w:lang w:val="en-US" w:eastAsia="zh-CN" w:bidi="ar-SA"/>
    </w:rPr>
  </w:style>
  <w:style w:type="character" w:customStyle="1" w:styleId="480">
    <w:name w:val="Char Char121"/>
    <w:qFormat/>
    <w:uiPriority w:val="0"/>
    <w:rPr>
      <w:rFonts w:ascii="仿宋_GB2312" w:eastAsia="仿宋_GB2312"/>
      <w:b/>
      <w:bCs/>
      <w:kern w:val="2"/>
      <w:sz w:val="24"/>
      <w:szCs w:val="24"/>
      <w:lang w:val="zh-CN" w:eastAsia="zh-CN" w:bidi="ar-SA"/>
    </w:rPr>
  </w:style>
  <w:style w:type="character" w:customStyle="1" w:styleId="481">
    <w:name w:val="标题 7 Char"/>
    <w:link w:val="8"/>
    <w:qFormat/>
    <w:uiPriority w:val="0"/>
    <w:rPr>
      <w:b/>
      <w:bCs/>
      <w:kern w:val="2"/>
      <w:sz w:val="24"/>
      <w:szCs w:val="24"/>
    </w:rPr>
  </w:style>
  <w:style w:type="character" w:customStyle="1" w:styleId="482">
    <w:name w:val="称呼 Char"/>
    <w:link w:val="20"/>
    <w:qFormat/>
    <w:uiPriority w:val="0"/>
    <w:rPr>
      <w:rFonts w:ascii="仿宋_GB2312" w:eastAsia="仿宋_GB2312"/>
      <w:kern w:val="2"/>
      <w:sz w:val="28"/>
    </w:rPr>
  </w:style>
  <w:style w:type="character" w:customStyle="1" w:styleId="483">
    <w:name w:val="正文 项目 Char"/>
    <w:qFormat/>
    <w:uiPriority w:val="0"/>
    <w:rPr>
      <w:rFonts w:ascii="仿宋_GB2312" w:hAnsi="仿宋_GB2312" w:eastAsia="仿宋_GB2312"/>
      <w:kern w:val="2"/>
      <w:sz w:val="24"/>
      <w:lang w:bidi="ar-SA"/>
    </w:rPr>
  </w:style>
  <w:style w:type="character" w:customStyle="1" w:styleId="484">
    <w:name w:val="普通文字 Char1"/>
    <w:qFormat/>
    <w:uiPriority w:val="0"/>
    <w:rPr>
      <w:rFonts w:ascii="宋体" w:hAnsi="Courier New" w:eastAsia="宋体"/>
      <w:kern w:val="2"/>
      <w:sz w:val="21"/>
      <w:lang w:val="en-US" w:eastAsia="zh-CN"/>
    </w:rPr>
  </w:style>
  <w:style w:type="character" w:customStyle="1" w:styleId="485">
    <w:name w:val="正文1 Char1"/>
    <w:qFormat/>
    <w:uiPriority w:val="0"/>
    <w:rPr>
      <w:rFonts w:ascii="仿宋_GB2312" w:hAnsi="Courier New" w:eastAsia="仿宋_GB2312"/>
      <w:kern w:val="28"/>
      <w:sz w:val="24"/>
      <w:szCs w:val="24"/>
    </w:rPr>
  </w:style>
  <w:style w:type="character" w:customStyle="1" w:styleId="486">
    <w:name w:val="hei16b1"/>
    <w:qFormat/>
    <w:uiPriority w:val="0"/>
    <w:rPr>
      <w:rFonts w:hint="default" w:ascii="Arial" w:hAnsi="Arial" w:cs="Arial"/>
      <w:b/>
      <w:bCs/>
      <w:color w:val="000000"/>
      <w:sz w:val="24"/>
      <w:szCs w:val="24"/>
    </w:rPr>
  </w:style>
  <w:style w:type="character" w:customStyle="1" w:styleId="487">
    <w:name w:val="c7 style3"/>
    <w:qFormat/>
    <w:uiPriority w:val="0"/>
  </w:style>
  <w:style w:type="character" w:customStyle="1" w:styleId="488">
    <w:name w:val="副标题 Char"/>
    <w:link w:val="45"/>
    <w:qFormat/>
    <w:uiPriority w:val="0"/>
    <w:rPr>
      <w:rFonts w:ascii="Arial" w:hAnsi="Arial" w:eastAsia="隶书"/>
      <w:b/>
      <w:bCs/>
      <w:kern w:val="28"/>
      <w:sz w:val="44"/>
      <w:szCs w:val="32"/>
      <w:lang w:val="en-US" w:eastAsia="zh-CN" w:bidi="ar-SA"/>
    </w:rPr>
  </w:style>
  <w:style w:type="character" w:customStyle="1" w:styleId="489">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490">
    <w:name w:val="表正文 Char1"/>
    <w:qFormat/>
    <w:uiPriority w:val="0"/>
    <w:rPr>
      <w:rFonts w:ascii="宋体" w:eastAsia="宋体"/>
      <w:snapToGrid w:val="0"/>
      <w:color w:val="000000"/>
      <w:kern w:val="28"/>
      <w:sz w:val="28"/>
    </w:rPr>
  </w:style>
  <w:style w:type="character" w:customStyle="1" w:styleId="491">
    <w:name w:val="Char Char5"/>
    <w:qFormat/>
    <w:uiPriority w:val="0"/>
    <w:rPr>
      <w:rFonts w:ascii="宋体" w:hAnsi="Courier New" w:eastAsia="宋体"/>
      <w:kern w:val="2"/>
      <w:sz w:val="21"/>
      <w:lang w:val="en-US" w:eastAsia="zh-CN"/>
    </w:rPr>
  </w:style>
  <w:style w:type="character" w:customStyle="1" w:styleId="492">
    <w:name w:val="标题 1 Char Char"/>
    <w:qFormat/>
    <w:uiPriority w:val="0"/>
    <w:rPr>
      <w:rFonts w:hint="eastAsia" w:ascii="宋体" w:hAnsi="宋体" w:eastAsia="宋体"/>
      <w:b/>
      <w:spacing w:val="-2"/>
      <w:sz w:val="24"/>
      <w:lang w:val="en-US" w:eastAsia="zh-CN" w:bidi="ar-SA"/>
    </w:rPr>
  </w:style>
  <w:style w:type="character" w:customStyle="1" w:styleId="493">
    <w:name w:val="Char Char4"/>
    <w:qFormat/>
    <w:uiPriority w:val="0"/>
    <w:rPr>
      <w:rFonts w:eastAsia="宋体"/>
      <w:b/>
      <w:sz w:val="24"/>
      <w:lang w:val="en-GB" w:eastAsia="zh-CN" w:bidi="ar-SA"/>
    </w:rPr>
  </w:style>
  <w:style w:type="character" w:customStyle="1" w:styleId="494">
    <w:name w:val="zbggmain style9"/>
    <w:qFormat/>
    <w:uiPriority w:val="0"/>
  </w:style>
  <w:style w:type="character" w:customStyle="1" w:styleId="495">
    <w:name w:val="Header Char"/>
    <w:semiHidden/>
    <w:qFormat/>
    <w:locked/>
    <w:uiPriority w:val="0"/>
    <w:rPr>
      <w:rFonts w:eastAsia="宋体"/>
      <w:kern w:val="2"/>
      <w:sz w:val="18"/>
      <w:szCs w:val="18"/>
      <w:lang w:val="en-US" w:eastAsia="zh-CN" w:bidi="ar-SA"/>
    </w:rPr>
  </w:style>
  <w:style w:type="character" w:customStyle="1" w:styleId="496">
    <w:name w:val="样式 宋体"/>
    <w:qFormat/>
    <w:uiPriority w:val="0"/>
    <w:rPr>
      <w:rFonts w:ascii="宋体" w:hAnsi="宋体"/>
      <w:sz w:val="24"/>
    </w:rPr>
  </w:style>
  <w:style w:type="character" w:customStyle="1" w:styleId="497">
    <w:name w:val="哈哈正文 Char"/>
    <w:link w:val="313"/>
    <w:qFormat/>
    <w:uiPriority w:val="0"/>
    <w:rPr>
      <w:rFonts w:ascii="宋体" w:hAnsi="宋体" w:eastAsia="宋体"/>
      <w:kern w:val="2"/>
      <w:sz w:val="24"/>
      <w:lang w:bidi="ar-SA"/>
    </w:rPr>
  </w:style>
  <w:style w:type="character" w:customStyle="1" w:styleId="498">
    <w:name w:val="标题 Char"/>
    <w:qFormat/>
    <w:uiPriority w:val="0"/>
    <w:rPr>
      <w:rFonts w:eastAsia="宋体"/>
      <w:b/>
      <w:sz w:val="24"/>
      <w:lang w:val="en-GB" w:eastAsia="zh-CN" w:bidi="ar-SA"/>
    </w:rPr>
  </w:style>
  <w:style w:type="character" w:customStyle="1" w:styleId="499">
    <w:name w:val="纯文本 Char Char Char"/>
    <w:qFormat/>
    <w:uiPriority w:val="0"/>
    <w:rPr>
      <w:rFonts w:ascii="宋体" w:hAnsi="Courier New" w:eastAsia="宋体"/>
      <w:kern w:val="2"/>
      <w:sz w:val="21"/>
      <w:lang w:val="en-US" w:eastAsia="zh-CN" w:bidi="ar-SA"/>
    </w:rPr>
  </w:style>
  <w:style w:type="character" w:customStyle="1" w:styleId="500">
    <w:name w:val="正文 编号 Char"/>
    <w:qFormat/>
    <w:uiPriority w:val="0"/>
    <w:rPr>
      <w:rFonts w:ascii="仿宋_GB2312" w:hAnsi="仿宋_GB2312" w:eastAsia="仿宋_GB2312"/>
      <w:kern w:val="2"/>
      <w:sz w:val="24"/>
      <w:lang w:bidi="ar-SA"/>
    </w:rPr>
  </w:style>
  <w:style w:type="character" w:customStyle="1" w:styleId="501">
    <w:name w:val="插图说明 Char"/>
    <w:qFormat/>
    <w:uiPriority w:val="0"/>
    <w:rPr>
      <w:rFonts w:eastAsia="黑体"/>
      <w:sz w:val="24"/>
      <w:lang w:val="en-US" w:eastAsia="zh-CN"/>
    </w:rPr>
  </w:style>
  <w:style w:type="character" w:customStyle="1" w:styleId="502">
    <w:name w:val="正文首行缩进 2 Char"/>
    <w:link w:val="60"/>
    <w:qFormat/>
    <w:uiPriority w:val="0"/>
    <w:rPr>
      <w:rFonts w:ascii="宋体" w:hAnsi="宋体"/>
      <w:kern w:val="2"/>
      <w:sz w:val="21"/>
      <w:szCs w:val="24"/>
    </w:rPr>
  </w:style>
  <w:style w:type="character" w:customStyle="1" w:styleId="503">
    <w:name w:val="正文文本缩进 2 Char"/>
    <w:link w:val="36"/>
    <w:qFormat/>
    <w:uiPriority w:val="0"/>
    <w:rPr>
      <w:rFonts w:ascii="宋体"/>
      <w:sz w:val="28"/>
    </w:rPr>
  </w:style>
  <w:style w:type="character" w:customStyle="1" w:styleId="504">
    <w:name w:val="公文正文 Char"/>
    <w:qFormat/>
    <w:uiPriority w:val="0"/>
    <w:rPr>
      <w:rFonts w:ascii="仿宋_GB2312" w:eastAsia="仿宋_GB2312"/>
      <w:kern w:val="2"/>
      <w:sz w:val="24"/>
      <w:szCs w:val="24"/>
      <w:lang w:val="en-US" w:eastAsia="zh-CN" w:bidi="ar-SA"/>
    </w:rPr>
  </w:style>
  <w:style w:type="character" w:customStyle="1" w:styleId="505">
    <w:name w:val="Char Char41"/>
    <w:qFormat/>
    <w:uiPriority w:val="0"/>
    <w:rPr>
      <w:rFonts w:eastAsia="宋体"/>
      <w:b/>
      <w:sz w:val="24"/>
      <w:lang w:val="en-GB" w:eastAsia="zh-CN" w:bidi="ar-SA"/>
    </w:rPr>
  </w:style>
  <w:style w:type="character" w:customStyle="1" w:styleId="506">
    <w:name w:val="unnamed31"/>
    <w:qFormat/>
    <w:uiPriority w:val="0"/>
    <w:rPr>
      <w:rFonts w:ascii="Tahoma" w:hAnsi="Tahoma" w:eastAsia="宋体"/>
      <w:b/>
      <w:kern w:val="2"/>
      <w:sz w:val="24"/>
      <w:szCs w:val="32"/>
      <w:u w:val="none"/>
      <w:lang w:val="en-US" w:eastAsia="zh-CN" w:bidi="ar-SA"/>
    </w:rPr>
  </w:style>
  <w:style w:type="character" w:customStyle="1" w:styleId="507">
    <w:name w:val="Char Char91"/>
    <w:qFormat/>
    <w:uiPriority w:val="0"/>
    <w:rPr>
      <w:rFonts w:eastAsia="宋体"/>
      <w:kern w:val="2"/>
      <w:sz w:val="18"/>
      <w:szCs w:val="18"/>
      <w:lang w:val="en-US" w:eastAsia="zh-CN" w:bidi="ar-SA"/>
    </w:rPr>
  </w:style>
  <w:style w:type="character" w:customStyle="1" w:styleId="508">
    <w:name w:val="Footer-Even Char1"/>
    <w:qFormat/>
    <w:uiPriority w:val="0"/>
    <w:rPr>
      <w:rFonts w:eastAsia="宋体"/>
      <w:kern w:val="2"/>
      <w:sz w:val="18"/>
      <w:szCs w:val="18"/>
      <w:lang w:val="en-US" w:eastAsia="zh-CN" w:bidi="ar-SA"/>
    </w:rPr>
  </w:style>
  <w:style w:type="character" w:customStyle="1" w:styleId="509">
    <w:name w:val="gf正文1 Char"/>
    <w:qFormat/>
    <w:uiPriority w:val="0"/>
    <w:rPr>
      <w:rFonts w:ascii="宋体" w:hAnsi="宋体" w:eastAsia="宋体" w:cs="宋体"/>
      <w:kern w:val="2"/>
      <w:sz w:val="24"/>
      <w:szCs w:val="24"/>
      <w:lang w:val="en-US" w:eastAsia="zh-CN" w:bidi="ar-SA"/>
    </w:rPr>
  </w:style>
  <w:style w:type="character" w:customStyle="1" w:styleId="510">
    <w:name w:val="javascript"/>
    <w:qFormat/>
    <w:uiPriority w:val="0"/>
  </w:style>
  <w:style w:type="character" w:customStyle="1" w:styleId="511">
    <w:name w:val="列出段落 Char"/>
    <w:qFormat/>
    <w:uiPriority w:val="34"/>
    <w:rPr>
      <w:rFonts w:eastAsia="楷体_GB2312" w:cs="Lucida Sans"/>
      <w:kern w:val="2"/>
      <w:sz w:val="24"/>
      <w:szCs w:val="24"/>
      <w:lang w:val="en-US" w:eastAsia="zh-CN" w:bidi="ar-SA"/>
    </w:rPr>
  </w:style>
  <w:style w:type="character" w:customStyle="1" w:styleId="512">
    <w:name w:val="正文文本 Char1"/>
    <w:link w:val="22"/>
    <w:qFormat/>
    <w:uiPriority w:val="0"/>
    <w:rPr>
      <w:rFonts w:ascii="宋体" w:hAnsi="Arial" w:eastAsia="宋体" w:cs="Arial"/>
      <w:snapToGrid w:val="0"/>
      <w:kern w:val="2"/>
      <w:sz w:val="24"/>
      <w:szCs w:val="21"/>
      <w:lang w:val="zh-CN" w:eastAsia="zh-CN" w:bidi="ar-SA"/>
    </w:rPr>
  </w:style>
  <w:style w:type="character" w:customStyle="1" w:styleId="513">
    <w:name w:val="标书表格字体格式 Char"/>
    <w:qFormat/>
    <w:uiPriority w:val="0"/>
    <w:rPr>
      <w:kern w:val="2"/>
      <w:sz w:val="21"/>
      <w:szCs w:val="24"/>
      <w:lang w:bidi="ar-SA"/>
    </w:rPr>
  </w:style>
  <w:style w:type="character" w:customStyle="1" w:styleId="514">
    <w:name w:val="普通文字 Char3"/>
    <w:qFormat/>
    <w:uiPriority w:val="0"/>
    <w:rPr>
      <w:rFonts w:ascii="宋体" w:hAnsi="Courier New" w:eastAsia="宋体"/>
      <w:kern w:val="2"/>
      <w:sz w:val="21"/>
      <w:lang w:val="en-US" w:eastAsia="zh-CN" w:bidi="ar-SA"/>
    </w:rPr>
  </w:style>
  <w:style w:type="character" w:customStyle="1" w:styleId="515">
    <w:name w:val="h Char Char1"/>
    <w:qFormat/>
    <w:uiPriority w:val="0"/>
    <w:rPr>
      <w:rFonts w:eastAsia="宋体"/>
      <w:kern w:val="2"/>
      <w:sz w:val="18"/>
      <w:szCs w:val="18"/>
      <w:lang w:val="en-US" w:eastAsia="zh-CN" w:bidi="ar-SA"/>
    </w:rPr>
  </w:style>
  <w:style w:type="character" w:customStyle="1" w:styleId="516">
    <w:name w:val="冯 Char"/>
    <w:link w:val="74"/>
    <w:qFormat/>
    <w:uiPriority w:val="0"/>
    <w:rPr>
      <w:rFonts w:ascii="宋体" w:hAnsi="宋体"/>
      <w:color w:val="000000"/>
      <w:sz w:val="24"/>
      <w:szCs w:val="24"/>
    </w:rPr>
  </w:style>
  <w:style w:type="character" w:customStyle="1" w:styleId="517">
    <w:name w:val="highlight1"/>
    <w:qFormat/>
    <w:uiPriority w:val="0"/>
    <w:rPr>
      <w:rFonts w:ascii="仿宋_GB2312" w:eastAsia="微软雅黑"/>
      <w:b/>
      <w:kern w:val="2"/>
      <w:sz w:val="23"/>
      <w:szCs w:val="23"/>
      <w:lang w:val="en-US" w:eastAsia="zh-CN" w:bidi="ar-SA"/>
    </w:rPr>
  </w:style>
  <w:style w:type="character" w:customStyle="1" w:styleId="518">
    <w:name w:val="样式6 Char"/>
    <w:qFormat/>
    <w:uiPriority w:val="0"/>
    <w:rPr>
      <w:rFonts w:ascii="仿宋_GB2312" w:hAnsi="宋体" w:eastAsia="仿宋_GB2312"/>
      <w:b/>
      <w:bCs/>
      <w:kern w:val="2"/>
      <w:sz w:val="24"/>
      <w:szCs w:val="24"/>
      <w:lang w:val="en-US" w:eastAsia="zh-CN" w:bidi="ar-SA"/>
    </w:rPr>
  </w:style>
  <w:style w:type="character" w:customStyle="1" w:styleId="519">
    <w:name w:val="标题 9 Char"/>
    <w:link w:val="10"/>
    <w:qFormat/>
    <w:uiPriority w:val="0"/>
    <w:rPr>
      <w:rFonts w:ascii="Arial" w:hAnsi="Arial" w:eastAsia="黑体"/>
      <w:kern w:val="2"/>
      <w:sz w:val="21"/>
      <w:szCs w:val="21"/>
    </w:rPr>
  </w:style>
  <w:style w:type="character" w:customStyle="1" w:styleId="520">
    <w:name w:val="md"/>
    <w:basedOn w:val="63"/>
    <w:qFormat/>
    <w:uiPriority w:val="0"/>
  </w:style>
  <w:style w:type="character" w:customStyle="1" w:styleId="521">
    <w:name w:val="myp11"/>
    <w:qFormat/>
    <w:uiPriority w:val="0"/>
    <w:rPr>
      <w:rFonts w:ascii="仿宋_GB2312" w:eastAsia="微软雅黑"/>
      <w:b/>
      <w:kern w:val="2"/>
      <w:sz w:val="32"/>
      <w:szCs w:val="32"/>
      <w:lang w:val="en-US" w:eastAsia="zh-CN" w:bidi="ar-SA"/>
    </w:rPr>
  </w:style>
  <w:style w:type="character" w:customStyle="1" w:styleId="522">
    <w:name w:val="Ò³Ã¼ Char Char1"/>
    <w:qFormat/>
    <w:uiPriority w:val="0"/>
    <w:rPr>
      <w:rFonts w:eastAsia="宋体"/>
      <w:kern w:val="2"/>
      <w:sz w:val="18"/>
      <w:szCs w:val="18"/>
      <w:lang w:val="en-US" w:eastAsia="zh-CN" w:bidi="ar-SA"/>
    </w:rPr>
  </w:style>
  <w:style w:type="character" w:customStyle="1" w:styleId="523">
    <w:name w:val="tw4winTerm"/>
    <w:qFormat/>
    <w:uiPriority w:val="0"/>
    <w:rPr>
      <w:color w:val="0000FF"/>
    </w:rPr>
  </w:style>
  <w:style w:type="character" w:customStyle="1" w:styleId="524">
    <w:name w:val="表格 Char Char"/>
    <w:qFormat/>
    <w:uiPriority w:val="0"/>
    <w:rPr>
      <w:rFonts w:ascii="宋体" w:hAnsi="宋体" w:eastAsia="宋体"/>
      <w:lang w:bidi="ar-SA"/>
    </w:rPr>
  </w:style>
  <w:style w:type="character" w:customStyle="1" w:styleId="525">
    <w:name w:val="样式8 Char"/>
    <w:qFormat/>
    <w:uiPriority w:val="0"/>
    <w:rPr>
      <w:rFonts w:ascii="仿宋_GB2312" w:hAnsi="宋体" w:eastAsia="仿宋_GB2312"/>
      <w:b/>
      <w:bCs/>
      <w:kern w:val="2"/>
      <w:sz w:val="24"/>
      <w:szCs w:val="24"/>
    </w:rPr>
  </w:style>
  <w:style w:type="character" w:customStyle="1" w:styleId="526">
    <w:name w:val="样式5 Char"/>
    <w:qFormat/>
    <w:uiPriority w:val="0"/>
    <w:rPr>
      <w:rFonts w:ascii="仿宋_GB2312" w:hAnsi="仿宋" w:eastAsia="仿宋_GB2312"/>
      <w:kern w:val="2"/>
      <w:sz w:val="24"/>
      <w:szCs w:val="24"/>
    </w:rPr>
  </w:style>
  <w:style w:type="character" w:customStyle="1" w:styleId="527">
    <w:name w:val="页脚 Char1"/>
    <w:qFormat/>
    <w:uiPriority w:val="0"/>
    <w:rPr>
      <w:rFonts w:eastAsia="宋体"/>
      <w:kern w:val="2"/>
      <w:sz w:val="18"/>
      <w:szCs w:val="18"/>
      <w:lang w:val="en-US" w:eastAsia="zh-CN" w:bidi="ar-SA"/>
    </w:rPr>
  </w:style>
  <w:style w:type="character" w:customStyle="1" w:styleId="528">
    <w:name w:val="tw4winJump"/>
    <w:qFormat/>
    <w:uiPriority w:val="0"/>
    <w:rPr>
      <w:rFonts w:ascii="Courier New" w:hAnsi="Courier New" w:cs="Courier New"/>
      <w:color w:val="008080"/>
    </w:rPr>
  </w:style>
  <w:style w:type="character" w:customStyle="1" w:styleId="529">
    <w:name w:val="批注文字 Char"/>
    <w:qFormat/>
    <w:uiPriority w:val="99"/>
    <w:rPr>
      <w:kern w:val="2"/>
      <w:sz w:val="21"/>
      <w:szCs w:val="24"/>
    </w:rPr>
  </w:style>
  <w:style w:type="character" w:customStyle="1" w:styleId="530">
    <w:name w:val="Char Char122"/>
    <w:qFormat/>
    <w:uiPriority w:val="0"/>
    <w:rPr>
      <w:rFonts w:ascii="仿宋_GB2312" w:eastAsia="仿宋_GB2312"/>
      <w:b/>
      <w:bCs/>
      <w:kern w:val="2"/>
      <w:sz w:val="24"/>
      <w:szCs w:val="24"/>
      <w:lang w:val="zh-CN" w:eastAsia="zh-CN" w:bidi="ar-SA"/>
    </w:rPr>
  </w:style>
  <w:style w:type="character" w:customStyle="1" w:styleId="531">
    <w:name w:val="No Spacing Char"/>
    <w:link w:val="169"/>
    <w:qFormat/>
    <w:uiPriority w:val="1"/>
    <w:rPr>
      <w:rFonts w:ascii="Calibri" w:hAnsi="Calibri"/>
      <w:sz w:val="22"/>
      <w:szCs w:val="22"/>
      <w:lang w:val="en-US" w:eastAsia="zh-CN" w:bidi="ar-SA"/>
    </w:rPr>
  </w:style>
  <w:style w:type="character" w:customStyle="1" w:styleId="532">
    <w:name w:val="Char Char21"/>
    <w:qFormat/>
    <w:uiPriority w:val="0"/>
    <w:rPr>
      <w:rFonts w:ascii="宋体" w:hAnsi="Courier New" w:eastAsia="宋体"/>
      <w:kern w:val="2"/>
      <w:sz w:val="21"/>
      <w:lang w:val="en-US" w:eastAsia="zh-CN" w:bidi="ar-SA"/>
    </w:rPr>
  </w:style>
  <w:style w:type="character" w:customStyle="1" w:styleId="533">
    <w:name w:val="Char Char8"/>
    <w:qFormat/>
    <w:uiPriority w:val="0"/>
    <w:rPr>
      <w:rFonts w:eastAsia="宋体"/>
      <w:b/>
      <w:sz w:val="24"/>
      <w:lang w:val="en-GB" w:eastAsia="zh-CN"/>
    </w:rPr>
  </w:style>
  <w:style w:type="character" w:customStyle="1" w:styleId="534">
    <w:name w:val="font21"/>
    <w:qFormat/>
    <w:uiPriority w:val="0"/>
    <w:rPr>
      <w:rFonts w:hint="eastAsia" w:ascii="宋体" w:hAnsi="宋体" w:eastAsia="宋体"/>
      <w:kern w:val="2"/>
      <w:sz w:val="28"/>
      <w:szCs w:val="28"/>
      <w:lang w:val="en-US" w:eastAsia="zh-CN" w:bidi="ar-SA"/>
    </w:rPr>
  </w:style>
  <w:style w:type="character" w:customStyle="1" w:styleId="535">
    <w:name w:val="正文2 Char"/>
    <w:qFormat/>
    <w:uiPriority w:val="0"/>
    <w:rPr>
      <w:rFonts w:eastAsia="宋体"/>
      <w:kern w:val="2"/>
      <w:sz w:val="24"/>
      <w:lang w:val="en-US" w:eastAsia="zh-CN" w:bidi="ar-SA"/>
    </w:rPr>
  </w:style>
  <w:style w:type="character" w:customStyle="1" w:styleId="536">
    <w:name w:val="big1"/>
    <w:qFormat/>
    <w:uiPriority w:val="0"/>
    <w:rPr>
      <w:rFonts w:hint="eastAsia" w:ascii="宋体" w:hAnsi="宋体" w:eastAsia="宋体"/>
      <w:color w:val="333333"/>
      <w:sz w:val="22"/>
      <w:szCs w:val="22"/>
    </w:rPr>
  </w:style>
  <w:style w:type="character" w:customStyle="1" w:styleId="537">
    <w:name w:val="Body Text(ch) Char Char"/>
    <w:qFormat/>
    <w:uiPriority w:val="0"/>
    <w:rPr>
      <w:rFonts w:ascii="宋体"/>
      <w:kern w:val="2"/>
      <w:sz w:val="24"/>
      <w:szCs w:val="21"/>
      <w:lang w:val="zh-CN"/>
    </w:rPr>
  </w:style>
  <w:style w:type="character" w:customStyle="1" w:styleId="538">
    <w:name w:val="blue1"/>
    <w:basedOn w:val="63"/>
    <w:qFormat/>
    <w:uiPriority w:val="0"/>
  </w:style>
  <w:style w:type="character" w:customStyle="1" w:styleId="539">
    <w:name w:val="正文 项目2 Char"/>
    <w:basedOn w:val="483"/>
    <w:qFormat/>
    <w:uiPriority w:val="0"/>
    <w:rPr>
      <w:rFonts w:ascii="仿宋_GB2312" w:hAnsi="仿宋_GB2312" w:eastAsia="仿宋_GB2312"/>
      <w:kern w:val="2"/>
      <w:sz w:val="24"/>
      <w:lang w:bidi="ar-SA"/>
    </w:rPr>
  </w:style>
  <w:style w:type="character" w:customStyle="1" w:styleId="540">
    <w:name w:val="solutionfonts"/>
    <w:qFormat/>
    <w:uiPriority w:val="0"/>
  </w:style>
  <w:style w:type="character" w:customStyle="1" w:styleId="541">
    <w:name w:val="Char Char81"/>
    <w:qFormat/>
    <w:uiPriority w:val="0"/>
    <w:rPr>
      <w:rFonts w:eastAsia="宋体"/>
      <w:b/>
      <w:sz w:val="24"/>
      <w:lang w:val="en-GB" w:eastAsia="zh-CN"/>
    </w:rPr>
  </w:style>
  <w:style w:type="character" w:customStyle="1" w:styleId="542">
    <w:name w:val="Char Char2"/>
    <w:qFormat/>
    <w:uiPriority w:val="0"/>
    <w:rPr>
      <w:rFonts w:eastAsia="宋体"/>
      <w:b/>
      <w:bCs/>
      <w:kern w:val="2"/>
      <w:sz w:val="21"/>
      <w:szCs w:val="24"/>
      <w:lang w:val="en-US" w:eastAsia="zh-CN" w:bidi="ar-SA"/>
    </w:rPr>
  </w:style>
  <w:style w:type="character" w:customStyle="1" w:styleId="543">
    <w:name w:val="HTML 预设格式 Char"/>
    <w:link w:val="55"/>
    <w:qFormat/>
    <w:uiPriority w:val="0"/>
    <w:rPr>
      <w:rFonts w:ascii="黑体" w:hAnsi="Courier New" w:eastAsia="黑体"/>
    </w:rPr>
  </w:style>
  <w:style w:type="character" w:customStyle="1" w:styleId="544">
    <w:name w:val="Heading 7 Char"/>
    <w:qFormat/>
    <w:locked/>
    <w:uiPriority w:val="0"/>
    <w:rPr>
      <w:rFonts w:ascii="宋体" w:hAnsi="宋体" w:eastAsia="宋体"/>
      <w:b/>
      <w:bCs/>
      <w:kern w:val="2"/>
      <w:sz w:val="24"/>
      <w:szCs w:val="24"/>
      <w:lang w:val="en-US" w:eastAsia="zh-CN" w:bidi="ar-SA"/>
    </w:rPr>
  </w:style>
  <w:style w:type="character" w:customStyle="1" w:styleId="545">
    <w:name w:val="正文首行缩进 Char"/>
    <w:link w:val="59"/>
    <w:qFormat/>
    <w:uiPriority w:val="0"/>
    <w:rPr>
      <w:rFonts w:ascii="宋体"/>
      <w:kern w:val="2"/>
      <w:sz w:val="24"/>
      <w:lang w:val="zh-CN"/>
    </w:rPr>
  </w:style>
  <w:style w:type="character" w:customStyle="1" w:styleId="546">
    <w:name w:val="标题 2 Char Char"/>
    <w:qFormat/>
    <w:uiPriority w:val="0"/>
    <w:rPr>
      <w:rFonts w:ascii="楷体_GB2312" w:hAnsi="Arial" w:eastAsia="楷体_GB2312"/>
      <w:b/>
      <w:bCs/>
      <w:kern w:val="2"/>
      <w:sz w:val="24"/>
      <w:szCs w:val="32"/>
      <w:lang w:val="en-US" w:eastAsia="zh-CN" w:bidi="ar-SA"/>
    </w:rPr>
  </w:style>
  <w:style w:type="character" w:customStyle="1" w:styleId="547">
    <w:name w:val="pt141"/>
    <w:qFormat/>
    <w:uiPriority w:val="0"/>
    <w:rPr>
      <w:color w:val="330066"/>
      <w:sz w:val="22"/>
      <w:szCs w:val="22"/>
    </w:rPr>
  </w:style>
  <w:style w:type="character" w:customStyle="1" w:styleId="548">
    <w:name w:val="h Char Char"/>
    <w:qFormat/>
    <w:uiPriority w:val="0"/>
    <w:rPr>
      <w:rFonts w:eastAsia="宋体"/>
      <w:kern w:val="2"/>
      <w:sz w:val="18"/>
      <w:lang w:val="en-US" w:eastAsia="zh-CN" w:bidi="ar-SA"/>
    </w:rPr>
  </w:style>
  <w:style w:type="character" w:customStyle="1" w:styleId="549">
    <w:name w:val="标题 1 Char"/>
    <w:link w:val="2"/>
    <w:qFormat/>
    <w:uiPriority w:val="0"/>
    <w:rPr>
      <w:b/>
      <w:bCs/>
      <w:kern w:val="44"/>
      <w:sz w:val="44"/>
      <w:szCs w:val="44"/>
    </w:rPr>
  </w:style>
  <w:style w:type="character" w:customStyle="1" w:styleId="550">
    <w:name w:val="页眉 Char"/>
    <w:qFormat/>
    <w:uiPriority w:val="0"/>
    <w:rPr>
      <w:rFonts w:eastAsia="仿宋_GB2312"/>
      <w:kern w:val="2"/>
      <w:sz w:val="18"/>
      <w:lang w:val="en-US" w:eastAsia="zh-CN"/>
    </w:rPr>
  </w:style>
  <w:style w:type="character" w:customStyle="1" w:styleId="551">
    <w:name w:val="b11_01b Char"/>
    <w:link w:val="409"/>
    <w:qFormat/>
    <w:uiPriority w:val="0"/>
    <w:rPr>
      <w:rFonts w:ascii="Verdana" w:hAnsi="Verdana"/>
      <w:b/>
      <w:bCs/>
      <w:color w:val="4A82CA"/>
      <w:sz w:val="17"/>
      <w:szCs w:val="17"/>
    </w:rPr>
  </w:style>
  <w:style w:type="character" w:customStyle="1" w:styleId="552">
    <w:name w:val="标题4-dyf Char"/>
    <w:link w:val="347"/>
    <w:qFormat/>
    <w:uiPriority w:val="0"/>
    <w:rPr>
      <w:rFonts w:ascii="Cambria" w:hAnsi="Cambria"/>
      <w:b/>
      <w:bCs/>
      <w:color w:val="000000"/>
      <w:kern w:val="2"/>
      <w:sz w:val="21"/>
      <w:szCs w:val="21"/>
    </w:rPr>
  </w:style>
  <w:style w:type="character" w:customStyle="1" w:styleId="553">
    <w:name w:val="批注主题 Char"/>
    <w:qFormat/>
    <w:uiPriority w:val="0"/>
    <w:rPr>
      <w:rFonts w:eastAsia="宋体"/>
      <w:b/>
      <w:bCs/>
      <w:kern w:val="2"/>
      <w:sz w:val="21"/>
      <w:szCs w:val="24"/>
      <w:lang w:val="en-US" w:eastAsia="zh-CN" w:bidi="ar-SA"/>
    </w:rPr>
  </w:style>
  <w:style w:type="character" w:customStyle="1" w:styleId="554">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5">
    <w:name w:val="正文首行缩进两字 Char"/>
    <w:qFormat/>
    <w:uiPriority w:val="0"/>
    <w:rPr>
      <w:sz w:val="24"/>
      <w:szCs w:val="24"/>
      <w:lang w:val="en-US" w:eastAsia="zh-CN" w:bidi="ar-SA"/>
    </w:rPr>
  </w:style>
  <w:style w:type="character" w:customStyle="1" w:styleId="556">
    <w:name w:val="Char Char51"/>
    <w:qFormat/>
    <w:uiPriority w:val="0"/>
    <w:rPr>
      <w:rFonts w:ascii="宋体" w:hAnsi="Courier New" w:eastAsia="宋体"/>
      <w:kern w:val="2"/>
      <w:sz w:val="21"/>
      <w:lang w:val="en-US" w:eastAsia="zh-CN"/>
    </w:rPr>
  </w:style>
  <w:style w:type="character" w:customStyle="1" w:styleId="557">
    <w:name w:val="带编号样式 Char"/>
    <w:qFormat/>
    <w:uiPriority w:val="0"/>
    <w:rPr>
      <w:rFonts w:ascii="仿宋_GB2312" w:eastAsia="仿宋_GB2312"/>
      <w:color w:val="000000"/>
      <w:sz w:val="24"/>
      <w:lang w:bidi="ar-SA"/>
    </w:rPr>
  </w:style>
  <w:style w:type="character" w:customStyle="1" w:styleId="558">
    <w:name w:val="样式4 Char"/>
    <w:qFormat/>
    <w:uiPriority w:val="0"/>
    <w:rPr>
      <w:rFonts w:ascii="仿宋_GB2312" w:hAnsi="仿宋" w:eastAsia="仿宋_GB2312"/>
      <w:b/>
      <w:kern w:val="2"/>
      <w:sz w:val="32"/>
      <w:szCs w:val="32"/>
      <w:lang w:bidi="ar-SA"/>
    </w:rPr>
  </w:style>
  <w:style w:type="character" w:customStyle="1" w:styleId="559">
    <w:name w:val="样式 标题 4h4H4Fab-4T5Ref Heading 1rh1Heading sqlsect 1.2.3.... Char"/>
    <w:link w:val="171"/>
    <w:qFormat/>
    <w:uiPriority w:val="0"/>
    <w:rPr>
      <w:rFonts w:ascii="微软雅黑" w:hAnsi="微软雅黑" w:eastAsia="微软雅黑"/>
      <w:b/>
      <w:bCs/>
      <w:kern w:val="2"/>
      <w:sz w:val="24"/>
      <w:szCs w:val="28"/>
    </w:rPr>
  </w:style>
  <w:style w:type="character" w:customStyle="1" w:styleId="560">
    <w:name w:val="PI Char"/>
    <w:qFormat/>
    <w:uiPriority w:val="0"/>
    <w:rPr>
      <w:rFonts w:ascii="宋体" w:hAnsi="宋体" w:eastAsia="宋体"/>
      <w:kern w:val="2"/>
      <w:sz w:val="24"/>
      <w:szCs w:val="24"/>
      <w:lang w:val="en-US" w:eastAsia="zh-CN" w:bidi="ar-SA"/>
    </w:rPr>
  </w:style>
  <w:style w:type="character" w:customStyle="1" w:styleId="561">
    <w:name w:val="Char Char111"/>
    <w:qFormat/>
    <w:locked/>
    <w:uiPriority w:val="0"/>
    <w:rPr>
      <w:rFonts w:ascii="宋体" w:hAnsi="宋体" w:eastAsia="宋体"/>
      <w:b/>
      <w:kern w:val="2"/>
      <w:sz w:val="24"/>
      <w:szCs w:val="24"/>
      <w:lang w:val="en-US" w:eastAsia="zh-CN" w:bidi="ar-SA"/>
    </w:rPr>
  </w:style>
  <w:style w:type="character" w:customStyle="1" w:styleId="562">
    <w:name w:val="Document Map Char"/>
    <w:semiHidden/>
    <w:qFormat/>
    <w:locked/>
    <w:uiPriority w:val="0"/>
    <w:rPr>
      <w:rFonts w:eastAsia="宋体"/>
      <w:kern w:val="2"/>
      <w:sz w:val="21"/>
      <w:szCs w:val="24"/>
      <w:lang w:val="en-US" w:eastAsia="zh-CN" w:bidi="ar-SA"/>
    </w:rPr>
  </w:style>
  <w:style w:type="character" w:customStyle="1" w:styleId="563">
    <w:name w:val="正文文本缩进 Char"/>
    <w:qFormat/>
    <w:uiPriority w:val="0"/>
    <w:rPr>
      <w:rFonts w:ascii="宋体" w:hAnsi="宋体"/>
      <w:kern w:val="2"/>
      <w:sz w:val="24"/>
      <w:szCs w:val="24"/>
    </w:rPr>
  </w:style>
  <w:style w:type="character" w:customStyle="1" w:styleId="564">
    <w:name w:val="文本正文 Char Char"/>
    <w:qFormat/>
    <w:locked/>
    <w:uiPriority w:val="0"/>
    <w:rPr>
      <w:sz w:val="24"/>
      <w:lang w:bidi="ar-SA"/>
    </w:rPr>
  </w:style>
  <w:style w:type="character" w:customStyle="1" w:styleId="565">
    <w:name w:val="样式7 Char"/>
    <w:qFormat/>
    <w:uiPriority w:val="0"/>
    <w:rPr>
      <w:rFonts w:ascii="仿宋_GB2312" w:hAnsi="仿宋" w:eastAsia="仿宋_GB2312"/>
      <w:b/>
      <w:kern w:val="2"/>
      <w:sz w:val="24"/>
      <w:szCs w:val="24"/>
    </w:rPr>
  </w:style>
  <w:style w:type="character" w:customStyle="1" w:styleId="566">
    <w:name w:val="样式3 Char"/>
    <w:basedOn w:val="567"/>
    <w:qFormat/>
    <w:uiPriority w:val="0"/>
    <w:rPr>
      <w:rFonts w:ascii="仿宋_GB2312" w:hAnsi="仿宋" w:eastAsia="仿宋_GB2312" w:cs="仿宋_GB2312"/>
      <w:sz w:val="32"/>
      <w:szCs w:val="30"/>
      <w:lang w:val="zh-CN"/>
    </w:rPr>
  </w:style>
  <w:style w:type="character" w:customStyle="1" w:styleId="567">
    <w:name w:val="样式2 Char"/>
    <w:qFormat/>
    <w:uiPriority w:val="0"/>
    <w:rPr>
      <w:rFonts w:ascii="仿宋_GB2312" w:hAnsi="仿宋" w:eastAsia="仿宋_GB2312" w:cs="仿宋_GB2312"/>
      <w:b/>
      <w:bCs/>
      <w:sz w:val="32"/>
      <w:szCs w:val="30"/>
      <w:lang w:val="zh-CN"/>
    </w:rPr>
  </w:style>
  <w:style w:type="character" w:customStyle="1" w:styleId="568">
    <w:name w:val="二级标题 Char Char"/>
    <w:qFormat/>
    <w:uiPriority w:val="0"/>
    <w:rPr>
      <w:rFonts w:ascii="宋体" w:hAnsi="宋体" w:eastAsia="宋体"/>
      <w:b/>
      <w:snapToGrid w:val="0"/>
      <w:kern w:val="2"/>
      <w:sz w:val="24"/>
      <w:szCs w:val="24"/>
      <w:lang w:val="en-US" w:eastAsia="zh-CN" w:bidi="ar-SA"/>
    </w:rPr>
  </w:style>
  <w:style w:type="character" w:customStyle="1" w:styleId="569">
    <w:name w:val="Table Text Char1"/>
    <w:qFormat/>
    <w:uiPriority w:val="0"/>
    <w:rPr>
      <w:rFonts w:eastAsia="宋体"/>
      <w:sz w:val="24"/>
      <w:szCs w:val="24"/>
      <w:lang w:val="en-US" w:eastAsia="zh-CN" w:bidi="ar-SA"/>
    </w:rPr>
  </w:style>
  <w:style w:type="character" w:customStyle="1" w:styleId="570">
    <w:name w:val="shadow11"/>
    <w:qFormat/>
    <w:uiPriority w:val="0"/>
    <w:rPr>
      <w:color w:val="000000"/>
      <w:sz w:val="21"/>
    </w:rPr>
  </w:style>
  <w:style w:type="character" w:customStyle="1" w:styleId="571">
    <w:name w:val="HTML 地址 Char"/>
    <w:link w:val="28"/>
    <w:qFormat/>
    <w:uiPriority w:val="0"/>
    <w:rPr>
      <w:rFonts w:ascii="宋体" w:hAnsi="宋体"/>
      <w:i/>
      <w:iCs/>
      <w:sz w:val="24"/>
      <w:szCs w:val="24"/>
    </w:rPr>
  </w:style>
  <w:style w:type="character" w:customStyle="1" w:styleId="572">
    <w:name w:val="Char Char22"/>
    <w:qFormat/>
    <w:uiPriority w:val="0"/>
    <w:rPr>
      <w:rFonts w:eastAsia="宋体"/>
      <w:b/>
      <w:bCs/>
      <w:kern w:val="2"/>
      <w:sz w:val="21"/>
      <w:szCs w:val="24"/>
      <w:lang w:val="en-US" w:eastAsia="zh-CN" w:bidi="ar-SA"/>
    </w:rPr>
  </w:style>
  <w:style w:type="character" w:customStyle="1" w:styleId="573">
    <w:name w:val="标题 5 Char"/>
    <w:link w:val="6"/>
    <w:qFormat/>
    <w:uiPriority w:val="0"/>
    <w:rPr>
      <w:b/>
      <w:bCs/>
      <w:kern w:val="2"/>
      <w:sz w:val="28"/>
      <w:szCs w:val="28"/>
    </w:rPr>
  </w:style>
  <w:style w:type="character" w:customStyle="1" w:styleId="574">
    <w:name w:val="h3 Char1"/>
    <w:qFormat/>
    <w:uiPriority w:val="0"/>
    <w:rPr>
      <w:rFonts w:eastAsia="宋体"/>
      <w:b/>
      <w:bCs/>
      <w:kern w:val="2"/>
      <w:sz w:val="32"/>
      <w:szCs w:val="32"/>
      <w:lang w:bidi="ar-SA"/>
    </w:rPr>
  </w:style>
  <w:style w:type="character" w:customStyle="1" w:styleId="575">
    <w:name w:val="FA正文 Char Char"/>
    <w:qFormat/>
    <w:uiPriority w:val="0"/>
    <w:rPr>
      <w:rFonts w:hAnsi="宋体"/>
      <w:kern w:val="2"/>
      <w:sz w:val="24"/>
      <w:lang w:bidi="ar-SA"/>
    </w:rPr>
  </w:style>
  <w:style w:type="character" w:customStyle="1" w:styleId="576">
    <w:name w:val="Char Char7"/>
    <w:semiHidden/>
    <w:qFormat/>
    <w:uiPriority w:val="0"/>
    <w:rPr>
      <w:rFonts w:eastAsia="宋体"/>
      <w:kern w:val="2"/>
      <w:sz w:val="21"/>
      <w:szCs w:val="24"/>
      <w:lang w:val="en-US" w:eastAsia="zh-CN" w:bidi="ar-SA"/>
    </w:rPr>
  </w:style>
  <w:style w:type="character" w:customStyle="1" w:styleId="577">
    <w:name w:val="hui"/>
    <w:basedOn w:val="63"/>
    <w:qFormat/>
    <w:uiPriority w:val="0"/>
  </w:style>
  <w:style w:type="character" w:customStyle="1" w:styleId="578">
    <w:name w:val="正文缩进 Char"/>
    <w:qFormat/>
    <w:uiPriority w:val="0"/>
    <w:rPr>
      <w:rFonts w:eastAsia="宋体"/>
      <w:kern w:val="2"/>
      <w:sz w:val="21"/>
      <w:lang w:val="en-US" w:eastAsia="zh-CN"/>
    </w:rPr>
  </w:style>
  <w:style w:type="character" w:customStyle="1" w:styleId="579">
    <w:name w:val="正文1 Char"/>
    <w:qFormat/>
    <w:uiPriority w:val="0"/>
    <w:rPr>
      <w:rFonts w:ascii="宋体" w:eastAsia="宋体"/>
      <w:snapToGrid w:val="0"/>
      <w:color w:val="000000"/>
      <w:kern w:val="28"/>
      <w:sz w:val="28"/>
      <w:lang w:val="en-US" w:eastAsia="zh-CN" w:bidi="ar-SA"/>
    </w:rPr>
  </w:style>
  <w:style w:type="character" w:customStyle="1" w:styleId="580">
    <w:name w:val="Char Char61"/>
    <w:qFormat/>
    <w:uiPriority w:val="0"/>
    <w:rPr>
      <w:rFonts w:eastAsia="宋体"/>
      <w:kern w:val="2"/>
      <w:sz w:val="21"/>
      <w:szCs w:val="24"/>
      <w:lang w:val="en-US" w:eastAsia="zh-CN" w:bidi="ar-SA"/>
    </w:rPr>
  </w:style>
  <w:style w:type="character" w:customStyle="1" w:styleId="581">
    <w:name w:val="正文文本 3 Char"/>
    <w:link w:val="21"/>
    <w:qFormat/>
    <w:uiPriority w:val="0"/>
    <w:rPr>
      <w:kern w:val="2"/>
      <w:sz w:val="21"/>
    </w:rPr>
  </w:style>
  <w:style w:type="character" w:customStyle="1" w:styleId="582">
    <w:name w:val="message1"/>
    <w:qFormat/>
    <w:uiPriority w:val="0"/>
    <w:rPr>
      <w:rFonts w:hint="default" w:ascii="Tahoma" w:hAnsi="Tahoma" w:cs="Tahoma"/>
      <w:sz w:val="18"/>
      <w:szCs w:val="18"/>
    </w:rPr>
  </w:style>
  <w:style w:type="character" w:customStyle="1" w:styleId="583">
    <w:name w:val="DO_NOT_TRANSLATE"/>
    <w:qFormat/>
    <w:uiPriority w:val="0"/>
    <w:rPr>
      <w:rFonts w:ascii="Courier New" w:hAnsi="Courier New" w:cs="Courier New"/>
      <w:color w:val="800000"/>
    </w:rPr>
  </w:style>
  <w:style w:type="character" w:customStyle="1" w:styleId="584">
    <w:name w:val="unnamed11"/>
    <w:qFormat/>
    <w:uiPriority w:val="0"/>
    <w:rPr>
      <w:sz w:val="20"/>
      <w:szCs w:val="20"/>
    </w:rPr>
  </w:style>
  <w:style w:type="character" w:customStyle="1" w:styleId="585">
    <w:name w:val="tw4winInternal"/>
    <w:qFormat/>
    <w:uiPriority w:val="0"/>
    <w:rPr>
      <w:rFonts w:ascii="Courier New" w:hAnsi="Courier New" w:cs="Courier New"/>
      <w:color w:val="FF0000"/>
    </w:rPr>
  </w:style>
  <w:style w:type="character" w:customStyle="1" w:styleId="586">
    <w:name w:val="正文（缩进2汉字） Char"/>
    <w:link w:val="326"/>
    <w:qFormat/>
    <w:uiPriority w:val="0"/>
    <w:rPr>
      <w:rFonts w:ascii="宋体"/>
    </w:rPr>
  </w:style>
  <w:style w:type="character" w:customStyle="1" w:styleId="587">
    <w:name w:val="页脚 Char"/>
    <w:qFormat/>
    <w:uiPriority w:val="0"/>
    <w:rPr>
      <w:rFonts w:eastAsia="仿宋_GB2312"/>
      <w:kern w:val="2"/>
      <w:sz w:val="18"/>
      <w:lang w:val="en-US" w:eastAsia="zh-CN"/>
    </w:rPr>
  </w:style>
  <w:style w:type="character" w:customStyle="1" w:styleId="588">
    <w:name w:val="正文文本缩进 3 Char"/>
    <w:link w:val="51"/>
    <w:qFormat/>
    <w:uiPriority w:val="0"/>
    <w:rPr>
      <w:kern w:val="2"/>
      <w:sz w:val="24"/>
    </w:rPr>
  </w:style>
  <w:style w:type="character" w:customStyle="1" w:styleId="589">
    <w:name w:val="正文缩进 Char1"/>
    <w:qFormat/>
    <w:uiPriority w:val="0"/>
    <w:rPr>
      <w:rFonts w:ascii="宋体" w:eastAsia="宋体"/>
      <w:snapToGrid w:val="0"/>
      <w:color w:val="000000"/>
      <w:kern w:val="28"/>
      <w:sz w:val="28"/>
      <w:lang w:val="en-US" w:eastAsia="zh-CN" w:bidi="ar-SA"/>
    </w:rPr>
  </w:style>
  <w:style w:type="character" w:customStyle="1" w:styleId="590">
    <w:name w:val="style36"/>
    <w:basedOn w:val="63"/>
    <w:qFormat/>
    <w:uiPriority w:val="0"/>
  </w:style>
  <w:style w:type="character" w:customStyle="1" w:styleId="591">
    <w:name w:val="hui3"/>
    <w:qFormat/>
    <w:uiPriority w:val="0"/>
    <w:rPr>
      <w:color w:val="333333"/>
    </w:rPr>
  </w:style>
  <w:style w:type="character" w:customStyle="1" w:styleId="592">
    <w:name w:val="apple-converted-space"/>
    <w:qFormat/>
    <w:uiPriority w:val="0"/>
  </w:style>
  <w:style w:type="character" w:customStyle="1" w:styleId="593">
    <w:name w:val="文档结构图 Char"/>
    <w:qFormat/>
    <w:uiPriority w:val="0"/>
    <w:rPr>
      <w:rFonts w:eastAsia="宋体"/>
      <w:kern w:val="2"/>
      <w:sz w:val="21"/>
      <w:szCs w:val="24"/>
      <w:lang w:val="en-US" w:eastAsia="zh-CN" w:bidi="ar-SA"/>
    </w:rPr>
  </w:style>
  <w:style w:type="character" w:customStyle="1" w:styleId="594">
    <w:name w:val="正文非缩进 Char3"/>
    <w:qFormat/>
    <w:uiPriority w:val="0"/>
    <w:rPr>
      <w:rFonts w:ascii="宋体" w:eastAsia="宋体"/>
      <w:snapToGrid w:val="0"/>
      <w:color w:val="000000"/>
      <w:kern w:val="28"/>
      <w:sz w:val="28"/>
      <w:lang w:val="en-US" w:eastAsia="zh-CN" w:bidi="ar-SA"/>
    </w:rPr>
  </w:style>
  <w:style w:type="character" w:customStyle="1" w:styleId="595">
    <w:name w:val="dectext1"/>
    <w:qFormat/>
    <w:uiPriority w:val="0"/>
    <w:rPr>
      <w:rFonts w:ascii="宋体" w:hAnsi="宋体" w:eastAsia="宋体"/>
      <w:color w:val="333333"/>
      <w:sz w:val="21"/>
      <w:szCs w:val="21"/>
      <w:u w:val="none"/>
    </w:rPr>
  </w:style>
  <w:style w:type="character" w:customStyle="1" w:styleId="596">
    <w:name w:val="副标题 Char1"/>
    <w:qFormat/>
    <w:uiPriority w:val="0"/>
    <w:rPr>
      <w:rFonts w:ascii="Cambria" w:hAnsi="Cambria" w:eastAsia="宋体" w:cs="Times New Roman"/>
      <w:b/>
      <w:bCs/>
      <w:snapToGrid w:val="0"/>
      <w:kern w:val="28"/>
      <w:sz w:val="32"/>
      <w:szCs w:val="32"/>
    </w:rPr>
  </w:style>
  <w:style w:type="character" w:customStyle="1" w:styleId="597">
    <w:name w:val="f141"/>
    <w:qFormat/>
    <w:uiPriority w:val="0"/>
    <w:rPr>
      <w:rFonts w:ascii="Tahoma" w:hAnsi="Tahoma" w:eastAsia="宋体"/>
      <w:b/>
      <w:kern w:val="2"/>
      <w:sz w:val="21"/>
      <w:szCs w:val="21"/>
      <w:lang w:val="en-US" w:eastAsia="zh-CN" w:bidi="ar-SA"/>
    </w:rPr>
  </w:style>
  <w:style w:type="character" w:customStyle="1" w:styleId="598">
    <w:name w:val="日期 Char"/>
    <w:link w:val="35"/>
    <w:qFormat/>
    <w:uiPriority w:val="0"/>
    <w:rPr>
      <w:rFonts w:ascii="宋体"/>
      <w:kern w:val="2"/>
      <w:sz w:val="24"/>
      <w:szCs w:val="21"/>
      <w:lang w:val="zh-CN"/>
    </w:rPr>
  </w:style>
  <w:style w:type="character" w:customStyle="1" w:styleId="599">
    <w:name w:val="标题 4 Char"/>
    <w:link w:val="5"/>
    <w:qFormat/>
    <w:uiPriority w:val="0"/>
    <w:rPr>
      <w:rFonts w:ascii="Arial" w:hAnsi="Arial" w:eastAsia="黑体"/>
      <w:b/>
      <w:bCs/>
      <w:kern w:val="2"/>
      <w:sz w:val="28"/>
      <w:szCs w:val="28"/>
      <w:lang w:val="zh-CN"/>
    </w:rPr>
  </w:style>
  <w:style w:type="character" w:customStyle="1" w:styleId="600">
    <w:name w:val="链接"/>
    <w:qFormat/>
    <w:uiPriority w:val="0"/>
    <w:rPr>
      <w:color w:val="0000FF"/>
      <w:sz w:val="21"/>
      <w:szCs w:val="21"/>
      <w:u w:val="single"/>
    </w:rPr>
  </w:style>
  <w:style w:type="character" w:customStyle="1" w:styleId="601">
    <w:name w:val="正文首行缩进 Char Char Char Char Char Char"/>
    <w:qFormat/>
    <w:uiPriority w:val="0"/>
    <w:rPr>
      <w:rFonts w:ascii="宋体" w:eastAsia="宋体"/>
      <w:kern w:val="2"/>
      <w:sz w:val="24"/>
      <w:lang w:val="zh-CN" w:bidi="ar-SA"/>
    </w:rPr>
  </w:style>
  <w:style w:type="character" w:customStyle="1" w:styleId="602">
    <w:name w:val="tw4winError"/>
    <w:qFormat/>
    <w:uiPriority w:val="0"/>
    <w:rPr>
      <w:rFonts w:ascii="Courier New" w:hAnsi="Courier New" w:cs="Courier New"/>
      <w:color w:val="00FF00"/>
      <w:sz w:val="40"/>
      <w:szCs w:val="40"/>
    </w:rPr>
  </w:style>
  <w:style w:type="character" w:customStyle="1" w:styleId="603">
    <w:name w:val="Used by Word for text of Help footnotes Char Char"/>
    <w:semiHidden/>
    <w:qFormat/>
    <w:uiPriority w:val="0"/>
    <w:rPr>
      <w:rFonts w:ascii="Times New Roman" w:hAnsi="Times New Roman" w:eastAsia="宋体" w:cs="Times New Roman"/>
      <w:sz w:val="20"/>
      <w:szCs w:val="20"/>
    </w:rPr>
  </w:style>
  <w:style w:type="character" w:customStyle="1" w:styleId="604">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5">
    <w:name w:val="表正文 Char"/>
    <w:qFormat/>
    <w:uiPriority w:val="0"/>
    <w:rPr>
      <w:rFonts w:ascii="宋体" w:eastAsia="宋体"/>
      <w:snapToGrid w:val="0"/>
      <w:color w:val="000000"/>
      <w:kern w:val="28"/>
      <w:sz w:val="28"/>
      <w:lang w:val="en-US" w:eastAsia="zh-CN" w:bidi="ar-SA"/>
    </w:rPr>
  </w:style>
  <w:style w:type="character" w:customStyle="1" w:styleId="606">
    <w:name w:val="普通文字 Char1 Char"/>
    <w:qFormat/>
    <w:uiPriority w:val="0"/>
    <w:rPr>
      <w:rFonts w:ascii="宋体" w:hAnsi="Courier New" w:eastAsia="宋体"/>
      <w:kern w:val="2"/>
      <w:sz w:val="21"/>
      <w:szCs w:val="24"/>
      <w:lang w:val="en-US" w:eastAsia="zh-CN" w:bidi="ar-SA"/>
    </w:rPr>
  </w:style>
  <w:style w:type="character" w:customStyle="1" w:styleId="607">
    <w:name w:val="pt9"/>
    <w:qFormat/>
    <w:uiPriority w:val="0"/>
    <w:rPr>
      <w:rFonts w:ascii="仿宋_GB2312" w:eastAsia="微软雅黑"/>
      <w:b/>
      <w:kern w:val="2"/>
      <w:sz w:val="32"/>
      <w:szCs w:val="32"/>
      <w:lang w:val="en-US" w:eastAsia="zh-CN" w:bidi="ar-SA"/>
    </w:rPr>
  </w:style>
  <w:style w:type="character" w:customStyle="1" w:styleId="608">
    <w:name w:val="large1"/>
    <w:qFormat/>
    <w:uiPriority w:val="0"/>
    <w:rPr>
      <w:rFonts w:hint="eastAsia" w:ascii="宋体" w:hAnsi="宋体" w:eastAsia="宋体"/>
      <w:sz w:val="21"/>
      <w:szCs w:val="21"/>
    </w:rPr>
  </w:style>
  <w:style w:type="character" w:customStyle="1" w:styleId="609">
    <w:name w:val="样式 样式 标题 4h4H4Fab-4T5Ref Heading 1rh1Heading sqlsect 1.2.3.... +... Char"/>
    <w:link w:val="170"/>
    <w:qFormat/>
    <w:uiPriority w:val="0"/>
    <w:rPr>
      <w:rFonts w:ascii="微软雅黑" w:hAnsi="微软雅黑" w:eastAsia="微软雅黑"/>
      <w:b/>
      <w:bCs/>
      <w:kern w:val="2"/>
      <w:sz w:val="24"/>
      <w:szCs w:val="28"/>
    </w:rPr>
  </w:style>
  <w:style w:type="character" w:customStyle="1" w:styleId="610">
    <w:name w:val="标题 4 Char1"/>
    <w:semiHidden/>
    <w:qFormat/>
    <w:uiPriority w:val="9"/>
    <w:rPr>
      <w:rFonts w:ascii="Cambria" w:hAnsi="Cambria" w:eastAsia="宋体" w:cs="Times New Roman"/>
      <w:b/>
      <w:bCs/>
      <w:kern w:val="2"/>
      <w:sz w:val="28"/>
      <w:szCs w:val="28"/>
    </w:rPr>
  </w:style>
  <w:style w:type="character" w:customStyle="1" w:styleId="611">
    <w:name w:val="tw4winPopup"/>
    <w:qFormat/>
    <w:uiPriority w:val="0"/>
    <w:rPr>
      <w:rFonts w:ascii="Courier New" w:hAnsi="Courier New" w:cs="Courier New"/>
      <w:color w:val="008000"/>
    </w:rPr>
  </w:style>
  <w:style w:type="character" w:customStyle="1" w:styleId="612">
    <w:name w:val="标题 6 Char"/>
    <w:link w:val="7"/>
    <w:qFormat/>
    <w:uiPriority w:val="0"/>
    <w:rPr>
      <w:rFonts w:ascii="Arial" w:hAnsi="Arial" w:eastAsia="黑体"/>
      <w:b/>
      <w:bCs/>
      <w:kern w:val="2"/>
      <w:sz w:val="24"/>
      <w:szCs w:val="24"/>
    </w:rPr>
  </w:style>
  <w:style w:type="character" w:customStyle="1" w:styleId="613">
    <w:name w:val="正文缩进 Char2"/>
    <w:link w:val="15"/>
    <w:qFormat/>
    <w:uiPriority w:val="0"/>
    <w:rPr>
      <w:rFonts w:ascii="宋体" w:eastAsia="宋体"/>
      <w:snapToGrid w:val="0"/>
      <w:color w:val="000000"/>
      <w:kern w:val="28"/>
      <w:sz w:val="28"/>
      <w:lang w:val="en-US" w:eastAsia="zh-CN" w:bidi="ar-SA"/>
    </w:rPr>
  </w:style>
  <w:style w:type="character" w:customStyle="1" w:styleId="614">
    <w:name w:val="批注文字 Char1"/>
    <w:link w:val="19"/>
    <w:qFormat/>
    <w:uiPriority w:val="99"/>
    <w:rPr>
      <w:kern w:val="2"/>
      <w:sz w:val="21"/>
      <w:szCs w:val="24"/>
    </w:rPr>
  </w:style>
  <w:style w:type="character" w:customStyle="1" w:styleId="615">
    <w:name w:val="批注框文本 Char"/>
    <w:link w:val="37"/>
    <w:semiHidden/>
    <w:qFormat/>
    <w:uiPriority w:val="0"/>
    <w:rPr>
      <w:kern w:val="2"/>
      <w:sz w:val="18"/>
      <w:szCs w:val="18"/>
    </w:rPr>
  </w:style>
  <w:style w:type="character" w:customStyle="1" w:styleId="616">
    <w:name w:val="Footer Char"/>
    <w:qFormat/>
    <w:locked/>
    <w:uiPriority w:val="0"/>
    <w:rPr>
      <w:rFonts w:eastAsia="宋体"/>
      <w:kern w:val="2"/>
      <w:sz w:val="18"/>
      <w:lang w:val="en-US" w:eastAsia="zh-CN" w:bidi="ar-SA"/>
    </w:rPr>
  </w:style>
  <w:style w:type="paragraph" w:customStyle="1" w:styleId="617">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8">
    <w:name w:val="索引 11"/>
    <w:basedOn w:val="1"/>
    <w:next w:val="1"/>
    <w:qFormat/>
    <w:uiPriority w:val="0"/>
    <w:pPr>
      <w:adjustRightInd/>
      <w:spacing w:line="360" w:lineRule="auto"/>
    </w:pPr>
    <w:rPr>
      <w:rFonts w:ascii="仿宋_GB2312" w:eastAsia="仿宋_GB2312"/>
      <w:sz w:val="24"/>
      <w:szCs w:val="20"/>
    </w:rPr>
  </w:style>
  <w:style w:type="paragraph" w:customStyle="1" w:styleId="619">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20">
    <w:name w:val="纯文本_0_0"/>
    <w:basedOn w:val="1"/>
    <w:link w:val="621"/>
    <w:qFormat/>
    <w:uiPriority w:val="0"/>
    <w:pPr>
      <w:adjustRightInd/>
    </w:pPr>
    <w:rPr>
      <w:rFonts w:ascii="宋体" w:hAnsi="Courier New"/>
      <w:szCs w:val="21"/>
    </w:rPr>
  </w:style>
  <w:style w:type="character" w:customStyle="1" w:styleId="621">
    <w:name w:val="纯文本 Char_0"/>
    <w:link w:val="620"/>
    <w:qFormat/>
    <w:uiPriority w:val="0"/>
    <w:rPr>
      <w:rFonts w:ascii="宋体" w:hAnsi="Courier New"/>
      <w:kern w:val="2"/>
      <w:sz w:val="21"/>
      <w:szCs w:val="21"/>
      <w:lang w:val="en-US" w:eastAsia="zh-CN"/>
    </w:rPr>
  </w:style>
  <w:style w:type="character" w:customStyle="1" w:styleId="622">
    <w:name w:val="纯文本 Char1"/>
    <w:link w:val="623"/>
    <w:qFormat/>
    <w:uiPriority w:val="0"/>
    <w:rPr>
      <w:rFonts w:ascii="宋体" w:hAnsi="Courier New"/>
    </w:rPr>
  </w:style>
  <w:style w:type="paragraph" w:customStyle="1" w:styleId="623">
    <w:name w:val="纯文本1"/>
    <w:basedOn w:val="1"/>
    <w:link w:val="622"/>
    <w:qFormat/>
    <w:uiPriority w:val="0"/>
    <w:pPr>
      <w:adjustRightInd/>
    </w:pPr>
    <w:rPr>
      <w:rFonts w:ascii="宋体" w:hAnsi="Courier New"/>
      <w:kern w:val="0"/>
      <w:sz w:val="20"/>
      <w:szCs w:val="20"/>
    </w:rPr>
  </w:style>
  <w:style w:type="paragraph" w:customStyle="1" w:styleId="624">
    <w:name w:val="Char Char Char Char Char Char Char2"/>
    <w:basedOn w:val="1"/>
    <w:qFormat/>
    <w:uiPriority w:val="0"/>
    <w:rPr>
      <w:rFonts w:ascii="仿宋_GB2312" w:eastAsia="仿宋_GB2312"/>
      <w:b/>
      <w:sz w:val="32"/>
      <w:szCs w:val="32"/>
    </w:rPr>
  </w:style>
  <w:style w:type="paragraph" w:customStyle="1" w:styleId="625">
    <w:name w:val="Char Char1 Char Char Char Char Char Char2"/>
    <w:basedOn w:val="1"/>
    <w:qFormat/>
    <w:uiPriority w:val="0"/>
    <w:rPr>
      <w:rFonts w:ascii="仿宋_GB2312" w:eastAsia="仿宋_GB2312"/>
      <w:b/>
      <w:sz w:val="32"/>
      <w:szCs w:val="20"/>
    </w:rPr>
  </w:style>
  <w:style w:type="paragraph" w:customStyle="1" w:styleId="626">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7">
    <w:name w:val="Default Char"/>
    <w:link w:val="100"/>
    <w:qFormat/>
    <w:uiPriority w:val="0"/>
    <w:rPr>
      <w:rFonts w:ascii="仿宋_GB2312" w:eastAsia="仿宋_GB2312" w:cs="仿宋_GB2312"/>
      <w:color w:val="000000"/>
      <w:sz w:val="24"/>
      <w:szCs w:val="24"/>
    </w:rPr>
  </w:style>
  <w:style w:type="paragraph" w:customStyle="1" w:styleId="628">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9">
    <w:name w:val="font61"/>
    <w:basedOn w:val="63"/>
    <w:qFormat/>
    <w:uiPriority w:val="0"/>
    <w:rPr>
      <w:rFonts w:hint="eastAsia" w:ascii="仿宋" w:hAnsi="仿宋" w:eastAsia="仿宋" w:cs="仿宋"/>
      <w:snapToGrid w:val="0"/>
      <w:color w:val="000000"/>
      <w:kern w:val="0"/>
      <w:sz w:val="20"/>
      <w:szCs w:val="20"/>
      <w:u w:val="none"/>
    </w:rPr>
  </w:style>
  <w:style w:type="character" w:customStyle="1" w:styleId="630">
    <w:name w:val="font11"/>
    <w:basedOn w:val="63"/>
    <w:qFormat/>
    <w:uiPriority w:val="0"/>
    <w:rPr>
      <w:rFonts w:hint="default" w:ascii="Times New Roman" w:hAnsi="Times New Roman" w:eastAsia="黑体" w:cs="Times New Roman"/>
      <w:snapToGrid w:val="0"/>
      <w:color w:val="000000"/>
      <w:kern w:val="0"/>
      <w:sz w:val="22"/>
      <w:szCs w:val="22"/>
      <w:u w:val="none"/>
    </w:rPr>
  </w:style>
  <w:style w:type="paragraph" w:customStyle="1" w:styleId="631">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2">
    <w:name w:val="*正文 Char"/>
    <w:link w:val="633"/>
    <w:qFormat/>
    <w:locked/>
    <w:uiPriority w:val="0"/>
    <w:rPr>
      <w:rFonts w:ascii="宋体" w:hAnsi="宋体"/>
      <w:sz w:val="24"/>
    </w:rPr>
  </w:style>
  <w:style w:type="paragraph" w:customStyle="1" w:styleId="633">
    <w:name w:val="*正文"/>
    <w:basedOn w:val="1"/>
    <w:link w:val="632"/>
    <w:qFormat/>
    <w:uiPriority w:val="0"/>
    <w:pPr>
      <w:snapToGrid w:val="0"/>
      <w:spacing w:line="360" w:lineRule="auto"/>
      <w:ind w:firstLine="482"/>
      <w:jc w:val="left"/>
    </w:pPr>
    <w:rPr>
      <w:rFonts w:ascii="宋体" w:hAnsi="宋体"/>
      <w:kern w:val="0"/>
      <w:sz w:val="24"/>
      <w:szCs w:val="20"/>
    </w:rPr>
  </w:style>
  <w:style w:type="character" w:customStyle="1" w:styleId="634">
    <w:name w:val="正文文本缩进 Char3"/>
    <w:qFormat/>
    <w:uiPriority w:val="0"/>
    <w:rPr>
      <w:rFonts w:ascii="宋体" w:hAnsi="宋体"/>
      <w:kern w:val="2"/>
      <w:sz w:val="24"/>
      <w:szCs w:val="24"/>
    </w:rPr>
  </w:style>
  <w:style w:type="table" w:customStyle="1" w:styleId="635">
    <w:name w:val="网格型1"/>
    <w:basedOn w:val="6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6">
    <w:name w:val="网格型2"/>
    <w:basedOn w:val="6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37">
    <w:name w:val="_Style 6"/>
    <w:basedOn w:val="1"/>
    <w:qFormat/>
    <w:uiPriority w:val="34"/>
    <w:pPr>
      <w:adjustRightInd/>
      <w:ind w:firstLine="420" w:firstLineChars="200"/>
    </w:pPr>
    <w:rPr>
      <w:rFonts w:eastAsia="仿宋_GB2312"/>
      <w:sz w:val="28"/>
    </w:rPr>
  </w:style>
  <w:style w:type="table" w:customStyle="1" w:styleId="638">
    <w:name w:val="Table Normal"/>
    <w:unhideWhenUsed/>
    <w:qFormat/>
    <w:uiPriority w:val="0"/>
    <w:tblPr>
      <w:tblCellMar>
        <w:top w:w="0" w:type="dxa"/>
        <w:left w:w="0" w:type="dxa"/>
        <w:bottom w:w="0" w:type="dxa"/>
        <w:right w:w="0" w:type="dxa"/>
      </w:tblCellMar>
    </w:tblPr>
  </w:style>
  <w:style w:type="paragraph" w:customStyle="1" w:styleId="639">
    <w:name w:val="Table Paragraph"/>
    <w:basedOn w:val="1"/>
    <w:unhideWhenUsed/>
    <w:qFormat/>
    <w:uiPriority w:val="1"/>
    <w:rPr>
      <w:rFonts w:hint="default"/>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104</Pages>
  <Words>4740</Words>
  <Characters>5635</Characters>
  <Lines>380</Lines>
  <Paragraphs>107</Paragraphs>
  <TotalTime>66</TotalTime>
  <ScaleCrop>false</ScaleCrop>
  <LinksUpToDate>false</LinksUpToDate>
  <CharactersWithSpaces>5792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2015-04-28T01:52:00Z</dcterms:created>
  <dc:creator>北海市政府采购中心</dc:creator>
  <cp:lastModifiedBy>ALL'</cp:lastModifiedBy>
  <cp:lastPrinted>2021-10-23T10:37:00Z</cp:lastPrinted>
  <dcterms:modified xsi:type="dcterms:W3CDTF">2026-02-12T03:07:42Z</dcterms:modified>
  <dc:title>北海市政府采购中心</dc:title>
  <cp:revision>748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D962F09BE1C84D5FABE6E8C96051FB37_13</vt:lpwstr>
  </property>
  <property fmtid="{D5CDD505-2E9C-101B-9397-08002B2CF9AE}" pid="4" name="KSOTemplateDocerSaveRecord">
    <vt:lpwstr>eyJoZGlkIjoiMzAxZmQzYWI0NjhhYzFiYmI0OTc3MDAxMDBmYjY5YTgiLCJ1c2VySWQiOiI3MjI3NTU4NDQifQ==</vt:lpwstr>
  </property>
</Properties>
</file>