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5968">
      <w:pPr>
        <w:jc w:val="center"/>
        <w:rPr>
          <w:rFonts w:hint="eastAsia" w:hAnsi="宋体" w:cs="宋体"/>
          <w:b/>
          <w:bCs/>
          <w:spacing w:val="-20"/>
          <w:sz w:val="32"/>
        </w:rPr>
      </w:pPr>
      <w:r>
        <w:rPr>
          <w:rFonts w:hint="eastAsia" w:ascii="宋体" w:hAnsi="宋体" w:cs="宋体"/>
          <w:sz w:val="52"/>
          <w:szCs w:val="52"/>
        </w:rPr>
        <w:t>防 城 港 市 政 府 采 购 中 心</w:t>
      </w:r>
    </w:p>
    <w:p w14:paraId="67E0AEEA">
      <w:pPr>
        <w:bidi w:val="0"/>
        <w:rPr>
          <w:rFonts w:hint="eastAsia" w:ascii="Times New Roman" w:hAnsi="Times New Roman" w:eastAsia="宋体" w:cs="Times New Roman"/>
          <w:kern w:val="2"/>
          <w:sz w:val="21"/>
          <w:szCs w:val="24"/>
          <w:lang w:val="en-US" w:eastAsia="zh-CN" w:bidi="ar-SA"/>
        </w:rPr>
      </w:pPr>
      <w:r>
        <w:rPr>
          <w:rFonts w:hint="eastAsia" w:hAnsi="宋体" w:cs="宋体"/>
          <w:b/>
          <w:bCs/>
          <w:spacing w:val="-20"/>
          <w:sz w:val="32"/>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190500</wp:posOffset>
                </wp:positionV>
                <wp:extent cx="6048375" cy="0"/>
                <wp:effectExtent l="0" t="6350" r="0" b="6350"/>
                <wp:wrapNone/>
                <wp:docPr id="2" name="直接箭头连接符 2"/>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pt;margin-top:15pt;height:0pt;width:476.25pt;z-index:251659264;mso-width-relative:page;mso-height-relative:page;" filled="f" stroked="t" coordsize="21600,21600" o:gfxdata="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DKFG1AAAAAgBAAAPAAAAAAAAAAEAIAAAACIAAABkcnMvZG93bnJldi54&#10;bWxQSwECFAAUAAAACACHTuJA5EuDmP4BAADtAwAADgAAAAAAAAABACAAAAAjAQAAZHJzL2Uyb0Rv&#10;Yy54bWxQSwUGAAAAAAYABgBZAQAAkwUAAAAA&#10;">
                <v:fill on="f" focussize="0,0"/>
                <v:stroke weight="1pt" color="#000000" joinstyle="round"/>
                <v:imagedata o:title=""/>
                <o:lock v:ext="edit" aspectratio="f"/>
              </v:shape>
            </w:pict>
          </mc:Fallback>
        </mc:AlternateContent>
      </w:r>
    </w:p>
    <w:p w14:paraId="413A0F63">
      <w:pPr>
        <w:bidi w:val="0"/>
        <w:rPr>
          <w:rFonts w:hint="eastAsia"/>
          <w:lang w:val="en-US" w:eastAsia="zh-CN"/>
        </w:rPr>
      </w:pPr>
    </w:p>
    <w:p w14:paraId="0DAEC78A">
      <w:pPr>
        <w:pStyle w:val="14"/>
        <w:adjustRightInd w:val="0"/>
        <w:snapToGrid w:val="0"/>
        <w:rPr>
          <w:rFonts w:hint="eastAsia" w:hAnsi="宋体" w:cs="宋体"/>
          <w:b/>
          <w:bCs/>
          <w:spacing w:val="-20"/>
          <w:sz w:val="32"/>
        </w:rPr>
      </w:pPr>
    </w:p>
    <w:p w14:paraId="7C3EF158">
      <w:pPr>
        <w:pStyle w:val="14"/>
        <w:adjustRightInd w:val="0"/>
        <w:snapToGrid w:val="0"/>
        <w:rPr>
          <w:rFonts w:hint="eastAsia" w:hAnsi="宋体" w:cs="宋体"/>
          <w:b/>
          <w:bCs/>
          <w:spacing w:val="-20"/>
          <w:sz w:val="32"/>
        </w:rPr>
      </w:pPr>
    </w:p>
    <w:p w14:paraId="7D04ED28">
      <w:pPr>
        <w:pStyle w:val="14"/>
        <w:adjustRightInd w:val="0"/>
        <w:snapToGrid w:val="0"/>
        <w:rPr>
          <w:rFonts w:hint="eastAsia" w:hAnsi="宋体" w:cs="宋体"/>
          <w:b/>
          <w:bCs/>
          <w:spacing w:val="-20"/>
          <w:sz w:val="32"/>
        </w:rPr>
      </w:pPr>
    </w:p>
    <w:p w14:paraId="47DAF49A">
      <w:pPr>
        <w:pStyle w:val="14"/>
        <w:adjustRightInd w:val="0"/>
        <w:snapToGrid w:val="0"/>
        <w:rPr>
          <w:rFonts w:hint="eastAsia" w:hAnsi="宋体" w:cs="宋体"/>
          <w:b/>
          <w:bCs/>
          <w:spacing w:val="-20"/>
          <w:sz w:val="32"/>
        </w:rPr>
      </w:pPr>
    </w:p>
    <w:p w14:paraId="08E69DC8">
      <w:pPr>
        <w:adjustRightInd w:val="0"/>
        <w:snapToGrid w:val="0"/>
        <w:rPr>
          <w:rFonts w:hint="eastAsia" w:ascii="宋体" w:hAnsi="宋体" w:cs="宋体"/>
          <w:b/>
          <w:bCs/>
          <w:spacing w:val="32"/>
          <w:sz w:val="84"/>
          <w:szCs w:val="21"/>
        </w:rPr>
      </w:pPr>
    </w:p>
    <w:p w14:paraId="58A39548">
      <w:pPr>
        <w:pStyle w:val="12"/>
        <w:rPr>
          <w:rFonts w:hint="eastAsia"/>
          <w:color w:val="auto"/>
        </w:rPr>
      </w:pPr>
    </w:p>
    <w:p w14:paraId="62C49192">
      <w:pPr>
        <w:adjustRightInd w:val="0"/>
        <w:snapToGrid w:val="0"/>
        <w:jc w:val="center"/>
        <w:rPr>
          <w:rFonts w:hint="eastAsia" w:ascii="宋体" w:hAnsi="宋体" w:cs="宋体"/>
          <w:b/>
          <w:bCs/>
          <w:spacing w:val="32"/>
          <w:sz w:val="84"/>
          <w:szCs w:val="21"/>
        </w:rPr>
      </w:pPr>
      <w:r>
        <w:rPr>
          <w:rFonts w:hint="eastAsia" w:ascii="宋体" w:hAnsi="宋体" w:cs="宋体"/>
          <w:b/>
          <w:bCs/>
          <w:spacing w:val="32"/>
          <w:sz w:val="84"/>
          <w:szCs w:val="21"/>
        </w:rPr>
        <w:t>谈判文件</w:t>
      </w:r>
    </w:p>
    <w:p w14:paraId="2B6DDCAD">
      <w:pPr>
        <w:pStyle w:val="14"/>
        <w:tabs>
          <w:tab w:val="left" w:pos="4253"/>
        </w:tabs>
        <w:jc w:val="center"/>
        <w:rPr>
          <w:rFonts w:hint="eastAsia" w:hAnsi="宋体" w:cs="宋体"/>
          <w:b/>
          <w:spacing w:val="32"/>
          <w:sz w:val="72"/>
          <w:szCs w:val="72"/>
        </w:rPr>
      </w:pPr>
    </w:p>
    <w:p w14:paraId="5544D41F">
      <w:pPr>
        <w:pStyle w:val="14"/>
        <w:adjustRightInd w:val="0"/>
        <w:snapToGrid w:val="0"/>
        <w:rPr>
          <w:rFonts w:hint="eastAsia" w:hAnsi="宋体" w:cs="宋体"/>
          <w:b/>
          <w:sz w:val="30"/>
          <w:szCs w:val="30"/>
        </w:rPr>
      </w:pPr>
    </w:p>
    <w:p w14:paraId="4CF63348">
      <w:pPr>
        <w:pStyle w:val="12"/>
        <w:rPr>
          <w:rFonts w:hint="eastAsia"/>
          <w:color w:val="auto"/>
        </w:rPr>
      </w:pPr>
    </w:p>
    <w:p w14:paraId="3EFF5DA1">
      <w:pPr>
        <w:pStyle w:val="12"/>
        <w:rPr>
          <w:rFonts w:hint="eastAsia"/>
          <w:color w:val="auto"/>
        </w:rPr>
      </w:pPr>
    </w:p>
    <w:p w14:paraId="0A1AAFEE">
      <w:pPr>
        <w:pStyle w:val="14"/>
        <w:adjustRightInd w:val="0"/>
        <w:snapToGrid w:val="0"/>
        <w:rPr>
          <w:rFonts w:hint="eastAsia" w:hAnsi="宋体" w:cs="宋体"/>
          <w:b/>
          <w:bCs/>
          <w:spacing w:val="-20"/>
          <w:sz w:val="32"/>
        </w:rPr>
      </w:pPr>
    </w:p>
    <w:p w14:paraId="44ED6571">
      <w:pPr>
        <w:pStyle w:val="14"/>
        <w:adjustRightInd w:val="0"/>
        <w:snapToGrid w:val="0"/>
        <w:rPr>
          <w:rFonts w:hint="eastAsia" w:hAnsi="宋体" w:cs="宋体"/>
          <w:b/>
          <w:bCs/>
          <w:spacing w:val="-20"/>
          <w:sz w:val="32"/>
        </w:rPr>
      </w:pPr>
    </w:p>
    <w:p w14:paraId="6FB5F837">
      <w:pPr>
        <w:pStyle w:val="14"/>
        <w:adjustRightInd w:val="0"/>
        <w:snapToGrid w:val="0"/>
        <w:spacing w:line="360" w:lineRule="auto"/>
        <w:jc w:val="left"/>
        <w:rPr>
          <w:rFonts w:hint="default" w:hAnsi="宋体" w:eastAsia="宋体" w:cs="宋体"/>
          <w:b/>
          <w:sz w:val="30"/>
          <w:szCs w:val="30"/>
          <w:lang w:val="en-US" w:eastAsia="zh-CN"/>
        </w:rPr>
      </w:pPr>
      <w:r>
        <w:rPr>
          <w:rFonts w:hint="eastAsia" w:hAnsi="宋体" w:cs="宋体"/>
          <w:b/>
          <w:sz w:val="30"/>
          <w:szCs w:val="30"/>
        </w:rPr>
        <w:t>项目名称：</w:t>
      </w:r>
      <w:r>
        <w:rPr>
          <w:rFonts w:hint="eastAsia" w:hAnsi="宋体" w:cs="宋体"/>
          <w:b/>
          <w:sz w:val="30"/>
          <w:szCs w:val="30"/>
          <w:lang w:val="en-US" w:eastAsia="zh-CN"/>
        </w:rPr>
        <w:t>防城港市民中心物业管理服务采购</w:t>
      </w:r>
    </w:p>
    <w:p w14:paraId="660882DA">
      <w:pPr>
        <w:pStyle w:val="14"/>
        <w:adjustRightInd w:val="0"/>
        <w:snapToGrid w:val="0"/>
        <w:spacing w:line="360" w:lineRule="auto"/>
        <w:jc w:val="left"/>
        <w:rPr>
          <w:rFonts w:hint="eastAsia" w:hAnsi="宋体" w:cs="宋体"/>
          <w:b/>
          <w:sz w:val="30"/>
          <w:szCs w:val="30"/>
          <w:lang w:val="en-US" w:eastAsia="zh-CN"/>
        </w:rPr>
      </w:pPr>
      <w:r>
        <w:rPr>
          <w:rFonts w:hint="eastAsia" w:hAnsi="宋体" w:cs="宋体"/>
          <w:b/>
          <w:sz w:val="30"/>
          <w:szCs w:val="30"/>
          <w:lang w:val="en-US" w:eastAsia="zh-CN"/>
        </w:rPr>
        <w:t>项目编号：FCZC2026-J3-990005-FCGS</w:t>
      </w:r>
    </w:p>
    <w:p w14:paraId="4220FB45">
      <w:pPr>
        <w:pStyle w:val="14"/>
        <w:adjustRightInd w:val="0"/>
        <w:snapToGrid w:val="0"/>
        <w:spacing w:line="360" w:lineRule="auto"/>
        <w:jc w:val="left"/>
        <w:rPr>
          <w:rFonts w:hint="eastAsia" w:hAnsi="宋体" w:cs="宋体"/>
          <w:b/>
          <w:sz w:val="30"/>
          <w:szCs w:val="30"/>
          <w:lang w:val="en-US" w:eastAsia="zh-CN"/>
        </w:rPr>
      </w:pPr>
      <w:r>
        <w:rPr>
          <w:rFonts w:hint="eastAsia" w:hAnsi="宋体" w:cs="宋体"/>
          <w:b/>
          <w:sz w:val="30"/>
          <w:szCs w:val="30"/>
          <w:lang w:val="en-US" w:eastAsia="zh-CN"/>
        </w:rPr>
        <w:t>采购单位：</w:t>
      </w:r>
      <w:r>
        <w:rPr>
          <w:rFonts w:hint="eastAsia" w:ascii="宋体" w:hAnsi="宋体"/>
          <w:b/>
          <w:sz w:val="32"/>
          <w:szCs w:val="32"/>
          <w:lang w:val="en-US" w:eastAsia="zh-CN"/>
        </w:rPr>
        <w:t>防城港市行政审批服务中心</w:t>
      </w:r>
    </w:p>
    <w:p w14:paraId="47936C93">
      <w:pPr>
        <w:pStyle w:val="14"/>
        <w:adjustRightInd w:val="0"/>
        <w:snapToGrid w:val="0"/>
        <w:spacing w:line="360" w:lineRule="auto"/>
        <w:rPr>
          <w:rFonts w:hint="eastAsia" w:hAnsi="宋体" w:cs="宋体"/>
          <w:color w:val="auto"/>
          <w:sz w:val="30"/>
          <w:szCs w:val="30"/>
          <w:u w:val="single"/>
        </w:rPr>
      </w:pPr>
      <w:r>
        <w:rPr>
          <w:rFonts w:hint="eastAsia" w:hAnsi="宋体" w:cs="宋体"/>
          <w:b/>
          <w:bCs/>
          <w:color w:val="auto"/>
          <w:spacing w:val="-20"/>
          <w:sz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236855</wp:posOffset>
                </wp:positionV>
                <wp:extent cx="6048375" cy="0"/>
                <wp:effectExtent l="0" t="6350" r="0" b="6350"/>
                <wp:wrapNone/>
                <wp:docPr id="1" name="直接箭头连接符 1"/>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5pt;margin-top:18.65pt;height:0pt;width:476.25pt;z-index:251660288;mso-width-relative:page;mso-height-relative:page;" filled="f" stroked="t" coordsize="21600,21600" o:gfxdata="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HcUQ1AAAAAgBAAAPAAAAAAAAAAEAIAAAACIAAABkcnMvZG93bnJldi54&#10;bWxQSwECFAAUAAAACACHTuJAHkFPRv4BAADtAwAADgAAAAAAAAABACAAAAAjAQAAZHJzL2Uyb0Rv&#10;Yy54bWxQSwUGAAAAAAYABgBZAQAAkwUAAAAA&#10;">
                <v:fill on="f" focussize="0,0"/>
                <v:stroke weight="1pt" color="#000000" joinstyle="round"/>
                <v:imagedata o:title=""/>
                <o:lock v:ext="edit" aspectratio="f"/>
              </v:shape>
            </w:pict>
          </mc:Fallback>
        </mc:AlternateContent>
      </w:r>
    </w:p>
    <w:p w14:paraId="3D3F4CD7">
      <w:pPr>
        <w:spacing w:line="440" w:lineRule="exact"/>
        <w:jc w:val="center"/>
        <w:rPr>
          <w:rFonts w:hint="eastAsia" w:ascii="宋体" w:hAnsi="宋体" w:cs="宋体"/>
          <w:b/>
          <w:color w:val="auto"/>
          <w:kern w:val="0"/>
          <w:sz w:val="28"/>
          <w:szCs w:val="28"/>
        </w:rPr>
      </w:pPr>
    </w:p>
    <w:p w14:paraId="4A9BD985">
      <w:pPr>
        <w:spacing w:line="440" w:lineRule="exact"/>
        <w:jc w:val="center"/>
        <w:rPr>
          <w:rFonts w:hint="eastAsia" w:ascii="宋体" w:hAnsi="宋体" w:cs="宋体"/>
          <w:b/>
          <w:color w:val="auto"/>
          <w:kern w:val="0"/>
          <w:sz w:val="28"/>
          <w:szCs w:val="28"/>
        </w:rPr>
      </w:pPr>
    </w:p>
    <w:p w14:paraId="1001419A">
      <w:pPr>
        <w:spacing w:line="44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防城港市政府采购中心</w:t>
      </w:r>
    </w:p>
    <w:p w14:paraId="10E38261">
      <w:pPr>
        <w:pStyle w:val="14"/>
        <w:jc w:val="center"/>
        <w:rPr>
          <w:rFonts w:hint="eastAsia" w:hAnsi="宋体" w:cs="宋体"/>
          <w:b/>
          <w:sz w:val="44"/>
          <w:szCs w:val="44"/>
          <w:lang w:val="en-US" w:eastAsia="zh-CN"/>
        </w:rPr>
        <w:sectPr>
          <w:pgSz w:w="11906" w:h="16838"/>
          <w:pgMar w:top="1247" w:right="1247" w:bottom="1247" w:left="1247" w:header="851" w:footer="992" w:gutter="0"/>
          <w:pgNumType w:fmt="decimal"/>
          <w:cols w:space="720" w:num="1"/>
          <w:titlePg/>
          <w:docGrid w:type="lines" w:linePitch="312" w:charSpace="0"/>
        </w:sectPr>
      </w:pPr>
      <w:r>
        <w:rPr>
          <w:rFonts w:hint="eastAsia" w:hAnsi="宋体" w:cs="宋体"/>
          <w:b/>
          <w:color w:val="auto"/>
          <w:sz w:val="28"/>
          <w:szCs w:val="28"/>
          <w:lang w:val="en-US" w:eastAsia="zh-CN"/>
        </w:rPr>
        <w:t>2026</w:t>
      </w:r>
      <w:r>
        <w:rPr>
          <w:rFonts w:hint="eastAsia" w:hAnsi="宋体" w:cs="宋体"/>
          <w:b/>
          <w:color w:val="auto"/>
          <w:sz w:val="28"/>
          <w:szCs w:val="28"/>
        </w:rPr>
        <w:t>年</w:t>
      </w:r>
      <w:r>
        <w:rPr>
          <w:rFonts w:hint="eastAsia" w:hAnsi="宋体" w:cs="宋体"/>
          <w:b/>
          <w:color w:val="auto"/>
          <w:sz w:val="28"/>
          <w:szCs w:val="28"/>
          <w:lang w:val="en-US" w:eastAsia="zh-CN"/>
        </w:rPr>
        <w:t>1</w:t>
      </w:r>
      <w:r>
        <w:rPr>
          <w:rFonts w:hint="eastAsia" w:hAnsi="宋体" w:cs="宋体"/>
          <w:b/>
          <w:color w:val="auto"/>
          <w:sz w:val="28"/>
          <w:szCs w:val="28"/>
        </w:rPr>
        <w:t>月</w:t>
      </w:r>
      <w:r>
        <w:rPr>
          <w:rFonts w:hint="eastAsia" w:hAnsi="宋体" w:cs="宋体"/>
          <w:b/>
          <w:color w:val="auto"/>
          <w:sz w:val="28"/>
          <w:szCs w:val="28"/>
          <w:lang w:val="en-US" w:eastAsia="zh-CN"/>
        </w:rPr>
        <w:t>12</w:t>
      </w:r>
      <w:r>
        <w:rPr>
          <w:rFonts w:hint="eastAsia" w:hAnsi="宋体" w:cs="宋体"/>
          <w:b/>
          <w:color w:val="auto"/>
          <w:sz w:val="28"/>
          <w:szCs w:val="28"/>
        </w:rPr>
        <w:t>日</w:t>
      </w:r>
    </w:p>
    <w:p w14:paraId="61473A79">
      <w:pPr>
        <w:spacing w:before="0" w:beforeLines="0" w:after="0" w:afterLines="0" w:line="240" w:lineRule="auto"/>
        <w:ind w:left="0" w:leftChars="0" w:right="0" w:rightChars="0" w:firstLine="0" w:firstLineChars="0"/>
        <w:jc w:val="both"/>
        <w:rPr>
          <w:rFonts w:ascii="宋体" w:hAnsi="宋体" w:eastAsia="宋体"/>
          <w:b/>
          <w:bCs/>
          <w:sz w:val="28"/>
          <w:szCs w:val="28"/>
        </w:rPr>
      </w:pPr>
    </w:p>
    <w:sdt>
      <w:sdtPr>
        <w:rPr>
          <w:rFonts w:hint="eastAsia" w:ascii="宋体" w:hAnsi="宋体" w:eastAsia="宋体" w:cs="宋体"/>
          <w:b/>
          <w:kern w:val="2"/>
          <w:sz w:val="44"/>
          <w:szCs w:val="44"/>
          <w:lang w:val="en-US" w:eastAsia="zh-CN" w:bidi="ar-SA"/>
        </w:rPr>
        <w:id w:val="147466801"/>
        <w15:color w:val="DBDBDB"/>
        <w:docPartObj>
          <w:docPartGallery w:val="Table of Contents"/>
          <w:docPartUnique/>
        </w:docPartObj>
      </w:sdtPr>
      <w:sdtEndPr>
        <w:rPr>
          <w:rFonts w:hint="eastAsia" w:ascii="Times New Roman" w:hAnsi="Times New Roman" w:eastAsia="宋体" w:cs="Times New Roman"/>
          <w:b/>
          <w:kern w:val="2"/>
          <w:sz w:val="21"/>
          <w:szCs w:val="20"/>
          <w:lang w:val="en-US" w:eastAsia="zh-CN" w:bidi="ar-SA"/>
        </w:rPr>
      </w:sdtEndPr>
      <w:sdtContent>
        <w:p w14:paraId="4C9AD18A">
          <w:pPr>
            <w:spacing w:before="0" w:beforeLines="0" w:after="0" w:afterLines="0" w:line="240" w:lineRule="auto"/>
            <w:ind w:left="0" w:leftChars="0" w:right="0" w:rightChars="0" w:firstLine="0" w:firstLineChars="0"/>
            <w:jc w:val="center"/>
            <w:rPr>
              <w:rFonts w:hint="eastAsia" w:ascii="宋体" w:hAnsi="宋体" w:eastAsia="宋体" w:cs="宋体"/>
              <w:b/>
              <w:kern w:val="2"/>
              <w:sz w:val="44"/>
              <w:szCs w:val="44"/>
              <w:lang w:val="en-US" w:eastAsia="zh-CN" w:bidi="ar-SA"/>
            </w:rPr>
          </w:pPr>
          <w:r>
            <w:rPr>
              <w:rFonts w:hint="eastAsia" w:ascii="宋体" w:hAnsi="宋体" w:eastAsia="宋体" w:cs="宋体"/>
              <w:b/>
              <w:kern w:val="2"/>
              <w:sz w:val="44"/>
              <w:szCs w:val="44"/>
              <w:lang w:val="en-US" w:eastAsia="zh-CN" w:bidi="ar-SA"/>
            </w:rPr>
            <w:t>目录</w:t>
          </w:r>
        </w:p>
        <w:p w14:paraId="0A0220FA">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1"/>
              <w:szCs w:val="20"/>
              <w:lang w:val="en-US" w:eastAsia="zh-CN" w:bidi="ar-SA"/>
            </w:rPr>
            <w:fldChar w:fldCharType="begin"/>
          </w:r>
          <w:r>
            <w:rPr>
              <w:rFonts w:ascii="Times New Roman" w:hAnsi="Times New Roman" w:eastAsia="宋体" w:cs="Times New Roman"/>
              <w:kern w:val="2"/>
              <w:sz w:val="21"/>
              <w:szCs w:val="20"/>
              <w:lang w:val="en-US" w:eastAsia="zh-CN" w:bidi="ar-SA"/>
            </w:rPr>
            <w:instrText xml:space="preserve">TOC \o "1-1" \h \u </w:instrText>
          </w:r>
          <w:r>
            <w:rPr>
              <w:rFonts w:ascii="Times New Roman" w:hAnsi="Times New Roman" w:eastAsia="宋体" w:cs="Times New Roman"/>
              <w:kern w:val="2"/>
              <w:sz w:val="21"/>
              <w:szCs w:val="20"/>
              <w:lang w:val="en-US" w:eastAsia="zh-CN" w:bidi="ar-SA"/>
            </w:rPr>
            <w:fldChar w:fldCharType="separate"/>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_Toc10293 </w:instrText>
          </w:r>
          <w:r>
            <w:rPr>
              <w:rFonts w:ascii="Times New Roman" w:hAnsi="Times New Roman" w:eastAsia="宋体" w:cs="Times New Roman"/>
              <w:kern w:val="2"/>
              <w:sz w:val="24"/>
              <w:szCs w:val="24"/>
              <w:lang w:val="en-US" w:eastAsia="zh-CN" w:bidi="ar-SA"/>
            </w:rPr>
            <w:fldChar w:fldCharType="separate"/>
          </w:r>
          <w:r>
            <w:rPr>
              <w:rFonts w:hint="eastAsia" w:ascii="宋体" w:hAnsi="宋体" w:cs="宋体"/>
              <w:sz w:val="24"/>
              <w:szCs w:val="24"/>
            </w:rPr>
            <w:t>第一章 竞争性谈判公告</w:t>
          </w:r>
          <w:r>
            <w:rPr>
              <w:sz w:val="24"/>
              <w:szCs w:val="24"/>
            </w:rPr>
            <w:tab/>
          </w:r>
          <w:r>
            <w:rPr>
              <w:sz w:val="24"/>
              <w:szCs w:val="24"/>
            </w:rPr>
            <w:fldChar w:fldCharType="begin"/>
          </w:r>
          <w:r>
            <w:rPr>
              <w:sz w:val="24"/>
              <w:szCs w:val="24"/>
            </w:rPr>
            <w:instrText xml:space="preserve"> PAGEREF _Toc10293 \h </w:instrText>
          </w:r>
          <w:r>
            <w:rPr>
              <w:sz w:val="24"/>
              <w:szCs w:val="24"/>
            </w:rPr>
            <w:fldChar w:fldCharType="separate"/>
          </w:r>
          <w:r>
            <w:rPr>
              <w:sz w:val="24"/>
              <w:szCs w:val="24"/>
            </w:rPr>
            <w:t>2</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02C8E940">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_Toc17592 </w:instrText>
          </w:r>
          <w:r>
            <w:rPr>
              <w:rFonts w:ascii="Times New Roman" w:hAnsi="Times New Roman" w:eastAsia="宋体" w:cs="Times New Roman"/>
              <w:kern w:val="2"/>
              <w:sz w:val="24"/>
              <w:szCs w:val="24"/>
              <w:lang w:val="en-US" w:eastAsia="zh-CN" w:bidi="ar-SA"/>
            </w:rPr>
            <w:fldChar w:fldCharType="separate"/>
          </w:r>
          <w:r>
            <w:rPr>
              <w:rFonts w:hint="eastAsia" w:ascii="宋体" w:hAnsi="宋体" w:cs="宋体"/>
              <w:sz w:val="24"/>
              <w:szCs w:val="24"/>
            </w:rPr>
            <w:t>第二章 谈判供应商须知</w:t>
          </w:r>
          <w:r>
            <w:rPr>
              <w:sz w:val="24"/>
              <w:szCs w:val="24"/>
            </w:rPr>
            <w:tab/>
          </w:r>
          <w:r>
            <w:rPr>
              <w:sz w:val="24"/>
              <w:szCs w:val="24"/>
            </w:rPr>
            <w:fldChar w:fldCharType="begin"/>
          </w:r>
          <w:r>
            <w:rPr>
              <w:sz w:val="24"/>
              <w:szCs w:val="24"/>
            </w:rPr>
            <w:instrText xml:space="preserve"> PAGEREF _Toc17592 \h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675F495E">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_Toc9392 </w:instrText>
          </w:r>
          <w:r>
            <w:rPr>
              <w:rFonts w:ascii="Times New Roman" w:hAnsi="Times New Roman" w:eastAsia="宋体" w:cs="Times New Roman"/>
              <w:kern w:val="2"/>
              <w:sz w:val="24"/>
              <w:szCs w:val="24"/>
              <w:lang w:val="en-US" w:eastAsia="zh-CN" w:bidi="ar-SA"/>
            </w:rPr>
            <w:fldChar w:fldCharType="separate"/>
          </w:r>
          <w:r>
            <w:rPr>
              <w:rFonts w:hint="eastAsia" w:ascii="宋体" w:hAnsi="宋体" w:cs="宋体"/>
              <w:sz w:val="24"/>
              <w:szCs w:val="24"/>
            </w:rPr>
            <w:t>第三章 采购需求</w:t>
          </w:r>
          <w:r>
            <w:rPr>
              <w:sz w:val="24"/>
              <w:szCs w:val="24"/>
            </w:rPr>
            <w:tab/>
          </w:r>
          <w:r>
            <w:rPr>
              <w:sz w:val="24"/>
              <w:szCs w:val="24"/>
            </w:rPr>
            <w:fldChar w:fldCharType="begin"/>
          </w:r>
          <w:r>
            <w:rPr>
              <w:sz w:val="24"/>
              <w:szCs w:val="24"/>
            </w:rPr>
            <w:instrText xml:space="preserve"> PAGEREF _Toc9392 \h </w:instrText>
          </w:r>
          <w:r>
            <w:rPr>
              <w:sz w:val="24"/>
              <w:szCs w:val="24"/>
            </w:rPr>
            <w:fldChar w:fldCharType="separate"/>
          </w:r>
          <w:r>
            <w:rPr>
              <w:sz w:val="24"/>
              <w:szCs w:val="24"/>
            </w:rPr>
            <w:t>20</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2A0BA63F">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_Toc24369 </w:instrText>
          </w:r>
          <w:r>
            <w:rPr>
              <w:rFonts w:ascii="Times New Roman" w:hAnsi="Times New Roman" w:eastAsia="宋体" w:cs="Times New Roman"/>
              <w:kern w:val="2"/>
              <w:sz w:val="24"/>
              <w:szCs w:val="24"/>
              <w:lang w:val="en-US" w:eastAsia="zh-CN" w:bidi="ar-SA"/>
            </w:rPr>
            <w:fldChar w:fldCharType="separate"/>
          </w:r>
          <w:r>
            <w:rPr>
              <w:rFonts w:hint="eastAsia"/>
              <w:sz w:val="24"/>
              <w:szCs w:val="24"/>
            </w:rPr>
            <w:t>第四章 评审程序和评定成交的标准</w:t>
          </w:r>
          <w:r>
            <w:rPr>
              <w:sz w:val="24"/>
              <w:szCs w:val="24"/>
            </w:rPr>
            <w:tab/>
          </w:r>
          <w:r>
            <w:rPr>
              <w:sz w:val="24"/>
              <w:szCs w:val="24"/>
            </w:rPr>
            <w:fldChar w:fldCharType="begin"/>
          </w:r>
          <w:r>
            <w:rPr>
              <w:sz w:val="24"/>
              <w:szCs w:val="24"/>
            </w:rPr>
            <w:instrText xml:space="preserve"> PAGEREF _Toc24369 \h </w:instrText>
          </w:r>
          <w:r>
            <w:rPr>
              <w:sz w:val="24"/>
              <w:szCs w:val="24"/>
            </w:rPr>
            <w:fldChar w:fldCharType="separate"/>
          </w:r>
          <w:r>
            <w:rPr>
              <w:sz w:val="24"/>
              <w:szCs w:val="24"/>
            </w:rPr>
            <w:t>42</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32A71981">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_Toc28578 </w:instrText>
          </w:r>
          <w:r>
            <w:rPr>
              <w:rFonts w:ascii="Times New Roman" w:hAnsi="Times New Roman" w:eastAsia="宋体" w:cs="Times New Roman"/>
              <w:kern w:val="2"/>
              <w:sz w:val="24"/>
              <w:szCs w:val="24"/>
              <w:lang w:val="en-US" w:eastAsia="zh-CN" w:bidi="ar-SA"/>
            </w:rPr>
            <w:fldChar w:fldCharType="separate"/>
          </w:r>
          <w:r>
            <w:rPr>
              <w:rFonts w:hint="eastAsia"/>
              <w:sz w:val="24"/>
              <w:szCs w:val="24"/>
              <w:lang w:val="en-US" w:eastAsia="zh-CN"/>
            </w:rPr>
            <w:t xml:space="preserve">第五章 </w:t>
          </w:r>
          <w:r>
            <w:rPr>
              <w:rFonts w:hint="eastAsia"/>
              <w:sz w:val="24"/>
              <w:szCs w:val="24"/>
            </w:rPr>
            <w:t>响应文件格式</w:t>
          </w:r>
          <w:r>
            <w:rPr>
              <w:sz w:val="24"/>
              <w:szCs w:val="24"/>
            </w:rPr>
            <w:tab/>
          </w:r>
          <w:r>
            <w:rPr>
              <w:sz w:val="24"/>
              <w:szCs w:val="24"/>
            </w:rPr>
            <w:fldChar w:fldCharType="begin"/>
          </w:r>
          <w:r>
            <w:rPr>
              <w:sz w:val="24"/>
              <w:szCs w:val="24"/>
            </w:rPr>
            <w:instrText xml:space="preserve"> PAGEREF _Toc28578 \h </w:instrText>
          </w:r>
          <w:r>
            <w:rPr>
              <w:sz w:val="24"/>
              <w:szCs w:val="24"/>
            </w:rPr>
            <w:fldChar w:fldCharType="separate"/>
          </w:r>
          <w:r>
            <w:rPr>
              <w:sz w:val="24"/>
              <w:szCs w:val="24"/>
            </w:rPr>
            <w:t>47</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135FFAB0">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_Toc20713 </w:instrText>
          </w:r>
          <w:r>
            <w:rPr>
              <w:rFonts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第六章 合同格式</w:t>
          </w:r>
          <w:r>
            <w:rPr>
              <w:sz w:val="24"/>
              <w:szCs w:val="24"/>
            </w:rPr>
            <w:tab/>
          </w:r>
          <w:r>
            <w:rPr>
              <w:sz w:val="24"/>
              <w:szCs w:val="24"/>
            </w:rPr>
            <w:fldChar w:fldCharType="begin"/>
          </w:r>
          <w:r>
            <w:rPr>
              <w:sz w:val="24"/>
              <w:szCs w:val="24"/>
            </w:rPr>
            <w:instrText xml:space="preserve"> PAGEREF _Toc20713 \h </w:instrText>
          </w:r>
          <w:r>
            <w:rPr>
              <w:sz w:val="24"/>
              <w:szCs w:val="24"/>
            </w:rPr>
            <w:fldChar w:fldCharType="separate"/>
          </w:r>
          <w:r>
            <w:rPr>
              <w:sz w:val="24"/>
              <w:szCs w:val="24"/>
            </w:rPr>
            <w:t>75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1EC94435">
          <w:pPr>
            <w:pStyle w:val="28"/>
            <w:rPr>
              <w:rFonts w:ascii="Times New Roman" w:hAnsi="Times New Roman" w:eastAsia="宋体" w:cs="Times New Roman"/>
              <w:kern w:val="2"/>
              <w:sz w:val="21"/>
              <w:szCs w:val="20"/>
              <w:lang w:val="en-US" w:eastAsia="zh-CN" w:bidi="ar-SA"/>
            </w:rPr>
            <w:sectPr>
              <w:footerReference r:id="rId3" w:type="default"/>
              <w:pgSz w:w="11906" w:h="16838"/>
              <w:pgMar w:top="1247" w:right="1247" w:bottom="1247" w:left="1247" w:header="851" w:footer="992" w:gutter="0"/>
              <w:pgNumType w:fmt="decimal" w:start="1"/>
              <w:cols w:space="720" w:num="1"/>
              <w:docGrid w:type="lines" w:linePitch="312" w:charSpace="0"/>
            </w:sectPr>
          </w:pPr>
          <w:r>
            <w:rPr>
              <w:rFonts w:ascii="Times New Roman" w:hAnsi="Times New Roman" w:eastAsia="宋体" w:cs="Times New Roman"/>
              <w:kern w:val="2"/>
              <w:szCs w:val="20"/>
              <w:lang w:val="en-US" w:eastAsia="zh-CN" w:bidi="ar-SA"/>
            </w:rPr>
            <w:fldChar w:fldCharType="end"/>
          </w:r>
        </w:p>
      </w:sdtContent>
    </w:sdt>
    <w:p w14:paraId="0E3D1D4F">
      <w:pPr>
        <w:jc w:val="center"/>
        <w:rPr>
          <w:rFonts w:hint="eastAsia" w:ascii="宋体" w:hAnsi="宋体" w:cs="宋体"/>
          <w:b/>
          <w:bCs/>
          <w:kern w:val="0"/>
          <w:sz w:val="30"/>
          <w:szCs w:val="30"/>
        </w:rPr>
      </w:pPr>
      <w:bookmarkStart w:id="0" w:name="_Toc22495"/>
      <w:bookmarkStart w:id="1" w:name="_Toc29616"/>
      <w:bookmarkStart w:id="2" w:name="_Toc3994503"/>
      <w:bookmarkStart w:id="3" w:name="_Toc10293"/>
      <w:bookmarkStart w:id="4" w:name="_Toc4685"/>
      <w:bookmarkStart w:id="5" w:name="_Toc8044"/>
      <w:r>
        <w:rPr>
          <w:rFonts w:hint="eastAsia" w:ascii="宋体" w:hAnsi="宋体" w:cs="宋体"/>
          <w:b/>
          <w:sz w:val="44"/>
          <w:szCs w:val="44"/>
        </w:rPr>
        <w:t>第一章 竞争性谈判公告</w:t>
      </w:r>
      <w:bookmarkEnd w:id="0"/>
      <w:bookmarkEnd w:id="1"/>
      <w:bookmarkEnd w:id="2"/>
      <w:bookmarkEnd w:id="3"/>
      <w:bookmarkEnd w:id="4"/>
      <w:bookmarkEnd w:id="5"/>
      <w:bookmarkStart w:id="6" w:name="_Toc24245"/>
    </w:p>
    <w:bookmarkEnd w:id="6"/>
    <w:p w14:paraId="7165E11A">
      <w:pPr>
        <w:widowControl/>
        <w:spacing w:before="100" w:beforeAutospacing="1" w:after="100" w:afterAutospacing="1" w:line="440" w:lineRule="exact"/>
        <w:jc w:val="center"/>
        <w:outlineLvl w:val="1"/>
        <w:rPr>
          <w:rFonts w:hAnsi="宋体" w:cs="宋体"/>
          <w:b/>
          <w:sz w:val="28"/>
          <w:szCs w:val="28"/>
        </w:rPr>
      </w:pPr>
      <w:r>
        <w:rPr>
          <w:rFonts w:hint="eastAsia" w:hAnsi="宋体" w:cs="宋体"/>
          <w:b/>
          <w:sz w:val="28"/>
          <w:szCs w:val="28"/>
        </w:rPr>
        <w:t>防城港市民中心物业管理服务采购项目竞争性谈判公告</w:t>
      </w:r>
    </w:p>
    <w:tbl>
      <w:tblPr>
        <w:tblStyle w:val="23"/>
        <w:tblpPr w:leftFromText="180" w:rightFromText="180" w:vertAnchor="text" w:horzAnchor="page" w:tblpXSpec="center" w:tblpY="18"/>
        <w:tblOverlap w:val="neve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2"/>
      </w:tblGrid>
      <w:tr w14:paraId="3D9B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2" w:type="dxa"/>
            <w:noWrap w:val="0"/>
            <w:vAlign w:val="top"/>
          </w:tcPr>
          <w:p w14:paraId="5BFD6FB1">
            <w:pPr>
              <w:keepNext w:val="0"/>
              <w:keepLines w:val="0"/>
              <w:pageBreakBefore w:val="0"/>
              <w:widowControl/>
              <w:kinsoku/>
              <w:overflowPunct/>
              <w:topLinePunct w:val="0"/>
              <w:autoSpaceDE/>
              <w:autoSpaceDN/>
              <w:bidi w:val="0"/>
              <w:adjustRightInd/>
              <w:snapToGrid/>
              <w:spacing w:before="60" w:after="60" w:line="36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项目概况</w:t>
            </w:r>
          </w:p>
          <w:p w14:paraId="03CFA765">
            <w:pPr>
              <w:keepNext w:val="0"/>
              <w:keepLines w:val="0"/>
              <w:pageBreakBefore w:val="0"/>
              <w:widowControl/>
              <w:kinsoku/>
              <w:wordWrap w:val="0"/>
              <w:overflowPunct/>
              <w:topLinePunct w:val="0"/>
              <w:autoSpaceDE/>
              <w:autoSpaceDN/>
              <w:bidi w:val="0"/>
              <w:adjustRightInd/>
              <w:snapToGrid/>
              <w:spacing w:before="60" w:after="60" w:line="360" w:lineRule="exact"/>
              <w:ind w:firstLine="420" w:firstLineChars="200"/>
              <w:jc w:val="left"/>
              <w:textAlignment w:val="auto"/>
              <w:rPr>
                <w:rFonts w:hint="eastAsia" w:ascii="宋体" w:hAnsi="宋体" w:cs="宋体"/>
                <w:color w:val="auto"/>
                <w:kern w:val="0"/>
                <w:szCs w:val="21"/>
                <w:lang w:bidi="ar"/>
              </w:rPr>
            </w:pPr>
            <w:r>
              <w:rPr>
                <w:rFonts w:hint="eastAsia" w:ascii="宋体" w:hAnsi="宋体" w:cs="宋体"/>
                <w:color w:val="auto"/>
                <w:szCs w:val="21"/>
              </w:rPr>
              <w:t>防城港市民中心物业管理服务采购项目的潜在供应商应在广西政府采购云平台（www.gcy.zfcg.gxzf.gov.cn/）获取谈判文件，并于</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w:t>
            </w:r>
            <w:r>
              <w:rPr>
                <w:rFonts w:hint="eastAsia" w:ascii="宋体" w:hAnsi="宋体" w:cs="宋体"/>
                <w:color w:val="auto"/>
                <w:szCs w:val="21"/>
                <w:lang w:val="en-US" w:eastAsia="zh-CN"/>
              </w:rPr>
              <w:t>13</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（北京时间）前递交</w:t>
            </w:r>
            <w:r>
              <w:rPr>
                <w:rFonts w:hint="eastAsia" w:ascii="宋体" w:hAnsi="宋体" w:cs="宋体"/>
                <w:color w:val="auto"/>
                <w:kern w:val="0"/>
                <w:szCs w:val="21"/>
                <w:lang w:bidi="ar"/>
              </w:rPr>
              <w:t>响应文件。</w:t>
            </w:r>
            <w:r>
              <w:rPr>
                <w:rFonts w:hint="eastAsia" w:ascii="宋体" w:hAnsi="宋体" w:cs="宋体"/>
                <w:color w:val="auto"/>
                <w:kern w:val="0"/>
                <w:sz w:val="19"/>
                <w:szCs w:val="19"/>
                <w:lang w:bidi="ar"/>
              </w:rPr>
              <w:t>    </w:t>
            </w:r>
          </w:p>
        </w:tc>
      </w:tr>
    </w:tbl>
    <w:p w14:paraId="76E1B34C">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b/>
          <w:bCs/>
          <w:color w:val="auto"/>
          <w:kern w:val="0"/>
          <w:szCs w:val="21"/>
          <w:lang w:val="en-US" w:eastAsia="zh-CN" w:bidi="ar"/>
        </w:rPr>
      </w:pPr>
      <w:bookmarkStart w:id="7" w:name="_Toc27931"/>
      <w:r>
        <w:rPr>
          <w:rFonts w:hint="eastAsia" w:ascii="宋体" w:hAnsi="宋体" w:cs="宋体"/>
          <w:b/>
          <w:bCs/>
          <w:color w:val="auto"/>
          <w:kern w:val="0"/>
          <w:szCs w:val="21"/>
          <w:lang w:val="en-US" w:eastAsia="zh-CN" w:bidi="ar"/>
        </w:rPr>
        <w:t>一、项目基本情况</w:t>
      </w:r>
      <w:bookmarkEnd w:id="7"/>
    </w:p>
    <w:p w14:paraId="107D3607">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项目编号：FCZC2026-J3-990005-FCGS</w:t>
      </w:r>
      <w:bookmarkStart w:id="67" w:name="_GoBack"/>
      <w:bookmarkEnd w:id="67"/>
    </w:p>
    <w:p w14:paraId="536F969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项目名称：防城港市民中心物业管理服务采购</w:t>
      </w:r>
    </w:p>
    <w:p w14:paraId="40A9859D">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采购方式：竞争性谈判</w:t>
      </w:r>
    </w:p>
    <w:p w14:paraId="1DA5EB14">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预算金额（元）：人民币壹佰</w:t>
      </w:r>
      <w:r>
        <w:rPr>
          <w:rFonts w:hint="eastAsia" w:ascii="宋体" w:hAnsi="宋体" w:cs="宋体"/>
          <w:color w:val="auto"/>
          <w:szCs w:val="21"/>
          <w:lang w:val="en-US" w:eastAsia="zh-CN"/>
        </w:rPr>
        <w:t>柒拾肆</w:t>
      </w:r>
      <w:r>
        <w:rPr>
          <w:rFonts w:hint="eastAsia" w:ascii="宋体" w:hAnsi="宋体" w:cs="宋体"/>
          <w:color w:val="auto"/>
          <w:szCs w:val="21"/>
        </w:rPr>
        <w:t>万元（￥</w:t>
      </w:r>
      <w:r>
        <w:rPr>
          <w:rFonts w:hint="eastAsia" w:ascii="宋体" w:hAnsi="宋体" w:cs="宋体"/>
          <w:color w:val="auto"/>
          <w:szCs w:val="21"/>
          <w:lang w:val="en-US" w:eastAsia="zh-CN"/>
        </w:rPr>
        <w:t>1740000</w:t>
      </w:r>
      <w:r>
        <w:rPr>
          <w:rFonts w:hint="eastAsia" w:ascii="宋体" w:hAnsi="宋体" w:cs="宋体"/>
          <w:color w:val="auto"/>
          <w:szCs w:val="21"/>
        </w:rPr>
        <w:t>.00）</w:t>
      </w:r>
    </w:p>
    <w:p w14:paraId="6F43D0C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FF0000"/>
          <w:szCs w:val="21"/>
        </w:rPr>
      </w:pPr>
      <w:r>
        <w:rPr>
          <w:rFonts w:hint="eastAsia" w:ascii="宋体" w:hAnsi="宋体" w:cs="宋体"/>
          <w:color w:val="auto"/>
        </w:rPr>
        <w:t>采购需求：在物业服务面积范围开展安全及秩序管理、保洁服务、绿化养护服务、会议室服务等工作。</w:t>
      </w:r>
    </w:p>
    <w:p w14:paraId="756D0299">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最高限价：同预算</w:t>
      </w:r>
    </w:p>
    <w:p w14:paraId="0293AAE7">
      <w:pPr>
        <w:keepNext w:val="0"/>
        <w:keepLines w:val="0"/>
        <w:pageBreakBefore w:val="0"/>
        <w:kinsoku/>
        <w:overflowPunct/>
        <w:topLinePunct w:val="0"/>
        <w:autoSpaceDE/>
        <w:autoSpaceDN/>
        <w:bidi w:val="0"/>
        <w:adjustRightInd/>
        <w:snapToGrid/>
        <w:spacing w:line="360" w:lineRule="exact"/>
        <w:ind w:firstLine="420"/>
        <w:textAlignment w:val="auto"/>
        <w:rPr>
          <w:rFonts w:hint="eastAsia" w:ascii="宋体" w:hAnsi="宋体"/>
          <w:bCs/>
          <w:color w:val="auto"/>
          <w:szCs w:val="21"/>
        </w:rPr>
      </w:pPr>
      <w:r>
        <w:rPr>
          <w:rFonts w:hint="eastAsia" w:ascii="宋体" w:hAnsi="宋体"/>
          <w:color w:val="auto"/>
          <w:szCs w:val="21"/>
        </w:rPr>
        <w:t>合同履行期限：2年。</w:t>
      </w:r>
    </w:p>
    <w:p w14:paraId="682E79F9">
      <w:pPr>
        <w:keepNext w:val="0"/>
        <w:keepLines w:val="0"/>
        <w:pageBreakBefore w:val="0"/>
        <w:kinsoku/>
        <w:overflowPunct/>
        <w:topLinePunct w:val="0"/>
        <w:autoSpaceDE/>
        <w:autoSpaceDN/>
        <w:bidi w:val="0"/>
        <w:adjustRightInd/>
        <w:snapToGrid/>
        <w:spacing w:line="360" w:lineRule="exact"/>
        <w:ind w:firstLine="420"/>
        <w:textAlignment w:val="auto"/>
        <w:rPr>
          <w:color w:val="auto"/>
        </w:rPr>
      </w:pPr>
      <w:r>
        <w:rPr>
          <w:rFonts w:hint="eastAsia" w:ascii="宋体" w:hAnsi="宋体"/>
          <w:color w:val="auto"/>
          <w:szCs w:val="21"/>
        </w:rPr>
        <w:t>本项目不接受联合体竞标。</w:t>
      </w:r>
    </w:p>
    <w:p w14:paraId="63B5E230">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b/>
          <w:bCs/>
          <w:color w:val="auto"/>
          <w:kern w:val="0"/>
          <w:szCs w:val="21"/>
          <w:lang w:bidi="ar"/>
        </w:rPr>
      </w:pPr>
      <w:bookmarkStart w:id="8" w:name="_Toc10133"/>
      <w:r>
        <w:rPr>
          <w:rFonts w:hint="eastAsia" w:ascii="宋体" w:hAnsi="宋体" w:cs="宋体"/>
          <w:b/>
          <w:bCs/>
          <w:color w:val="auto"/>
          <w:kern w:val="0"/>
          <w:szCs w:val="21"/>
          <w:lang w:val="en-US" w:eastAsia="zh-CN" w:bidi="ar"/>
        </w:rPr>
        <w:t>二、</w:t>
      </w:r>
      <w:r>
        <w:rPr>
          <w:rFonts w:hint="eastAsia" w:ascii="宋体" w:hAnsi="宋体" w:cs="宋体"/>
          <w:b/>
          <w:bCs/>
          <w:color w:val="auto"/>
          <w:kern w:val="0"/>
          <w:szCs w:val="21"/>
          <w:lang w:bidi="ar"/>
        </w:rPr>
        <w:t>供应商的资格要求</w:t>
      </w:r>
      <w:bookmarkEnd w:id="8"/>
    </w:p>
    <w:p w14:paraId="18BD3E34">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lang w:eastAsia="zh-CN"/>
        </w:rPr>
      </w:pPr>
      <w:r>
        <w:rPr>
          <w:rFonts w:hint="eastAsia" w:ascii="宋体" w:hAnsi="宋体" w:cs="宋体"/>
          <w:color w:val="auto"/>
          <w:szCs w:val="21"/>
        </w:rPr>
        <w:t>1.满足《中华人民共和国政府采购法》第二十二条规定</w:t>
      </w:r>
      <w:r>
        <w:rPr>
          <w:rFonts w:hint="eastAsia" w:ascii="宋体" w:hAnsi="宋体" w:cs="宋体"/>
          <w:color w:val="auto"/>
          <w:szCs w:val="21"/>
          <w:lang w:eastAsia="zh-CN"/>
        </w:rPr>
        <w:t>。</w:t>
      </w:r>
    </w:p>
    <w:p w14:paraId="534D43E8">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szCs w:val="21"/>
          <w:lang w:val="en-US" w:eastAsia="zh-CN"/>
        </w:rPr>
      </w:pPr>
      <w:r>
        <w:rPr>
          <w:rFonts w:hint="eastAsia" w:ascii="宋体" w:hAnsi="宋体" w:cs="宋体"/>
          <w:color w:val="auto"/>
          <w:szCs w:val="21"/>
        </w:rPr>
        <w:t>2.落实政府采购政策需满足的资格要求：</w:t>
      </w:r>
      <w:r>
        <w:rPr>
          <w:rFonts w:hint="eastAsia" w:ascii="宋体" w:hAnsi="宋体" w:cs="宋体"/>
          <w:b/>
          <w:bCs/>
          <w:color w:val="auto"/>
          <w:szCs w:val="21"/>
          <w:lang w:val="en-US" w:eastAsia="zh-CN"/>
        </w:rPr>
        <w:t>本项目专门面向中小企业采购</w:t>
      </w:r>
      <w:r>
        <w:rPr>
          <w:rFonts w:hint="eastAsia" w:ascii="宋体" w:hAnsi="宋体" w:cs="宋体"/>
          <w:b w:val="0"/>
          <w:bCs w:val="0"/>
          <w:color w:val="auto"/>
          <w:szCs w:val="21"/>
          <w:lang w:val="en-US" w:eastAsia="zh-CN"/>
        </w:rPr>
        <w:t>（投标人应符合《政府采购促进中小企业发展管理办法》（财库〔2020〕46号）中关于中小企业的相关规定；监狱企业及残疾人福利性单位视同于小微企业），所属行业为物业管理。</w:t>
      </w:r>
    </w:p>
    <w:p w14:paraId="022EAF06">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lang w:eastAsia="zh-CN"/>
        </w:rPr>
      </w:pPr>
      <w:r>
        <w:rPr>
          <w:rFonts w:hint="eastAsia" w:ascii="宋体" w:hAnsi="宋体" w:cs="宋体"/>
          <w:color w:val="auto"/>
          <w:szCs w:val="21"/>
        </w:rPr>
        <w:t>3.本项目的特定资格要求：无</w:t>
      </w:r>
      <w:r>
        <w:rPr>
          <w:rFonts w:hint="eastAsia" w:ascii="宋体" w:hAnsi="宋体" w:cs="宋体"/>
          <w:color w:val="auto"/>
          <w:szCs w:val="21"/>
          <w:lang w:eastAsia="zh-CN"/>
        </w:rPr>
        <w:t>。</w:t>
      </w:r>
    </w:p>
    <w:p w14:paraId="2C1748E0">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Cs w:val="21"/>
          <w:lang w:bidi="ar"/>
        </w:rPr>
      </w:pPr>
      <w:bookmarkStart w:id="9" w:name="_Toc27520"/>
      <w:r>
        <w:rPr>
          <w:rFonts w:hint="eastAsia" w:ascii="宋体" w:hAnsi="宋体" w:cs="宋体"/>
          <w:b/>
          <w:bCs/>
          <w:color w:val="auto"/>
          <w:kern w:val="0"/>
          <w:szCs w:val="21"/>
          <w:lang w:bidi="ar"/>
        </w:rPr>
        <w:t>三、获取采购文件</w:t>
      </w:r>
      <w:bookmarkEnd w:id="9"/>
    </w:p>
    <w:p w14:paraId="022223B8">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日至</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日，每天上午00:00至12:00，下午12:00至23:59（北京时间，法定节假日除外）</w:t>
      </w:r>
    </w:p>
    <w:p w14:paraId="5E3DF1DC">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地点（网址）：广西政府采购云平台（www.gcy.zfcg.gxzf.gov.cn/）</w:t>
      </w:r>
    </w:p>
    <w:p w14:paraId="11FE48B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bCs/>
          <w:color w:val="auto"/>
          <w:kern w:val="0"/>
          <w:szCs w:val="21"/>
        </w:rPr>
      </w:pPr>
      <w:r>
        <w:rPr>
          <w:rFonts w:hint="eastAsia" w:ascii="宋体" w:hAnsi="宋体" w:cs="宋体"/>
          <w:color w:val="auto"/>
          <w:szCs w:val="21"/>
        </w:rPr>
        <w:t>方式：</w:t>
      </w:r>
      <w:r>
        <w:rPr>
          <w:rFonts w:hint="eastAsia" w:ascii="宋体" w:hAnsi="宋体" w:cs="宋体"/>
          <w:bCs/>
          <w:color w:val="auto"/>
          <w:kern w:val="0"/>
          <w:szCs w:val="21"/>
        </w:rPr>
        <w:t>网上下载。本项目不提供纸质文件，潜在供应商需在</w:t>
      </w:r>
      <w:r>
        <w:rPr>
          <w:rFonts w:ascii="宋体" w:hAnsi="宋体" w:cs="宋体"/>
          <w:bCs/>
          <w:color w:val="auto"/>
          <w:kern w:val="0"/>
          <w:szCs w:val="21"/>
        </w:rPr>
        <w:t>广西政府采购云平台</w:t>
      </w:r>
      <w:r>
        <w:rPr>
          <w:rFonts w:hint="eastAsia" w:ascii="宋体" w:hAnsi="宋体" w:cs="宋体"/>
          <w:bCs/>
          <w:color w:val="auto"/>
          <w:kern w:val="0"/>
          <w:szCs w:val="21"/>
        </w:rPr>
        <w:t>（</w:t>
      </w:r>
      <w:r>
        <w:rPr>
          <w:rFonts w:ascii="宋体" w:hAnsi="宋体" w:cs="宋体"/>
          <w:bCs/>
          <w:color w:val="auto"/>
          <w:kern w:val="0"/>
          <w:szCs w:val="21"/>
        </w:rPr>
        <w:t>https://www.gcy.zfcg.gxzf.gov.cn/</w:t>
      </w:r>
      <w:r>
        <w:rPr>
          <w:rFonts w:hint="eastAsia" w:ascii="宋体" w:hAnsi="宋体" w:cs="宋体"/>
          <w:bCs/>
          <w:color w:val="auto"/>
          <w:kern w:val="0"/>
          <w:szCs w:val="21"/>
        </w:rPr>
        <w:t>）-进入“项目采购”应用，在获取采购文件菜单中选择项目，获取竞争性谈判文件。电子响应文件制作需要基于</w:t>
      </w:r>
      <w:r>
        <w:rPr>
          <w:rFonts w:ascii="宋体" w:hAnsi="宋体" w:cs="宋体"/>
          <w:bCs/>
          <w:color w:val="auto"/>
          <w:kern w:val="0"/>
          <w:szCs w:val="21"/>
        </w:rPr>
        <w:t>广西政府采购云平台</w:t>
      </w:r>
      <w:r>
        <w:rPr>
          <w:rFonts w:hint="eastAsia" w:ascii="宋体" w:hAnsi="宋体" w:cs="宋体"/>
          <w:bCs/>
          <w:color w:val="auto"/>
          <w:kern w:val="0"/>
          <w:szCs w:val="21"/>
        </w:rPr>
        <w:t>获取的竞争性谈判文件编制，通过其他方式获取竞争性谈判文件的，将有可能导致供应商无法在</w:t>
      </w:r>
      <w:r>
        <w:rPr>
          <w:rFonts w:ascii="宋体" w:hAnsi="宋体" w:cs="宋体"/>
          <w:bCs/>
          <w:color w:val="auto"/>
          <w:kern w:val="0"/>
          <w:szCs w:val="21"/>
        </w:rPr>
        <w:t>广西政府采购云平台</w:t>
      </w:r>
      <w:r>
        <w:rPr>
          <w:rFonts w:hint="eastAsia" w:ascii="宋体" w:hAnsi="宋体" w:cs="宋体"/>
          <w:bCs/>
          <w:color w:val="auto"/>
          <w:kern w:val="0"/>
          <w:szCs w:val="21"/>
        </w:rPr>
        <w:t>编制及上传响应文件。</w:t>
      </w:r>
    </w:p>
    <w:p w14:paraId="6170EF0F">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color w:val="auto"/>
        </w:rPr>
      </w:pPr>
      <w:r>
        <w:rPr>
          <w:rFonts w:hint="eastAsia" w:ascii="宋体" w:hAnsi="宋体" w:cs="宋体"/>
          <w:color w:val="auto"/>
          <w:szCs w:val="21"/>
        </w:rPr>
        <w:t>售价（元）：0</w:t>
      </w:r>
    </w:p>
    <w:p w14:paraId="50B12FED">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Cs w:val="21"/>
          <w:lang w:bidi="ar"/>
        </w:rPr>
      </w:pPr>
      <w:bookmarkStart w:id="10" w:name="_Toc12329"/>
      <w:r>
        <w:rPr>
          <w:rFonts w:hint="eastAsia" w:ascii="宋体" w:hAnsi="宋体" w:cs="宋体"/>
          <w:b/>
          <w:bCs/>
          <w:color w:val="auto"/>
          <w:kern w:val="0"/>
          <w:szCs w:val="21"/>
          <w:lang w:bidi="ar"/>
        </w:rPr>
        <w:t>四、响应文件提交</w:t>
      </w:r>
      <w:r>
        <w:rPr>
          <w:rFonts w:hint="eastAsia" w:ascii="宋体" w:hAnsi="宋体" w:cs="宋体"/>
          <w:color w:val="auto"/>
          <w:kern w:val="0"/>
          <w:szCs w:val="21"/>
          <w:lang w:bidi="ar"/>
        </w:rPr>
        <w:t> </w:t>
      </w:r>
      <w:bookmarkEnd w:id="10"/>
    </w:p>
    <w:p w14:paraId="091CF28B">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截止时间：</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w:t>
      </w:r>
      <w:r>
        <w:rPr>
          <w:rFonts w:hint="eastAsia" w:ascii="宋体" w:hAnsi="宋体" w:cs="宋体"/>
          <w:color w:val="auto"/>
          <w:szCs w:val="21"/>
          <w:lang w:val="en-US" w:eastAsia="zh-CN"/>
        </w:rPr>
        <w:t>13</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w:t>
      </w:r>
    </w:p>
    <w:p w14:paraId="77ABD288">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地点：通过广西政府采购云平台实行在线谈判响应。</w:t>
      </w:r>
    </w:p>
    <w:p w14:paraId="094FC518">
      <w:pPr>
        <w:keepNext w:val="0"/>
        <w:keepLines w:val="0"/>
        <w:pageBreakBefore w:val="0"/>
        <w:kinsoku/>
        <w:overflowPunct/>
        <w:topLinePunct w:val="0"/>
        <w:autoSpaceDE/>
        <w:autoSpaceDN/>
        <w:bidi w:val="0"/>
        <w:adjustRightInd/>
        <w:snapToGrid/>
        <w:spacing w:line="360" w:lineRule="exact"/>
        <w:textAlignment w:val="auto"/>
        <w:outlineLvl w:val="2"/>
        <w:rPr>
          <w:rFonts w:hint="eastAsia" w:ascii="宋体" w:hAnsi="宋体" w:cs="宋体"/>
          <w:color w:val="auto"/>
          <w:kern w:val="0"/>
          <w:szCs w:val="21"/>
          <w:lang w:bidi="ar"/>
        </w:rPr>
      </w:pPr>
      <w:bookmarkStart w:id="11" w:name="_Toc12707"/>
      <w:r>
        <w:rPr>
          <w:rFonts w:hint="eastAsia" w:ascii="宋体" w:hAnsi="宋体" w:cs="宋体"/>
          <w:b/>
          <w:bCs/>
          <w:color w:val="auto"/>
          <w:kern w:val="0"/>
          <w:szCs w:val="21"/>
          <w:lang w:bidi="ar"/>
        </w:rPr>
        <w:t>五、响应文件开启</w:t>
      </w:r>
      <w:r>
        <w:rPr>
          <w:rFonts w:hint="eastAsia" w:ascii="宋体" w:hAnsi="宋体" w:cs="宋体"/>
          <w:color w:val="auto"/>
          <w:kern w:val="0"/>
          <w:szCs w:val="21"/>
          <w:lang w:bidi="ar"/>
        </w:rPr>
        <w:t> </w:t>
      </w:r>
      <w:bookmarkEnd w:id="11"/>
    </w:p>
    <w:p w14:paraId="11DCD7A9">
      <w:pPr>
        <w:keepNext w:val="0"/>
        <w:keepLines w:val="0"/>
        <w:pageBreakBefore w:val="0"/>
        <w:widowControl/>
        <w:kinsoku/>
        <w:overflowPunct/>
        <w:topLinePunct w:val="0"/>
        <w:autoSpaceDE/>
        <w:autoSpaceDN/>
        <w:bidi w:val="0"/>
        <w:adjustRightInd/>
        <w:snapToGrid/>
        <w:spacing w:before="60" w:after="60" w:line="360" w:lineRule="exact"/>
        <w:ind w:firstLine="420" w:firstLineChars="200"/>
        <w:jc w:val="left"/>
        <w:textAlignment w:val="auto"/>
        <w:rPr>
          <w:rFonts w:hint="eastAsia" w:ascii="宋体" w:hAnsi="宋体" w:cs="宋体"/>
          <w:color w:val="auto"/>
          <w:kern w:val="0"/>
          <w:sz w:val="24"/>
          <w:lang w:bidi="ar"/>
        </w:rPr>
      </w:pPr>
      <w:r>
        <w:rPr>
          <w:rFonts w:hint="eastAsia" w:ascii="宋体" w:hAnsi="宋体" w:cs="宋体"/>
          <w:color w:val="auto"/>
          <w:kern w:val="0"/>
          <w:szCs w:val="21"/>
          <w:lang w:bidi="ar"/>
        </w:rPr>
        <w:t>开启时间：</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w:t>
      </w:r>
      <w:r>
        <w:rPr>
          <w:rFonts w:hint="eastAsia" w:ascii="宋体" w:hAnsi="宋体" w:cs="宋体"/>
          <w:color w:val="auto"/>
          <w:szCs w:val="21"/>
          <w:lang w:val="en-US" w:eastAsia="zh-CN"/>
        </w:rPr>
        <w:t>13</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w:t>
      </w:r>
    </w:p>
    <w:p w14:paraId="6E3DEDB7">
      <w:pPr>
        <w:keepNext w:val="0"/>
        <w:keepLines w:val="0"/>
        <w:pageBreakBefore w:val="0"/>
        <w:widowControl/>
        <w:kinsoku/>
        <w:overflowPunct/>
        <w:topLinePunct w:val="0"/>
        <w:autoSpaceDE/>
        <w:autoSpaceDN/>
        <w:bidi w:val="0"/>
        <w:adjustRightInd/>
        <w:snapToGrid/>
        <w:spacing w:before="60" w:after="60" w:line="360" w:lineRule="exact"/>
        <w:ind w:firstLine="420" w:firstLineChars="200"/>
        <w:jc w:val="left"/>
        <w:textAlignment w:val="auto"/>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bidi="ar"/>
        </w:rPr>
        <w:t>地点：</w:t>
      </w:r>
      <w:r>
        <w:rPr>
          <w:rFonts w:hint="eastAsia" w:ascii="宋体" w:hAnsi="宋体" w:cs="宋体"/>
          <w:color w:val="auto"/>
          <w:kern w:val="0"/>
          <w:szCs w:val="21"/>
          <w:lang w:val="en-US" w:eastAsia="zh-CN" w:bidi="ar"/>
        </w:rPr>
        <w:t>广西政府采购云平台政府采购开评标室1</w:t>
      </w:r>
    </w:p>
    <w:p w14:paraId="606C2E16">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 w:val="25"/>
          <w:szCs w:val="25"/>
          <w:lang w:bidi="ar"/>
        </w:rPr>
      </w:pPr>
      <w:bookmarkStart w:id="12" w:name="_Toc31937"/>
      <w:r>
        <w:rPr>
          <w:rFonts w:hint="eastAsia" w:ascii="宋体" w:hAnsi="宋体" w:cs="宋体"/>
          <w:b/>
          <w:bCs/>
          <w:color w:val="auto"/>
          <w:kern w:val="0"/>
          <w:szCs w:val="21"/>
          <w:lang w:bidi="ar"/>
        </w:rPr>
        <w:t>六、公告期限</w:t>
      </w:r>
      <w:bookmarkEnd w:id="12"/>
    </w:p>
    <w:p w14:paraId="11534A2D">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b/>
          <w:bCs/>
          <w:color w:val="auto"/>
          <w:kern w:val="0"/>
          <w:szCs w:val="21"/>
          <w:lang w:bidi="ar"/>
        </w:rPr>
      </w:pPr>
      <w:r>
        <w:rPr>
          <w:rFonts w:hint="eastAsia" w:ascii="宋体" w:hAnsi="宋体" w:cs="宋体"/>
          <w:color w:val="auto"/>
          <w:szCs w:val="21"/>
        </w:rPr>
        <w:t>自本公告发布之日起3个工作日。</w:t>
      </w:r>
      <w:bookmarkStart w:id="13" w:name="_Toc13044"/>
    </w:p>
    <w:p w14:paraId="4CFDD8C1">
      <w:pPr>
        <w:keepNext w:val="0"/>
        <w:keepLines w:val="0"/>
        <w:pageBreakBefore w:val="0"/>
        <w:kinsoku/>
        <w:overflowPunct/>
        <w:topLinePunct w:val="0"/>
        <w:autoSpaceDE/>
        <w:autoSpaceDN/>
        <w:bidi w:val="0"/>
        <w:adjustRightInd/>
        <w:snapToGrid/>
        <w:spacing w:line="360" w:lineRule="exact"/>
        <w:jc w:val="left"/>
        <w:textAlignment w:val="auto"/>
        <w:outlineLvl w:val="2"/>
        <w:rPr>
          <w:rFonts w:hint="eastAsia" w:ascii="宋体" w:hAnsi="宋体" w:cs="宋体"/>
          <w:color w:val="auto"/>
          <w:szCs w:val="21"/>
        </w:rPr>
      </w:pPr>
      <w:r>
        <w:rPr>
          <w:rFonts w:hint="eastAsia" w:ascii="宋体" w:hAnsi="宋体" w:cs="宋体"/>
          <w:b/>
          <w:bCs/>
          <w:color w:val="auto"/>
          <w:kern w:val="0"/>
          <w:szCs w:val="21"/>
          <w:lang w:bidi="ar"/>
        </w:rPr>
        <w:t>七、其他补充事宜</w:t>
      </w:r>
      <w:r>
        <w:rPr>
          <w:rFonts w:hint="eastAsia" w:ascii="宋体" w:hAnsi="宋体" w:cs="宋体"/>
          <w:color w:val="auto"/>
          <w:kern w:val="0"/>
          <w:szCs w:val="21"/>
          <w:lang w:bidi="ar"/>
        </w:rPr>
        <w:t> </w:t>
      </w:r>
      <w:bookmarkEnd w:id="13"/>
    </w:p>
    <w:p w14:paraId="516011C2">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rPr>
      </w:pPr>
      <w:r>
        <w:rPr>
          <w:rFonts w:hint="eastAsia" w:ascii="宋体" w:hAnsi="宋体" w:cs="宋体"/>
          <w:color w:val="auto"/>
          <w:szCs w:val="21"/>
        </w:rPr>
        <w:t>1.网上公告媒体查询：</w:t>
      </w:r>
      <w:r>
        <w:rPr>
          <w:rFonts w:hint="eastAsia" w:ascii="宋体" w:hAnsi="宋体" w:cs="宋体"/>
          <w:color w:val="auto"/>
          <w:kern w:val="0"/>
          <w:szCs w:val="21"/>
        </w:rPr>
        <w:t>中国政府采购网、广西壮族自治区政府采购网、</w:t>
      </w:r>
      <w:r>
        <w:rPr>
          <w:rFonts w:ascii="宋体" w:hAnsi="宋体" w:cs="宋体"/>
          <w:color w:val="auto"/>
          <w:kern w:val="0"/>
          <w:szCs w:val="21"/>
        </w:rPr>
        <w:t>全国公共资源交易平台（广西·防城港）</w:t>
      </w:r>
    </w:p>
    <w:p w14:paraId="3D986AE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r>
        <w:rPr>
          <w:rFonts w:hint="eastAsia" w:ascii="宋体" w:hAnsi="宋体" w:cs="宋体"/>
          <w:color w:val="auto"/>
          <w:kern w:val="0"/>
          <w:szCs w:val="21"/>
          <w:lang w:eastAsia="zh-CN"/>
        </w:rPr>
        <w:t>：</w:t>
      </w:r>
    </w:p>
    <w:p w14:paraId="49CC086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2768B6D4">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74A0DD52">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1492BE5A">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58272B4C">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45C219CD">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3.竞标保证金：无。</w:t>
      </w:r>
    </w:p>
    <w:p w14:paraId="5C00EC44">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4.监督部门</w:t>
      </w:r>
    </w:p>
    <w:p w14:paraId="18596253">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名称：防城港市财政局</w:t>
      </w:r>
    </w:p>
    <w:p w14:paraId="5314EF47">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电话：</w:t>
      </w:r>
      <w:r>
        <w:rPr>
          <w:rFonts w:ascii="宋体" w:hAnsi="宋体" w:cs="宋体"/>
          <w:color w:val="auto"/>
          <w:kern w:val="0"/>
          <w:szCs w:val="21"/>
        </w:rPr>
        <w:t>0770-6102323</w:t>
      </w:r>
    </w:p>
    <w:p w14:paraId="4732EB0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olor w:val="auto"/>
          <w:szCs w:val="21"/>
        </w:rPr>
      </w:pPr>
      <w:r>
        <w:rPr>
          <w:rFonts w:hint="eastAsia" w:ascii="宋体" w:hAnsi="宋体" w:cs="宋体"/>
          <w:color w:val="auto"/>
          <w:kern w:val="0"/>
          <w:szCs w:val="21"/>
        </w:rPr>
        <w:t>5.供应商</w:t>
      </w:r>
      <w:r>
        <w:rPr>
          <w:rFonts w:hint="eastAsia" w:ascii="宋体" w:hAnsi="宋体"/>
          <w:color w:val="auto"/>
          <w:szCs w:val="21"/>
        </w:rPr>
        <w:t>竞标注意事项</w:t>
      </w:r>
    </w:p>
    <w:p w14:paraId="41C3E501">
      <w:pPr>
        <w:keepNext w:val="0"/>
        <w:keepLines w:val="0"/>
        <w:pageBreakBefore w:val="0"/>
        <w:widowControl w:val="0"/>
        <w:kinsoku/>
        <w:wordWrap w:val="0"/>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rPr>
        <w:t>bs</w:t>
      </w:r>
      <w:r>
        <w:rPr>
          <w:rFonts w:hint="eastAsia" w:ascii="宋体" w:hAnsi="宋体"/>
          <w:color w:val="auto"/>
          <w:szCs w:val="21"/>
        </w:rPr>
        <w:t>”的文件），</w:t>
      </w:r>
      <w:r>
        <w:rPr>
          <w:rFonts w:hint="eastAsia" w:ascii="宋体" w:hAnsi="宋体"/>
          <w:b/>
          <w:color w:val="auto"/>
          <w:szCs w:val="21"/>
        </w:rPr>
        <w:t>供应商在</w:t>
      </w:r>
      <w:r>
        <w:rPr>
          <w:rFonts w:hint="eastAsia" w:ascii="宋体" w:hAnsi="宋体"/>
          <w:b/>
          <w:bCs/>
          <w:color w:val="auto"/>
          <w:szCs w:val="21"/>
        </w:rPr>
        <w:t>广西政府采购云平台</w:t>
      </w:r>
      <w:r>
        <w:rPr>
          <w:rFonts w:hint="eastAsia" w:ascii="宋体" w:hAnsi="宋体"/>
          <w:b/>
          <w:color w:val="auto"/>
          <w:szCs w:val="21"/>
        </w:rPr>
        <w:t>提交电子响应文件时，请填写参加远程开标活动经办人联系方式。</w:t>
      </w:r>
      <w:r>
        <w:rPr>
          <w:rFonts w:hint="eastAsia" w:ascii="宋体" w:hAnsi="宋体"/>
          <w:color w:val="auto"/>
          <w:szCs w:val="21"/>
        </w:rPr>
        <w:t>供应商登录广西政府采购云平台，依次进入“服务中心-项目采购-操作流程-电子招投标-</w:t>
      </w:r>
      <w:r>
        <w:rPr>
          <w:rFonts w:ascii="宋体" w:hAnsi="宋体"/>
          <w:color w:val="auto"/>
          <w:szCs w:val="21"/>
        </w:rPr>
        <w:t>政府采购项目电子交易管理操作指南-供应商</w:t>
      </w:r>
      <w:r>
        <w:rPr>
          <w:rFonts w:hint="eastAsia" w:ascii="宋体" w:hAnsi="宋体"/>
          <w:color w:val="auto"/>
          <w:szCs w:val="21"/>
        </w:rPr>
        <w:t>”查看电子竞标具体操作流程。</w:t>
      </w:r>
    </w:p>
    <w:p w14:paraId="038F6326">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ascii="宋体" w:hAnsi="宋体"/>
          <w:color w:val="auto"/>
          <w:szCs w:val="21"/>
        </w:rPr>
      </w:pPr>
      <w:r>
        <w:rPr>
          <w:rFonts w:hint="eastAsia" w:ascii="宋体" w:hAnsi="宋体"/>
          <w:color w:val="auto"/>
          <w:szCs w:val="21"/>
        </w:rPr>
        <w:t>（2）未进行网上注册并办理数字证书（CA认证）的供应商将无法参与本项目政府采购活动，竞标供应商应当在</w:t>
      </w:r>
      <w:r>
        <w:rPr>
          <w:rFonts w:hint="eastAsia"/>
          <w:color w:val="auto"/>
        </w:rPr>
        <w:t>响应</w:t>
      </w:r>
      <w:r>
        <w:rPr>
          <w:color w:val="auto"/>
        </w:rPr>
        <w:t>文件递交</w:t>
      </w:r>
      <w:r>
        <w:rPr>
          <w:rFonts w:hint="eastAsia" w:ascii="宋体" w:hAnsi="宋体"/>
          <w:color w:val="auto"/>
          <w:szCs w:val="21"/>
        </w:rPr>
        <w:t>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rPr>
        <w:t>如在操作过程中遇到问题或者需要技术支持，请致电客服热线：95763或者0771-3381253</w:t>
      </w:r>
      <w:r>
        <w:rPr>
          <w:rFonts w:hint="eastAsia" w:ascii="宋体" w:hAnsi="宋体"/>
          <w:color w:val="auto"/>
          <w:szCs w:val="21"/>
        </w:rPr>
        <w:t>）。</w:t>
      </w:r>
    </w:p>
    <w:p w14:paraId="37FFA92D">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rPr>
      </w:pPr>
      <w:r>
        <w:rPr>
          <w:rFonts w:hint="eastAsia" w:ascii="宋体" w:hAnsi="宋体"/>
          <w:color w:val="auto"/>
          <w:szCs w:val="21"/>
        </w:rPr>
        <w:t>（3）CA证书在线解密：供应商竞标时，需凭制作响应文件时用来加密的有效数字证书（CA认证）登录广西政府采购云平台电子开标大厅现场按规定时间对加密的响应文件进行解密，否则后果自负。</w:t>
      </w:r>
    </w:p>
    <w:p w14:paraId="50CA85B8">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数字证书并使用有效的CA数字证书参与整个竞标活动。2）</w:t>
      </w:r>
      <w:r>
        <w:rPr>
          <w:rFonts w:hint="eastAsia" w:ascii="宋体" w:hAnsi="宋体"/>
          <w:bCs/>
          <w:color w:val="auto"/>
          <w:szCs w:val="21"/>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rPr>
        <w:t>广西政府采购云平台</w:t>
      </w:r>
      <w:r>
        <w:rPr>
          <w:rFonts w:hint="eastAsia" w:ascii="宋体" w:hAnsi="宋体"/>
          <w:bCs/>
          <w:color w:val="auto"/>
          <w:szCs w:val="21"/>
        </w:rPr>
        <w:t>将予以拒收。</w:t>
      </w:r>
      <w:bookmarkStart w:id="14" w:name="_Toc30501"/>
    </w:p>
    <w:p w14:paraId="5B3A68D8">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 w:val="25"/>
          <w:szCs w:val="25"/>
          <w:lang w:bidi="ar"/>
        </w:rPr>
      </w:pPr>
      <w:r>
        <w:rPr>
          <w:rFonts w:hint="eastAsia" w:ascii="宋体" w:hAnsi="宋体" w:cs="宋体"/>
          <w:b/>
          <w:bCs/>
          <w:color w:val="auto"/>
          <w:kern w:val="0"/>
          <w:szCs w:val="21"/>
          <w:lang w:bidi="ar"/>
        </w:rPr>
        <w:t>八、凡对本次谈判提出询问，请按以下方式联系</w:t>
      </w:r>
      <w:bookmarkEnd w:id="14"/>
    </w:p>
    <w:p w14:paraId="5B1964AD">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1.</w:t>
      </w:r>
      <w:r>
        <w:rPr>
          <w:rFonts w:hint="eastAsia" w:hAnsi="宋体" w:cs="宋体"/>
          <w:color w:val="auto"/>
          <w:szCs w:val="21"/>
        </w:rPr>
        <w:t>采购人信息</w:t>
      </w:r>
    </w:p>
    <w:p w14:paraId="22EA63D2">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eastAsia="宋体" w:cs="宋体"/>
          <w:color w:val="auto"/>
          <w:szCs w:val="21"/>
          <w:lang w:val="en-US" w:eastAsia="zh-CN"/>
        </w:rPr>
      </w:pPr>
      <w:r>
        <w:rPr>
          <w:rFonts w:hint="eastAsia" w:hAnsi="宋体" w:cs="宋体"/>
          <w:color w:val="auto"/>
          <w:szCs w:val="21"/>
        </w:rPr>
        <w:t>名    称：防城港市行政审批服务中心</w:t>
      </w:r>
    </w:p>
    <w:p w14:paraId="78B73186">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地    址：防城港市港口区江山大道88号</w:t>
      </w:r>
    </w:p>
    <w:p w14:paraId="6A39588E">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项目联系人：陈莉</w:t>
      </w:r>
    </w:p>
    <w:p w14:paraId="14F82BDB">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项目联系方式：0770-2882186</w:t>
      </w:r>
    </w:p>
    <w:p w14:paraId="6CB56376">
      <w:pPr>
        <w:keepNext w:val="0"/>
        <w:keepLines w:val="0"/>
        <w:pageBreakBefore w:val="0"/>
        <w:numPr>
          <w:ilvl w:val="0"/>
          <w:numId w:val="0"/>
        </w:numPr>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2.</w:t>
      </w:r>
      <w:r>
        <w:rPr>
          <w:rFonts w:hint="eastAsia" w:hAnsi="宋体" w:cs="宋体"/>
          <w:color w:val="auto"/>
          <w:szCs w:val="21"/>
        </w:rPr>
        <w:t>采购代理机构信息</w:t>
      </w:r>
    </w:p>
    <w:p w14:paraId="64F19321">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名    称：防城港市政府采购中心</w:t>
      </w:r>
    </w:p>
    <w:p w14:paraId="2585F390">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地    址：防城港市红树林大厦东塔6楼</w:t>
      </w:r>
    </w:p>
    <w:p w14:paraId="105D0414">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cs="宋体"/>
          <w:color w:val="auto"/>
          <w:szCs w:val="21"/>
          <w:lang w:val="en-US"/>
        </w:rPr>
      </w:pPr>
      <w:r>
        <w:rPr>
          <w:rFonts w:hint="eastAsia" w:hAnsi="宋体" w:cs="宋体"/>
          <w:color w:val="auto"/>
          <w:szCs w:val="21"/>
        </w:rPr>
        <w:t>项目联系人：</w:t>
      </w:r>
      <w:r>
        <w:rPr>
          <w:rFonts w:hint="eastAsia" w:hAnsi="宋体" w:cs="宋体"/>
          <w:color w:val="auto"/>
          <w:szCs w:val="21"/>
          <w:lang w:val="en-US" w:eastAsia="zh-CN"/>
        </w:rPr>
        <w:t>肖秀艺、黄世蒋</w:t>
      </w:r>
    </w:p>
    <w:p w14:paraId="36855C27">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lang w:val="en-US" w:eastAsia="zh-CN"/>
        </w:rPr>
      </w:pPr>
      <w:r>
        <w:rPr>
          <w:rFonts w:hint="eastAsia" w:hAnsi="宋体" w:cs="宋体"/>
          <w:color w:val="auto"/>
          <w:szCs w:val="21"/>
        </w:rPr>
        <w:t>项目联系方式：</w:t>
      </w:r>
      <w:r>
        <w:rPr>
          <w:rFonts w:hint="eastAsia" w:hAnsi="宋体" w:cs="宋体"/>
          <w:color w:val="auto"/>
          <w:szCs w:val="21"/>
          <w:lang w:val="en-US" w:eastAsia="zh-CN"/>
        </w:rPr>
        <w:t>0770-6126192</w:t>
      </w:r>
    </w:p>
    <w:p w14:paraId="7C39CEAC">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rPr>
      </w:pPr>
    </w:p>
    <w:p w14:paraId="02B1BCC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rPr>
      </w:pPr>
    </w:p>
    <w:p w14:paraId="6D9E13DB">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Times New Roman" w:hAnsi="宋体" w:eastAsia="宋体" w:cs="宋体"/>
          <w:color w:val="auto"/>
          <w:szCs w:val="21"/>
        </w:rPr>
      </w:pPr>
    </w:p>
    <w:p w14:paraId="7D1BB5C8">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Times New Roman" w:hAnsi="宋体" w:eastAsia="宋体" w:cs="宋体"/>
          <w:color w:val="auto"/>
          <w:szCs w:val="21"/>
          <w:lang w:val="en-US" w:eastAsia="zh-CN"/>
        </w:rPr>
      </w:pPr>
      <w:r>
        <w:rPr>
          <w:rFonts w:hint="eastAsia" w:ascii="Times New Roman" w:hAnsi="宋体" w:eastAsia="宋体" w:cs="宋体"/>
          <w:color w:val="auto"/>
          <w:szCs w:val="21"/>
          <w:lang w:val="en-US" w:eastAsia="zh-CN"/>
        </w:rPr>
        <w:t>防城港市行政审批服务中心</w:t>
      </w:r>
    </w:p>
    <w:p w14:paraId="3EF2A281">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Times New Roman" w:hAnsi="宋体" w:eastAsia="宋体" w:cs="宋体"/>
          <w:color w:val="auto"/>
          <w:szCs w:val="21"/>
          <w:lang w:val="en-US" w:eastAsia="zh-CN"/>
        </w:rPr>
      </w:pPr>
      <w:r>
        <w:rPr>
          <w:rFonts w:hint="eastAsia" w:ascii="Times New Roman" w:hAnsi="宋体" w:eastAsia="宋体" w:cs="宋体"/>
          <w:color w:val="auto"/>
          <w:szCs w:val="21"/>
          <w:lang w:val="en-US" w:eastAsia="zh-CN"/>
        </w:rPr>
        <w:t>防城港市政府采购中心</w:t>
      </w:r>
      <w:r>
        <w:rPr>
          <w:rFonts w:hint="eastAsia" w:hAnsi="宋体" w:cs="宋体"/>
          <w:color w:val="auto"/>
          <w:szCs w:val="21"/>
          <w:lang w:val="en-US" w:eastAsia="zh-CN"/>
        </w:rPr>
        <w:t xml:space="preserve">  </w:t>
      </w:r>
    </w:p>
    <w:p w14:paraId="7D8BD4DD">
      <w:pPr>
        <w:pStyle w:val="14"/>
        <w:keepNext w:val="0"/>
        <w:keepLines w:val="0"/>
        <w:pageBreakBefore w:val="0"/>
        <w:kinsoku/>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val="en-US" w:eastAsia="zh-CN"/>
        </w:rPr>
      </w:pPr>
      <w:r>
        <w:rPr>
          <w:rFonts w:hint="eastAsia" w:ascii="Times New Roman" w:hAnsi="宋体" w:cs="宋体"/>
          <w:color w:val="auto"/>
          <w:szCs w:val="21"/>
          <w:lang w:val="en-US" w:eastAsia="zh-CN"/>
        </w:rPr>
        <w:t xml:space="preserve">                                                                     </w:t>
      </w:r>
      <w:r>
        <w:rPr>
          <w:rFonts w:hint="default" w:ascii="Times New Roman" w:hAnsi="Times New Roman" w:eastAsia="宋体" w:cs="Times New Roman"/>
          <w:color w:val="auto"/>
          <w:szCs w:val="21"/>
          <w:lang w:val="en-US" w:eastAsia="zh-CN"/>
        </w:rPr>
        <w:t>202</w:t>
      </w:r>
      <w:r>
        <w:rPr>
          <w:rFonts w:hint="eastAsia"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lang w:val="en-US" w:eastAsia="zh-CN"/>
        </w:rPr>
        <w:t>年</w:t>
      </w:r>
      <w:r>
        <w:rPr>
          <w:rFonts w:hint="eastAsia" w:ascii="Times New Roman" w:hAnsi="Times New Roman" w:cs="Times New Roman"/>
          <w:color w:val="auto"/>
          <w:szCs w:val="21"/>
          <w:lang w:val="en-US" w:eastAsia="zh-CN"/>
        </w:rPr>
        <w:t>1</w:t>
      </w:r>
      <w:r>
        <w:rPr>
          <w:rFonts w:hint="default" w:ascii="Times New Roman" w:hAnsi="Times New Roman" w:eastAsia="宋体" w:cs="Times New Roman"/>
          <w:color w:val="auto"/>
          <w:szCs w:val="21"/>
          <w:lang w:val="en-US" w:eastAsia="zh-CN"/>
        </w:rPr>
        <w:t>月</w:t>
      </w:r>
      <w:r>
        <w:rPr>
          <w:rFonts w:hint="eastAsia" w:ascii="Times New Roman" w:hAnsi="Times New Roman" w:cs="Times New Roman"/>
          <w:color w:val="auto"/>
          <w:szCs w:val="21"/>
          <w:lang w:val="en-US" w:eastAsia="zh-CN"/>
        </w:rPr>
        <w:t>12</w:t>
      </w:r>
      <w:r>
        <w:rPr>
          <w:rFonts w:hint="default" w:ascii="Times New Roman" w:hAnsi="Times New Roman" w:eastAsia="宋体" w:cs="Times New Roman"/>
          <w:color w:val="auto"/>
          <w:szCs w:val="21"/>
          <w:lang w:val="en-US" w:eastAsia="zh-CN"/>
        </w:rPr>
        <w:t>日</w:t>
      </w:r>
      <w:r>
        <w:rPr>
          <w:rFonts w:hint="default" w:ascii="Times New Roman" w:hAnsi="Times New Roman" w:cs="Times New Roman"/>
          <w:color w:val="auto"/>
          <w:szCs w:val="21"/>
          <w:lang w:val="en-US" w:eastAsia="zh-CN"/>
        </w:rPr>
        <w:t xml:space="preserve"> </w:t>
      </w:r>
    </w:p>
    <w:p w14:paraId="2D51DF89">
      <w:pP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br w:type="page"/>
      </w:r>
    </w:p>
    <w:p w14:paraId="23B74E89">
      <w:pPr>
        <w:spacing w:line="600" w:lineRule="exact"/>
        <w:jc w:val="center"/>
        <w:outlineLvl w:val="0"/>
        <w:rPr>
          <w:rFonts w:hint="eastAsia" w:ascii="宋体" w:hAnsi="宋体" w:cs="宋体"/>
          <w:b/>
          <w:sz w:val="32"/>
          <w:szCs w:val="32"/>
        </w:rPr>
      </w:pPr>
      <w:bookmarkStart w:id="15" w:name="_Toc18554"/>
      <w:bookmarkStart w:id="16" w:name="_Toc4296"/>
      <w:bookmarkStart w:id="17" w:name="_Toc17592"/>
      <w:bookmarkStart w:id="18" w:name="_Toc23969"/>
      <w:r>
        <w:rPr>
          <w:rFonts w:hint="eastAsia" w:ascii="宋体" w:hAnsi="宋体" w:cs="宋体"/>
          <w:b/>
          <w:sz w:val="44"/>
          <w:szCs w:val="44"/>
        </w:rPr>
        <w:t>第二章 谈判供应商须知</w:t>
      </w:r>
      <w:bookmarkEnd w:id="15"/>
      <w:bookmarkEnd w:id="16"/>
      <w:bookmarkEnd w:id="17"/>
      <w:bookmarkEnd w:id="18"/>
    </w:p>
    <w:p w14:paraId="677D3620">
      <w:pPr>
        <w:pStyle w:val="15"/>
        <w:rPr>
          <w:rFonts w:hint="eastAsia"/>
        </w:rPr>
      </w:pPr>
    </w:p>
    <w:p w14:paraId="0B137C39">
      <w:pPr>
        <w:spacing w:line="400" w:lineRule="exact"/>
        <w:jc w:val="center"/>
        <w:rPr>
          <w:rFonts w:hint="eastAsia" w:ascii="宋体" w:hAnsi="宋体" w:cs="宋体"/>
          <w:b/>
          <w:sz w:val="32"/>
          <w:szCs w:val="32"/>
        </w:rPr>
      </w:pPr>
      <w:r>
        <w:rPr>
          <w:rFonts w:hint="eastAsia" w:ascii="宋体" w:hAnsi="宋体" w:cs="宋体"/>
          <w:b/>
          <w:sz w:val="32"/>
          <w:szCs w:val="32"/>
        </w:rPr>
        <w:t>谈判供应商须知前附表</w:t>
      </w:r>
    </w:p>
    <w:tbl>
      <w:tblPr>
        <w:tblStyle w:val="23"/>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8309"/>
      </w:tblGrid>
      <w:tr w14:paraId="763E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top"/>
          </w:tcPr>
          <w:p w14:paraId="3439ECDD">
            <w:pPr>
              <w:spacing w:line="360" w:lineRule="auto"/>
              <w:jc w:val="center"/>
              <w:rPr>
                <w:rFonts w:hint="eastAsia" w:ascii="宋体" w:hAnsi="宋体" w:cs="宋体"/>
                <w:b/>
                <w:szCs w:val="21"/>
              </w:rPr>
            </w:pPr>
            <w:r>
              <w:rPr>
                <w:rFonts w:hint="eastAsia" w:ascii="宋体" w:hAnsi="宋体" w:cs="宋体"/>
                <w:b/>
                <w:szCs w:val="21"/>
              </w:rPr>
              <w:t>条款号</w:t>
            </w:r>
          </w:p>
        </w:tc>
        <w:tc>
          <w:tcPr>
            <w:tcW w:w="8309" w:type="dxa"/>
            <w:noWrap w:val="0"/>
            <w:vAlign w:val="top"/>
          </w:tcPr>
          <w:p w14:paraId="564B0A1C">
            <w:pPr>
              <w:spacing w:line="360" w:lineRule="auto"/>
              <w:jc w:val="center"/>
              <w:rPr>
                <w:rFonts w:hint="eastAsia" w:ascii="宋体" w:hAnsi="宋体" w:cs="宋体"/>
                <w:b/>
                <w:szCs w:val="21"/>
              </w:rPr>
            </w:pPr>
            <w:r>
              <w:rPr>
                <w:rFonts w:hint="eastAsia" w:ascii="宋体" w:hAnsi="宋体" w:cs="宋体"/>
                <w:b/>
                <w:szCs w:val="21"/>
              </w:rPr>
              <w:t>内    容</w:t>
            </w:r>
          </w:p>
        </w:tc>
      </w:tr>
      <w:tr w14:paraId="1363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099284E">
            <w:pPr>
              <w:spacing w:line="360" w:lineRule="auto"/>
              <w:jc w:val="center"/>
              <w:rPr>
                <w:rFonts w:hint="eastAsia" w:ascii="宋体" w:hAnsi="宋体" w:cs="宋体"/>
                <w:szCs w:val="21"/>
              </w:rPr>
            </w:pPr>
            <w:r>
              <w:rPr>
                <w:rFonts w:hint="eastAsia" w:ascii="宋体" w:hAnsi="宋体" w:cs="宋体"/>
                <w:szCs w:val="21"/>
              </w:rPr>
              <w:t>3</w:t>
            </w:r>
          </w:p>
        </w:tc>
        <w:tc>
          <w:tcPr>
            <w:tcW w:w="8309" w:type="dxa"/>
            <w:noWrap w:val="0"/>
            <w:vAlign w:val="center"/>
          </w:tcPr>
          <w:p w14:paraId="089B628C">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1.供应商的资格条件：详见竞争性谈判公告</w:t>
            </w:r>
          </w:p>
          <w:p w14:paraId="413FDC9E">
            <w:pPr>
              <w:keepNext w:val="0"/>
              <w:keepLines w:val="0"/>
              <w:pageBreakBefore w:val="0"/>
              <w:widowControl w:val="0"/>
              <w:kinsoku/>
              <w:wordWrap/>
              <w:overflowPunct/>
              <w:topLinePunct w:val="0"/>
              <w:bidi w:val="0"/>
              <w:adjustRightInd/>
              <w:spacing w:line="360" w:lineRule="exact"/>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28533159">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2A14B46">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2.2对在“信用中国”网站（www.creditchina.gov.cn）、中国政府采购网（www.ccgp.gov.cn）被列入失信被执行人、</w:t>
            </w:r>
            <w:r>
              <w:rPr>
                <w:rFonts w:ascii="宋体" w:hAnsi="宋体" w:cs="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14:paraId="709D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68FE648">
            <w:pPr>
              <w:spacing w:line="360" w:lineRule="auto"/>
              <w:jc w:val="center"/>
              <w:rPr>
                <w:rFonts w:hint="eastAsia" w:ascii="宋体" w:hAnsi="宋体" w:cs="宋体"/>
                <w:szCs w:val="21"/>
              </w:rPr>
            </w:pPr>
            <w:r>
              <w:rPr>
                <w:rFonts w:hint="eastAsia" w:ascii="宋体" w:hAnsi="宋体" w:cs="宋体"/>
                <w:szCs w:val="21"/>
              </w:rPr>
              <w:t>5.1</w:t>
            </w:r>
          </w:p>
        </w:tc>
        <w:tc>
          <w:tcPr>
            <w:tcW w:w="8309" w:type="dxa"/>
            <w:noWrap w:val="0"/>
            <w:vAlign w:val="center"/>
          </w:tcPr>
          <w:p w14:paraId="390BA855">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是否接受联合体竞标：详见竞争性谈判公告</w:t>
            </w:r>
          </w:p>
        </w:tc>
      </w:tr>
      <w:tr w14:paraId="1CB1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60D0114">
            <w:pPr>
              <w:spacing w:line="360" w:lineRule="auto"/>
              <w:jc w:val="center"/>
              <w:rPr>
                <w:rFonts w:hint="eastAsia" w:ascii="宋体" w:hAnsi="宋体" w:cs="宋体"/>
                <w:szCs w:val="21"/>
              </w:rPr>
            </w:pPr>
            <w:r>
              <w:rPr>
                <w:rFonts w:hint="eastAsia" w:ascii="宋体" w:hAnsi="宋体" w:cs="宋体"/>
                <w:szCs w:val="21"/>
              </w:rPr>
              <w:t>6.2</w:t>
            </w:r>
          </w:p>
        </w:tc>
        <w:tc>
          <w:tcPr>
            <w:tcW w:w="8309" w:type="dxa"/>
            <w:noWrap w:val="0"/>
            <w:vAlign w:val="center"/>
          </w:tcPr>
          <w:p w14:paraId="06D2B3E0">
            <w:pPr>
              <w:pStyle w:val="9"/>
              <w:keepNext w:val="0"/>
              <w:keepLines w:val="0"/>
              <w:pageBreakBefore w:val="0"/>
              <w:widowControl w:val="0"/>
              <w:kinsoku/>
              <w:wordWrap/>
              <w:overflowPunct/>
              <w:topLinePunct w:val="0"/>
              <w:bidi w:val="0"/>
              <w:adjustRightInd/>
              <w:spacing w:line="360" w:lineRule="exact"/>
              <w:rPr>
                <w:rFonts w:hint="eastAsia"/>
                <w:szCs w:val="21"/>
                <w:u w:val="single"/>
                <w:lang w:val="en-US" w:eastAsia="zh-CN"/>
              </w:rPr>
            </w:pPr>
            <w:r>
              <w:rPr>
                <w:rFonts w:hint="eastAsia"/>
                <w:szCs w:val="21"/>
                <w:lang w:val="en-US" w:eastAsia="zh-CN"/>
              </w:rPr>
              <w:t>不允许分包。</w:t>
            </w:r>
          </w:p>
        </w:tc>
      </w:tr>
      <w:tr w14:paraId="5603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960A162">
            <w:pPr>
              <w:pStyle w:val="27"/>
              <w:tabs>
                <w:tab w:val="center" w:pos="447"/>
                <w:tab w:val="left" w:pos="594"/>
              </w:tabs>
              <w:spacing w:line="400" w:lineRule="exact"/>
              <w:jc w:val="left"/>
              <w:rPr>
                <w:rFonts w:hint="eastAsia" w:hAnsi="宋体" w:cs="宋体"/>
                <w:szCs w:val="21"/>
              </w:rPr>
            </w:pPr>
            <w:r>
              <w:rPr>
                <w:rFonts w:hint="eastAsia" w:hAnsi="宋体" w:cs="宋体"/>
              </w:rPr>
              <w:tab/>
            </w:r>
          </w:p>
        </w:tc>
        <w:tc>
          <w:tcPr>
            <w:tcW w:w="8309" w:type="dxa"/>
            <w:noWrap w:val="0"/>
            <w:vAlign w:val="center"/>
          </w:tcPr>
          <w:p w14:paraId="00DEE1A1">
            <w:pPr>
              <w:pStyle w:val="14"/>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谈判前准备：</w:t>
            </w:r>
          </w:p>
          <w:p w14:paraId="13266AED">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1.本项目实行网上谈判，采用电子谈判响应文件。若供应商参与谈判，自行承担谈判一切费用。</w:t>
            </w:r>
          </w:p>
          <w:p w14:paraId="2D3A31FB">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2.各供应商应在截标前应确保成为政采云正式注册入库供应商，并完成CA数字证书申领。因未注册入库、未办理CA数字证书等原因造成无法谈判或谈判失败等后果由供应商自行承担。</w:t>
            </w:r>
          </w:p>
          <w:p w14:paraId="7A6FF7EF">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3.供应商将政采云电子交易客户端下载、安装完成后，可通过账号密码或CA登录客户端进行电子谈判响应文件制作。如有问题可拨打政采云客户服务热线400-881-7190进行咨询。</w:t>
            </w:r>
          </w:p>
          <w:p w14:paraId="71D11D48">
            <w:pPr>
              <w:keepNext w:val="0"/>
              <w:keepLines w:val="0"/>
              <w:pageBreakBefore w:val="0"/>
              <w:widowControl w:val="0"/>
              <w:kinsoku/>
              <w:wordWrap/>
              <w:overflowPunct/>
              <w:topLinePunct w:val="0"/>
              <w:bidi w:val="0"/>
              <w:adjustRightInd/>
              <w:spacing w:line="360" w:lineRule="exact"/>
              <w:ind w:firstLine="420" w:firstLineChars="200"/>
              <w:rPr>
                <w:rFonts w:hint="eastAsia"/>
                <w:szCs w:val="21"/>
              </w:rPr>
            </w:pPr>
            <w:r>
              <w:rPr>
                <w:rFonts w:hint="eastAsia" w:ascii="宋体" w:hAnsi="宋体" w:cs="宋体"/>
                <w:szCs w:val="22"/>
              </w:rPr>
              <w:t>4.谈判供应商通过广西政府采购云平台上传递交的电子加密谈判响应文件无法按时解密的视为谈判响应文件无效。</w:t>
            </w:r>
          </w:p>
        </w:tc>
      </w:tr>
      <w:tr w14:paraId="70F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6C42EDC">
            <w:pPr>
              <w:pStyle w:val="27"/>
              <w:spacing w:line="400" w:lineRule="exact"/>
              <w:jc w:val="center"/>
              <w:rPr>
                <w:rFonts w:hint="eastAsia" w:hAnsi="宋体" w:cs="宋体"/>
              </w:rPr>
            </w:pPr>
          </w:p>
        </w:tc>
        <w:tc>
          <w:tcPr>
            <w:tcW w:w="8309" w:type="dxa"/>
            <w:noWrap w:val="0"/>
            <w:vAlign w:val="center"/>
          </w:tcPr>
          <w:p w14:paraId="45C3C0D5">
            <w:pPr>
              <w:pStyle w:val="14"/>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供应商应当准备电子谈判响应文件：</w:t>
            </w:r>
          </w:p>
          <w:p w14:paraId="69D7FD8D">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1.电子谈判响应文件按广西政府采购云平台要求及本谈判文件要求制作、加密并递交。</w:t>
            </w:r>
          </w:p>
          <w:p w14:paraId="233DDBF4">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2.未传输递交电子谈判响应文件的，谈判无效。</w:t>
            </w:r>
          </w:p>
          <w:p w14:paraId="79B13347">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3.未按规定提供相应的谈判响应文件，造成项目评审活动无法进行下去的，谈判无效。</w:t>
            </w:r>
          </w:p>
        </w:tc>
      </w:tr>
      <w:tr w14:paraId="72CF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52EF7A0">
            <w:pPr>
              <w:spacing w:line="360" w:lineRule="auto"/>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8309" w:type="dxa"/>
            <w:noWrap w:val="0"/>
            <w:vAlign w:val="center"/>
          </w:tcPr>
          <w:p w14:paraId="66B4CD0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资格证明文件</w:t>
            </w:r>
          </w:p>
          <w:p w14:paraId="207759FE">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必须提供，否则响应文件按无效处理</w:t>
            </w:r>
            <w:r>
              <w:rPr>
                <w:rFonts w:hint="eastAsia" w:ascii="宋体" w:hAnsi="宋体" w:cs="宋体"/>
                <w:szCs w:val="21"/>
              </w:rPr>
              <w:t>）</w:t>
            </w:r>
          </w:p>
          <w:p w14:paraId="5E7C9EA8">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szCs w:val="21"/>
              </w:rPr>
              <w:t>2</w:t>
            </w:r>
            <w:r>
              <w:rPr>
                <w:rFonts w:hint="eastAsia" w:ascii="宋体" w:hAnsi="宋体" w:cs="宋体"/>
                <w:szCs w:val="21"/>
              </w:rPr>
              <w:t>.供应商根据防财监〔2023〕58号文要求提供的《防城港市政府采购供应商信用承诺函》（格式后附）；（</w:t>
            </w:r>
            <w:r>
              <w:rPr>
                <w:rFonts w:hint="eastAsia" w:ascii="宋体" w:hAnsi="宋体" w:cs="宋体"/>
                <w:b/>
                <w:szCs w:val="21"/>
              </w:rPr>
              <w:t>必须提供，否则响应文件按无效处理</w:t>
            </w:r>
            <w:r>
              <w:rPr>
                <w:rFonts w:hint="eastAsia" w:ascii="宋体" w:hAnsi="宋体" w:cs="宋体"/>
                <w:szCs w:val="21"/>
              </w:rPr>
              <w:t>）</w:t>
            </w:r>
          </w:p>
          <w:p w14:paraId="6C0CB99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3.供应商直接控股、管理关系信息表（格式后附）；（</w:t>
            </w:r>
            <w:r>
              <w:rPr>
                <w:rFonts w:hint="eastAsia" w:ascii="宋体" w:hAnsi="宋体" w:cs="宋体"/>
                <w:b/>
                <w:szCs w:val="21"/>
              </w:rPr>
              <w:t>必须提供，否则响应文件按无效处理</w:t>
            </w:r>
            <w:r>
              <w:rPr>
                <w:rFonts w:hint="eastAsia" w:ascii="宋体" w:hAnsi="宋体" w:cs="宋体"/>
                <w:szCs w:val="21"/>
              </w:rPr>
              <w:t>）</w:t>
            </w:r>
          </w:p>
          <w:p w14:paraId="5DEF21B7">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4.竞标声明（格式后附）；（</w:t>
            </w:r>
            <w:r>
              <w:rPr>
                <w:rFonts w:hint="eastAsia" w:ascii="宋体" w:hAnsi="宋体" w:cs="宋体"/>
                <w:b/>
                <w:szCs w:val="21"/>
              </w:rPr>
              <w:t>必须提供，否则响应文件按无效处理</w:t>
            </w:r>
            <w:r>
              <w:rPr>
                <w:rFonts w:hint="eastAsia" w:ascii="宋体" w:hAnsi="宋体" w:cs="宋体"/>
                <w:szCs w:val="21"/>
              </w:rPr>
              <w:t>）</w:t>
            </w:r>
          </w:p>
          <w:p w14:paraId="1E30C41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bCs w:val="0"/>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bCs/>
                <w:color w:val="auto"/>
                <w:highlight w:val="none"/>
              </w:rPr>
              <w:t>中小企业声明函或残疾人福利性单位声明函或竞标人属于监狱企业的证明材料；</w:t>
            </w:r>
            <w:r>
              <w:rPr>
                <w:rFonts w:hint="eastAsia" w:ascii="宋体" w:hAnsi="宋体"/>
                <w:b/>
                <w:bCs w:val="0"/>
                <w:color w:val="auto"/>
                <w:highlight w:val="none"/>
              </w:rPr>
              <w:t>（</w:t>
            </w:r>
            <w:r>
              <w:rPr>
                <w:rFonts w:hint="eastAsia" w:ascii="宋体" w:hAnsi="宋体"/>
                <w:b/>
                <w:bCs w:val="0"/>
                <w:color w:val="auto"/>
                <w:highlight w:val="none"/>
                <w:lang w:val="en-US" w:eastAsia="zh-CN"/>
              </w:rPr>
              <w:t>必须</w:t>
            </w:r>
            <w:r>
              <w:rPr>
                <w:rFonts w:hint="eastAsia" w:ascii="宋体" w:hAnsi="宋体"/>
                <w:b/>
                <w:bCs w:val="0"/>
                <w:color w:val="auto"/>
                <w:highlight w:val="none"/>
              </w:rPr>
              <w:t>提供，格式后附）</w:t>
            </w:r>
          </w:p>
          <w:p w14:paraId="60FB00B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bCs w:val="0"/>
                <w:color w:val="auto"/>
                <w:highlight w:val="none"/>
              </w:rPr>
            </w:pPr>
            <w:r>
              <w:rPr>
                <w:rFonts w:hint="eastAsia" w:ascii="宋体" w:hAnsi="宋体"/>
                <w:b w:val="0"/>
                <w:bCs/>
                <w:color w:val="auto"/>
                <w:highlight w:val="none"/>
                <w:lang w:val="en-US" w:eastAsia="zh-CN"/>
              </w:rPr>
              <w:t>6.</w:t>
            </w:r>
            <w:r>
              <w:rPr>
                <w:rFonts w:hint="eastAsia" w:ascii="宋体" w:hAnsi="宋体"/>
                <w:b w:val="0"/>
                <w:bCs/>
                <w:color w:val="auto"/>
                <w:highlight w:val="none"/>
              </w:rPr>
              <w:t>具备履行合同所必需的设备和专业技术能力的证明材料；</w:t>
            </w:r>
            <w:r>
              <w:rPr>
                <w:rFonts w:hint="eastAsia" w:ascii="宋体" w:hAnsi="宋体"/>
                <w:b/>
                <w:bCs w:val="0"/>
                <w:color w:val="auto"/>
                <w:highlight w:val="none"/>
              </w:rPr>
              <w:t>（必须提供，格式自拟，否则响应文件作无效处理）</w:t>
            </w:r>
          </w:p>
          <w:p w14:paraId="0D8E9EC6">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.除谈判文件规定必须提供以外，供应商认为需要提供的其他证明材料。</w:t>
            </w:r>
          </w:p>
          <w:p w14:paraId="63C3995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注：</w:t>
            </w:r>
          </w:p>
          <w:p w14:paraId="6F23428F">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jc w:val="left"/>
              <w:textAlignment w:val="auto"/>
              <w:rPr>
                <w:rFonts w:hint="eastAsia" w:ascii="宋体" w:hAnsi="宋体" w:cs="宋体"/>
                <w:b/>
                <w:szCs w:val="21"/>
              </w:rPr>
            </w:pPr>
            <w:r>
              <w:rPr>
                <w:rFonts w:hint="eastAsia" w:ascii="宋体" w:hAnsi="宋体" w:cs="宋体"/>
                <w:b/>
                <w:szCs w:val="21"/>
              </w:rPr>
              <w:t>1.以上标明“必须提供”材料属于复印件的，必须加盖供应商</w:t>
            </w:r>
            <w:r>
              <w:rPr>
                <w:rFonts w:hint="eastAsia"/>
                <w:b/>
                <w:szCs w:val="21"/>
                <w:lang w:val="en-US" w:eastAsia="zh-CN"/>
              </w:rPr>
              <w:t>公章</w:t>
            </w:r>
            <w:r>
              <w:rPr>
                <w:rFonts w:hint="eastAsia" w:ascii="宋体" w:hAnsi="宋体" w:cs="宋体"/>
                <w:b/>
                <w:szCs w:val="21"/>
              </w:rPr>
              <w:t>，否则响应文件</w:t>
            </w:r>
            <w:r>
              <w:rPr>
                <w:rFonts w:hint="eastAsia" w:ascii="宋体" w:hAnsi="宋体" w:cs="宋体"/>
                <w:b/>
                <w:szCs w:val="21"/>
                <w:lang w:val="en-US" w:eastAsia="zh-CN"/>
              </w:rPr>
              <w:t>按</w:t>
            </w:r>
            <w:r>
              <w:rPr>
                <w:rFonts w:hint="eastAsia" w:ascii="宋体" w:hAnsi="宋体" w:cs="宋体"/>
                <w:b/>
                <w:szCs w:val="21"/>
              </w:rPr>
              <w:t>无效处理。</w:t>
            </w:r>
          </w:p>
          <w:p w14:paraId="1B9A5FA0">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szCs w:val="21"/>
              </w:rPr>
            </w:pPr>
            <w:r>
              <w:rPr>
                <w:rFonts w:hint="eastAsia" w:ascii="宋体" w:hAnsi="宋体"/>
                <w:b/>
                <w:bCs/>
                <w:szCs w:val="21"/>
              </w:rPr>
              <w:t>2.分公司参加竞标的，应当取得总公司授权</w:t>
            </w:r>
            <w:r>
              <w:rPr>
                <w:rFonts w:hint="eastAsia" w:ascii="宋体" w:hAnsi="宋体" w:cs="宋体"/>
                <w:b/>
                <w:szCs w:val="21"/>
              </w:rPr>
              <w:t>，否则响应文件按无效处理。</w:t>
            </w:r>
          </w:p>
        </w:tc>
      </w:tr>
      <w:tr w14:paraId="35F2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B16FA0B">
            <w:pPr>
              <w:spacing w:line="360" w:lineRule="auto"/>
              <w:jc w:val="center"/>
              <w:rPr>
                <w:rFonts w:hint="eastAsia" w:ascii="宋体" w:hAnsi="宋体" w:cs="宋体"/>
                <w:szCs w:val="21"/>
              </w:rPr>
            </w:pPr>
            <w:r>
              <w:rPr>
                <w:rFonts w:hint="eastAsia" w:ascii="宋体" w:hAnsi="宋体" w:cs="宋体"/>
                <w:szCs w:val="21"/>
              </w:rPr>
              <w:t>12.1.2</w:t>
            </w:r>
          </w:p>
        </w:tc>
        <w:tc>
          <w:tcPr>
            <w:tcW w:w="8309" w:type="dxa"/>
            <w:noWrap w:val="0"/>
            <w:vAlign w:val="center"/>
          </w:tcPr>
          <w:p w14:paraId="1CE9A23C">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r>
              <w:rPr>
                <w:rFonts w:hint="eastAsia" w:ascii="宋体" w:hAnsi="宋体" w:cs="宋体"/>
                <w:b/>
                <w:bCs/>
                <w:szCs w:val="21"/>
              </w:rPr>
              <w:t>报价文件</w:t>
            </w:r>
          </w:p>
          <w:p w14:paraId="3B606DD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必须提供，否则响应文件按无效处理</w:t>
            </w:r>
            <w:r>
              <w:rPr>
                <w:rFonts w:hint="eastAsia" w:ascii="宋体" w:hAnsi="宋体" w:cs="宋体"/>
                <w:szCs w:val="21"/>
              </w:rPr>
              <w:t>）</w:t>
            </w:r>
          </w:p>
          <w:p w14:paraId="17FC06F4">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4871A93F">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.供应商认为需要提供的其他有关资料。</w:t>
            </w:r>
          </w:p>
        </w:tc>
      </w:tr>
      <w:tr w14:paraId="78EF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2D7CB67">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309" w:type="dxa"/>
            <w:noWrap w:val="0"/>
            <w:vAlign w:val="center"/>
          </w:tcPr>
          <w:p w14:paraId="05DB0FA1">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r>
              <w:rPr>
                <w:rFonts w:hint="eastAsia" w:ascii="宋体" w:hAnsi="宋体" w:cs="宋体"/>
                <w:b/>
                <w:bCs/>
                <w:szCs w:val="21"/>
              </w:rPr>
              <w:t>商务技术文件</w:t>
            </w:r>
          </w:p>
          <w:p w14:paraId="3F5003A5">
            <w:pPr>
              <w:keepNext w:val="0"/>
              <w:keepLines w:val="0"/>
              <w:pageBreakBefore w:val="0"/>
              <w:widowControl w:val="0"/>
              <w:numPr>
                <w:ilvl w:val="0"/>
                <w:numId w:val="0"/>
              </w:numPr>
              <w:kinsoku/>
              <w:wordWrap/>
              <w:overflowPunct/>
              <w:topLinePunct w:val="0"/>
              <w:bidi w:val="0"/>
              <w:adjustRightInd/>
              <w:spacing w:line="360" w:lineRule="exact"/>
              <w:rPr>
                <w:rFonts w:hint="eastAsia"/>
              </w:rPr>
            </w:pPr>
            <w:r>
              <w:rPr>
                <w:rFonts w:hint="eastAsia" w:ascii="宋体" w:hAnsi="宋体" w:cs="宋体"/>
                <w:szCs w:val="21"/>
                <w:lang w:val="en-US" w:eastAsia="zh-CN"/>
              </w:rPr>
              <w:t>1.</w:t>
            </w:r>
            <w:r>
              <w:rPr>
                <w:rFonts w:hint="eastAsia" w:ascii="宋体" w:hAnsi="宋体" w:cs="宋体"/>
                <w:szCs w:val="21"/>
              </w:rPr>
              <w:t>无串通竞标行为的承诺函（</w:t>
            </w:r>
            <w:bookmarkStart w:id="19" w:name="OLE_LINK2"/>
            <w:r>
              <w:rPr>
                <w:rFonts w:hint="eastAsia" w:ascii="宋体" w:hAnsi="宋体" w:cs="宋体"/>
                <w:szCs w:val="21"/>
              </w:rPr>
              <w:t>格式后附</w:t>
            </w:r>
            <w:bookmarkEnd w:id="19"/>
            <w:r>
              <w:rPr>
                <w:rFonts w:hint="eastAsia" w:ascii="宋体" w:hAnsi="宋体" w:cs="宋体"/>
                <w:szCs w:val="21"/>
              </w:rPr>
              <w:t>）</w:t>
            </w:r>
            <w:bookmarkStart w:id="20" w:name="OLE_LINK3"/>
            <w:r>
              <w:rPr>
                <w:rFonts w:hint="eastAsia" w:ascii="宋体" w:hAnsi="宋体" w:cs="宋体"/>
                <w:szCs w:val="21"/>
              </w:rPr>
              <w:t>；</w:t>
            </w:r>
            <w:bookmarkEnd w:id="20"/>
            <w:r>
              <w:rPr>
                <w:rFonts w:hint="eastAsia" w:ascii="宋体" w:hAnsi="宋体" w:cs="宋体"/>
                <w:szCs w:val="21"/>
              </w:rPr>
              <w:t>（</w:t>
            </w:r>
            <w:r>
              <w:rPr>
                <w:rFonts w:hint="eastAsia" w:ascii="宋体" w:hAnsi="宋体" w:cs="宋体"/>
                <w:b/>
                <w:szCs w:val="21"/>
              </w:rPr>
              <w:t>必须提供，否则响应文件按无效处理</w:t>
            </w:r>
            <w:r>
              <w:rPr>
                <w:rFonts w:hint="eastAsia" w:ascii="宋体" w:hAnsi="宋体" w:cs="宋体"/>
                <w:szCs w:val="21"/>
              </w:rPr>
              <w:t>）</w:t>
            </w:r>
          </w:p>
          <w:p w14:paraId="4563C57F">
            <w:pPr>
              <w:keepNext w:val="0"/>
              <w:keepLines w:val="0"/>
              <w:pageBreakBefore w:val="0"/>
              <w:widowControl w:val="0"/>
              <w:numPr>
                <w:ilvl w:val="0"/>
                <w:numId w:val="0"/>
              </w:numPr>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法定代表人身份证明书及法定代表人有效身份证正反面复印件（格式后附）；（</w:t>
            </w:r>
            <w:r>
              <w:rPr>
                <w:rFonts w:hint="eastAsia" w:ascii="宋体" w:hAnsi="宋体" w:cs="宋体"/>
                <w:b/>
                <w:szCs w:val="21"/>
              </w:rPr>
              <w:t>必须提供，否则响应文件按无效处理</w:t>
            </w:r>
            <w:r>
              <w:rPr>
                <w:rFonts w:hint="eastAsia" w:ascii="宋体" w:hAnsi="宋体" w:cs="宋体"/>
                <w:szCs w:val="21"/>
              </w:rPr>
              <w:t>）</w:t>
            </w:r>
          </w:p>
          <w:p w14:paraId="38019566">
            <w:pPr>
              <w:keepNext w:val="0"/>
              <w:keepLines w:val="0"/>
              <w:pageBreakBefore w:val="0"/>
              <w:widowControl w:val="0"/>
              <w:kinsoku/>
              <w:wordWrap/>
              <w:overflowPunct/>
              <w:topLinePunct w:val="0"/>
              <w:bidi w:val="0"/>
              <w:adjustRightInd/>
              <w:spacing w:line="360" w:lineRule="exact"/>
              <w:rPr>
                <w:rFonts w:eastAsia="仿宋_GB2312"/>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委托时必须提供，否则响应文件按无效处理</w:t>
            </w:r>
            <w:r>
              <w:rPr>
                <w:rFonts w:hint="eastAsia" w:ascii="宋体" w:hAnsi="宋体" w:cs="宋体"/>
                <w:szCs w:val="21"/>
              </w:rPr>
              <w:t>）</w:t>
            </w:r>
          </w:p>
          <w:p w14:paraId="0BCFC459">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4.商务要求偏离表（格式后附）；（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08238645">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.服务承诺（格式自拟）；</w:t>
            </w:r>
            <w:r>
              <w:rPr>
                <w:rFonts w:hint="eastAsia" w:ascii="宋体" w:hAnsi="宋体" w:cs="宋体"/>
                <w:b/>
                <w:bCs/>
                <w:szCs w:val="21"/>
              </w:rPr>
              <w:t>（必须提供，否则按无效投标处理）</w:t>
            </w:r>
          </w:p>
          <w:p w14:paraId="21CB2F01">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.技术要求偏离表（格式后附）；（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4190BCAA">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物业服务管理方案</w:t>
            </w:r>
            <w:r>
              <w:rPr>
                <w:rFonts w:hint="eastAsia" w:ascii="宋体" w:hAnsi="宋体" w:cs="宋体"/>
                <w:szCs w:val="21"/>
              </w:rPr>
              <w:t>（格式自拟）；（</w:t>
            </w:r>
            <w:r>
              <w:rPr>
                <w:rFonts w:hint="eastAsia" w:ascii="宋体" w:hAnsi="宋体" w:cs="宋体"/>
                <w:b/>
                <w:bCs/>
                <w:szCs w:val="21"/>
              </w:rPr>
              <w:t>必须提供，否则响应文件作无效处理</w:t>
            </w:r>
            <w:r>
              <w:rPr>
                <w:rFonts w:hint="eastAsia" w:ascii="宋体" w:hAnsi="宋体" w:cs="宋体"/>
                <w:szCs w:val="21"/>
              </w:rPr>
              <w:t>）</w:t>
            </w:r>
          </w:p>
          <w:p w14:paraId="5679539C">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8</w:t>
            </w:r>
            <w:r>
              <w:rPr>
                <w:rFonts w:hint="eastAsia" w:ascii="宋体" w:hAnsi="宋体" w:cs="宋体"/>
                <w:color w:val="auto"/>
                <w:szCs w:val="21"/>
              </w:rPr>
              <w:t>.项目实施人员一览表（格式后附）</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bCs/>
                <w:color w:val="auto"/>
                <w:szCs w:val="21"/>
              </w:rPr>
              <w:t>必须提供，否则响应文件按无效处理</w:t>
            </w:r>
            <w:r>
              <w:rPr>
                <w:rFonts w:hint="eastAsia" w:ascii="宋体" w:hAnsi="宋体" w:cs="宋体"/>
                <w:color w:val="auto"/>
                <w:szCs w:val="21"/>
              </w:rPr>
              <w:t>）</w:t>
            </w:r>
          </w:p>
          <w:p w14:paraId="72085E71">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.对应采购需求要求提供的其他文件资料；（</w:t>
            </w:r>
            <w:r>
              <w:rPr>
                <w:rFonts w:hint="eastAsia" w:ascii="宋体" w:hAnsi="宋体" w:cs="宋体"/>
                <w:b/>
                <w:bCs/>
                <w:szCs w:val="21"/>
              </w:rPr>
              <w:t>如有请提供</w:t>
            </w:r>
            <w:r>
              <w:rPr>
                <w:rFonts w:hint="eastAsia" w:ascii="宋体" w:hAnsi="宋体" w:cs="宋体"/>
                <w:b/>
                <w:bCs/>
                <w:szCs w:val="21"/>
                <w:lang w:eastAsia="zh-CN"/>
              </w:rPr>
              <w:t>，</w:t>
            </w:r>
            <w:r>
              <w:rPr>
                <w:rFonts w:hint="eastAsia" w:ascii="宋体" w:hAnsi="宋体" w:cs="宋体"/>
                <w:b/>
                <w:bCs/>
                <w:szCs w:val="21"/>
              </w:rPr>
              <w:t>格式自拟</w:t>
            </w:r>
            <w:r>
              <w:rPr>
                <w:rFonts w:hint="eastAsia" w:ascii="宋体" w:hAnsi="宋体" w:cs="宋体"/>
                <w:szCs w:val="21"/>
              </w:rPr>
              <w:t>）</w:t>
            </w:r>
          </w:p>
          <w:p w14:paraId="0751FBD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.供应商认为需要提供的其他有关资料。</w:t>
            </w:r>
          </w:p>
          <w:p w14:paraId="0B90EABD">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b/>
                <w:szCs w:val="21"/>
              </w:rPr>
              <w:t xml:space="preserve">注： </w:t>
            </w:r>
          </w:p>
          <w:p w14:paraId="59D81673">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121D7B8E">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2. 以上标明“必须提供”材料</w:t>
            </w:r>
            <w:r>
              <w:rPr>
                <w:rFonts w:hint="eastAsia" w:ascii="宋体" w:hAnsi="宋体" w:cs="宋体"/>
                <w:b/>
                <w:szCs w:val="21"/>
                <w:lang w:val="en-US" w:eastAsia="zh-CN"/>
              </w:rPr>
              <w:t>属于</w:t>
            </w:r>
            <w:r>
              <w:rPr>
                <w:rFonts w:hint="eastAsia" w:ascii="宋体" w:hAnsi="宋体" w:cs="宋体"/>
                <w:b/>
                <w:szCs w:val="21"/>
              </w:rPr>
              <w:t>复印件的，必须加盖供应商公章，否则响应文件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6F814A34">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3.以上材料未附格式的，由供应商自行拟定。</w:t>
            </w:r>
          </w:p>
        </w:tc>
      </w:tr>
      <w:tr w14:paraId="1E9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2783E1E">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8309" w:type="dxa"/>
            <w:noWrap w:val="0"/>
            <w:vAlign w:val="center"/>
          </w:tcPr>
          <w:p w14:paraId="641C61BE">
            <w:pPr>
              <w:pStyle w:val="6"/>
              <w:keepNext w:val="0"/>
              <w:keepLines w:val="0"/>
              <w:pageBreakBefore w:val="0"/>
              <w:widowControl w:val="0"/>
              <w:tabs>
                <w:tab w:val="left" w:pos="720"/>
                <w:tab w:val="left" w:pos="840"/>
              </w:tabs>
              <w:kinsoku/>
              <w:wordWrap/>
              <w:overflowPunct/>
              <w:topLinePunct w:val="0"/>
              <w:bidi w:val="0"/>
              <w:adjustRightInd/>
              <w:snapToGrid w:val="0"/>
              <w:spacing w:afterLines="0" w:line="36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lang w:val="en-US" w:eastAsia="zh-CN"/>
              </w:rPr>
              <w:t>6</w:t>
            </w:r>
            <w:r>
              <w:rPr>
                <w:rFonts w:hint="eastAsia" w:ascii="宋体" w:hAnsi="宋体" w:cs="宋体"/>
                <w:kern w:val="2"/>
                <w:sz w:val="21"/>
                <w:szCs w:val="21"/>
                <w:u w:val="single"/>
              </w:rPr>
              <w:t>0</w:t>
            </w:r>
            <w:r>
              <w:rPr>
                <w:rFonts w:hint="eastAsia" w:ascii="宋体" w:hAnsi="宋体" w:cs="宋体"/>
                <w:kern w:val="2"/>
                <w:sz w:val="21"/>
                <w:szCs w:val="21"/>
              </w:rPr>
              <w:t>日。</w:t>
            </w:r>
          </w:p>
        </w:tc>
      </w:tr>
      <w:tr w14:paraId="25DD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8A1062B">
            <w:pPr>
              <w:spacing w:line="360" w:lineRule="auto"/>
              <w:jc w:val="center"/>
              <w:rPr>
                <w:rFonts w:hint="eastAsia" w:ascii="宋体" w:hAnsi="宋体" w:cs="宋体"/>
                <w:szCs w:val="21"/>
              </w:rPr>
            </w:pPr>
            <w:r>
              <w:rPr>
                <w:rFonts w:hint="eastAsia" w:ascii="宋体" w:hAnsi="宋体" w:cs="宋体"/>
                <w:szCs w:val="21"/>
              </w:rPr>
              <w:t>17.1</w:t>
            </w:r>
          </w:p>
        </w:tc>
        <w:tc>
          <w:tcPr>
            <w:tcW w:w="8309" w:type="dxa"/>
            <w:noWrap w:val="0"/>
            <w:vAlign w:val="center"/>
          </w:tcPr>
          <w:p w14:paraId="6104798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本项目不收取竞标保证金。</w:t>
            </w:r>
          </w:p>
        </w:tc>
      </w:tr>
      <w:tr w14:paraId="2FB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E754D7B">
            <w:pPr>
              <w:spacing w:line="360" w:lineRule="auto"/>
              <w:jc w:val="center"/>
              <w:rPr>
                <w:rFonts w:hint="eastAsia" w:ascii="宋体" w:hAnsi="宋体" w:cs="宋体"/>
                <w:szCs w:val="21"/>
              </w:rPr>
            </w:pPr>
            <w:r>
              <w:rPr>
                <w:rFonts w:hint="eastAsia" w:ascii="宋体" w:hAnsi="宋体" w:cs="宋体"/>
                <w:szCs w:val="21"/>
              </w:rPr>
              <w:t>19</w:t>
            </w:r>
          </w:p>
        </w:tc>
        <w:tc>
          <w:tcPr>
            <w:tcW w:w="8309" w:type="dxa"/>
            <w:noWrap w:val="0"/>
            <w:vAlign w:val="center"/>
          </w:tcPr>
          <w:p w14:paraId="28B3E21F">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本项目不接受</w:t>
            </w:r>
            <w:r>
              <w:rPr>
                <w:rFonts w:hint="eastAsia"/>
                <w:szCs w:val="21"/>
              </w:rPr>
              <w:t>电子</w:t>
            </w:r>
            <w:r>
              <w:rPr>
                <w:rFonts w:hint="eastAsia" w:ascii="宋体" w:hAnsi="宋体"/>
                <w:szCs w:val="21"/>
              </w:rPr>
              <w:t>备份响应文件</w:t>
            </w:r>
          </w:p>
        </w:tc>
      </w:tr>
      <w:tr w14:paraId="24F2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0CD593D">
            <w:pPr>
              <w:spacing w:line="360" w:lineRule="auto"/>
              <w:jc w:val="center"/>
              <w:rPr>
                <w:rFonts w:hint="eastAsia" w:ascii="宋体" w:hAnsi="宋体" w:cs="宋体"/>
                <w:szCs w:val="21"/>
              </w:rPr>
            </w:pPr>
            <w:r>
              <w:rPr>
                <w:rFonts w:hint="eastAsia" w:ascii="宋体" w:hAnsi="宋体" w:cs="宋体"/>
                <w:szCs w:val="21"/>
              </w:rPr>
              <w:t>20.1</w:t>
            </w:r>
          </w:p>
        </w:tc>
        <w:tc>
          <w:tcPr>
            <w:tcW w:w="8309" w:type="dxa"/>
            <w:noWrap w:val="0"/>
            <w:vAlign w:val="center"/>
          </w:tcPr>
          <w:p w14:paraId="77CBF135">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14:paraId="71BBB2A6">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rPr>
            </w:pPr>
            <w:r>
              <w:rPr>
                <w:rFonts w:hint="eastAsia" w:ascii="宋体" w:hAnsi="宋体" w:cs="宋体"/>
                <w:szCs w:val="21"/>
              </w:rPr>
              <w:t>响应文件提交地点：详见竞争性谈判公告。</w:t>
            </w:r>
          </w:p>
        </w:tc>
      </w:tr>
      <w:tr w14:paraId="241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FCC70CD">
            <w:pPr>
              <w:spacing w:line="360" w:lineRule="auto"/>
              <w:jc w:val="center"/>
              <w:rPr>
                <w:rFonts w:hint="eastAsia" w:ascii="宋体" w:hAnsi="宋体" w:cs="宋体"/>
                <w:szCs w:val="21"/>
              </w:rPr>
            </w:pPr>
            <w:r>
              <w:rPr>
                <w:rFonts w:hint="eastAsia" w:ascii="宋体" w:hAnsi="宋体" w:cs="宋体"/>
                <w:szCs w:val="21"/>
              </w:rPr>
              <w:t>24.1</w:t>
            </w:r>
          </w:p>
        </w:tc>
        <w:tc>
          <w:tcPr>
            <w:tcW w:w="8309" w:type="dxa"/>
            <w:noWrap w:val="0"/>
            <w:vAlign w:val="center"/>
          </w:tcPr>
          <w:p w14:paraId="4E4EEF3E">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lang w:val="en-US" w:eastAsia="zh-CN"/>
              </w:rPr>
              <w:t xml:space="preserve"> </w:t>
            </w:r>
            <w:r>
              <w:rPr>
                <w:rFonts w:hint="eastAsia" w:ascii="宋体" w:hAnsi="宋体" w:cs="宋体"/>
                <w:szCs w:val="21"/>
                <w:u w:val="single"/>
              </w:rPr>
              <w:t>3</w:t>
            </w:r>
            <w:r>
              <w:rPr>
                <w:rFonts w:hint="eastAsia" w:ascii="宋体" w:hAnsi="宋体" w:cs="宋体"/>
                <w:szCs w:val="21"/>
                <w:u w:val="single"/>
                <w:lang w:val="en-US" w:eastAsia="zh-CN"/>
              </w:rPr>
              <w:t xml:space="preserve"> </w:t>
            </w:r>
            <w:r>
              <w:rPr>
                <w:rFonts w:hint="eastAsia" w:ascii="宋体" w:hAnsi="宋体" w:cs="宋体"/>
                <w:szCs w:val="21"/>
              </w:rPr>
              <w:t>人。</w:t>
            </w:r>
          </w:p>
        </w:tc>
      </w:tr>
      <w:tr w14:paraId="687C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52179BE">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8309" w:type="dxa"/>
            <w:noWrap w:val="0"/>
            <w:vAlign w:val="center"/>
          </w:tcPr>
          <w:p w14:paraId="1E21F28A">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首次响应文件开启时间详见“竞争性谈判公告”</w:t>
            </w:r>
          </w:p>
          <w:p w14:paraId="0AD9E0F3">
            <w:pPr>
              <w:keepNext w:val="0"/>
              <w:keepLines w:val="0"/>
              <w:pageBreakBefore w:val="0"/>
              <w:widowControl w:val="0"/>
              <w:kinsoku/>
              <w:wordWrap/>
              <w:overflowPunct/>
              <w:topLinePunct w:val="0"/>
              <w:bidi w:val="0"/>
              <w:adjustRightInd/>
              <w:snapToGrid w:val="0"/>
              <w:spacing w:line="360" w:lineRule="exact"/>
              <w:jc w:val="left"/>
              <w:rPr>
                <w:rFonts w:ascii="宋体" w:hAnsi="宋体" w:cs="宋体"/>
                <w:szCs w:val="21"/>
              </w:rPr>
            </w:pPr>
            <w:r>
              <w:rPr>
                <w:rFonts w:hint="eastAsia" w:ascii="宋体" w:hAnsi="宋体" w:cs="宋体"/>
                <w:szCs w:val="21"/>
              </w:rPr>
              <w:t>首次响应文件解密时间：</w:t>
            </w:r>
            <w:r>
              <w:rPr>
                <w:rFonts w:hint="eastAsia" w:ascii="宋体" w:hAnsi="宋体"/>
                <w:szCs w:val="21"/>
              </w:rPr>
              <w:t>30分钟</w:t>
            </w:r>
          </w:p>
        </w:tc>
      </w:tr>
      <w:tr w14:paraId="6BC4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BD040EA">
            <w:pPr>
              <w:spacing w:line="360" w:lineRule="auto"/>
              <w:jc w:val="center"/>
              <w:rPr>
                <w:rFonts w:hint="eastAsia" w:ascii="宋体" w:hAnsi="宋体" w:cs="宋体"/>
                <w:szCs w:val="21"/>
              </w:rPr>
            </w:pPr>
            <w:r>
              <w:rPr>
                <w:rFonts w:ascii="宋体" w:hAnsi="宋体" w:cs="宋体"/>
                <w:szCs w:val="21"/>
              </w:rPr>
              <w:t>26</w:t>
            </w:r>
          </w:p>
        </w:tc>
        <w:tc>
          <w:tcPr>
            <w:tcW w:w="8309" w:type="dxa"/>
            <w:noWrap w:val="0"/>
            <w:vAlign w:val="center"/>
          </w:tcPr>
          <w:p w14:paraId="190F9EB2">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rPr>
            </w:pPr>
            <w:r>
              <w:rPr>
                <w:rFonts w:hint="eastAsia" w:ascii="宋体" w:hAnsi="宋体" w:cs="宋体"/>
                <w:color w:val="auto"/>
                <w:szCs w:val="21"/>
              </w:rPr>
              <w:t>评审价相同时，按照最后报价由低到高顺序依次推荐；最后报价相同时，按以下原则确定成交候选人的顺序：</w:t>
            </w:r>
          </w:p>
          <w:p w14:paraId="2C2C796E">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带“</w:t>
            </w:r>
            <w:r>
              <w:rPr>
                <w:rFonts w:hint="eastAsia" w:ascii="宋体" w:hAnsi="宋体" w:cs="宋体"/>
                <w:color w:val="auto"/>
                <w:szCs w:val="21"/>
                <w:lang w:eastAsia="zh-CN"/>
              </w:rPr>
              <w:t>★</w:t>
            </w:r>
            <w:r>
              <w:rPr>
                <w:rFonts w:hint="eastAsia" w:ascii="宋体" w:hAnsi="宋体" w:cs="宋体"/>
                <w:color w:val="auto"/>
                <w:szCs w:val="21"/>
              </w:rPr>
              <w:t>”的实质性要求正偏离项数多的优先、均无正偏离或者正偏离项数一致时负偏离项数少的优先、质量保证期长优先、交货期短优先、故障响应时间短优先的顺序排列。</w:t>
            </w:r>
          </w:p>
          <w:p w14:paraId="135158D3">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szCs w:val="21"/>
              </w:rPr>
            </w:pPr>
            <w:r>
              <w:rPr>
                <w:rFonts w:hint="eastAsia" w:ascii="宋体" w:hAnsi="宋体" w:cs="宋体"/>
                <w:color w:val="auto"/>
                <w:szCs w:val="21"/>
                <w:lang w:eastAsia="zh-CN"/>
              </w:rPr>
              <w:t>□</w:t>
            </w:r>
            <w:r>
              <w:rPr>
                <w:rFonts w:hint="eastAsia" w:ascii="宋体" w:hAnsi="宋体" w:cs="宋体"/>
                <w:color w:val="auto"/>
                <w:szCs w:val="21"/>
              </w:rPr>
              <w:t>由谈判小组推荐代表随机抽取。</w:t>
            </w:r>
          </w:p>
        </w:tc>
      </w:tr>
      <w:tr w14:paraId="5FE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DE9A289">
            <w:pPr>
              <w:spacing w:line="360" w:lineRule="auto"/>
              <w:jc w:val="center"/>
              <w:rPr>
                <w:rFonts w:hint="eastAsia" w:ascii="宋体" w:hAnsi="宋体" w:cs="宋体"/>
                <w:szCs w:val="21"/>
              </w:rPr>
            </w:pPr>
            <w:r>
              <w:rPr>
                <w:rFonts w:ascii="宋体" w:hAnsi="宋体" w:cs="宋体"/>
                <w:szCs w:val="21"/>
              </w:rPr>
              <w:t>28.1</w:t>
            </w:r>
          </w:p>
        </w:tc>
        <w:tc>
          <w:tcPr>
            <w:tcW w:w="8309" w:type="dxa"/>
            <w:noWrap w:val="0"/>
            <w:vAlign w:val="center"/>
          </w:tcPr>
          <w:p w14:paraId="48681F41">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color w:val="auto"/>
                <w:szCs w:val="21"/>
              </w:rPr>
              <w:t>本项目不收取履约保证金。</w:t>
            </w:r>
          </w:p>
        </w:tc>
      </w:tr>
      <w:tr w14:paraId="0014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341259E">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8309" w:type="dxa"/>
            <w:noWrap w:val="0"/>
            <w:vAlign w:val="center"/>
          </w:tcPr>
          <w:p w14:paraId="4C1C972D">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签订合同携带的证明材料：</w:t>
            </w:r>
          </w:p>
          <w:p w14:paraId="23D9CE4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73AEBB66">
            <w:pPr>
              <w:keepNext w:val="0"/>
              <w:keepLines w:val="0"/>
              <w:pageBreakBefore w:val="0"/>
              <w:widowControl w:val="0"/>
              <w:kinsoku/>
              <w:wordWrap/>
              <w:overflowPunct/>
              <w:topLinePunct w:val="0"/>
              <w:bidi w:val="0"/>
              <w:adjustRightInd/>
              <w:snapToGrid w:val="0"/>
              <w:spacing w:line="36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73B8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783A222">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8309" w:type="dxa"/>
            <w:noWrap w:val="0"/>
            <w:vAlign w:val="center"/>
          </w:tcPr>
          <w:p w14:paraId="5CC70069">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14:paraId="21435619">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14:paraId="3CAF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137F748">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8309" w:type="dxa"/>
            <w:noWrap w:val="0"/>
            <w:vAlign w:val="center"/>
          </w:tcPr>
          <w:p w14:paraId="4D4AE406">
            <w:pPr>
              <w:keepNext w:val="0"/>
              <w:keepLines w:val="0"/>
              <w:pageBreakBefore w:val="0"/>
              <w:widowControl w:val="0"/>
              <w:kinsoku/>
              <w:wordWrap/>
              <w:overflowPunct/>
              <w:topLinePunct w:val="0"/>
              <w:bidi w:val="0"/>
              <w:adjustRightInd/>
              <w:snapToGrid w:val="0"/>
              <w:spacing w:line="360" w:lineRule="exact"/>
              <w:rPr>
                <w:rFonts w:hint="eastAsia" w:ascii="宋体" w:hAnsi="宋体" w:cs="宋体"/>
                <w:color w:val="auto"/>
                <w:szCs w:val="21"/>
              </w:rPr>
            </w:pPr>
            <w:r>
              <w:rPr>
                <w:rFonts w:hint="eastAsia" w:ascii="宋体" w:hAnsi="宋体" w:cs="宋体"/>
                <w:szCs w:val="21"/>
              </w:rPr>
              <w:t>接收质疑函方式：以书面形式。</w:t>
            </w:r>
          </w:p>
          <w:p w14:paraId="6A516655">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color w:val="auto"/>
              </w:rPr>
              <w:t>质疑联系部门及联系方式：</w:t>
            </w:r>
            <w:r>
              <w:rPr>
                <w:rFonts w:hint="eastAsia" w:hAnsi="宋体" w:cs="宋体"/>
                <w:color w:val="auto"/>
                <w:u w:val="single"/>
              </w:rPr>
              <w:t>防城港市政府采购中心</w:t>
            </w:r>
            <w:r>
              <w:rPr>
                <w:rFonts w:hint="eastAsia" w:hAnsi="宋体" w:cs="宋体"/>
                <w:color w:val="auto"/>
              </w:rPr>
              <w:t>，联系电话：</w:t>
            </w:r>
            <w:r>
              <w:rPr>
                <w:rFonts w:hint="eastAsia" w:hAnsi="宋体" w:cs="宋体"/>
                <w:color w:val="auto"/>
                <w:lang w:val="en-US" w:eastAsia="zh-CN"/>
              </w:rPr>
              <w:t>0770-6126192</w:t>
            </w:r>
            <w:r>
              <w:rPr>
                <w:rFonts w:hint="eastAsia" w:hAnsi="宋体" w:cs="宋体"/>
                <w:color w:val="auto"/>
              </w:rPr>
              <w:t>。通</w:t>
            </w:r>
            <w:r>
              <w:rPr>
                <w:rFonts w:hint="eastAsia" w:hAnsi="宋体" w:cs="宋体"/>
              </w:rPr>
              <w:t>讯地址：防城港市红树林大厦东塔6楼。</w:t>
            </w:r>
          </w:p>
          <w:p w14:paraId="6E53502C">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业务时间：工作日每天上午9时00分到12时00分，下午1时30分到4时30分。双休日和法定节假日不办理业务。</w:t>
            </w:r>
          </w:p>
        </w:tc>
      </w:tr>
      <w:tr w14:paraId="10D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72484CE">
            <w:pPr>
              <w:spacing w:line="360" w:lineRule="auto"/>
              <w:jc w:val="center"/>
              <w:rPr>
                <w:rFonts w:hint="eastAsia" w:ascii="宋体" w:hAnsi="宋体" w:cs="宋体"/>
                <w:szCs w:val="21"/>
              </w:rPr>
            </w:pPr>
            <w:r>
              <w:rPr>
                <w:rFonts w:hint="eastAsia" w:ascii="宋体" w:hAnsi="宋体" w:cs="宋体"/>
                <w:szCs w:val="21"/>
              </w:rPr>
              <w:t>32.1</w:t>
            </w:r>
          </w:p>
        </w:tc>
        <w:tc>
          <w:tcPr>
            <w:tcW w:w="8309" w:type="dxa"/>
            <w:noWrap w:val="0"/>
            <w:vAlign w:val="center"/>
          </w:tcPr>
          <w:p w14:paraId="7F1A9B75">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采购代理费支付方式：无</w:t>
            </w:r>
          </w:p>
        </w:tc>
      </w:tr>
      <w:tr w14:paraId="32A3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120A4C1">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8309" w:type="dxa"/>
            <w:noWrap w:val="0"/>
            <w:vAlign w:val="center"/>
          </w:tcPr>
          <w:p w14:paraId="0E3CEF61">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解释：</w:t>
            </w:r>
            <w:r>
              <w:rPr>
                <w:rFonts w:hAnsi="宋体" w:cs="宋体"/>
              </w:rPr>
              <w:t>构成本</w:t>
            </w:r>
            <w:r>
              <w:rPr>
                <w:rFonts w:hint="eastAsia" w:hAnsi="宋体" w:cs="宋体"/>
              </w:rPr>
              <w:t>谈判文件</w:t>
            </w:r>
            <w:r>
              <w:rPr>
                <w:rFonts w:hAnsi="宋体" w:cs="宋体"/>
              </w:rPr>
              <w:t>的各个组成文件应互为解释，互为说明；除</w:t>
            </w:r>
            <w:r>
              <w:rPr>
                <w:rFonts w:hint="eastAsia" w:hAnsi="宋体" w:cs="宋体"/>
              </w:rPr>
              <w:t>谈判文件</w:t>
            </w:r>
            <w:r>
              <w:rPr>
                <w:rFonts w:hAnsi="宋体" w:cs="宋体"/>
              </w:rPr>
              <w:t>中有特别规定外，仅适用于</w:t>
            </w:r>
            <w:r>
              <w:rPr>
                <w:rFonts w:hint="eastAsia" w:hAnsi="宋体" w:cs="宋体"/>
              </w:rPr>
              <w:t>竞标</w:t>
            </w:r>
            <w:r>
              <w:rPr>
                <w:rFonts w:hAnsi="宋体" w:cs="宋体"/>
              </w:rPr>
              <w:t>阶段的规定，按</w:t>
            </w:r>
            <w:r>
              <w:rPr>
                <w:rFonts w:hint="eastAsia" w:hAnsi="宋体" w:cs="宋体"/>
              </w:rPr>
              <w:t>更正公告（澄清公告）</w:t>
            </w:r>
            <w:r>
              <w:rPr>
                <w:rFonts w:hAnsi="宋体" w:cs="宋体"/>
              </w:rPr>
              <w:t>、</w:t>
            </w:r>
            <w:r>
              <w:rPr>
                <w:rFonts w:hint="eastAsia" w:hAnsi="宋体" w:cs="宋体"/>
              </w:rPr>
              <w:t>竞争性谈判</w:t>
            </w:r>
            <w:r>
              <w:rPr>
                <w:rFonts w:hAnsi="宋体" w:cs="宋体"/>
              </w:rPr>
              <w:t>公告、</w:t>
            </w:r>
            <w:r>
              <w:rPr>
                <w:rFonts w:hint="eastAsia" w:hAnsi="宋体" w:cs="宋体"/>
              </w:rPr>
              <w:t>供应商</w:t>
            </w:r>
            <w:r>
              <w:rPr>
                <w:rFonts w:hAnsi="宋体" w:cs="宋体"/>
              </w:rPr>
              <w:t>须知</w:t>
            </w:r>
            <w:r>
              <w:rPr>
                <w:rFonts w:hint="eastAsia" w:hAnsi="宋体" w:cs="宋体"/>
              </w:rPr>
              <w:t>、采购需求</w:t>
            </w:r>
            <w:r>
              <w:rPr>
                <w:rFonts w:hAnsi="宋体" w:cs="宋体"/>
              </w:rPr>
              <w:t>、</w:t>
            </w:r>
            <w:r>
              <w:rPr>
                <w:rFonts w:hint="eastAsia" w:hAnsi="宋体" w:cs="宋体"/>
              </w:rPr>
              <w:t>评审程序和评定成交的标准</w:t>
            </w:r>
            <w:r>
              <w:rPr>
                <w:rFonts w:hAnsi="宋体" w:cs="宋体"/>
              </w:rPr>
              <w:t>、</w:t>
            </w:r>
            <w:r>
              <w:rPr>
                <w:rFonts w:hint="eastAsia" w:hAnsi="宋体" w:cs="宋体"/>
              </w:rPr>
              <w:t>响应</w:t>
            </w:r>
            <w:r>
              <w:rPr>
                <w:rFonts w:hAnsi="宋体" w:cs="宋体"/>
              </w:rPr>
              <w:t>文件格式</w:t>
            </w:r>
            <w:r>
              <w:rPr>
                <w:rFonts w:hint="eastAsia" w:hAnsi="宋体" w:cs="宋体"/>
              </w:rPr>
              <w:t>、合同文本</w:t>
            </w:r>
            <w:r>
              <w:rPr>
                <w:rFonts w:hAnsi="宋体" w:cs="宋体"/>
              </w:rPr>
              <w:t>的先后顺序解释；同一组成文件中就同一事项的规定或约定不一致的，以编排顺序在后者为准；同一组成文件不同版本之间有不一致的，以形成时间在后者为准；</w:t>
            </w:r>
            <w:r>
              <w:rPr>
                <w:rFonts w:hint="eastAsia" w:hAnsi="宋体" w:cs="宋体"/>
              </w:rPr>
              <w:t>更正公告（澄清公告）</w:t>
            </w:r>
            <w:r>
              <w:rPr>
                <w:rFonts w:hAnsi="宋体" w:cs="宋体"/>
              </w:rPr>
              <w:t>与同步更新的</w:t>
            </w:r>
            <w:r>
              <w:rPr>
                <w:rFonts w:hint="eastAsia" w:hAnsi="宋体" w:cs="宋体"/>
              </w:rPr>
              <w:t>谈判文件</w:t>
            </w:r>
            <w:r>
              <w:rPr>
                <w:rFonts w:hAnsi="宋体" w:cs="宋体"/>
              </w:rPr>
              <w:t>不一致时以</w:t>
            </w:r>
            <w:r>
              <w:rPr>
                <w:rFonts w:hint="eastAsia" w:hAnsi="宋体" w:cs="宋体"/>
              </w:rPr>
              <w:t>更正公告（澄清公告）</w:t>
            </w:r>
            <w:r>
              <w:rPr>
                <w:rFonts w:hAnsi="宋体" w:cs="宋体"/>
              </w:rPr>
              <w:t>为准。按本款前述规定仍不能形成结论的，由</w:t>
            </w:r>
            <w:r>
              <w:rPr>
                <w:rFonts w:hint="eastAsia" w:hAnsi="宋体" w:cs="宋体"/>
              </w:rPr>
              <w:t>采购</w:t>
            </w:r>
            <w:r>
              <w:rPr>
                <w:rFonts w:hAnsi="宋体" w:cs="宋体"/>
              </w:rPr>
              <w:t>人</w:t>
            </w:r>
            <w:r>
              <w:rPr>
                <w:rFonts w:hint="eastAsia" w:hAnsi="宋体" w:cs="宋体"/>
              </w:rPr>
              <w:t>或者采购代理机构</w:t>
            </w:r>
            <w:r>
              <w:rPr>
                <w:rFonts w:hAnsi="宋体" w:cs="宋体"/>
              </w:rPr>
              <w:t>负责解释。</w:t>
            </w:r>
          </w:p>
        </w:tc>
      </w:tr>
      <w:tr w14:paraId="1673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EEE159F">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8309" w:type="dxa"/>
            <w:noWrap w:val="0"/>
            <w:vAlign w:val="center"/>
          </w:tcPr>
          <w:p w14:paraId="5D25EAF4">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093CC54B">
            <w:pPr>
              <w:pStyle w:val="14"/>
              <w:keepNext w:val="0"/>
              <w:keepLines w:val="0"/>
              <w:pageBreakBefore w:val="0"/>
              <w:widowControl w:val="0"/>
              <w:kinsoku/>
              <w:wordWrap/>
              <w:overflowPunct/>
              <w:topLinePunct w:val="0"/>
              <w:bidi w:val="0"/>
              <w:adjustRightInd/>
              <w:snapToGrid w:val="0"/>
              <w:spacing w:line="360" w:lineRule="exact"/>
              <w:rPr>
                <w:rFonts w:hAnsi="宋体" w:cs="宋体"/>
                <w:bCs/>
              </w:rPr>
            </w:pPr>
            <w:r>
              <w:rPr>
                <w:rFonts w:hint="eastAsia" w:hAnsi="宋体" w:cs="宋体"/>
                <w:bCs/>
              </w:rPr>
              <w:t>2.本谈判文件所称的“</w:t>
            </w:r>
            <w:r>
              <w:rPr>
                <w:rFonts w:hint="eastAsia" w:hAnsi="宋体"/>
              </w:rPr>
              <w:t>电子签章</w:t>
            </w:r>
            <w:r>
              <w:rPr>
                <w:rFonts w:hint="eastAsia" w:hAnsi="宋体" w:cs="宋体"/>
                <w:bCs/>
              </w:rPr>
              <w:t>”、“电子签名”</w:t>
            </w:r>
            <w:r>
              <w:rPr>
                <w:rFonts w:hint="eastAsia" w:hAnsi="宋体"/>
              </w:rPr>
              <w:t>，是指经广西政府采购云平台认可的CA认证的电子签名数据为表现形式的印章，可用于签署电子响应文件，电子印章与实物印章具有同等法律效力，不因其采用电子化表现形式而否定其法律效力。</w:t>
            </w:r>
          </w:p>
          <w:p w14:paraId="567F0DD8">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bCs/>
              </w:rPr>
            </w:pPr>
            <w:r>
              <w:rPr>
                <w:rFonts w:hint="eastAsia" w:hAnsi="宋体" w:cs="宋体"/>
              </w:rPr>
              <w:t>3.供应商为其他组织或者自然人时，本谈判文件规定的法定代表人指负责人或者自然人。本谈判文件所称负责人是指参加竞标的其他组织</w:t>
            </w:r>
            <w:r>
              <w:rPr>
                <w:rFonts w:hint="eastAsia" w:hAnsi="宋体" w:cs="宋体"/>
                <w:bCs/>
              </w:rPr>
              <w:t>营业执照或者执业许可证等证照上</w:t>
            </w:r>
            <w:r>
              <w:rPr>
                <w:rFonts w:hint="eastAsia" w:hAnsi="宋体" w:cs="宋体"/>
              </w:rPr>
              <w:t>的负责人，本谈判文件所称自然人指参与竞标的自然人本人，</w:t>
            </w:r>
            <w:r>
              <w:rPr>
                <w:rFonts w:hint="eastAsia" w:hAnsi="宋体" w:cs="宋体"/>
                <w:bCs/>
              </w:rPr>
              <w:t>且应具备独立承担民事责任能力，自然人应当为年满18岁以上成年人（十六周岁以上的未成年人，以自己的劳动收入为主要生活来源的，视为完全民事行为能力人）。</w:t>
            </w:r>
          </w:p>
          <w:p w14:paraId="375D5D13">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4.本谈判文件中描述供应商的“签字”是指供应商的法定代表人或者委托代理人亲自在文件规定签署处亲笔写上个人的名字的行为，私章、签字章、印鉴、影印等其他形式均不能代替亲笔签字。</w:t>
            </w:r>
          </w:p>
          <w:p w14:paraId="190AB270">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Ansi="宋体" w:cs="宋体"/>
              </w:rPr>
              <w:t>5.</w:t>
            </w:r>
            <w:r>
              <w:rPr>
                <w:rFonts w:hint="eastAsia" w:hAnsi="宋体" w:cs="宋体"/>
              </w:rPr>
              <w:t>本谈判文件所称的“以上”“以下”“以内”“届满”，包括本数；所称的“不满”“超过”“以外”，不包括本数。</w:t>
            </w:r>
          </w:p>
        </w:tc>
      </w:tr>
    </w:tbl>
    <w:p w14:paraId="670E94CF">
      <w:pP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br w:type="page"/>
      </w:r>
    </w:p>
    <w:p w14:paraId="28B399FC">
      <w:pPr>
        <w:spacing w:line="400" w:lineRule="exact"/>
        <w:jc w:val="center"/>
        <w:rPr>
          <w:rFonts w:hint="eastAsia" w:ascii="宋体" w:hAnsi="宋体"/>
          <w:b/>
          <w:sz w:val="32"/>
          <w:szCs w:val="32"/>
        </w:rPr>
      </w:pPr>
      <w:r>
        <w:rPr>
          <w:rFonts w:hint="eastAsia" w:ascii="宋体" w:hAnsi="宋体"/>
          <w:b/>
          <w:sz w:val="32"/>
          <w:szCs w:val="32"/>
        </w:rPr>
        <w:t>供应商须知正文</w:t>
      </w:r>
    </w:p>
    <w:p w14:paraId="1249EEFE">
      <w:pPr>
        <w:spacing w:line="400" w:lineRule="exact"/>
        <w:jc w:val="center"/>
        <w:rPr>
          <w:rFonts w:hint="eastAsia" w:ascii="宋体" w:hAnsi="宋体"/>
          <w:b/>
          <w:sz w:val="32"/>
          <w:szCs w:val="32"/>
        </w:rPr>
      </w:pPr>
    </w:p>
    <w:p w14:paraId="78AE02D8">
      <w:pPr>
        <w:spacing w:line="400" w:lineRule="exact"/>
        <w:jc w:val="center"/>
        <w:rPr>
          <w:rFonts w:hint="eastAsia" w:ascii="宋体" w:hAnsi="宋体"/>
          <w:szCs w:val="21"/>
        </w:rPr>
      </w:pPr>
      <w:r>
        <w:rPr>
          <w:rFonts w:hint="eastAsia" w:ascii="宋体" w:hAnsi="宋体"/>
          <w:b/>
          <w:sz w:val="32"/>
          <w:szCs w:val="32"/>
        </w:rPr>
        <w:t>一、总则</w:t>
      </w:r>
    </w:p>
    <w:p w14:paraId="5E16B00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1.适用范围</w:t>
      </w:r>
    </w:p>
    <w:p w14:paraId="32771C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F696B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31D60A3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2.定义</w:t>
      </w:r>
    </w:p>
    <w:p w14:paraId="1F8BDC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2.1“采购人”是指依法进行采购的国家机关、事业单位、团体组织。</w:t>
      </w:r>
    </w:p>
    <w:p w14:paraId="2611F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
          <w:szCs w:val="21"/>
        </w:rPr>
      </w:pPr>
      <w:r>
        <w:rPr>
          <w:rFonts w:hint="eastAsia" w:ascii="宋体" w:hAnsi="宋体" w:cs="宋体"/>
          <w:szCs w:val="21"/>
        </w:rPr>
        <w:t>2.2“采购代理机构”</w:t>
      </w:r>
      <w:r>
        <w:rPr>
          <w:rFonts w:hint="eastAsia" w:ascii="宋体" w:hAnsi="宋体"/>
          <w:b/>
          <w:szCs w:val="21"/>
        </w:rPr>
        <w:t>是指政府采购集中采购机构和集中采购机构以外的采购代理机构。</w:t>
      </w:r>
    </w:p>
    <w:p w14:paraId="247D3A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8668E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w:t>
      </w:r>
      <w:r>
        <w:rPr>
          <w:rFonts w:hint="eastAsia" w:ascii="宋体" w:hAnsi="宋体"/>
          <w:szCs w:val="21"/>
        </w:rPr>
        <w:t xml:space="preserve">“服务”是指除货物和工程以外的其他政府采购对象。 </w:t>
      </w:r>
    </w:p>
    <w:p w14:paraId="538616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2.5“竞标”是指按照本项目竞争性谈判公告规定的方式供应商获取谈判文件、提交响应文件并希望获得标的的行为。</w:t>
      </w:r>
    </w:p>
    <w:p w14:paraId="72D06C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08911B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是指：供应商根据本谈判文件要求，编制包含资格证明、报价、商务技术等所有内容的文件。</w:t>
      </w:r>
    </w:p>
    <w:p w14:paraId="66930D0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2.8“实质性要求”是指采购需求中带“</w:t>
      </w:r>
      <w:r>
        <w:rPr>
          <w:rFonts w:hint="eastAsia" w:ascii="宋体" w:hAnsi="宋体" w:cs="宋体"/>
          <w:szCs w:val="21"/>
          <w:lang w:eastAsia="zh-CN"/>
        </w:rPr>
        <w:t>★</w:t>
      </w:r>
      <w:r>
        <w:rPr>
          <w:rFonts w:hint="eastAsia" w:ascii="宋体" w:hAnsi="宋体" w:cs="宋体"/>
          <w:szCs w:val="21"/>
        </w:rPr>
        <w:t>”的条款或者不能负偏离的条款或者已经指明不满足按响应文件按无效处理的条款。</w:t>
      </w:r>
    </w:p>
    <w:p w14:paraId="5F4F0D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2.9“正偏离”，是指响应文件对谈判文件“采购需求”中有关条款作出优于条款要求并有利于采购人的响应情形；</w:t>
      </w:r>
    </w:p>
    <w:p w14:paraId="1DEF1D3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2.10“负偏离”，是指响应文件对谈判文件“采购需求”中有关条款作出的响应不满足条款要求，导致采购人要求不能得到满足的情形。</w:t>
      </w:r>
    </w:p>
    <w:p w14:paraId="4AE26C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2.11“允许负偏离的条款”是指采购需求中的不属于“实质性要求”的条款。</w:t>
      </w:r>
    </w:p>
    <w:p w14:paraId="781FD9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2.12“首次报价”是指供应商提交的首次响应文件中的竞标报价。</w:t>
      </w:r>
    </w:p>
    <w:p w14:paraId="170B7433">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hint="eastAsia" w:ascii="黑体" w:hAnsi="黑体" w:eastAsia="黑体" w:cs="宋体"/>
          <w:b/>
          <w:bCs/>
          <w:sz w:val="24"/>
        </w:rPr>
      </w:pPr>
      <w:r>
        <w:rPr>
          <w:rFonts w:hint="eastAsia" w:ascii="黑体" w:hAnsi="黑体" w:eastAsia="黑体" w:cs="宋体"/>
          <w:b/>
          <w:bCs/>
          <w:sz w:val="24"/>
        </w:rPr>
        <w:t>3.供应商的资格条件</w:t>
      </w:r>
    </w:p>
    <w:p w14:paraId="7CDCF467">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ascii="宋体" w:hAnsi="宋体" w:cs="宋体"/>
          <w:szCs w:val="21"/>
        </w:rPr>
      </w:pPr>
      <w:r>
        <w:rPr>
          <w:rFonts w:hint="eastAsia" w:ascii="宋体" w:hAnsi="宋体" w:cs="宋体"/>
          <w:szCs w:val="21"/>
        </w:rPr>
        <w:t>供应商的资格条件详见“供应商须知前附表”。</w:t>
      </w:r>
    </w:p>
    <w:p w14:paraId="760F40E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4.竞标费用</w:t>
      </w:r>
    </w:p>
    <w:p w14:paraId="0D171D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竞标费用：供应商应承担参与本次采购活动有关的所有费用，包括但不限于获取谈判文件、勘查现场、编制和提交响应文件、参加谈判与应答、签订合同等，不论竞标结果如何，均应自行承担。</w:t>
      </w:r>
    </w:p>
    <w:p w14:paraId="76E4CB4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5.联合体竞标</w:t>
      </w:r>
    </w:p>
    <w:p w14:paraId="17ABD2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5.1本项目是否接受联合体竞标，详见“供应商须知前附表”。</w:t>
      </w:r>
    </w:p>
    <w:p w14:paraId="5256EC1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6.转包与分包</w:t>
      </w:r>
    </w:p>
    <w:p w14:paraId="7FE3AF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21" w:name="_Toc254970532"/>
      <w:bookmarkStart w:id="22" w:name="_Toc254970673"/>
      <w:r>
        <w:rPr>
          <w:rFonts w:hint="eastAsia" w:ascii="宋体" w:hAnsi="宋体" w:cs="宋体"/>
          <w:szCs w:val="21"/>
        </w:rPr>
        <w:t>6.1本项目不允许转包。</w:t>
      </w:r>
    </w:p>
    <w:p w14:paraId="7073F7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BB89A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6ABB964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7.特别说明</w:t>
      </w:r>
      <w:bookmarkEnd w:id="21"/>
      <w:bookmarkEnd w:id="22"/>
    </w:p>
    <w:p w14:paraId="5FD93B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23" w:name="_8.1提供相同品牌产品且通过资格审查、符合性审查的不同投标人参加同一合"/>
      <w:bookmarkEnd w:id="23"/>
      <w:bookmarkStart w:id="24" w:name="_Toc254970534"/>
      <w:bookmarkStart w:id="25" w:name="_Toc254970675"/>
      <w:r>
        <w:rPr>
          <w:rFonts w:hint="eastAsia" w:ascii="宋体" w:hAnsi="宋体" w:cs="宋体"/>
          <w:szCs w:val="21"/>
        </w:rPr>
        <w:t>7.</w:t>
      </w:r>
      <w:r>
        <w:rPr>
          <w:rFonts w:ascii="宋体" w:hAnsi="宋体" w:cs="宋体"/>
          <w:szCs w:val="21"/>
        </w:rPr>
        <w:t>1</w:t>
      </w:r>
      <w:bookmarkStart w:id="26" w:name="_Hlk65832145"/>
      <w:r>
        <w:rPr>
          <w:rFonts w:hint="eastAsia" w:ascii="宋体" w:hAnsi="宋体"/>
          <w:szCs w:val="21"/>
        </w:rPr>
        <w:t>如果本谈判文件要求提供供应商或制造商的资格、信誉、荣誉、业绩与企业认证等材料的，资格、信誉、荣誉、业绩与企业认证等必须为供应商或者制造商所拥有或自身获得</w:t>
      </w:r>
      <w:r>
        <w:rPr>
          <w:rFonts w:hint="eastAsia" w:ascii="宋体" w:hAnsi="宋体" w:cs="宋体"/>
          <w:szCs w:val="21"/>
        </w:rPr>
        <w:t>。</w:t>
      </w:r>
    </w:p>
    <w:bookmarkEnd w:id="26"/>
    <w:p w14:paraId="73893C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供应商应仔细阅读谈判文件的所有内容，按照谈判文件的要求提交响应文件，并对所提供的全部资料的真实性承担法律责任。</w:t>
      </w:r>
    </w:p>
    <w:p w14:paraId="17B2DC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28CBA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6409EF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（1）参加采购活动前3年内与供应商存在劳动关系；</w:t>
      </w:r>
    </w:p>
    <w:p w14:paraId="1A8108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（2）参加采购活动前3年内担任供应商的董事、监事；</w:t>
      </w:r>
    </w:p>
    <w:p w14:paraId="768FD9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（3）参加采购活动前3年内是供应商的控股股东或者实际控制人；</w:t>
      </w:r>
    </w:p>
    <w:p w14:paraId="170EB2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76AFFE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（5）与供应商有其他可能影响政府采购活动公平、公正进行的关系。</w:t>
      </w:r>
    </w:p>
    <w:p w14:paraId="5DFAA5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A7F6D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1F2836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（1）不同供应商的响应文件由同一单位或者个人编制；</w:t>
      </w:r>
    </w:p>
    <w:p w14:paraId="4F6797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（2）不同供应商委托同一单位或者个人办理竞标事宜；</w:t>
      </w:r>
    </w:p>
    <w:p w14:paraId="34E823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14:paraId="23B6C1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（4）不同供应商的响应文件异常一致或者报价呈规律性差异；</w:t>
      </w:r>
    </w:p>
    <w:p w14:paraId="684CFA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（5）不同供应商的响应文件相互混装；</w:t>
      </w:r>
    </w:p>
    <w:p w14:paraId="345EE5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390C71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8CA0C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（2）供应商按照采购人或者采购代理机构的授意撤换、修改响应文件；</w:t>
      </w:r>
    </w:p>
    <w:p w14:paraId="0EBCC1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4CF509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1550E5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2FA703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AD16D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rPr>
      </w:pPr>
      <w:r>
        <w:rPr>
          <w:rFonts w:hint="eastAsia" w:ascii="宋体" w:hAnsi="宋体" w:cs="宋体"/>
          <w:szCs w:val="21"/>
        </w:rPr>
        <w:t>（7）供应商与采购人或者采购代理机构之间、供应商相互之间，为谋求特定供应商成交或者排斥其他供应商的其他串通行为。</w:t>
      </w:r>
    </w:p>
    <w:p w14:paraId="6687E1A7">
      <w:pPr>
        <w:spacing w:line="360" w:lineRule="auto"/>
        <w:jc w:val="center"/>
        <w:rPr>
          <w:rFonts w:hint="eastAsia" w:ascii="宋体" w:hAnsi="宋体"/>
          <w:szCs w:val="21"/>
        </w:rPr>
      </w:pPr>
      <w:r>
        <w:rPr>
          <w:rFonts w:hint="eastAsia" w:ascii="宋体" w:hAnsi="宋体"/>
          <w:b/>
          <w:sz w:val="32"/>
          <w:szCs w:val="32"/>
        </w:rPr>
        <w:t>二、谈判文件</w:t>
      </w:r>
      <w:bookmarkEnd w:id="24"/>
      <w:bookmarkEnd w:id="25"/>
    </w:p>
    <w:p w14:paraId="3FC497E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8.谈判文件的构成</w:t>
      </w:r>
    </w:p>
    <w:p w14:paraId="6E7D78D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（1）竞争性谈判公告</w:t>
      </w:r>
    </w:p>
    <w:p w14:paraId="0106AD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（2）供应商须知；</w:t>
      </w:r>
    </w:p>
    <w:p w14:paraId="72EB90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（3）采购需求；</w:t>
      </w:r>
    </w:p>
    <w:p w14:paraId="2795CC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（4）评审程序和评定成交的标准；</w:t>
      </w:r>
    </w:p>
    <w:p w14:paraId="5F416AB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（5）响应文件格式；</w:t>
      </w:r>
    </w:p>
    <w:p w14:paraId="68C4C97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（6）合同文本；</w:t>
      </w:r>
    </w:p>
    <w:p w14:paraId="2CA9047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9.供应商的询问</w:t>
      </w:r>
    </w:p>
    <w:p w14:paraId="2A6C38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5061D4C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10.谈判文件的澄清和修改</w:t>
      </w:r>
    </w:p>
    <w:p w14:paraId="762F88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94E7F9A">
      <w:pPr>
        <w:spacing w:line="360" w:lineRule="auto"/>
        <w:rPr>
          <w:rFonts w:hint="eastAsia" w:ascii="宋体" w:hAnsi="宋体"/>
          <w:szCs w:val="21"/>
        </w:rPr>
      </w:pPr>
    </w:p>
    <w:p w14:paraId="616607DD">
      <w:pPr>
        <w:spacing w:line="360" w:lineRule="auto"/>
        <w:jc w:val="center"/>
        <w:rPr>
          <w:rFonts w:hint="eastAsia" w:ascii="宋体" w:hAnsi="宋体"/>
          <w:szCs w:val="21"/>
        </w:rPr>
      </w:pPr>
      <w:r>
        <w:rPr>
          <w:rFonts w:hint="eastAsia" w:ascii="宋体" w:hAnsi="宋体"/>
          <w:b/>
          <w:sz w:val="32"/>
          <w:szCs w:val="32"/>
        </w:rPr>
        <w:t>三、响应文件的编制</w:t>
      </w:r>
    </w:p>
    <w:p w14:paraId="20B08C1B">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11.响应文件的编制原则</w:t>
      </w:r>
    </w:p>
    <w:p w14:paraId="20E66C5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28B5C941">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12.响应文件的组成</w:t>
      </w:r>
    </w:p>
    <w:p w14:paraId="5952EC9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响应文件由资格证明文件、报价文件、商务技术文件三部分组成。</w:t>
      </w:r>
    </w:p>
    <w:p w14:paraId="45414D55">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资格证明文件：详见“供应商须知前附表”</w:t>
      </w:r>
    </w:p>
    <w:p w14:paraId="5D604E7F">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2报价文件：详见“供应商须知前附表”</w:t>
      </w:r>
    </w:p>
    <w:p w14:paraId="64287A91">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12.1.3商务技术文件：详见“供应商须知前附表”</w:t>
      </w:r>
    </w:p>
    <w:p w14:paraId="441A4470">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13.计量单位</w:t>
      </w:r>
    </w:p>
    <w:p w14:paraId="1E14D7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67EEE06A">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14.竞标的风险</w:t>
      </w:r>
    </w:p>
    <w:p w14:paraId="1F90A90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供应商没有按照谈判文件要求提供全部资料，或者供应商没有对谈判文件在各方面作出实质性响应可能导致其响应文件按无效处理，是供应商应当考虑的风险。</w:t>
      </w:r>
    </w:p>
    <w:p w14:paraId="632ECD5B">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15.竞标报价</w:t>
      </w:r>
    </w:p>
    <w:p w14:paraId="0F848CB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15.1竞标报价应按谈判文件中“竞标报价表”格式填写。</w:t>
      </w:r>
    </w:p>
    <w:p w14:paraId="08062809">
      <w:pPr>
        <w:keepNext w:val="0"/>
        <w:keepLines w:val="0"/>
        <w:pageBreakBefore w:val="0"/>
        <w:widowControl w:val="0"/>
        <w:tabs>
          <w:tab w:val="left" w:pos="2492"/>
        </w:tabs>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15.2竞标报价的内容详见“供应商须知前附表”。</w:t>
      </w:r>
    </w:p>
    <w:p w14:paraId="710AE943">
      <w:pPr>
        <w:keepNext w:val="0"/>
        <w:keepLines w:val="0"/>
        <w:pageBreakBefore w:val="0"/>
        <w:widowControl w:val="0"/>
        <w:kinsoku/>
        <w:wordWrap/>
        <w:overflowPunct/>
        <w:topLinePunct w:val="0"/>
        <w:autoSpaceDE/>
        <w:autoSpaceDN/>
        <w:bidi w:val="0"/>
        <w:adjustRightInd/>
        <w:spacing w:line="360" w:lineRule="exact"/>
        <w:ind w:left="426" w:leftChars="203"/>
        <w:textAlignment w:val="auto"/>
        <w:rPr>
          <w:rFonts w:hint="eastAsia" w:ascii="宋体" w:hAnsi="宋体" w:cs="宋体"/>
          <w:szCs w:val="21"/>
        </w:rPr>
      </w:pPr>
      <w:r>
        <w:rPr>
          <w:rFonts w:hint="eastAsia" w:ascii="宋体" w:hAnsi="宋体" w:cs="宋体"/>
          <w:szCs w:val="21"/>
        </w:rPr>
        <w:t>15.3竞标报价要求</w:t>
      </w:r>
    </w:p>
    <w:p w14:paraId="0E6440B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532813F7">
      <w:pPr>
        <w:keepNext w:val="0"/>
        <w:keepLines w:val="0"/>
        <w:pageBreakBefore w:val="0"/>
        <w:widowControl w:val="0"/>
        <w:kinsoku/>
        <w:wordWrap/>
        <w:overflowPunct/>
        <w:topLinePunct w:val="0"/>
        <w:autoSpaceDE/>
        <w:autoSpaceDN/>
        <w:bidi w:val="0"/>
        <w:adjustRightInd/>
        <w:spacing w:line="360" w:lineRule="exact"/>
        <w:ind w:left="420" w:leftChars="200"/>
        <w:textAlignment w:val="auto"/>
        <w:rPr>
          <w:rFonts w:ascii="宋体" w:hAnsi="宋体" w:cs="宋体"/>
          <w:szCs w:val="21"/>
        </w:rPr>
      </w:pPr>
      <w:r>
        <w:rPr>
          <w:rFonts w:hint="eastAsia" w:ascii="宋体" w:hAnsi="宋体" w:cs="宋体"/>
          <w:szCs w:val="21"/>
        </w:rPr>
        <w:t>（1）供应商必须就“采购需求”中所竞标项目的全部内容分别作完整唯一总价报价，</w:t>
      </w:r>
    </w:p>
    <w:p w14:paraId="59DB6DC1">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szCs w:val="21"/>
        </w:rPr>
      </w:pPr>
      <w:r>
        <w:rPr>
          <w:rFonts w:hint="eastAsia" w:ascii="宋体" w:hAnsi="宋体" w:cs="宋体"/>
          <w:szCs w:val="21"/>
        </w:rPr>
        <w:t>不得存在漏项报价；</w:t>
      </w:r>
    </w:p>
    <w:p w14:paraId="21A4A126">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供应商必须就所竞标项目的单项内容作唯一报价。</w:t>
      </w:r>
    </w:p>
    <w:p w14:paraId="31A7299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b/>
          <w:bCs/>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eastAsia="宋体" w:cs="宋体"/>
          <w:kern w:val="2"/>
          <w:sz w:val="21"/>
          <w:szCs w:val="21"/>
          <w:lang w:val="en-US" w:eastAsia="zh-CN" w:bidi="ar-SA"/>
        </w:rPr>
        <w:t>对于本文件中未列明，而谈判供应商认为必需的费用也需列入总报价。在合同实施时，采购人</w:t>
      </w:r>
      <w:r>
        <w:rPr>
          <w:rFonts w:hint="eastAsia" w:ascii="宋体" w:hAnsi="宋体" w:cs="宋体"/>
          <w:szCs w:val="21"/>
          <w:lang w:val="en-US" w:eastAsia="zh-CN"/>
        </w:rPr>
        <w:t>将不予支付成交供应商没有列入的项目费用，并认为此项目的费用已包括在总报价中。</w:t>
      </w:r>
      <w:r>
        <w:rPr>
          <w:rFonts w:hint="eastAsia" w:ascii="宋体" w:hAnsi="宋体" w:cs="宋体"/>
          <w:b/>
          <w:bCs/>
          <w:szCs w:val="21"/>
          <w:lang w:val="en-US" w:eastAsia="zh-CN"/>
        </w:rPr>
        <w:t>报价须按照清单报价，且每个单项报价均不能超过该项最高单价。</w:t>
      </w:r>
    </w:p>
    <w:p w14:paraId="4A81B41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15.3.2竞标报价（包含首次报价、最后报价）超过所竞标项目规定的采购预算金额或者最高限价的，其响应文件将按无效处理。</w:t>
      </w:r>
    </w:p>
    <w:p w14:paraId="3E695C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竞标报价（包含首次报价、最后报价）超过分项采购预算金额或者最高限价的，其响应文件将按无效处理。</w:t>
      </w:r>
    </w:p>
    <w:p w14:paraId="4450512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16.竞标有效期</w:t>
      </w:r>
    </w:p>
    <w:p w14:paraId="43347B2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F04BD1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16.2竞标有效期应由供应商按“供应商须知前附表”规定的期限作出响应。</w:t>
      </w:r>
    </w:p>
    <w:p w14:paraId="7C925E2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16.3供应商的响应文件在竞标有效期内均保持有效。</w:t>
      </w:r>
    </w:p>
    <w:p w14:paraId="0C0027E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17.竞标保证金：本项目不收取竞标保证金。</w:t>
      </w:r>
    </w:p>
    <w:p w14:paraId="54828AB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18.响应文件编制的要求</w:t>
      </w:r>
    </w:p>
    <w:p w14:paraId="70FE4A9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1303720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C4B537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62BF3600">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8F4205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CAAE1AD">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6A97239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rPr>
      </w:pPr>
      <w:r>
        <w:rPr>
          <w:rFonts w:hint="eastAsia"/>
        </w:rPr>
        <w:t>电子备份响应文件是指通过“广西政府采购云平台电子投标客户端”在线编制生成且后缀名为“</w:t>
      </w:r>
      <w:r>
        <w:t>bfbs</w:t>
      </w:r>
      <w:r>
        <w:rPr>
          <w:rFonts w:hint="eastAsia"/>
        </w:rPr>
        <w:t>”的文件，是否接受电子备份响应文件</w:t>
      </w:r>
      <w:r>
        <w:rPr>
          <w:rFonts w:hint="eastAsia"/>
          <w:bCs/>
        </w:rPr>
        <w:t>详见在“供应商须知前附表”。</w:t>
      </w:r>
    </w:p>
    <w:p w14:paraId="36F7E9D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20.响应文件的提交</w:t>
      </w:r>
    </w:p>
    <w:p w14:paraId="1E27003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w:t>
      </w:r>
    </w:p>
    <w:p w14:paraId="43BD35D8">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未在规定时间内提交或者未按照谈判文件要求加密的电子响应文件，广西政府采购云平台将拒收。</w:t>
      </w:r>
    </w:p>
    <w:p w14:paraId="3959EA0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052289E2">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bCs/>
          <w:szCs w:val="21"/>
        </w:rPr>
      </w:pPr>
      <w:bookmarkStart w:id="27" w:name="_Toc254970684"/>
      <w:bookmarkStart w:id="28" w:name="_Toc254970543"/>
      <w:r>
        <w:rPr>
          <w:rFonts w:ascii="宋体" w:hAnsi="宋体" w:cs="宋体"/>
          <w:szCs w:val="21"/>
        </w:rPr>
        <w:t>2</w:t>
      </w:r>
      <w:r>
        <w:rPr>
          <w:rFonts w:hint="eastAsia" w:ascii="宋体" w:hAnsi="宋体" w:cs="宋体"/>
          <w:szCs w:val="21"/>
        </w:rPr>
        <w:t>1.1</w:t>
      </w:r>
      <w:bookmarkEnd w:id="27"/>
      <w:bookmarkEnd w:id="28"/>
      <w:r>
        <w:rPr>
          <w:rFonts w:hint="eastAsia" w:ascii="宋体" w:hAnsi="宋体"/>
          <w:bCs/>
          <w:szCs w:val="21"/>
        </w:rPr>
        <w:t>供应商应当在提交响应文件截止</w:t>
      </w:r>
      <w:r>
        <w:rPr>
          <w:rFonts w:ascii="宋体" w:hAnsi="宋体"/>
          <w:bCs/>
          <w:szCs w:val="21"/>
        </w:rPr>
        <w:t>时间</w:t>
      </w:r>
      <w:r>
        <w:rPr>
          <w:rFonts w:hint="eastAsia" w:ascii="宋体" w:hAnsi="宋体"/>
          <w:bCs/>
          <w:szCs w:val="21"/>
        </w:rPr>
        <w:t>前完成电子响应文件的提交（上传），提交响应文件截止</w:t>
      </w:r>
      <w:r>
        <w:rPr>
          <w:rFonts w:ascii="宋体" w:hAnsi="宋体"/>
          <w:bCs/>
          <w:szCs w:val="21"/>
        </w:rPr>
        <w:t>时间</w:t>
      </w:r>
      <w:r>
        <w:rPr>
          <w:rFonts w:hint="eastAsia" w:ascii="宋体" w:hAnsi="宋体"/>
          <w:bCs/>
          <w:szCs w:val="21"/>
        </w:rPr>
        <w:t>前可以补充、修改或者撤回响应文件。补充或者修改响应文件的，应当先行撤回原响应文件，补充、修改后重新提交（上传），提交响应文件截止</w:t>
      </w:r>
      <w:r>
        <w:rPr>
          <w:rFonts w:ascii="宋体" w:hAnsi="宋体"/>
          <w:bCs/>
          <w:szCs w:val="21"/>
        </w:rPr>
        <w:t>时间</w:t>
      </w:r>
      <w:r>
        <w:rPr>
          <w:rFonts w:hint="eastAsia" w:ascii="宋体" w:hAnsi="宋体"/>
          <w:bCs/>
          <w:szCs w:val="21"/>
        </w:rPr>
        <w:t>前未完成提交（上传）的，视为撤回响应文件。提交响应文件截止</w:t>
      </w:r>
      <w:r>
        <w:rPr>
          <w:rFonts w:ascii="宋体" w:hAnsi="宋体"/>
          <w:bCs/>
          <w:szCs w:val="21"/>
        </w:rPr>
        <w:t>时间</w:t>
      </w:r>
      <w:r>
        <w:rPr>
          <w:rFonts w:hint="eastAsia" w:ascii="宋体" w:hAnsi="宋体"/>
          <w:bCs/>
          <w:szCs w:val="21"/>
        </w:rPr>
        <w:t>以后提交（上传）的响应文件，广西政府采购云平台将予以拒收。（补充、修改或者撤回方式可登录广西政府采购云平台，进入“服务中心”中查看“电子投标文件制作与投送教程”）</w:t>
      </w:r>
    </w:p>
    <w:p w14:paraId="20828810">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5F86941C">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22.响应文件的退回</w:t>
      </w:r>
    </w:p>
    <w:p w14:paraId="4D1AA1A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采购人和采购代理机构对已提交的响应文件概不退回。</w:t>
      </w:r>
    </w:p>
    <w:p w14:paraId="76F0F2F7">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23.截止时间后的撤回</w:t>
      </w:r>
    </w:p>
    <w:p w14:paraId="2C42EF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供应商在响应文件提交截止时间后向采购人、采购代理机构书面申请撤回响应文件的，采购人和采购代理机构对已提交的响应文件概不退回。</w:t>
      </w:r>
    </w:p>
    <w:p w14:paraId="30B00F5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p>
    <w:p w14:paraId="7D63CEF7">
      <w:pPr>
        <w:spacing w:line="360" w:lineRule="auto"/>
        <w:jc w:val="center"/>
        <w:rPr>
          <w:rFonts w:hint="eastAsia" w:ascii="宋体" w:hAnsi="宋体"/>
          <w:szCs w:val="21"/>
        </w:rPr>
      </w:pPr>
      <w:r>
        <w:rPr>
          <w:rFonts w:hint="eastAsia" w:ascii="宋体" w:hAnsi="宋体"/>
          <w:b/>
          <w:sz w:val="32"/>
          <w:szCs w:val="32"/>
        </w:rPr>
        <w:t>四、评审及谈判</w:t>
      </w:r>
    </w:p>
    <w:p w14:paraId="658BE26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24.谈判小组成立</w:t>
      </w:r>
    </w:p>
    <w:p w14:paraId="7B7629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EDBD4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15C11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2A9C00F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14:paraId="42894F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w:t>
      </w:r>
      <w:r>
        <w:rPr>
          <w:rFonts w:hint="eastAsia" w:ascii="宋体" w:hAnsi="宋体"/>
          <w:szCs w:val="21"/>
        </w:rPr>
        <w:t>广西政府采购云平台</w:t>
      </w:r>
      <w:r>
        <w:rPr>
          <w:rFonts w:hint="eastAsia" w:hAnsi="宋体"/>
        </w:rPr>
        <w:t>电子开标大厅签到，</w:t>
      </w:r>
      <w:r>
        <w:rPr>
          <w:rFonts w:hint="eastAsia"/>
        </w:rPr>
        <w:t>采购代理机构依托</w:t>
      </w:r>
      <w:r>
        <w:rPr>
          <w:rFonts w:hint="eastAsia" w:ascii="宋体" w:hAnsi="宋体"/>
          <w:szCs w:val="21"/>
        </w:rPr>
        <w:t>广西政府采购云平台</w:t>
      </w:r>
      <w:r>
        <w:rPr>
          <w:rFonts w:hint="eastAsia"/>
        </w:rPr>
        <w:t>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4517939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.评审程序和评定成交的标准</w:t>
      </w:r>
    </w:p>
    <w:p w14:paraId="399689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szCs w:val="21"/>
        </w:rPr>
        <w:t>“供应商须知前附表”。</w:t>
      </w:r>
    </w:p>
    <w:p w14:paraId="6C496C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6.2</w:t>
      </w:r>
      <w:r>
        <w:rPr>
          <w:rFonts w:hint="eastAsia" w:ascii="宋体" w:hAnsi="宋体"/>
          <w:szCs w:val="21"/>
        </w:rPr>
        <w:t>商务/技术要求允许负偏离的条款数详见“供应商须知前附表”。</w:t>
      </w:r>
    </w:p>
    <w:p w14:paraId="25E7B92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cs="宋体"/>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B46A3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w:t>
      </w:r>
      <w:r>
        <w:rPr>
          <w:rFonts w:ascii="宋体" w:hAnsi="宋体"/>
        </w:rPr>
        <w:t>6.</w:t>
      </w:r>
      <w:r>
        <w:rPr>
          <w:rFonts w:hint="eastAsia" w:ascii="宋体" w:hAnsi="宋体"/>
        </w:rPr>
        <w:t>4</w:t>
      </w:r>
      <w:r>
        <w:rPr>
          <w:rFonts w:hint="eastAsia" w:hAnsi="宋体"/>
        </w:rPr>
        <w:t>电子交易活动的中止。采购过程中出现以下情形，导致电子交易平台无法正常运行，或者无法保证电子交易的公平、公正和安全时，采购机构可中止电子交易活动：</w:t>
      </w:r>
    </w:p>
    <w:p w14:paraId="1C55D1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（1）电子交易平台发生故障而无法登录访问的；</w:t>
      </w:r>
    </w:p>
    <w:p w14:paraId="79B347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（2）电子交易平台应用或数据库出现错误，不能进行正常操作的；</w:t>
      </w:r>
    </w:p>
    <w:p w14:paraId="20DF08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（3）电子交易平台发现严重安全漏洞，有潜在泄密危险的；</w:t>
      </w:r>
    </w:p>
    <w:p w14:paraId="63E837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（4）病毒发作导致不能进行正常操作的；</w:t>
      </w:r>
    </w:p>
    <w:p w14:paraId="4165E9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（5）其他无法保证电子交易的公平、公正和安全的情况。</w:t>
      </w:r>
    </w:p>
    <w:p w14:paraId="00EB67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26.</w:t>
      </w:r>
      <w:r>
        <w:rPr>
          <w:rFonts w:ascii="宋体" w:hAnsi="宋体"/>
        </w:rPr>
        <w:t>5</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B927DE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083A40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29429DC">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szCs w:val="21"/>
        </w:rPr>
        <w:t>成交供应商享受《政府采购促进中小企业发展管理办法》（财库〔2020〕46号）规定的中小企业扶持政策的，采购人、采购代理机构应当随成交结果公开成交供应商的《中小企业声明函》。</w:t>
      </w:r>
    </w:p>
    <w:p w14:paraId="1E538A6C">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27.3出现下列情形之一的，采购人或者采购代理机构应当终止竞争性谈判采购活动，发布项目终止公告并说明原因，重新开展采购活动：</w:t>
      </w:r>
    </w:p>
    <w:p w14:paraId="2A7C02D1">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（1）因情况变化，不再符合规定的竞争性谈判采购方式适用情形的；</w:t>
      </w:r>
    </w:p>
    <w:p w14:paraId="351A04FF">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14:paraId="5CD6D239">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（3）在采购过程中符合竞争要求的供应商或者报价未超过采购预算的供应商不足3家的，但“第四章 评审程序和评定成交的标准”第3.7条规定的情形除外。</w:t>
      </w:r>
    </w:p>
    <w:p w14:paraId="3609DDE5">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27.4在采购活动中因重大变故，采购任务取消的，采购人或者采购代理机构应当终止采购活动，通知所有参加采购活动的供应商，并将项目实施情况和采购任务取消原因报送本级财政部门。</w:t>
      </w:r>
    </w:p>
    <w:p w14:paraId="4A99E2F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28.履约保证金：本项目不收取履约保证金。</w:t>
      </w:r>
    </w:p>
    <w:p w14:paraId="05B52C7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5E9EFFD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419EC1A">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29.2签订合同时间：按成交通知书规定的时间与采购人签订合同。</w:t>
      </w:r>
    </w:p>
    <w:p w14:paraId="2E450709">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203A0A8">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D85D5B">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29.5采购人或成交供应商不得单方面向合同另一方提出任何谈判文件没有约定的条件或不合理的要求，作为签订合同的条件；也不得协商另行订立背离谈判文件和合同实质性内容的协议。</w:t>
      </w:r>
    </w:p>
    <w:p w14:paraId="3348768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4B79094C">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C05635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DB055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35CB9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.询问、质疑和投诉</w:t>
      </w:r>
    </w:p>
    <w:p w14:paraId="783297DA">
      <w:pPr>
        <w:pStyle w:val="7"/>
        <w:keepNext w:val="0"/>
        <w:keepLines w:val="0"/>
        <w:pageBreakBefore w:val="0"/>
        <w:widowControl w:val="0"/>
        <w:kinsoku/>
        <w:wordWrap/>
        <w:overflowPunct/>
        <w:topLinePunct w:val="0"/>
        <w:autoSpaceDE/>
        <w:autoSpaceDN/>
        <w:bidi w:val="0"/>
        <w:adjustRightInd/>
        <w:snapToGrid/>
        <w:spacing w:after="120" w:line="36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31.1供应商对政府采购活动事项有疑问的，可以向采购人、采购代理机构提出询问，采购人或者采购代理机构应当在3个工作日内对供应商依法提出的询问作出答复，但答复的内容不得涉及商业秘密。</w:t>
      </w:r>
    </w:p>
    <w:p w14:paraId="0CA075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eastAsia="宋体" w:cs="宋体"/>
          <w:kern w:val="2"/>
          <w:sz w:val="21"/>
          <w:szCs w:val="24"/>
          <w:lang w:val="en-US" w:eastAsia="zh-CN" w:bidi="ar-SA"/>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w:t>
      </w:r>
      <w:r>
        <w:rPr>
          <w:rFonts w:hint="eastAsia" w:ascii="宋体" w:hAnsi="宋体" w:cs="宋体"/>
          <w:szCs w:val="21"/>
        </w:rPr>
        <w:t>商须知前附表”</w:t>
      </w:r>
      <w:r>
        <w:rPr>
          <w:rFonts w:hint="eastAsia" w:ascii="宋体" w:hAnsi="宋体" w:cs="宋体"/>
        </w:rPr>
        <w:t>。具体质疑起算时间如下：</w:t>
      </w:r>
    </w:p>
    <w:p w14:paraId="2C063B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（1）对可以质疑的谈判文件提出质疑的，为获取谈判文件之日；</w:t>
      </w:r>
    </w:p>
    <w:p w14:paraId="63A746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（2）对采购过程提出质疑的，为各采购程序环节结束之日；</w:t>
      </w:r>
    </w:p>
    <w:p w14:paraId="5C9C4E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（3）对成交结果提出质疑的，为成交结果公告期限届满之日。</w:t>
      </w:r>
    </w:p>
    <w:p w14:paraId="01369A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BA888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7E6576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（1）供应商的姓名或者名称、地址、邮编、联系人及联系电话；</w:t>
      </w:r>
    </w:p>
    <w:p w14:paraId="1504CC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（2）质疑项目的名称、编号；</w:t>
      </w:r>
    </w:p>
    <w:p w14:paraId="7BF1D2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（3）具体、明确的质疑事项和与质疑事项相关的请求；</w:t>
      </w:r>
    </w:p>
    <w:p w14:paraId="1F280D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（4）事实依据；</w:t>
      </w:r>
    </w:p>
    <w:p w14:paraId="6238D8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（5）必要的法律依据；</w:t>
      </w:r>
    </w:p>
    <w:p w14:paraId="36F706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（6）提出质疑的日期。</w:t>
      </w:r>
    </w:p>
    <w:p w14:paraId="70EC94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86E4A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09E764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3B548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746774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7FA8A6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766722">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2</w:t>
      </w:r>
      <w:r>
        <w:rPr>
          <w:rFonts w:ascii="黑体" w:hAnsi="黑体" w:eastAsia="黑体" w:cs="宋体"/>
          <w:b/>
          <w:bCs/>
          <w:sz w:val="24"/>
        </w:rPr>
        <w:t>.需要补充的其他内容</w:t>
      </w:r>
    </w:p>
    <w:p w14:paraId="117ADEB4">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hAnsi="宋体"/>
        </w:rPr>
        <w:t>3</w:t>
      </w:r>
      <w:r>
        <w:rPr>
          <w:rFonts w:hint="eastAsia" w:hAnsi="宋体"/>
        </w:rPr>
        <w:t>2</w:t>
      </w:r>
      <w:r>
        <w:rPr>
          <w:rFonts w:hAnsi="宋体"/>
        </w:rPr>
        <w:t>.1</w:t>
      </w:r>
      <w:r>
        <w:rPr>
          <w:rFonts w:hint="eastAsia" w:hAnsi="宋体" w:cs="宋体"/>
        </w:rPr>
        <w:t>本谈判文件解释规则详见</w:t>
      </w:r>
      <w:r>
        <w:rPr>
          <w:rFonts w:hint="eastAsia" w:hAnsi="宋体"/>
        </w:rPr>
        <w:t>“供应商须知前附表”。</w:t>
      </w:r>
    </w:p>
    <w:p w14:paraId="31DB006A">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ascii="宋体" w:hAnsi="宋体" w:cs="宋体"/>
          <w:kern w:val="0"/>
          <w:szCs w:val="21"/>
        </w:rPr>
        <w:t>3</w:t>
      </w: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其他事</w:t>
      </w:r>
      <w:r>
        <w:rPr>
          <w:rFonts w:hint="eastAsia" w:hAnsi="宋体"/>
        </w:rPr>
        <w:t>项详见“供应商须知前附表”。</w:t>
      </w:r>
    </w:p>
    <w:p w14:paraId="54A618F5">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32</w:t>
      </w:r>
      <w:r>
        <w:rPr>
          <w:rFonts w:hAnsi="宋体"/>
        </w:rPr>
        <w:t>.</w:t>
      </w:r>
      <w:bookmarkStart w:id="29" w:name="_Hlk65857140"/>
      <w:r>
        <w:rPr>
          <w:rFonts w:hint="eastAsia" w:hAnsi="宋体"/>
          <w:lang w:val="en-US" w:eastAsia="zh-CN"/>
        </w:rPr>
        <w:t>3</w:t>
      </w:r>
      <w:r>
        <w:rPr>
          <w:rFonts w:hint="eastAsia" w:hAnsi="宋体"/>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BF2AFD6">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（1）在货物采购项目中，货物由中小企业制造，即货物由中小企业生产且使用该中小企业商号或者注册商标，不对其中涉及的工程承建商和服务的承接商作出要求；</w:t>
      </w:r>
    </w:p>
    <w:p w14:paraId="382E9471">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（2）在工程采购项目中，工程由中小企业承建，即工程施工单位为中小企业，不对其中涉及的货物的制造商和服务的承接商作出要求；</w:t>
      </w:r>
    </w:p>
    <w:p w14:paraId="1A46B6E5">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（3）在服务采购项目中，服务由中小企业承接，即提供服务的人员为中小企业依照《中华人民共和国劳动合同法》订立劳动合同的从业人员，不对其中涉及的货物的制造商和工程承建商作出要求。</w:t>
      </w:r>
    </w:p>
    <w:p w14:paraId="05C4E257">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CA369C9">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依据本谈判文件规定享受扶持政策获得政府采购合同的，小微企业不得将合同分包给大中型企业，中型企业不得将合同分包给大型企业。</w:t>
      </w:r>
      <w:bookmarkEnd w:id="29"/>
    </w:p>
    <w:p w14:paraId="7B07A8D1">
      <w:pPr>
        <w:rPr>
          <w:rFonts w:hint="eastAsia" w:hAnsi="宋体"/>
        </w:rPr>
      </w:pPr>
      <w:r>
        <w:rPr>
          <w:rFonts w:hint="eastAsia" w:hAnsi="宋体"/>
        </w:rPr>
        <w:br w:type="page"/>
      </w:r>
    </w:p>
    <w:p w14:paraId="4E3B2692">
      <w:pPr>
        <w:snapToGrid w:val="0"/>
        <w:spacing w:line="340" w:lineRule="exact"/>
        <w:rPr>
          <w:rFonts w:hint="eastAsia"/>
          <w:lang w:val="en-US" w:eastAsia="zh-CN"/>
        </w:rPr>
      </w:pPr>
      <w:r>
        <w:rPr>
          <w:rFonts w:hint="eastAsia" w:ascii="黑体" w:hAnsi="黑体" w:eastAsia="黑体" w:cs="黑体"/>
          <w:bCs/>
          <w:kern w:val="0"/>
          <w:sz w:val="32"/>
          <w:szCs w:val="32"/>
        </w:rPr>
        <w:t>附件1：</w:t>
      </w:r>
    </w:p>
    <w:p w14:paraId="3ACAA001">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30" w:name="_Toc28361_WPSOffice_Level2"/>
      <w:r>
        <w:rPr>
          <w:rFonts w:hint="eastAsia" w:ascii="宋体" w:hAnsi="宋体" w:eastAsia="宋体" w:cs="宋体"/>
          <w:b/>
          <w:bCs/>
          <w:color w:val="auto"/>
          <w:kern w:val="0"/>
          <w:sz w:val="21"/>
          <w:szCs w:val="21"/>
          <w:highlight w:val="none"/>
        </w:rPr>
        <w:t>大中小微型企业划分标准</w:t>
      </w:r>
      <w:bookmarkEnd w:id="30"/>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3A04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3CCA7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0A73C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578CD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36FFF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44C6A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10011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2727E5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7B9FE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7E86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285AA6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2F69D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3DBC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5937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1F8DB7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4DE58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6BFE2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22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7464C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17A77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C737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A29E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E715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1DD6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19951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3D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C5A7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20B4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A364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D05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AAF12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5FCFD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73F2B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B0A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4040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78B57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0240A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E0FB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09468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5B9A1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06EB3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D7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0F300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34D2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03FAB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0242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0A4C9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129B8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28F3A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A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A5FD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0ECBE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B99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ACF8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1A39A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1F4F0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3F470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3878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CD9D0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7C6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1ABF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3B0B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F7A03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5D1FF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1B130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5D3C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A57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71F4A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FDBB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21B74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469E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6082D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021BA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0CE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454A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46B7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3028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8A89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67B37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05DA9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10532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5E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59FA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2A267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7AD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3F69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070C4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1066A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D122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46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AAF9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7B66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BF7B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20AB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D042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63532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4F4F71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EF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0AC1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6E01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7735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1322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5275E18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3E9A5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0C601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FAB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01E3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823E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4BF9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F582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5EF78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7340B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59AF4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2AE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7B1B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2E0535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5269C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E2AA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4FED5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0552B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A8628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CBE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25AA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E967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F759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D897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2B70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E89F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FC0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73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0E70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2B070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031C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A1B4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5FA66B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332D6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B43C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8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709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FD820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6C6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65C2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1949E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30026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586D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A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5BD1E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7E5E9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8FBD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F93E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A191D1D">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26870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6037F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B73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BADE1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A1E9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5B6B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9B34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20A05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55B138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7C2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08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946C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65031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2822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485B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578D2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657A8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CC94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5C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8F1F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A554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4D17B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EDCE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5A64E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64827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3AD78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FE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C6E8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4B3EB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817E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2DCB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A67636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77FD8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3973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FE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D549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10C0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08DA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D60D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62DCD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15651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4B103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8F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56D2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0916C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34F97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31FA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5891F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452D5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74EF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2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A586D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D2AA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5417E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F543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67D5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2365C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4F8CD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45ED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26ED1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69802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A5CB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7B0D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4266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39A0C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22CF6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27F0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3C0E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C5C9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195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052A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6DA49AC3">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5A45E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11C4F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63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A2F1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38885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5E8D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BD649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172F07F">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941F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1A535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AB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1370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724E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379AF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062B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18B7F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683F0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7DDC2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4F64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3409A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12A9A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AE2F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D209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7FAFA75">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6296B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9368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D5FF707">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675ED8DB">
      <w:pPr>
        <w:pStyle w:val="14"/>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737A8890">
      <w:pPr>
        <w:pStyle w:val="14"/>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411D684">
      <w:pPr>
        <w:pStyle w:val="14"/>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12CE9C2">
      <w:pPr>
        <w:rPr>
          <w:rFonts w:hint="eastAsia"/>
          <w:lang w:val="en-US" w:eastAsia="zh-CN"/>
        </w:rPr>
      </w:pPr>
      <w:r>
        <w:rPr>
          <w:rFonts w:hAnsi="宋体"/>
        </w:rPr>
        <w:br w:type="page"/>
      </w:r>
    </w:p>
    <w:p w14:paraId="03205796">
      <w:pPr>
        <w:rPr>
          <w:rFonts w:hint="eastAsia"/>
          <w:lang w:val="en-US" w:eastAsia="zh-CN"/>
        </w:rPr>
      </w:pPr>
    </w:p>
    <w:p w14:paraId="7DB556D3">
      <w:pPr>
        <w:snapToGrid w:val="0"/>
        <w:spacing w:line="340" w:lineRule="exact"/>
        <w:rPr>
          <w:rFonts w:hint="eastAsia" w:ascii="宋体" w:hAnsi="宋体"/>
          <w:kern w:val="0"/>
          <w:sz w:val="20"/>
          <w:szCs w:val="21"/>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w:t>
      </w:r>
    </w:p>
    <w:p w14:paraId="3E110ED4">
      <w:pPr>
        <w:widowControl/>
        <w:shd w:val="clear" w:color="auto" w:fill="FFFFFF"/>
        <w:spacing w:line="600" w:lineRule="auto"/>
        <w:jc w:val="center"/>
        <w:rPr>
          <w:rFonts w:hint="eastAsia" w:ascii="仿宋" w:hAnsi="仿宋" w:eastAsia="仿宋" w:cs="宋体"/>
          <w:kern w:val="0"/>
          <w:sz w:val="32"/>
          <w:szCs w:val="32"/>
        </w:rPr>
      </w:pPr>
      <w:r>
        <w:rPr>
          <w:rFonts w:hint="eastAsia" w:ascii="宋体" w:hAnsi="宋体" w:cs="宋体"/>
          <w:b/>
          <w:bCs/>
          <w:kern w:val="0"/>
          <w:sz w:val="32"/>
          <w:szCs w:val="32"/>
        </w:rPr>
        <w:t>广西壮族自治区政府采购项目合同验收书（格式）</w:t>
      </w:r>
    </w:p>
    <w:p w14:paraId="5C90D788">
      <w:pPr>
        <w:widowControl/>
        <w:shd w:val="clear" w:color="auto" w:fill="FFFFFF"/>
        <w:snapToGrid w:val="0"/>
        <w:spacing w:line="360" w:lineRule="auto"/>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）提供的货物（或者工程、服务）进行了验收，验收情况如下：</w:t>
      </w:r>
    </w:p>
    <w:tbl>
      <w:tblPr>
        <w:tblStyle w:val="2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413862C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BE038DB">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26F7D49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60D5F32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37F1609">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66DDD4FE">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491CBFE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08EB4CC2">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noWrap w:val="0"/>
            <w:vAlign w:val="center"/>
          </w:tcPr>
          <w:p w14:paraId="7148AA2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12C17E1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C81299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2DECC773">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6A991E62">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1098DBB4">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7C52F37F">
            <w:pPr>
              <w:widowControl/>
              <w:spacing w:before="100" w:beforeAutospacing="1" w:after="100" w:afterAutospacing="1" w:line="240" w:lineRule="atLeast"/>
              <w:jc w:val="center"/>
              <w:rPr>
                <w:rFonts w:ascii="Verdana" w:hAnsi="Verdana" w:cs="宋体"/>
                <w:kern w:val="0"/>
                <w:szCs w:val="21"/>
              </w:rPr>
            </w:pPr>
          </w:p>
        </w:tc>
      </w:tr>
      <w:tr w14:paraId="3534C9B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2AECDB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053D8224">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0A5DED00">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564A5D96">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00328210">
            <w:pPr>
              <w:widowControl/>
              <w:spacing w:before="100" w:beforeAutospacing="1" w:after="100" w:afterAutospacing="1" w:line="240" w:lineRule="atLeast"/>
              <w:jc w:val="center"/>
              <w:rPr>
                <w:rFonts w:ascii="Verdana" w:hAnsi="Verdana" w:cs="宋体"/>
                <w:kern w:val="0"/>
                <w:szCs w:val="21"/>
              </w:rPr>
            </w:pPr>
          </w:p>
        </w:tc>
      </w:tr>
      <w:tr w14:paraId="57CA6F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0B1A21D">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5965F7CE">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3AC4B514">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3A597C6E">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2B54EE87">
            <w:pPr>
              <w:widowControl/>
              <w:spacing w:before="100" w:beforeAutospacing="1" w:after="100" w:afterAutospacing="1" w:line="240" w:lineRule="atLeast"/>
              <w:jc w:val="center"/>
              <w:rPr>
                <w:rFonts w:ascii="Verdana" w:hAnsi="Verdana" w:cs="宋体"/>
                <w:kern w:val="0"/>
                <w:szCs w:val="21"/>
              </w:rPr>
            </w:pPr>
          </w:p>
        </w:tc>
      </w:tr>
      <w:tr w14:paraId="08661F7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66D4A96">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1369" w:type="dxa"/>
            <w:gridSpan w:val="2"/>
            <w:tcBorders>
              <w:top w:val="nil"/>
              <w:left w:val="nil"/>
              <w:bottom w:val="single" w:color="auto" w:sz="8" w:space="0"/>
              <w:right w:val="single" w:color="auto" w:sz="8" w:space="0"/>
            </w:tcBorders>
            <w:noWrap w:val="0"/>
            <w:vAlign w:val="center"/>
          </w:tcPr>
          <w:p w14:paraId="06FE60D0">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271367D5">
            <w:pPr>
              <w:widowControl/>
              <w:spacing w:before="100" w:beforeAutospacing="1" w:after="100" w:afterAutospacing="1" w:line="240" w:lineRule="atLeast"/>
              <w:jc w:val="center"/>
              <w:rPr>
                <w:rFonts w:ascii="Verdana" w:hAnsi="Verdana" w:cs="宋体"/>
                <w:kern w:val="0"/>
                <w:szCs w:val="21"/>
              </w:rPr>
            </w:pPr>
          </w:p>
        </w:tc>
      </w:tr>
      <w:tr w14:paraId="57A1D1C2">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34900B7C">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33B8344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B8C8646">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5F467F03">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2ADA9F1D">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619" w:type="dxa"/>
            <w:gridSpan w:val="2"/>
            <w:tcBorders>
              <w:top w:val="nil"/>
              <w:left w:val="nil"/>
              <w:bottom w:val="single" w:color="auto" w:sz="8" w:space="0"/>
              <w:right w:val="single" w:color="auto" w:sz="8" w:space="0"/>
            </w:tcBorders>
            <w:noWrap w:val="0"/>
            <w:vAlign w:val="center"/>
          </w:tcPr>
          <w:p w14:paraId="0F5FF5AD">
            <w:pPr>
              <w:widowControl/>
              <w:spacing w:before="100" w:beforeAutospacing="1" w:after="100" w:afterAutospacing="1" w:line="240" w:lineRule="atLeast"/>
              <w:jc w:val="center"/>
              <w:rPr>
                <w:rFonts w:ascii="Verdana" w:hAnsi="Verdana" w:cs="宋体"/>
                <w:kern w:val="0"/>
                <w:szCs w:val="21"/>
              </w:rPr>
            </w:pPr>
          </w:p>
        </w:tc>
      </w:tr>
      <w:tr w14:paraId="2E8B6F76">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A17057C">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noWrap w:val="0"/>
            <w:vAlign w:val="center"/>
          </w:tcPr>
          <w:p w14:paraId="762F3C5C">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40EE46AB">
            <w:pPr>
              <w:widowControl/>
              <w:spacing w:before="100" w:beforeAutospacing="1" w:after="100" w:afterAutospacing="1" w:line="240" w:lineRule="atLeast"/>
              <w:jc w:val="center"/>
              <w:rPr>
                <w:rFonts w:ascii="Verdana" w:hAnsi="Verdana" w:cs="宋体"/>
                <w:kern w:val="0"/>
                <w:szCs w:val="21"/>
              </w:rPr>
            </w:pPr>
          </w:p>
        </w:tc>
        <w:tc>
          <w:tcPr>
            <w:tcW w:w="2619" w:type="dxa"/>
            <w:gridSpan w:val="2"/>
            <w:tcBorders>
              <w:top w:val="nil"/>
              <w:left w:val="nil"/>
              <w:bottom w:val="single" w:color="auto" w:sz="8" w:space="0"/>
              <w:right w:val="single" w:color="auto" w:sz="8" w:space="0"/>
            </w:tcBorders>
            <w:noWrap w:val="0"/>
            <w:vAlign w:val="center"/>
          </w:tcPr>
          <w:p w14:paraId="2270B76E">
            <w:pPr>
              <w:widowControl/>
              <w:spacing w:before="100" w:beforeAutospacing="1" w:after="100" w:afterAutospacing="1" w:line="240" w:lineRule="atLeast"/>
              <w:jc w:val="center"/>
              <w:rPr>
                <w:rFonts w:ascii="Verdana" w:hAnsi="Verdana" w:cs="宋体"/>
                <w:kern w:val="0"/>
                <w:szCs w:val="21"/>
              </w:rPr>
            </w:pPr>
          </w:p>
        </w:tc>
      </w:tr>
      <w:tr w14:paraId="4340926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50356">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5E58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E4FEC4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DBBE55">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7322" w:type="dxa"/>
            <w:gridSpan w:val="7"/>
            <w:tcBorders>
              <w:top w:val="nil"/>
              <w:left w:val="nil"/>
              <w:bottom w:val="single" w:color="auto" w:sz="8" w:space="0"/>
              <w:right w:val="single" w:color="auto" w:sz="8" w:space="0"/>
            </w:tcBorders>
            <w:noWrap w:val="0"/>
            <w:vAlign w:val="center"/>
          </w:tcPr>
          <w:p w14:paraId="3F300CB8">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0823068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88EAC15">
            <w:pPr>
              <w:widowControl/>
              <w:jc w:val="left"/>
              <w:rPr>
                <w:rFonts w:ascii="Verdana" w:hAnsi="Verdana" w:cs="宋体"/>
                <w:kern w:val="0"/>
                <w:szCs w:val="21"/>
              </w:rPr>
            </w:pPr>
          </w:p>
        </w:tc>
        <w:tc>
          <w:tcPr>
            <w:tcW w:w="7322" w:type="dxa"/>
            <w:gridSpan w:val="7"/>
            <w:tcBorders>
              <w:top w:val="nil"/>
              <w:left w:val="nil"/>
              <w:bottom w:val="single" w:color="auto" w:sz="8" w:space="0"/>
              <w:right w:val="single" w:color="auto" w:sz="8" w:space="0"/>
            </w:tcBorders>
            <w:noWrap w:val="0"/>
            <w:vAlign w:val="center"/>
          </w:tcPr>
          <w:p w14:paraId="499324D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425CC943">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12BE58B4">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05336">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0651F47F">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F8888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339D6215">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15D1B05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CD5567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14:paraId="26671DDD">
            <w:pPr>
              <w:widowControl/>
              <w:spacing w:before="100" w:beforeAutospacing="1" w:after="100" w:afterAutospacing="1" w:line="320" w:lineRule="atLeast"/>
              <w:jc w:val="left"/>
              <w:rPr>
                <w:rFonts w:ascii="Verdana" w:hAnsi="Verdana" w:cs="宋体"/>
                <w:kern w:val="0"/>
                <w:szCs w:val="21"/>
              </w:rPr>
            </w:pPr>
          </w:p>
          <w:p w14:paraId="56DE4AE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799" w:type="dxa"/>
            <w:gridSpan w:val="4"/>
            <w:tcBorders>
              <w:top w:val="nil"/>
              <w:left w:val="nil"/>
              <w:bottom w:val="single" w:color="auto" w:sz="8" w:space="0"/>
              <w:right w:val="single" w:color="auto" w:sz="8" w:space="0"/>
            </w:tcBorders>
            <w:noWrap w:val="0"/>
            <w:vAlign w:val="center"/>
          </w:tcPr>
          <w:p w14:paraId="4A62E8F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14:paraId="5E4415FD">
            <w:pPr>
              <w:widowControl/>
              <w:spacing w:before="100" w:beforeAutospacing="1" w:after="100" w:afterAutospacing="1" w:line="320" w:lineRule="atLeast"/>
              <w:ind w:firstLine="210" w:firstLineChars="100"/>
              <w:jc w:val="left"/>
              <w:rPr>
                <w:rFonts w:ascii="Verdana" w:hAnsi="Verdana" w:cs="宋体"/>
                <w:kern w:val="0"/>
                <w:szCs w:val="21"/>
              </w:rPr>
            </w:pPr>
          </w:p>
          <w:p w14:paraId="472623F6">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5C8EBCBA">
      <w:pPr>
        <w:numPr>
          <w:ilvl w:val="0"/>
          <w:numId w:val="3"/>
        </w:numPr>
        <w:spacing w:line="600" w:lineRule="exact"/>
        <w:jc w:val="center"/>
        <w:outlineLvl w:val="0"/>
        <w:rPr>
          <w:rFonts w:hint="eastAsia" w:ascii="宋体" w:hAnsi="宋体" w:cs="宋体"/>
          <w:b/>
          <w:sz w:val="44"/>
          <w:szCs w:val="44"/>
        </w:rPr>
      </w:pPr>
      <w:bookmarkStart w:id="31" w:name="_Toc6310"/>
      <w:bookmarkStart w:id="32" w:name="_Toc9392"/>
      <w:bookmarkStart w:id="33" w:name="_Toc7509"/>
      <w:bookmarkStart w:id="34" w:name="_Toc15307"/>
      <w:bookmarkStart w:id="35" w:name="_Toc28968"/>
      <w:r>
        <w:rPr>
          <w:rFonts w:hint="eastAsia" w:ascii="宋体" w:hAnsi="宋体" w:cs="宋体"/>
          <w:b/>
          <w:sz w:val="44"/>
          <w:szCs w:val="44"/>
        </w:rPr>
        <w:t>采购需求</w:t>
      </w:r>
      <w:bookmarkEnd w:id="31"/>
      <w:bookmarkEnd w:id="32"/>
      <w:bookmarkEnd w:id="33"/>
      <w:bookmarkEnd w:id="34"/>
      <w:bookmarkEnd w:id="35"/>
    </w:p>
    <w:p w14:paraId="0E8774E6">
      <w:pPr>
        <w:numPr>
          <w:ilvl w:val="0"/>
          <w:numId w:val="0"/>
        </w:numPr>
        <w:rPr>
          <w:rFonts w:hint="eastAsia"/>
        </w:rPr>
      </w:pPr>
      <w:r>
        <w:rPr>
          <w:rFonts w:hint="eastAsia"/>
        </w:rPr>
        <w:t>说明：</w:t>
      </w:r>
    </w:p>
    <w:p w14:paraId="57B4D80B">
      <w:pPr>
        <w:numPr>
          <w:ilvl w:val="0"/>
          <w:numId w:val="0"/>
        </w:numPr>
        <w:ind w:firstLine="420" w:firstLineChars="200"/>
        <w:rPr>
          <w:rFonts w:hint="eastAsia"/>
        </w:rPr>
      </w:pPr>
      <w:r>
        <w:rPr>
          <w:rFonts w:hint="eastAsia"/>
        </w:rPr>
        <w:t>1.为落实政府采购政策需满足的要求。</w:t>
      </w:r>
    </w:p>
    <w:p w14:paraId="286D70A9">
      <w:pPr>
        <w:numPr>
          <w:ilvl w:val="0"/>
          <w:numId w:val="0"/>
        </w:numPr>
        <w:ind w:firstLine="420" w:firstLineChars="200"/>
        <w:rPr>
          <w:rFonts w:hint="eastAsia"/>
        </w:rPr>
      </w:pPr>
      <w:r>
        <w:rPr>
          <w:rFonts w:hint="eastAsia"/>
        </w:rPr>
        <w:t>2.“采购需求”中所有要求均为实质性要求，不允许负偏离，否则视为无效响应。</w:t>
      </w:r>
    </w:p>
    <w:p w14:paraId="2062CDDC">
      <w:pPr>
        <w:numPr>
          <w:ilvl w:val="0"/>
          <w:numId w:val="0"/>
        </w:numPr>
        <w:ind w:firstLine="420" w:firstLineChars="200"/>
        <w:rPr>
          <w:rFonts w:hint="eastAsia"/>
        </w:rPr>
      </w:pPr>
      <w:r>
        <w:rPr>
          <w:rFonts w:hint="eastAsia"/>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14:paraId="5095EE37">
      <w:pPr>
        <w:numPr>
          <w:ilvl w:val="0"/>
          <w:numId w:val="0"/>
        </w:numPr>
        <w:ind w:firstLine="420" w:firstLineChars="200"/>
        <w:rPr>
          <w:rFonts w:hint="eastAsia"/>
        </w:rPr>
      </w:pPr>
      <w:r>
        <w:rPr>
          <w:rFonts w:hint="eastAsia"/>
        </w:rPr>
        <w:t>4.所属行业依照《中小企业划型标准规定》（工信部联企业〔2011〕300号）及《国民经济行业分类》（GB/T4754-2017）的有关规定执行。</w:t>
      </w:r>
      <w:r>
        <w:rPr>
          <w:rFonts w:hint="eastAsia"/>
          <w:b/>
          <w:bCs/>
          <w:u w:val="single"/>
        </w:rPr>
        <w:t>本采购项目所属行业为“物业管理”。</w:t>
      </w:r>
    </w:p>
    <w:p w14:paraId="37E1C18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200" w:leftChars="0" w:firstLine="64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项目</w:t>
      </w:r>
      <w:r>
        <w:rPr>
          <w:rFonts w:hint="eastAsia" w:ascii="Times New Roman" w:hAnsi="Times New Roman" w:eastAsia="黑体" w:cs="Times New Roman"/>
          <w:color w:val="auto"/>
          <w:sz w:val="32"/>
          <w:szCs w:val="32"/>
          <w:lang w:val="en-US" w:eastAsia="zh-CN"/>
        </w:rPr>
        <w:t>基本情况</w:t>
      </w:r>
    </w:p>
    <w:p w14:paraId="54F8311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lang w:val="en-US" w:eastAsia="zh-CN"/>
        </w:rPr>
        <w:t>项目名称：</w:t>
      </w:r>
      <w:r>
        <w:rPr>
          <w:rFonts w:hint="default" w:ascii="Nimbus Roman No9 L" w:hAnsi="Nimbus Roman No9 L" w:eastAsia="仿宋_GB2312" w:cs="Nimbus Roman No9 L"/>
          <w:color w:val="auto"/>
          <w:sz w:val="32"/>
          <w:szCs w:val="32"/>
          <w:highlight w:val="none"/>
          <w:lang w:eastAsia="zh-CN"/>
        </w:rPr>
        <w:t>防城港市民</w:t>
      </w:r>
      <w:r>
        <w:rPr>
          <w:rFonts w:hint="default" w:ascii="Nimbus Roman No9 L" w:hAnsi="Nimbus Roman No9 L" w:eastAsia="仿宋_GB2312" w:cs="Nimbus Roman No9 L"/>
          <w:color w:val="auto"/>
          <w:sz w:val="32"/>
          <w:szCs w:val="32"/>
          <w:highlight w:val="none"/>
        </w:rPr>
        <w:t>中心物业管理服务采购</w:t>
      </w:r>
    </w:p>
    <w:p w14:paraId="5A6BF4A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采购方式：竞争性谈判</w:t>
      </w:r>
    </w:p>
    <w:p w14:paraId="7C9E9EF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合同履行期限：2年</w:t>
      </w:r>
    </w:p>
    <w:p w14:paraId="7803CB2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u w:val="none"/>
          <w:lang w:val="en-US" w:eastAsia="zh-CN"/>
        </w:rPr>
      </w:pPr>
      <w:r>
        <w:rPr>
          <w:rFonts w:hint="default" w:ascii="Nimbus Roman No9 L" w:hAnsi="Nimbus Roman No9 L" w:eastAsia="仿宋_GB2312" w:cs="Nimbus Roman No9 L"/>
          <w:color w:val="auto"/>
          <w:sz w:val="32"/>
          <w:szCs w:val="32"/>
          <w:lang w:val="en-US" w:eastAsia="zh-CN"/>
        </w:rPr>
        <w:t>预算控制金额：</w:t>
      </w:r>
      <w:r>
        <w:rPr>
          <w:rFonts w:hint="default" w:ascii="Nimbus Roman No9 L" w:hAnsi="Nimbus Roman No9 L" w:eastAsia="仿宋_GB2312" w:cs="Nimbus Roman No9 L"/>
          <w:color w:val="auto"/>
          <w:sz w:val="32"/>
          <w:szCs w:val="32"/>
          <w:u w:val="none"/>
          <w:lang w:val="en-US" w:eastAsia="zh-CN"/>
        </w:rPr>
        <w:t>174万元</w:t>
      </w:r>
    </w:p>
    <w:p w14:paraId="599557B8">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200" w:leftChars="0" w:firstLine="64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申请企业资格要求</w:t>
      </w:r>
    </w:p>
    <w:p w14:paraId="387183A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（一）申请企业资格要求</w:t>
      </w:r>
    </w:p>
    <w:p w14:paraId="7040953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default" w:ascii="Nimbus Roman No9 L" w:hAnsi="Nimbus Roman No9 L" w:eastAsia="仿宋_GB2312" w:cs="Nimbus Roman No9 L"/>
          <w:color w:val="FF0000"/>
          <w:sz w:val="32"/>
          <w:szCs w:val="32"/>
          <w:lang w:val="en-US" w:eastAsia="zh-CN"/>
        </w:rPr>
      </w:pPr>
      <w:r>
        <w:rPr>
          <w:rFonts w:hint="default" w:ascii="Nimbus Roman No9 L" w:hAnsi="Nimbus Roman No9 L" w:eastAsia="仿宋_GB2312" w:cs="Nimbus Roman No9 L"/>
          <w:color w:val="auto"/>
          <w:sz w:val="32"/>
          <w:szCs w:val="32"/>
          <w:lang w:val="en-US" w:eastAsia="zh-CN"/>
        </w:rPr>
        <w:t>1.必须满足《中华人民共和国政府采购法》第二十二条规定；并提供有效的企业法人中华人民共和国工商营业执照副本复印件或法人资格凭证。</w:t>
      </w:r>
    </w:p>
    <w:p w14:paraId="600827C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eastAsia" w:ascii="Nimbus Roman No9 L" w:hAnsi="Nimbus Roman No9 L" w:eastAsia="仿宋_GB2312" w:cs="Nimbus Roman No9 L"/>
          <w:color w:val="auto"/>
          <w:sz w:val="32"/>
          <w:szCs w:val="32"/>
          <w:lang w:val="en-US" w:eastAsia="zh-CN"/>
        </w:rPr>
        <w:t>2.</w:t>
      </w:r>
      <w:r>
        <w:rPr>
          <w:rFonts w:hint="default" w:ascii="Nimbus Roman No9 L" w:hAnsi="Nimbus Roman No9 L" w:eastAsia="仿宋_GB2312" w:cs="Nimbus Roman No9 L"/>
          <w:color w:val="auto"/>
          <w:sz w:val="32"/>
          <w:szCs w:val="32"/>
          <w:lang w:val="en-US" w:eastAsia="zh-CN"/>
        </w:rPr>
        <w:t>本项目专门面向中小企业，所属行业为物业管理。</w:t>
      </w:r>
    </w:p>
    <w:p w14:paraId="76C5B93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eastAsia" w:ascii="Nimbus Roman No9 L" w:hAnsi="Nimbus Roman No9 L" w:eastAsia="仿宋_GB2312" w:cs="Nimbus Roman No9 L"/>
          <w:color w:val="auto"/>
          <w:sz w:val="32"/>
          <w:szCs w:val="32"/>
          <w:lang w:val="en-US" w:eastAsia="zh-CN"/>
        </w:rPr>
        <w:t>3</w:t>
      </w:r>
      <w:r>
        <w:rPr>
          <w:rFonts w:hint="default" w:ascii="Nimbus Roman No9 L" w:hAnsi="Nimbus Roman No9 L" w:eastAsia="仿宋_GB2312" w:cs="Nimbus Roman No9 L"/>
          <w:color w:val="auto"/>
          <w:sz w:val="32"/>
          <w:szCs w:val="32"/>
          <w:lang w:val="en-US" w:eastAsia="zh-CN"/>
        </w:rPr>
        <w:t>.落实政府采购政策满足的资格要求。</w:t>
      </w:r>
    </w:p>
    <w:p w14:paraId="2012E07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eastAsia" w:ascii="Nimbus Roman No9 L" w:hAnsi="Nimbus Roman No9 L" w:eastAsia="仿宋_GB2312" w:cs="Nimbus Roman No9 L"/>
          <w:color w:val="auto"/>
          <w:sz w:val="32"/>
          <w:szCs w:val="32"/>
          <w:lang w:val="en-US" w:eastAsia="zh-CN"/>
        </w:rPr>
        <w:t>4</w:t>
      </w:r>
      <w:r>
        <w:rPr>
          <w:rFonts w:hint="default" w:ascii="Nimbus Roman No9 L" w:hAnsi="Nimbus Roman No9 L" w:eastAsia="仿宋_GB2312" w:cs="Nimbus Roman No9 L"/>
          <w:color w:val="auto"/>
          <w:sz w:val="32"/>
          <w:szCs w:val="32"/>
          <w:lang w:val="en-US" w:eastAsia="zh-CN"/>
        </w:rPr>
        <w:t>.本项目特定资格要求：对“失信被执行人”和“重大税收违法失信主体”“中国政府采购网（www.ccgp.gov.cn）”网站的“政府采购严重违法失信行为记录名单”的供应商，拒绝参与本项目采购。</w:t>
      </w:r>
    </w:p>
    <w:p w14:paraId="07C43F3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b/>
          <w:bCs/>
          <w:color w:val="auto"/>
          <w:sz w:val="32"/>
          <w:szCs w:val="32"/>
          <w:lang w:val="en-US" w:eastAsia="zh-CN"/>
        </w:rPr>
      </w:pPr>
      <w:r>
        <w:rPr>
          <w:rFonts w:hint="eastAsia" w:ascii="Nimbus Roman No9 L" w:hAnsi="Nimbus Roman No9 L" w:eastAsia="仿宋_GB2312" w:cs="Nimbus Roman No9 L"/>
          <w:color w:val="auto"/>
          <w:sz w:val="32"/>
          <w:szCs w:val="32"/>
          <w:lang w:val="en-US" w:eastAsia="zh-CN"/>
        </w:rPr>
        <w:t>5</w:t>
      </w:r>
      <w:r>
        <w:rPr>
          <w:rFonts w:hint="default" w:ascii="Nimbus Roman No9 L" w:hAnsi="Nimbus Roman No9 L" w:eastAsia="仿宋_GB2312" w:cs="Nimbus Roman No9 L"/>
          <w:color w:val="auto"/>
          <w:sz w:val="32"/>
          <w:szCs w:val="32"/>
          <w:lang w:val="en-US" w:eastAsia="zh-CN"/>
        </w:rPr>
        <w:t>.本项目不接受联合体投标。</w:t>
      </w:r>
    </w:p>
    <w:p w14:paraId="5B6D8EF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eastAsia" w:ascii="CESI楷体-GB2312" w:hAnsi="CESI楷体-GB2312" w:eastAsia="CESI楷体-GB2312" w:cs="CESI楷体-GB2312"/>
          <w:b/>
          <w:bCs/>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（二）采购服务商家投标要求</w:t>
      </w:r>
    </w:p>
    <w:p w14:paraId="732C7AD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1.提供企业营业执照副本复印件、法人身份证复印件及无不良信用记录承诺书。</w:t>
      </w:r>
    </w:p>
    <w:p w14:paraId="7AF069D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2.提供物业服务管理方案（方案中包含企业的基本情况、管理制度、服务理念、服务内容和标准以及质量保证措施、人员费用、设备设施日常维护费用）。</w:t>
      </w:r>
    </w:p>
    <w:p w14:paraId="68C111C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（三）报价要求：</w:t>
      </w:r>
      <w:r>
        <w:rPr>
          <w:rFonts w:hint="default" w:ascii="Nimbus Roman No9 L" w:hAnsi="Nimbus Roman No9 L" w:eastAsia="仿宋_GB2312" w:cs="Nimbus Roman No9 L"/>
          <w:color w:val="auto"/>
          <w:sz w:val="32"/>
          <w:szCs w:val="32"/>
          <w:lang w:val="en-US" w:eastAsia="zh-CN"/>
        </w:rPr>
        <w:t>本次报价禁止以低价恶意竞价，结合物业人员配置及场馆内外日常维修服务外包要求，人均收入不能低于防城港市最低工资收入标准。</w:t>
      </w:r>
    </w:p>
    <w:p w14:paraId="3E4E59A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default" w:ascii="Nimbus Roman No9 L" w:hAnsi="Nimbus Roman No9 L" w:eastAsia="仿宋_GB2312" w:cs="Nimbus Roman No9 L"/>
          <w:strike/>
          <w:dstrike w:val="0"/>
          <w:color w:val="auto"/>
          <w:sz w:val="32"/>
          <w:szCs w:val="32"/>
          <w:u w:val="none"/>
          <w:lang w:val="en-US" w:eastAsia="zh-CN"/>
        </w:rPr>
      </w:pPr>
      <w:r>
        <w:rPr>
          <w:rFonts w:hint="eastAsia" w:ascii="CESI楷体-GB2312" w:hAnsi="CESI楷体-GB2312" w:eastAsia="CESI楷体-GB2312" w:cs="CESI楷体-GB2312"/>
          <w:b w:val="0"/>
          <w:bCs w:val="0"/>
          <w:color w:val="auto"/>
          <w:sz w:val="32"/>
          <w:szCs w:val="32"/>
          <w:lang w:val="en-US" w:eastAsia="zh-CN"/>
        </w:rPr>
        <w:t>（四）合同约定要求：</w:t>
      </w:r>
      <w:r>
        <w:rPr>
          <w:rFonts w:hint="default" w:ascii="Nimbus Roman No9 L" w:hAnsi="Nimbus Roman No9 L" w:eastAsia="仿宋_GB2312" w:cs="Nimbus Roman No9 L"/>
          <w:color w:val="auto"/>
          <w:sz w:val="32"/>
          <w:szCs w:val="32"/>
          <w:lang w:val="en-US" w:eastAsia="zh-CN"/>
        </w:rPr>
        <w:t>对于已确定的成交供应商在履行合同约定的时间范围内必须要达到采购方提出的所有服务要求，如在合同履行期内无法达到采购方提供的服务质量要求，采购方在协调之后，仍无效果的情况下有权单方面终止合同，且无需支付违约金。</w:t>
      </w:r>
    </w:p>
    <w:p w14:paraId="391E4DF1">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200" w:leftChars="0" w:firstLine="64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物业服务范围及基本情况</w:t>
      </w:r>
    </w:p>
    <w:p w14:paraId="3415E79D">
      <w:pPr>
        <w:keepNext w:val="0"/>
        <w:keepLines w:val="0"/>
        <w:pageBreakBefore w:val="0"/>
        <w:widowControl w:val="0"/>
        <w:kinsoku/>
        <w:wordWrap/>
        <w:overflowPunct/>
        <w:topLinePunct w:val="0"/>
        <w:autoSpaceDE/>
        <w:autoSpaceDN/>
        <w:bidi w:val="0"/>
        <w:adjustRightInd/>
        <w:snapToGrid/>
        <w:spacing w:line="574" w:lineRule="exact"/>
        <w:ind w:right="378" w:rightChars="180" w:firstLine="640" w:firstLineChars="200"/>
        <w:textAlignment w:val="auto"/>
        <w:rPr>
          <w:rFonts w:hint="default" w:ascii="Nimbus Roman No9 L" w:hAnsi="Nimbus Roman No9 L" w:eastAsia="仿宋_GB2312" w:cs="Nimbus Roman No9 L"/>
          <w:b/>
          <w:bCs/>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（一）服务地点：</w:t>
      </w:r>
      <w:r>
        <w:rPr>
          <w:rFonts w:hint="default" w:ascii="Nimbus Roman No9 L" w:hAnsi="Nimbus Roman No9 L" w:eastAsia="仿宋_GB2312" w:cs="Nimbus Roman No9 L"/>
          <w:color w:val="auto"/>
          <w:sz w:val="32"/>
          <w:szCs w:val="32"/>
          <w:lang w:val="en-US" w:eastAsia="zh-CN"/>
        </w:rPr>
        <w:t>防城港市港口区江山大道88号</w:t>
      </w:r>
    </w:p>
    <w:p w14:paraId="15F4CAEA">
      <w:pPr>
        <w:keepNext w:val="0"/>
        <w:keepLines w:val="0"/>
        <w:pageBreakBefore w:val="0"/>
        <w:widowControl w:val="0"/>
        <w:kinsoku/>
        <w:wordWrap/>
        <w:overflowPunct/>
        <w:topLinePunct w:val="0"/>
        <w:autoSpaceDE/>
        <w:autoSpaceDN/>
        <w:bidi w:val="0"/>
        <w:adjustRightInd/>
        <w:snapToGrid/>
        <w:spacing w:line="574" w:lineRule="exact"/>
        <w:ind w:firstLine="614" w:firstLineChars="192"/>
        <w:textAlignment w:val="auto"/>
        <w:rPr>
          <w:rFonts w:hint="default" w:ascii="Nimbus Roman No9 L" w:hAnsi="Nimbus Roman No9 L" w:eastAsia="仿宋_GB2312" w:cs="Nimbus Roman No9 L"/>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（二）服务面积：</w:t>
      </w:r>
      <w:r>
        <w:rPr>
          <w:rFonts w:hint="default" w:ascii="Nimbus Roman No9 L" w:hAnsi="Nimbus Roman No9 L" w:eastAsia="仿宋_GB2312" w:cs="Nimbus Roman No9 L"/>
          <w:color w:val="auto"/>
          <w:sz w:val="32"/>
          <w:szCs w:val="32"/>
        </w:rPr>
        <w:t>项目总建筑面积约</w:t>
      </w:r>
      <w:r>
        <w:rPr>
          <w:rFonts w:hint="default" w:ascii="Nimbus Roman No9 L" w:hAnsi="Nimbus Roman No9 L" w:eastAsia="仿宋_GB2312" w:cs="Nimbus Roman No9 L"/>
          <w:color w:val="auto"/>
          <w:sz w:val="32"/>
          <w:szCs w:val="32"/>
          <w:lang w:val="en-US" w:eastAsia="zh-CN"/>
        </w:rPr>
        <w:t>34528.28</w:t>
      </w:r>
      <w:r>
        <w:rPr>
          <w:rFonts w:hint="default" w:ascii="Nimbus Roman No9 L" w:hAnsi="Nimbus Roman No9 L" w:eastAsia="仿宋_GB2312" w:cs="Nimbus Roman No9 L"/>
          <w:color w:val="auto"/>
          <w:sz w:val="32"/>
          <w:szCs w:val="32"/>
        </w:rPr>
        <w:t>平方米</w:t>
      </w:r>
      <w:r>
        <w:rPr>
          <w:rFonts w:hint="default" w:ascii="Nimbus Roman No9 L" w:hAnsi="Nimbus Roman No9 L" w:eastAsia="仿宋_GB2312" w:cs="Nimbus Roman No9 L"/>
          <w:color w:val="auto"/>
          <w:sz w:val="32"/>
          <w:szCs w:val="32"/>
          <w:lang w:eastAsia="zh-CN"/>
        </w:rPr>
        <w:t>（室内</w:t>
      </w:r>
      <w:r>
        <w:rPr>
          <w:rFonts w:hint="default" w:ascii="Nimbus Roman No9 L" w:hAnsi="Nimbus Roman No9 L" w:eastAsia="仿宋_GB2312" w:cs="Nimbus Roman No9 L"/>
          <w:color w:val="auto"/>
          <w:sz w:val="32"/>
          <w:szCs w:val="32"/>
          <w:u w:val="none"/>
          <w:lang w:val="en-US" w:eastAsia="zh-CN"/>
        </w:rPr>
        <w:t>31028.28；室外3500</w:t>
      </w:r>
      <w:r>
        <w:rPr>
          <w:rFonts w:hint="default" w:ascii="Nimbus Roman No9 L" w:hAnsi="Nimbus Roman No9 L" w:eastAsia="仿宋_GB2312" w:cs="Nimbus Roman No9 L"/>
          <w:color w:val="auto"/>
          <w:sz w:val="32"/>
          <w:szCs w:val="32"/>
        </w:rPr>
        <w:t>平方米</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w:t>
      </w:r>
    </w:p>
    <w:p w14:paraId="706B1A65">
      <w:pPr>
        <w:keepNext w:val="0"/>
        <w:keepLines w:val="0"/>
        <w:pageBreakBefore w:val="0"/>
        <w:widowControl w:val="0"/>
        <w:kinsoku/>
        <w:wordWrap/>
        <w:overflowPunct/>
        <w:topLinePunct w:val="0"/>
        <w:autoSpaceDE/>
        <w:autoSpaceDN/>
        <w:bidi w:val="0"/>
        <w:adjustRightInd/>
        <w:snapToGrid/>
        <w:spacing w:line="574" w:lineRule="exact"/>
        <w:ind w:firstLine="614" w:firstLineChars="192"/>
        <w:textAlignment w:val="auto"/>
        <w:rPr>
          <w:rFonts w:hint="default" w:ascii="Nimbus Roman No9 L" w:hAnsi="Nimbus Roman No9 L" w:eastAsia="仿宋_GB2312" w:cs="Nimbus Roman No9 L"/>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（三）主要设施设备：</w:t>
      </w:r>
      <w:r>
        <w:rPr>
          <w:rFonts w:hint="default" w:ascii="Nimbus Roman No9 L" w:hAnsi="Nimbus Roman No9 L" w:eastAsia="仿宋_GB2312" w:cs="Nimbus Roman No9 L"/>
          <w:color w:val="auto"/>
          <w:sz w:val="32"/>
          <w:szCs w:val="32"/>
          <w:lang w:val="en-US" w:eastAsia="zh-CN"/>
        </w:rPr>
        <w:t>项目配置的主要设施设备：高、低压配电系统及其配套设备；消防系统及其配套设备；内部安防监控系统及其配套设备；中央空调系统及其配套设备；弱电系统及其配电设备；给、排水系统及其配套设备；电梯系统及其配套设备。</w:t>
      </w:r>
    </w:p>
    <w:p w14:paraId="2CB6A14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四、服务内容</w:t>
      </w:r>
    </w:p>
    <w:p w14:paraId="0CDB697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CESI楷体-GB2312" w:cs="Nimbus Roman No9 L"/>
          <w:color w:val="auto"/>
          <w:sz w:val="32"/>
          <w:szCs w:val="32"/>
          <w:lang w:val="en-US" w:eastAsia="zh-CN"/>
        </w:rPr>
      </w:pPr>
      <w:r>
        <w:rPr>
          <w:rFonts w:hint="default" w:ascii="Nimbus Roman No9 L" w:hAnsi="Nimbus Roman No9 L" w:eastAsia="CESI楷体-GB2312" w:cs="Nimbus Roman No9 L"/>
          <w:color w:val="auto"/>
          <w:sz w:val="32"/>
          <w:szCs w:val="32"/>
          <w:lang w:val="en-US" w:eastAsia="zh-CN"/>
        </w:rPr>
        <w:t>（一）房屋建筑本体日常维护和管理；</w:t>
      </w:r>
    </w:p>
    <w:p w14:paraId="045A4C7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CESI楷体-GB2312" w:cs="Nimbus Roman No9 L"/>
          <w:color w:val="auto"/>
          <w:sz w:val="32"/>
          <w:szCs w:val="32"/>
          <w:lang w:val="en-US" w:eastAsia="zh-CN"/>
        </w:rPr>
      </w:pPr>
      <w:r>
        <w:rPr>
          <w:rFonts w:hint="default" w:ascii="Nimbus Roman No9 L" w:hAnsi="Nimbus Roman No9 L" w:eastAsia="CESI楷体-GB2312" w:cs="Nimbus Roman No9 L"/>
          <w:color w:val="auto"/>
          <w:sz w:val="32"/>
          <w:szCs w:val="32"/>
          <w:lang w:val="en-US" w:eastAsia="zh-CN"/>
        </w:rPr>
        <w:t>（二）建筑附属设施设备日常维护和管理；</w:t>
      </w:r>
    </w:p>
    <w:p w14:paraId="3A620C8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CESI楷体-GB2312" w:cs="Nimbus Roman No9 L"/>
          <w:color w:val="auto"/>
          <w:sz w:val="32"/>
          <w:szCs w:val="32"/>
          <w:lang w:val="en-US" w:eastAsia="zh-CN"/>
        </w:rPr>
      </w:pPr>
      <w:r>
        <w:rPr>
          <w:rFonts w:hint="default" w:ascii="Nimbus Roman No9 L" w:hAnsi="Nimbus Roman No9 L" w:eastAsia="CESI楷体-GB2312" w:cs="Nimbus Roman No9 L"/>
          <w:color w:val="auto"/>
          <w:sz w:val="32"/>
          <w:szCs w:val="32"/>
          <w:lang w:val="en-US" w:eastAsia="zh-CN"/>
        </w:rPr>
        <w:t>（三）安全保卫服务管理；</w:t>
      </w:r>
    </w:p>
    <w:p w14:paraId="2D3B1CE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CESI楷体-GB2312" w:cs="Nimbus Roman No9 L"/>
          <w:color w:val="auto"/>
          <w:sz w:val="32"/>
          <w:szCs w:val="32"/>
          <w:lang w:val="en-US" w:eastAsia="zh-CN"/>
        </w:rPr>
      </w:pPr>
      <w:r>
        <w:rPr>
          <w:rFonts w:hint="default" w:ascii="Nimbus Roman No9 L" w:hAnsi="Nimbus Roman No9 L" w:eastAsia="CESI楷体-GB2312" w:cs="Nimbus Roman No9 L"/>
          <w:color w:val="auto"/>
          <w:sz w:val="32"/>
          <w:szCs w:val="32"/>
          <w:lang w:val="en-US" w:eastAsia="zh-CN"/>
        </w:rPr>
        <w:t>（四）卫生服务管理；</w:t>
      </w:r>
    </w:p>
    <w:p w14:paraId="7A77302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CESI楷体-GB2312" w:cs="Nimbus Roman No9 L"/>
          <w:color w:val="auto"/>
          <w:sz w:val="32"/>
          <w:szCs w:val="32"/>
          <w:lang w:val="en-US" w:eastAsia="zh-CN"/>
        </w:rPr>
      </w:pPr>
      <w:r>
        <w:rPr>
          <w:rFonts w:hint="default" w:ascii="Nimbus Roman No9 L" w:hAnsi="Nimbus Roman No9 L" w:eastAsia="CESI楷体-GB2312" w:cs="Nimbus Roman No9 L"/>
          <w:color w:val="auto"/>
          <w:sz w:val="32"/>
          <w:szCs w:val="32"/>
          <w:lang w:val="en-US" w:eastAsia="zh-CN"/>
        </w:rPr>
        <w:t>（五）绿化养护服务管理；</w:t>
      </w:r>
    </w:p>
    <w:p w14:paraId="61744FC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CESI楷体-GB2312" w:cs="Nimbus Roman No9 L"/>
          <w:b w:val="0"/>
          <w:bCs w:val="0"/>
          <w:color w:val="auto"/>
          <w:kern w:val="2"/>
          <w:sz w:val="32"/>
          <w:szCs w:val="32"/>
          <w:lang w:val="en-US" w:eastAsia="zh-CN" w:bidi="ar-SA"/>
        </w:rPr>
      </w:pPr>
      <w:r>
        <w:rPr>
          <w:rFonts w:hint="default" w:ascii="Nimbus Roman No9 L" w:hAnsi="Nimbus Roman No9 L" w:eastAsia="CESI楷体-GB2312" w:cs="Nimbus Roman No9 L"/>
          <w:b w:val="0"/>
          <w:bCs w:val="0"/>
          <w:color w:val="auto"/>
          <w:kern w:val="2"/>
          <w:sz w:val="32"/>
          <w:szCs w:val="32"/>
          <w:lang w:val="en-US" w:eastAsia="zh-CN" w:bidi="ar-SA"/>
        </w:rPr>
        <w:t>（六）配合业主做好后勤管理、</w:t>
      </w:r>
      <w:r>
        <w:rPr>
          <w:rFonts w:hint="default" w:ascii="Nimbus Roman No9 L" w:hAnsi="Nimbus Roman No9 L" w:eastAsia="CESI楷体-GB2312" w:cs="Nimbus Roman No9 L"/>
          <w:color w:val="auto"/>
          <w:sz w:val="32"/>
          <w:szCs w:val="32"/>
          <w:lang w:val="en-US" w:eastAsia="zh-CN"/>
        </w:rPr>
        <w:t>消防安全、</w:t>
      </w:r>
      <w:r>
        <w:rPr>
          <w:rFonts w:hint="default" w:ascii="Nimbus Roman No9 L" w:hAnsi="Nimbus Roman No9 L" w:eastAsia="CESI楷体-GB2312" w:cs="Nimbus Roman No9 L"/>
          <w:b w:val="0"/>
          <w:bCs w:val="0"/>
          <w:color w:val="auto"/>
          <w:kern w:val="2"/>
          <w:sz w:val="32"/>
          <w:szCs w:val="32"/>
          <w:lang w:val="en-US" w:eastAsia="zh-CN" w:bidi="ar-SA"/>
        </w:rPr>
        <w:t>垃圾分类实施、文明创城等工作；</w:t>
      </w:r>
    </w:p>
    <w:p w14:paraId="7DF8B40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CESI楷体-GB2312" w:cs="Nimbus Roman No9 L"/>
          <w:color w:val="auto"/>
          <w:sz w:val="32"/>
          <w:szCs w:val="32"/>
          <w:lang w:val="en-US" w:eastAsia="zh-CN"/>
        </w:rPr>
      </w:pPr>
      <w:r>
        <w:rPr>
          <w:rFonts w:hint="default" w:ascii="Nimbus Roman No9 L" w:hAnsi="Nimbus Roman No9 L" w:eastAsia="CESI楷体-GB2312" w:cs="Nimbus Roman No9 L"/>
          <w:color w:val="auto"/>
          <w:sz w:val="32"/>
          <w:szCs w:val="32"/>
          <w:lang w:eastAsia="zh-CN"/>
        </w:rPr>
        <w:t>（七）会务服务保障（项目配套的会务场地有信息发布厅1间，会议室3间，洽谈室6间）。</w:t>
      </w:r>
    </w:p>
    <w:p w14:paraId="79DA7A3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五、服务工作标准要求</w:t>
      </w:r>
    </w:p>
    <w:p w14:paraId="258E0B1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val="0"/>
          <w:bCs w:val="0"/>
          <w:color w:val="auto"/>
          <w:kern w:val="2"/>
          <w:sz w:val="32"/>
          <w:szCs w:val="32"/>
          <w:lang w:val="en-US" w:eastAsia="zh-CN" w:bidi="ar-SA"/>
        </w:rPr>
      </w:pPr>
      <w:r>
        <w:rPr>
          <w:rFonts w:hint="eastAsia" w:ascii="CESI楷体-GB2312" w:hAnsi="CESI楷体-GB2312" w:eastAsia="CESI楷体-GB2312" w:cs="CESI楷体-GB2312"/>
          <w:b w:val="0"/>
          <w:bCs w:val="0"/>
          <w:color w:val="auto"/>
          <w:kern w:val="2"/>
          <w:sz w:val="32"/>
          <w:szCs w:val="32"/>
          <w:lang w:val="en-US" w:eastAsia="zh-CN" w:bidi="ar-SA"/>
        </w:rPr>
        <w:t>（一）公共环境卫生保洁要求</w:t>
      </w:r>
    </w:p>
    <w:p w14:paraId="1263B07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1.室内卫生保洁标准</w:t>
      </w:r>
    </w:p>
    <w:p w14:paraId="65547D3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电梯厅、大厅、楼道及楼梯每日至少拖洗1次，楼梯扶手、电梯厢内及栏杆，每日至少擦拭1次；公用部分玻璃和楼道办公室门框、门板及楼道内设施设备外表每周至少擦拭1次；楼道（层）垃圾桶每日至少清理1次，每周至少冲洗1次。</w:t>
      </w:r>
    </w:p>
    <w:p w14:paraId="784468E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u w:val="none"/>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公共卫生间每日至少清洁2次，并及时清除异味。卫生间保持清洁、干净，洗手盆上无杂物、无纸屑、无积水；及时清理脚印、水渍；镜子每日全面擦拭清洁；大小便池内外无积便、无污垢；墙面、水管、隔断、门坎、窗台无灰尘，厕所内无异味；</w:t>
      </w:r>
      <w:r>
        <w:rPr>
          <w:rFonts w:hint="default" w:ascii="Nimbus Roman No9 L" w:hAnsi="Nimbus Roman No9 L" w:eastAsia="仿宋_GB2312" w:cs="Nimbus Roman No9 L"/>
          <w:b w:val="0"/>
          <w:bCs w:val="0"/>
          <w:color w:val="auto"/>
          <w:kern w:val="2"/>
          <w:sz w:val="32"/>
          <w:szCs w:val="32"/>
          <w:u w:val="none"/>
          <w:lang w:val="en-US" w:eastAsia="zh-CN" w:bidi="ar-SA"/>
        </w:rPr>
        <w:t>公共厕所香薰、纸巾、洗手液等卫浴消耗品由成交人负责。</w:t>
      </w:r>
    </w:p>
    <w:p w14:paraId="1424B81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（3）电梯每日至少拖洗、消毒2次，每月至少对电梯门壁打蜡上光1次。</w:t>
      </w:r>
    </w:p>
    <w:p w14:paraId="3BB0364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（4）工作日有专人负责巡查保洁，保持室内干净清洁，保持排水通畅，无遗弃物、无满溢污迹、无残留散落物、无异味，发现设施设备损坏及时报告。</w:t>
      </w:r>
    </w:p>
    <w:p w14:paraId="43EDAD0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strike w:val="0"/>
          <w:color w:val="auto"/>
          <w:kern w:val="2"/>
          <w:sz w:val="32"/>
          <w:szCs w:val="32"/>
          <w:lang w:val="en-US" w:eastAsia="zh-CN" w:bidi="ar-SA"/>
        </w:rPr>
      </w:pPr>
      <w:r>
        <w:rPr>
          <w:rFonts w:hint="default" w:ascii="Nimbus Roman No9 L" w:hAnsi="Nimbus Roman No9 L" w:eastAsia="仿宋_GB2312" w:cs="Nimbus Roman No9 L"/>
          <w:b w:val="0"/>
          <w:bCs w:val="0"/>
          <w:strike w:val="0"/>
          <w:dstrike w:val="0"/>
          <w:color w:val="auto"/>
          <w:kern w:val="2"/>
          <w:sz w:val="32"/>
          <w:szCs w:val="32"/>
          <w:lang w:val="en-US" w:eastAsia="zh-CN" w:bidi="ar-SA"/>
        </w:rPr>
        <w:t>（5）督促窗口单位做好本单位内部的卫生清洁。</w:t>
      </w:r>
    </w:p>
    <w:p w14:paraId="4E21098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（6）公共会议室会前会后都要保持室内干净清洁，室内的地面、墙壁、桌椅上无杂物、无污痕、无尘挂。</w:t>
      </w:r>
    </w:p>
    <w:p w14:paraId="6628B78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（7）室内特定场所的清洁打扫要在业主工作人员带领下作业，未经允许严禁涉足，具体区域按业主规定执行。</w:t>
      </w:r>
    </w:p>
    <w:p w14:paraId="28886EE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2.室外卫生保洁标准</w:t>
      </w:r>
    </w:p>
    <w:p w14:paraId="00BAECE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及时清扫大门前绿地及室外广场公共场所，每日至少清扫2次。工作日上班时间有专人巡查保洁，做到无明显暴露垃圾，无卫生死角；及时清除水泥、砖地面上的杂草；明沟每周至少清扫1次；院内路面每季度至少冲洗1次。</w:t>
      </w:r>
    </w:p>
    <w:p w14:paraId="22D6522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（2）果皮箱、垃圾桶每日至少清理2次，每周至少擦试2次，垃圾箱内胆每周至少冲洗2次以上，做到无满溢、无异味、无污迹。</w:t>
      </w:r>
    </w:p>
    <w:p w14:paraId="24F181A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（3）及时收集垃圾和清运各类垃圾，做到日产日清，并督促环卫站及时清运，垃圾收集点周围地面无散落垃圾、无污迹、无异味。</w:t>
      </w:r>
    </w:p>
    <w:p w14:paraId="30A60C6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（4）明沟每周至少清扫1次，每月至少疏通1次，下雨天及时清扫主要道路积水、泥沙和落叶，及时清扫楼顶落叶和垃圾，保证排水通畅防止雨水倒灌进入办公楼影响办公秩序，道路每季度至少冲洗1次。</w:t>
      </w:r>
    </w:p>
    <w:p w14:paraId="16B9BC5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（5）做好门前“三包”保洁工作，服务区域公共场所地面无纸屑、油渍、痰迹、口香糖、果皮、烟头、白色垃圾等。</w:t>
      </w:r>
    </w:p>
    <w:p w14:paraId="74C92F7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（6）大门玻璃每日至少清洁1次，玻璃门（窗、墙）光亮、清洁、无污迹、水迹、灰尘及明显手印。</w:t>
      </w:r>
    </w:p>
    <w:p w14:paraId="008751F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（7）及时进行消除四害，每季度至少灭“四害”1次，每月对污水井、沟、垃圾堆放点至少洒药水1次。</w:t>
      </w:r>
    </w:p>
    <w:p w14:paraId="55B93C5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（8）垃圾100%日产日清，及时转运，不能停留过夜。</w:t>
      </w:r>
    </w:p>
    <w:p w14:paraId="0DFFA4E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u w:val="none"/>
          <w:lang w:val="en-US" w:eastAsia="zh-CN" w:bidi="ar-SA"/>
        </w:rPr>
      </w:pPr>
      <w:r>
        <w:rPr>
          <w:rFonts w:hint="default" w:ascii="Nimbus Roman No9 L" w:hAnsi="Nimbus Roman No9 L" w:eastAsia="仿宋_GB2312" w:cs="Nimbus Roman No9 L"/>
          <w:b w:val="0"/>
          <w:bCs w:val="0"/>
          <w:color w:val="auto"/>
          <w:kern w:val="2"/>
          <w:sz w:val="32"/>
          <w:szCs w:val="32"/>
          <w:u w:val="none"/>
          <w:lang w:val="en-US" w:eastAsia="zh-CN" w:bidi="ar-SA"/>
        </w:rPr>
        <w:t>（9）保洁所需工具、清洁用剂由成交人负责。</w:t>
      </w:r>
    </w:p>
    <w:p w14:paraId="0F840AD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strike w:val="0"/>
          <w:dstrike w:val="0"/>
          <w:color w:val="auto"/>
          <w:kern w:val="2"/>
          <w:sz w:val="32"/>
          <w:szCs w:val="32"/>
          <w:u w:val="none"/>
          <w:lang w:val="en-US" w:eastAsia="zh-CN" w:bidi="ar-SA"/>
        </w:rPr>
      </w:pPr>
      <w:r>
        <w:rPr>
          <w:rFonts w:hint="default" w:ascii="Nimbus Roman No9 L" w:hAnsi="Nimbus Roman No9 L" w:eastAsia="仿宋_GB2312" w:cs="Nimbus Roman No9 L"/>
          <w:b w:val="0"/>
          <w:bCs w:val="0"/>
          <w:strike w:val="0"/>
          <w:dstrike w:val="0"/>
          <w:color w:val="auto"/>
          <w:kern w:val="2"/>
          <w:sz w:val="32"/>
          <w:szCs w:val="32"/>
          <w:u w:val="none"/>
          <w:lang w:val="en-US" w:eastAsia="zh-CN" w:bidi="ar-SA"/>
        </w:rPr>
        <w:t>（10）生活垃圾清运由成交人负责。</w:t>
      </w:r>
    </w:p>
    <w:p w14:paraId="569581E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CESI楷体-GB2312" w:cs="Nimbus Roman No9 L"/>
          <w:b w:val="0"/>
          <w:bCs w:val="0"/>
          <w:color w:val="auto"/>
          <w:kern w:val="2"/>
          <w:sz w:val="32"/>
          <w:szCs w:val="32"/>
          <w:lang w:val="en-US" w:eastAsia="zh-CN" w:bidi="ar-SA"/>
        </w:rPr>
      </w:pPr>
      <w:r>
        <w:rPr>
          <w:rFonts w:hint="default" w:ascii="Nimbus Roman No9 L" w:hAnsi="Nimbus Roman No9 L" w:eastAsia="CESI楷体-GB2312" w:cs="Nimbus Roman No9 L"/>
          <w:b w:val="0"/>
          <w:bCs w:val="0"/>
          <w:color w:val="auto"/>
          <w:kern w:val="2"/>
          <w:sz w:val="32"/>
          <w:szCs w:val="32"/>
          <w:lang w:val="en-US" w:eastAsia="zh-CN" w:bidi="ar-SA"/>
        </w:rPr>
        <w:t>（二）安全保卫维护要求</w:t>
      </w:r>
    </w:p>
    <w:p w14:paraId="5F4A03B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1.安保人员须着制式工作服，佩戴相应保安标志及工作牌，禁止穿拖鞋或凉鞋上岗。</w:t>
      </w:r>
    </w:p>
    <w:p w14:paraId="1AC5416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w:t>
      </w:r>
      <w:r>
        <w:rPr>
          <w:rFonts w:hint="default" w:ascii="Nimbus Roman No9 L" w:hAnsi="Nimbus Roman No9 L" w:eastAsia="仿宋_GB2312" w:cs="Nimbus Roman No9 L"/>
          <w:color w:val="auto"/>
          <w:sz w:val="32"/>
          <w:szCs w:val="32"/>
        </w:rPr>
        <w:t>监控室实行24小时值班、24小时监控，确保无漏岗、脱岗等失职现象</w:t>
      </w:r>
      <w:r>
        <w:rPr>
          <w:rFonts w:hint="default" w:ascii="Nimbus Roman No9 L" w:hAnsi="Nimbus Roman No9 L" w:eastAsia="仿宋_GB2312" w:cs="Nimbus Roman No9 L"/>
          <w:color w:val="auto"/>
          <w:sz w:val="32"/>
          <w:szCs w:val="32"/>
          <w:lang w:eastAsia="zh-CN"/>
        </w:rPr>
        <w:t>。</w:t>
      </w:r>
    </w:p>
    <w:p w14:paraId="6820652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w:t>
      </w:r>
      <w:r>
        <w:rPr>
          <w:rFonts w:hint="default" w:ascii="Nimbus Roman No9 L" w:hAnsi="Nimbus Roman No9 L" w:eastAsia="仿宋_GB2312" w:cs="Nimbus Roman No9 L"/>
          <w:color w:val="auto"/>
          <w:sz w:val="32"/>
          <w:szCs w:val="32"/>
        </w:rPr>
        <w:t>物业管理区域内实行24小时值班</w:t>
      </w:r>
      <w:r>
        <w:rPr>
          <w:rFonts w:hint="default" w:ascii="Nimbus Roman No9 L" w:hAnsi="Nimbus Roman No9 L" w:eastAsia="仿宋_GB2312" w:cs="Nimbus Roman No9 L"/>
          <w:color w:val="auto"/>
          <w:sz w:val="32"/>
          <w:szCs w:val="32"/>
          <w:lang w:eastAsia="zh-CN"/>
        </w:rPr>
        <w:t>。提供全天候的公共秩序维护服务和安全服务，维护人员、财产和建筑物的安全。认真做好晚上清场工作，杜绝无关人员逗留。</w:t>
      </w:r>
      <w:r>
        <w:rPr>
          <w:rFonts w:hint="default" w:ascii="Nimbus Roman No9 L" w:hAnsi="Nimbus Roman No9 L" w:eastAsia="仿宋_GB2312" w:cs="Nimbus Roman No9 L"/>
          <w:b w:val="0"/>
          <w:bCs w:val="0"/>
          <w:color w:val="auto"/>
          <w:kern w:val="2"/>
          <w:sz w:val="32"/>
          <w:szCs w:val="32"/>
          <w:lang w:val="en-US" w:eastAsia="zh-CN" w:bidi="ar-SA"/>
        </w:rPr>
        <w:t>对进出的施工、维修等人员实行临时出入登记管理。</w:t>
      </w:r>
    </w:p>
    <w:p w14:paraId="70E3D4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4.禁止载有易燃、易爆、有毒、有害及其它危险物品的车辆进入管理区域。</w:t>
      </w:r>
    </w:p>
    <w:p w14:paraId="51DC7BC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5.检查进出大门的大件物资。物资送入时，要认真登记检查，防止危险物品带入；院内物资、设备运出要凭业主的放行条放行。</w:t>
      </w:r>
    </w:p>
    <w:p w14:paraId="0FF14E5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6.对门口周围交通管理及安全秩序维护，不准机动车和非机动车在门口停放，确保大门区域出入畅通。</w:t>
      </w:r>
    </w:p>
    <w:p w14:paraId="79C19BA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7.建立安全应急预案，配备足够的保安人员，保证24小时上岗执勤，不得发生脱岗现象。</w:t>
      </w:r>
    </w:p>
    <w:p w14:paraId="6FC03CB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8.物业服务企业需在业主的指导下，严密开展安全保卫工作。</w:t>
      </w:r>
    </w:p>
    <w:p w14:paraId="54E2A15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9.由于物业管理不到位，在物业管理办公区域内发生盗窃并造成损失的，经主管或公安部门调查鉴定后，视情节严重程度，由物业公司承担相应责任和进行相应经济赔偿。</w:t>
      </w:r>
    </w:p>
    <w:p w14:paraId="42D4DDE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10.每个月通报一次服务区内安全保卫管理工作情况，重大事项及时通报。</w:t>
      </w:r>
    </w:p>
    <w:p w14:paraId="0911582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CESI楷体-GB2312" w:cs="Nimbus Roman No9 L"/>
          <w:b w:val="0"/>
          <w:bCs w:val="0"/>
          <w:color w:val="auto"/>
          <w:kern w:val="2"/>
          <w:sz w:val="32"/>
          <w:szCs w:val="32"/>
          <w:lang w:val="en-US" w:eastAsia="zh-CN" w:bidi="ar-SA"/>
        </w:rPr>
      </w:pPr>
      <w:r>
        <w:rPr>
          <w:rFonts w:hint="default" w:ascii="Nimbus Roman No9 L" w:hAnsi="Nimbus Roman No9 L" w:eastAsia="CESI楷体-GB2312" w:cs="Nimbus Roman No9 L"/>
          <w:b w:val="0"/>
          <w:bCs w:val="0"/>
          <w:color w:val="auto"/>
          <w:kern w:val="2"/>
          <w:sz w:val="32"/>
          <w:szCs w:val="32"/>
          <w:lang w:val="en-US" w:eastAsia="zh-CN" w:bidi="ar-SA"/>
        </w:rPr>
        <w:t>（三）绿化养护管理要求</w:t>
      </w:r>
    </w:p>
    <w:p w14:paraId="6A5AF04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1.办公楼内的植物管理、养护工作(含浇水、施肥、松土、培土、除草、清除残枝枯叶、病虫害防治、修枝、造型等工作)，</w:t>
      </w:r>
      <w:r>
        <w:rPr>
          <w:rFonts w:hint="eastAsia" w:ascii="仿宋_GB2312" w:hAnsi="仿宋_GB2312" w:eastAsia="仿宋_GB2312" w:cs="仿宋_GB2312"/>
          <w:b w:val="0"/>
          <w:bCs w:val="0"/>
          <w:color w:val="auto"/>
          <w:kern w:val="2"/>
          <w:sz w:val="32"/>
          <w:szCs w:val="32"/>
          <w:u w:val="none"/>
          <w:lang w:val="en-US" w:eastAsia="zh-CN" w:bidi="ar-SA"/>
        </w:rPr>
        <w:t>绿化养护工具、农药化肥、绿化垃圾清运由成交人负责。</w:t>
      </w:r>
    </w:p>
    <w:p w14:paraId="3AE4EB0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u w:val="none"/>
          <w:lang w:val="en-US" w:eastAsia="zh-CN"/>
        </w:rPr>
      </w:pPr>
      <w:r>
        <w:rPr>
          <w:rFonts w:hint="default" w:ascii="Nimbus Roman No9 L" w:hAnsi="Nimbus Roman No9 L" w:eastAsia="仿宋_GB2312" w:cs="Nimbus Roman No9 L"/>
          <w:color w:val="auto"/>
          <w:sz w:val="32"/>
          <w:szCs w:val="32"/>
          <w:u w:val="none"/>
          <w:lang w:val="en-US" w:eastAsia="zh-CN"/>
        </w:rPr>
        <w:t>2.配合甲方做好室内重大节日的盆植摆设以及其小面积移植、补种、换种、改造等工作，苗木费由业主负责。</w:t>
      </w:r>
    </w:p>
    <w:p w14:paraId="14C2E8B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u w:val="none"/>
          <w:lang w:val="en-US" w:eastAsia="zh-CN"/>
        </w:rPr>
      </w:pPr>
      <w:r>
        <w:rPr>
          <w:rFonts w:hint="default" w:ascii="Nimbus Roman No9 L" w:hAnsi="Nimbus Roman No9 L" w:eastAsia="仿宋_GB2312" w:cs="Nimbus Roman No9 L"/>
          <w:color w:val="auto"/>
          <w:sz w:val="32"/>
          <w:szCs w:val="32"/>
          <w:u w:val="none"/>
          <w:lang w:val="en-US" w:eastAsia="zh-CN"/>
        </w:rPr>
        <w:t>3.及时做好台风、雨季、霜冻等恶劣天气下绿植的防护工作，树木支撑耗材费用由成交人负责。</w:t>
      </w:r>
    </w:p>
    <w:p w14:paraId="5ACD366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val="0"/>
          <w:bCs w:val="0"/>
          <w:color w:val="auto"/>
          <w:kern w:val="2"/>
          <w:sz w:val="32"/>
          <w:szCs w:val="32"/>
          <w:lang w:val="en-US" w:eastAsia="zh-CN" w:bidi="ar-SA"/>
        </w:rPr>
      </w:pPr>
      <w:r>
        <w:rPr>
          <w:rFonts w:hint="eastAsia" w:ascii="CESI楷体-GB2312" w:hAnsi="CESI楷体-GB2312" w:eastAsia="CESI楷体-GB2312" w:cs="CESI楷体-GB2312"/>
          <w:b w:val="0"/>
          <w:bCs w:val="0"/>
          <w:color w:val="auto"/>
          <w:kern w:val="2"/>
          <w:sz w:val="32"/>
          <w:szCs w:val="32"/>
          <w:lang w:val="en-US" w:eastAsia="zh-CN" w:bidi="ar-SA"/>
        </w:rPr>
        <w:t>（四）设备设施运维管理服务要求</w:t>
      </w:r>
    </w:p>
    <w:p w14:paraId="170CC93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w:t>
      </w:r>
      <w:r>
        <w:rPr>
          <w:rFonts w:hint="default" w:ascii="Nimbus Roman No9 L" w:hAnsi="Nimbus Roman No9 L" w:eastAsia="仿宋_GB2312" w:cs="Nimbus Roman No9 L"/>
          <w:b w:val="0"/>
          <w:bCs w:val="0"/>
          <w:color w:val="auto"/>
          <w:kern w:val="2"/>
          <w:sz w:val="32"/>
          <w:szCs w:val="32"/>
          <w:lang w:val="en-US" w:eastAsia="zh-CN" w:bidi="ar-SA"/>
        </w:rPr>
        <w:t>.建立健全设备管理制度和重要机房管理制度，明确各种岗位工作标准，并制定具体的落实措施和考核办法。</w:t>
      </w:r>
    </w:p>
    <w:p w14:paraId="7409141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2.管理档案资料收集齐全、分类清晰、管理完善；建立设备台账，登记详细，账物相符。</w:t>
      </w:r>
    </w:p>
    <w:p w14:paraId="105B849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3.严格按规范做好设备管理服务，确保各类设备系统正常使用。设备机房环境整洁，物品摆放有序；机房内严禁吸烟、饮酒等，无关人员不得随意入内。</w:t>
      </w:r>
    </w:p>
    <w:p w14:paraId="3DCBFAA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4.落实设备安全运行的岗位责任制；定期巡检和完成设备设施的日常维修保养，严格执行维修保养和操作使用规程，并按规定记录设备运行状况。</w:t>
      </w:r>
    </w:p>
    <w:p w14:paraId="18EE6EA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5.设立服务电话，执行24小时值班值勤制度（包括在岗值班、电话值班），随时接受业主对物业管理报修、求助、建议、问询、质疑、投拆等各类信息的收集和反馈，并及时处理，有回访制度和记录。</w:t>
      </w:r>
    </w:p>
    <w:p w14:paraId="5E9A1C1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6.在接到维修通知后，应在10分钟内到达现场，维修及时率保证达到100%。原则上要求小修修复期限为3小时。</w:t>
      </w:r>
    </w:p>
    <w:p w14:paraId="2BB07FA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7.加强日常工作巡查，及时发现并解决问题，做好问题处理情况的记录。严格按操作规程进行操作；出现电梯故障等有关问题，接报后应在15分钟内到达现场，并通知电梯维保单位解决电梯故障问题。</w:t>
      </w:r>
    </w:p>
    <w:p w14:paraId="72A7776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8.及时记录各类维修材料损耗和流向情况，定期分析物耗具体原因，每月向采购人提供物耗清单和分析报告。</w:t>
      </w:r>
    </w:p>
    <w:p w14:paraId="7AC2B0D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9.</w:t>
      </w:r>
      <w:r>
        <w:rPr>
          <w:rFonts w:hint="default" w:ascii="Nimbus Roman No9 L" w:hAnsi="Nimbus Roman No9 L" w:eastAsia="仿宋_GB2312" w:cs="Nimbus Roman No9 L"/>
          <w:b w:val="0"/>
          <w:bCs w:val="0"/>
          <w:strike w:val="0"/>
          <w:dstrike w:val="0"/>
          <w:color w:val="auto"/>
          <w:kern w:val="2"/>
          <w:sz w:val="32"/>
          <w:szCs w:val="32"/>
          <w:lang w:val="en-US" w:eastAsia="zh-CN" w:bidi="ar-SA"/>
        </w:rPr>
        <w:t>制订供电、给排水等事故应急处理方案。</w:t>
      </w:r>
      <w:r>
        <w:rPr>
          <w:rFonts w:hint="default" w:ascii="Nimbus Roman No9 L" w:hAnsi="Nimbus Roman No9 L" w:eastAsia="仿宋_GB2312" w:cs="Nimbus Roman No9 L"/>
          <w:b w:val="0"/>
          <w:bCs w:val="0"/>
          <w:color w:val="auto"/>
          <w:kern w:val="2"/>
          <w:sz w:val="32"/>
          <w:szCs w:val="32"/>
          <w:lang w:val="en-US" w:eastAsia="zh-CN" w:bidi="ar-SA"/>
        </w:rPr>
        <w:t>有计划限停水电时，应按规定通知业主。一旦发生事故，维修人员须在15分钟内抵现场抢修。</w:t>
      </w:r>
    </w:p>
    <w:p w14:paraId="1A985CD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u w:val="none"/>
          <w:lang w:val="en-US" w:eastAsia="zh-CN" w:bidi="ar-SA"/>
        </w:rPr>
      </w:pPr>
      <w:r>
        <w:rPr>
          <w:rFonts w:hint="default" w:ascii="Nimbus Roman No9 L" w:hAnsi="Nimbus Roman No9 L" w:eastAsia="仿宋_GB2312" w:cs="Nimbus Roman No9 L"/>
          <w:b w:val="0"/>
          <w:bCs w:val="0"/>
          <w:color w:val="auto"/>
          <w:kern w:val="2"/>
          <w:sz w:val="32"/>
          <w:szCs w:val="32"/>
          <w:u w:val="none"/>
          <w:lang w:val="en-US" w:eastAsia="zh-CN" w:bidi="ar-SA"/>
        </w:rPr>
        <w:t>10.场馆日常公共维护维修由成交人负责，并进一步向采购人提出合理化建议。成交人不按规定时限维护维修设备设施的，由业主在当季物业费中按市场价扣除维护维修相关费用。</w:t>
      </w:r>
    </w:p>
    <w:p w14:paraId="1F56F9D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b w:val="0"/>
          <w:bCs w:val="0"/>
          <w:color w:val="auto"/>
          <w:kern w:val="2"/>
          <w:sz w:val="32"/>
          <w:szCs w:val="32"/>
          <w:lang w:val="en-US" w:eastAsia="zh-CN" w:bidi="ar-SA"/>
        </w:rPr>
        <w:t>11.协助做好电梯、消防、空调等维保单位的监管和现场协调工作，记录维保单位的服务情况，及时向业主反映维保单位的工作情况；协助做好装修施工单位的现场监管和协调工作。</w:t>
      </w:r>
    </w:p>
    <w:p w14:paraId="658A5B2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bCs/>
          <w:color w:val="auto"/>
          <w:kern w:val="2"/>
          <w:sz w:val="32"/>
          <w:szCs w:val="32"/>
          <w:lang w:val="en-US" w:eastAsia="zh-CN" w:bidi="ar-SA"/>
        </w:rPr>
      </w:pPr>
      <w:r>
        <w:rPr>
          <w:rFonts w:hint="eastAsia" w:ascii="CESI楷体-GB2312" w:hAnsi="CESI楷体-GB2312" w:eastAsia="CESI楷体-GB2312" w:cs="CESI楷体-GB2312"/>
          <w:b w:val="0"/>
          <w:bCs w:val="0"/>
          <w:color w:val="auto"/>
          <w:kern w:val="2"/>
          <w:sz w:val="32"/>
          <w:szCs w:val="32"/>
          <w:lang w:val="en-US" w:eastAsia="zh-CN" w:bidi="ar-SA"/>
        </w:rPr>
        <w:t>（五）供电系统管理维护要求</w:t>
      </w:r>
    </w:p>
    <w:p w14:paraId="2D03343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1.按照要求对电线电缆、电气照明、指示灯具、配电送电（含应急发电机组）等系统和设备进行巡检、日常维护、运行管理、零星小修等。</w:t>
      </w:r>
    </w:p>
    <w:p w14:paraId="2550AED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2.制定停电应急处置预案，遇有故障，维修人员在15分钟内（特殊情况除外）到达现场进行抢修，发现重大故障及时报告。</w:t>
      </w:r>
    </w:p>
    <w:p w14:paraId="051041F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3.合理做好维修保养计划，储备有足够的小修耗材，能及时快速地维修一般故障。</w:t>
      </w:r>
    </w:p>
    <w:p w14:paraId="064C1A3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val="0"/>
          <w:bCs w:val="0"/>
          <w:strike w:val="0"/>
          <w:dstrike w:val="0"/>
          <w:color w:val="auto"/>
          <w:kern w:val="2"/>
          <w:sz w:val="32"/>
          <w:szCs w:val="32"/>
          <w:lang w:val="en-US" w:eastAsia="zh-CN" w:bidi="ar-SA"/>
        </w:rPr>
      </w:pPr>
      <w:r>
        <w:rPr>
          <w:rFonts w:hint="eastAsia" w:ascii="CESI楷体-GB2312" w:hAnsi="CESI楷体-GB2312" w:eastAsia="CESI楷体-GB2312" w:cs="CESI楷体-GB2312"/>
          <w:b w:val="0"/>
          <w:bCs w:val="0"/>
          <w:strike w:val="0"/>
          <w:dstrike w:val="0"/>
          <w:color w:val="auto"/>
          <w:kern w:val="2"/>
          <w:sz w:val="32"/>
          <w:szCs w:val="32"/>
          <w:lang w:val="en-US" w:eastAsia="zh-CN" w:bidi="ar-SA"/>
        </w:rPr>
        <w:t>（六）给排水系统管理维护要求</w:t>
      </w:r>
    </w:p>
    <w:p w14:paraId="4EE0D14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1.按照要求对上下水道、阀门、管道、落水管、等系统和设备进行巡检、日常维护、运行管理、零星小修等。</w:t>
      </w:r>
    </w:p>
    <w:p w14:paraId="3F48719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2.建立用水、供水管理制度、积极协助用户安排合理的用水和节水计划。</w:t>
      </w:r>
    </w:p>
    <w:p w14:paraId="130F63B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3.设备、阀门、管道工作正常、无跑冒滴漏，密切监控水电能耗状况，发现异常及时报告并排查原因。</w:t>
      </w:r>
    </w:p>
    <w:p w14:paraId="08A62B0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4.限水、停水按规定时间通知业主。</w:t>
      </w:r>
    </w:p>
    <w:p w14:paraId="51279D4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5.排水系统通畅，汛期道路无积水，设备房无积水，浸泡发生。</w:t>
      </w:r>
    </w:p>
    <w:p w14:paraId="00DF037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6.无大面积漏水、喷水、长时间停水现象；制定事故应急处理预案。</w:t>
      </w:r>
    </w:p>
    <w:p w14:paraId="7500854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7.遇有故障，维修人员在15分钟内（特殊情况除外）到达现场进行抢修，发现重大故障及时报告。</w:t>
      </w:r>
    </w:p>
    <w:p w14:paraId="3A9D082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8.遇有故障，及时通知维保单位到达现场进行抢修，发现重大故障及时报告采购人。</w:t>
      </w:r>
    </w:p>
    <w:p w14:paraId="6AC2626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val="0"/>
          <w:bCs w:val="0"/>
          <w:color w:val="auto"/>
          <w:kern w:val="2"/>
          <w:sz w:val="32"/>
          <w:szCs w:val="32"/>
          <w:lang w:val="en-US" w:eastAsia="zh-CN" w:bidi="ar-SA"/>
        </w:rPr>
      </w:pPr>
      <w:r>
        <w:rPr>
          <w:rFonts w:hint="eastAsia" w:ascii="CESI楷体-GB2312" w:hAnsi="CESI楷体-GB2312" w:eastAsia="CESI楷体-GB2312" w:cs="CESI楷体-GB2312"/>
          <w:b w:val="0"/>
          <w:bCs w:val="0"/>
          <w:color w:val="auto"/>
          <w:kern w:val="2"/>
          <w:sz w:val="32"/>
          <w:szCs w:val="32"/>
          <w:lang w:val="en-US" w:eastAsia="zh-CN" w:bidi="ar-SA"/>
        </w:rPr>
        <w:t>（七）消防检查管理要求</w:t>
      </w:r>
    </w:p>
    <w:p w14:paraId="4FF2E702">
      <w:pPr>
        <w:keepNext w:val="0"/>
        <w:keepLines w:val="0"/>
        <w:pageBreakBefore w:val="0"/>
        <w:widowControl w:val="0"/>
        <w:kinsoku/>
        <w:wordWrap/>
        <w:overflowPunct/>
        <w:topLinePunct w:val="0"/>
        <w:autoSpaceDE/>
        <w:autoSpaceDN/>
        <w:bidi w:val="0"/>
        <w:adjustRightInd/>
        <w:snapToGrid/>
        <w:spacing w:line="574" w:lineRule="exact"/>
        <w:ind w:firstLine="56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w:t>
      </w:r>
      <w:r>
        <w:rPr>
          <w:rFonts w:hint="default" w:ascii="Nimbus Roman No9 L" w:hAnsi="Nimbus Roman No9 L" w:eastAsia="仿宋_GB2312" w:cs="Nimbus Roman No9 L"/>
          <w:b w:val="0"/>
          <w:bCs w:val="0"/>
          <w:color w:val="auto"/>
          <w:kern w:val="2"/>
          <w:sz w:val="32"/>
          <w:szCs w:val="32"/>
          <w:lang w:val="en-US" w:eastAsia="zh-CN" w:bidi="ar-SA"/>
        </w:rPr>
        <w:t>定期对消防水泵、消防栓、消防柜、灭火器、消防控制台、消防管道、烟感器、喷淋头、安全出口等消防系统、设备进行检查，发现故障及时上报业主。</w:t>
      </w:r>
    </w:p>
    <w:p w14:paraId="77364955">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2.掌握消防设施设备的使用方法并能及时处理各种问题。</w:t>
      </w:r>
    </w:p>
    <w:p w14:paraId="5A90E28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3.组织开展消防法规及消防知识的宣传教育，明确各区域防火责任人。</w:t>
      </w:r>
    </w:p>
    <w:p w14:paraId="4FEE27F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4.制定有突发火灾应急方案，在明显处设立消防疏散示意图。照明设施、引路标志完好，紧急疏散通道畅通无阻。</w:t>
      </w:r>
    </w:p>
    <w:p w14:paraId="2A1552E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5.消防用电有严格的管理规定。室内电线、插座安装规范，无安全隐患。</w:t>
      </w:r>
    </w:p>
    <w:p w14:paraId="67AD9FC5">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6.定期排查所属区域内火灾安全隐患，发现问题及时报告。</w:t>
      </w:r>
    </w:p>
    <w:p w14:paraId="3334ADA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7.遇有突发火灾事故，小火灾立即组织扑灭，火情较大时立即拨打119报警，并及时报告相关领导。</w:t>
      </w:r>
    </w:p>
    <w:p w14:paraId="308DC9F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val="0"/>
          <w:bCs w:val="0"/>
          <w:strike w:val="0"/>
          <w:dstrike w:val="0"/>
          <w:color w:val="auto"/>
          <w:kern w:val="2"/>
          <w:sz w:val="32"/>
          <w:szCs w:val="32"/>
          <w:lang w:val="en-US" w:eastAsia="zh-CN" w:bidi="ar-SA"/>
        </w:rPr>
      </w:pPr>
      <w:r>
        <w:rPr>
          <w:rFonts w:hint="eastAsia" w:ascii="CESI楷体-GB2312" w:hAnsi="CESI楷体-GB2312" w:eastAsia="CESI楷体-GB2312" w:cs="CESI楷体-GB2312"/>
          <w:b w:val="0"/>
          <w:bCs w:val="0"/>
          <w:strike w:val="0"/>
          <w:dstrike w:val="0"/>
          <w:color w:val="auto"/>
          <w:kern w:val="2"/>
          <w:sz w:val="32"/>
          <w:szCs w:val="32"/>
          <w:lang w:val="en-US" w:eastAsia="zh-CN" w:bidi="ar-SA"/>
        </w:rPr>
        <w:t>（八）电梯运行维护要求</w:t>
      </w:r>
    </w:p>
    <w:p w14:paraId="7E0B950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1.协助业主做好电梯维修保养。</w:t>
      </w:r>
    </w:p>
    <w:p w14:paraId="790C60A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2.按照要求对电梯进行日常保洁、运行管理等。</w:t>
      </w:r>
    </w:p>
    <w:p w14:paraId="7480538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3.安全设施齐全，巡查通风、散热、照明及附属设施完好，轿厢、并道、机房保持整洁。</w:t>
      </w:r>
    </w:p>
    <w:p w14:paraId="40136D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b w:val="0"/>
          <w:bCs w:val="0"/>
          <w:color w:val="auto"/>
          <w:kern w:val="2"/>
          <w:sz w:val="32"/>
          <w:szCs w:val="32"/>
          <w:lang w:val="en-US" w:eastAsia="zh-CN" w:bidi="ar-SA"/>
        </w:rPr>
      </w:pPr>
      <w:r>
        <w:rPr>
          <w:rFonts w:hint="default" w:ascii="Nimbus Roman No9 L" w:hAnsi="Nimbus Roman No9 L" w:eastAsia="仿宋_GB2312" w:cs="Nimbus Roman No9 L"/>
          <w:b w:val="0"/>
          <w:bCs w:val="0"/>
          <w:color w:val="auto"/>
          <w:kern w:val="2"/>
          <w:sz w:val="32"/>
          <w:szCs w:val="32"/>
          <w:lang w:val="en-US" w:eastAsia="zh-CN" w:bidi="ar-SA"/>
        </w:rPr>
        <w:t>4.运行出现险情后，有排除险情的应急处理措施，及时报告业主及维保单位到现场进行处理。</w:t>
      </w:r>
    </w:p>
    <w:p w14:paraId="797CF9B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CESI楷体-GB2312" w:hAnsi="CESI楷体-GB2312" w:eastAsia="CESI楷体-GB2312" w:cs="CESI楷体-GB2312"/>
          <w:b w:val="0"/>
          <w:bCs w:val="0"/>
          <w:color w:val="auto"/>
          <w:lang w:val="en-US" w:eastAsia="zh-CN"/>
        </w:rPr>
      </w:pPr>
      <w:r>
        <w:rPr>
          <w:rFonts w:hint="eastAsia" w:ascii="CESI楷体-GB2312" w:hAnsi="CESI楷体-GB2312" w:eastAsia="CESI楷体-GB2312" w:cs="CESI楷体-GB2312"/>
          <w:b w:val="0"/>
          <w:bCs w:val="0"/>
          <w:color w:val="auto"/>
          <w:kern w:val="2"/>
          <w:sz w:val="32"/>
          <w:szCs w:val="32"/>
          <w:lang w:val="en-US" w:eastAsia="zh-CN" w:bidi="ar-SA"/>
        </w:rPr>
        <w:t>（九）其他服务内容</w:t>
      </w:r>
    </w:p>
    <w:p w14:paraId="069EA89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b/>
          <w:bCs/>
          <w:color w:val="000000"/>
          <w:sz w:val="32"/>
          <w:szCs w:val="32"/>
          <w:lang w:val="en-US" w:eastAsia="zh-CN"/>
        </w:rPr>
      </w:pPr>
      <w:r>
        <w:rPr>
          <w:rFonts w:hint="default" w:ascii="Nimbus Roman No9 L" w:hAnsi="Nimbus Roman No9 L" w:eastAsia="仿宋_GB2312" w:cs="Nimbus Roman No9 L"/>
          <w:color w:val="auto"/>
          <w:sz w:val="32"/>
          <w:szCs w:val="32"/>
          <w:lang w:val="en-US" w:eastAsia="zh-CN"/>
        </w:rPr>
        <w:t>配合业主方</w:t>
      </w:r>
      <w:r>
        <w:rPr>
          <w:rFonts w:hint="default" w:ascii="Nimbus Roman No9 L" w:hAnsi="Nimbus Roman No9 L" w:eastAsia="仿宋_GB2312" w:cs="Nimbus Roman No9 L"/>
          <w:color w:val="auto"/>
          <w:sz w:val="32"/>
          <w:szCs w:val="32"/>
          <w:lang w:eastAsia="zh-CN"/>
        </w:rPr>
        <w:t>至少2人按时抄表作业、并力求抄表正确、准时，每月将水电的使用情况做水电分析、并汇报采购方。</w:t>
      </w:r>
      <w:r>
        <w:rPr>
          <w:rFonts w:hint="default" w:ascii="Nimbus Roman No9 L" w:hAnsi="Nimbus Roman No9 L" w:eastAsia="仿宋_GB2312" w:cs="Nimbus Roman No9 L"/>
          <w:color w:val="auto"/>
          <w:sz w:val="32"/>
          <w:szCs w:val="32"/>
          <w:lang w:val="en-US" w:eastAsia="zh-CN"/>
        </w:rPr>
        <w:t>完成业主交办的其他工作任务</w:t>
      </w:r>
      <w:r>
        <w:rPr>
          <w:rFonts w:hint="eastAsia" w:ascii="Nimbus Roman No9 L" w:hAnsi="Nimbus Roman No9 L" w:eastAsia="仿宋_GB2312" w:cs="Nimbus Roman No9 L"/>
          <w:color w:val="000000"/>
          <w:sz w:val="32"/>
          <w:szCs w:val="32"/>
          <w:lang w:val="en-US" w:eastAsia="zh-CN"/>
        </w:rPr>
        <w:t>(含维修窗帘杆、桌椅、小家具等）</w:t>
      </w:r>
      <w:r>
        <w:rPr>
          <w:rFonts w:hint="default" w:ascii="Nimbus Roman No9 L" w:hAnsi="Nimbus Roman No9 L" w:eastAsia="仿宋_GB2312" w:cs="Nimbus Roman No9 L"/>
          <w:color w:val="000000"/>
          <w:sz w:val="32"/>
          <w:szCs w:val="32"/>
          <w:lang w:val="en-US" w:eastAsia="zh-CN"/>
        </w:rPr>
        <w:t>。</w:t>
      </w:r>
    </w:p>
    <w:p w14:paraId="7CA8359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、物业人员配备要求</w:t>
      </w:r>
    </w:p>
    <w:p w14:paraId="5DCB4E6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按照物业服务需求配足相关专业人员，物业经理（兼会务）1名，水电维修1人，保安5人，保洁12人。</w:t>
      </w:r>
    </w:p>
    <w:p w14:paraId="5CC1D12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p>
    <w:tbl>
      <w:tblPr>
        <w:tblStyle w:val="23"/>
        <w:tblW w:w="4992" w:type="pct"/>
        <w:tblInd w:w="0" w:type="dxa"/>
        <w:tblLayout w:type="autofit"/>
        <w:tblCellMar>
          <w:top w:w="0" w:type="dxa"/>
          <w:left w:w="15" w:type="dxa"/>
          <w:bottom w:w="0" w:type="dxa"/>
          <w:right w:w="15" w:type="dxa"/>
        </w:tblCellMar>
      </w:tblPr>
      <w:tblGrid>
        <w:gridCol w:w="894"/>
        <w:gridCol w:w="693"/>
        <w:gridCol w:w="4782"/>
        <w:gridCol w:w="2423"/>
        <w:gridCol w:w="968"/>
      </w:tblGrid>
      <w:tr w14:paraId="4ECAEC6C">
        <w:tblPrEx>
          <w:tblCellMar>
            <w:top w:w="0" w:type="dxa"/>
            <w:left w:w="15" w:type="dxa"/>
            <w:bottom w:w="0" w:type="dxa"/>
            <w:right w:w="15"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14:paraId="563FF2B6">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岗位</w:t>
            </w:r>
          </w:p>
        </w:tc>
        <w:tc>
          <w:tcPr>
            <w:tcW w:w="355" w:type="pct"/>
            <w:tcBorders>
              <w:top w:val="single" w:color="000000" w:sz="4" w:space="0"/>
              <w:left w:val="nil"/>
              <w:bottom w:val="single" w:color="000000" w:sz="4" w:space="0"/>
              <w:right w:val="single" w:color="000000" w:sz="4" w:space="0"/>
            </w:tcBorders>
            <w:noWrap w:val="0"/>
            <w:vAlign w:val="center"/>
          </w:tcPr>
          <w:p w14:paraId="1C654E22">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人数</w:t>
            </w:r>
          </w:p>
        </w:tc>
        <w:tc>
          <w:tcPr>
            <w:tcW w:w="2449" w:type="pct"/>
            <w:tcBorders>
              <w:top w:val="single" w:color="000000" w:sz="4" w:space="0"/>
              <w:left w:val="nil"/>
              <w:bottom w:val="single" w:color="000000" w:sz="4" w:space="0"/>
              <w:right w:val="single" w:color="000000" w:sz="4" w:space="0"/>
            </w:tcBorders>
            <w:noWrap w:val="0"/>
            <w:vAlign w:val="center"/>
          </w:tcPr>
          <w:p w14:paraId="01572865">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条件</w:t>
            </w:r>
          </w:p>
        </w:tc>
        <w:tc>
          <w:tcPr>
            <w:tcW w:w="1241" w:type="pct"/>
            <w:tcBorders>
              <w:top w:val="single" w:color="000000" w:sz="4" w:space="0"/>
              <w:left w:val="nil"/>
              <w:bottom w:val="single" w:color="000000" w:sz="4" w:space="0"/>
              <w:right w:val="single" w:color="000000" w:sz="4" w:space="0"/>
            </w:tcBorders>
            <w:noWrap w:val="0"/>
            <w:vAlign w:val="center"/>
          </w:tcPr>
          <w:p w14:paraId="66C195FB">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职责</w:t>
            </w:r>
          </w:p>
        </w:tc>
        <w:tc>
          <w:tcPr>
            <w:tcW w:w="494" w:type="pct"/>
            <w:tcBorders>
              <w:top w:val="single" w:color="000000" w:sz="4" w:space="0"/>
              <w:left w:val="nil"/>
              <w:bottom w:val="single" w:color="auto" w:sz="4" w:space="0"/>
              <w:right w:val="single" w:color="000000" w:sz="4" w:space="0"/>
            </w:tcBorders>
            <w:noWrap w:val="0"/>
            <w:vAlign w:val="center"/>
          </w:tcPr>
          <w:p w14:paraId="1B532865">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备注</w:t>
            </w:r>
          </w:p>
        </w:tc>
      </w:tr>
      <w:tr w14:paraId="39AB6F07">
        <w:tblPrEx>
          <w:tblCellMar>
            <w:top w:w="0" w:type="dxa"/>
            <w:left w:w="15" w:type="dxa"/>
            <w:bottom w:w="0" w:type="dxa"/>
            <w:right w:w="15"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14:paraId="2C5172BB">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物业</w:t>
            </w:r>
          </w:p>
          <w:p w14:paraId="23E1CCD6">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经理</w:t>
            </w:r>
            <w:r>
              <w:rPr>
                <w:rFonts w:hint="default" w:ascii="Times New Roman" w:hAnsi="Times New Roman" w:eastAsia="仿宋_GB2312" w:cs="Times New Roman"/>
                <w:color w:val="auto"/>
                <w:sz w:val="24"/>
                <w:szCs w:val="24"/>
                <w:lang w:eastAsia="zh-CN"/>
              </w:rPr>
              <w:t>（兼职会务）</w:t>
            </w:r>
          </w:p>
        </w:tc>
        <w:tc>
          <w:tcPr>
            <w:tcW w:w="355" w:type="pct"/>
            <w:tcBorders>
              <w:top w:val="single" w:color="000000" w:sz="4" w:space="0"/>
              <w:left w:val="nil"/>
              <w:bottom w:val="single" w:color="000000" w:sz="4" w:space="0"/>
              <w:right w:val="single" w:color="000000" w:sz="4" w:space="0"/>
            </w:tcBorders>
            <w:noWrap w:val="0"/>
            <w:vAlign w:val="center"/>
          </w:tcPr>
          <w:p w14:paraId="0974CB0E">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449" w:type="pct"/>
            <w:tcBorders>
              <w:top w:val="single" w:color="000000" w:sz="4" w:space="0"/>
              <w:left w:val="nil"/>
              <w:bottom w:val="single" w:color="000000" w:sz="4" w:space="0"/>
              <w:right w:val="single" w:color="000000" w:sz="4" w:space="0"/>
            </w:tcBorders>
            <w:noWrap w:val="0"/>
            <w:vAlign w:val="center"/>
          </w:tcPr>
          <w:p w14:paraId="6FE936D7">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right="0" w:rightChars="0" w:firstLine="0" w:firstLineChars="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val="0"/>
                <w:color w:val="auto"/>
                <w:kern w:val="2"/>
                <w:sz w:val="24"/>
                <w:szCs w:val="24"/>
                <w:lang w:val="en-US" w:eastAsia="zh-CN" w:bidi="ar-SA"/>
              </w:rPr>
              <w:t>男女不限，年龄55岁以下；政治素质高，大专（含大专）以上文化程度</w:t>
            </w:r>
            <w:r>
              <w:rPr>
                <w:rFonts w:hint="eastAsia" w:ascii="Times New Roman" w:hAnsi="Times New Roman" w:eastAsia="仿宋_GB2312" w:cs="Times New Roman"/>
                <w:b w:val="0"/>
                <w:bCs w:val="0"/>
                <w:color w:val="000000"/>
                <w:kern w:val="2"/>
                <w:sz w:val="24"/>
                <w:szCs w:val="24"/>
                <w:lang w:val="en-US" w:eastAsia="zh-CN" w:bidi="ar-SA"/>
              </w:rPr>
              <w:t>（需提供相关</w:t>
            </w:r>
            <w:r>
              <w:rPr>
                <w:rFonts w:hint="eastAsia" w:eastAsia="仿宋_GB2312" w:cs="Times New Roman"/>
                <w:b w:val="0"/>
                <w:bCs w:val="0"/>
                <w:color w:val="000000"/>
                <w:kern w:val="2"/>
                <w:sz w:val="24"/>
                <w:szCs w:val="24"/>
                <w:lang w:val="en-US" w:eastAsia="zh-CN" w:bidi="ar-SA"/>
              </w:rPr>
              <w:t>证明</w:t>
            </w:r>
            <w:r>
              <w:rPr>
                <w:rFonts w:hint="eastAsia" w:ascii="Times New Roman" w:hAnsi="Times New Roman" w:eastAsia="仿宋_GB2312" w:cs="Times New Roman"/>
                <w:b w:val="0"/>
                <w:bCs w:val="0"/>
                <w:color w:val="000000"/>
                <w:kern w:val="2"/>
                <w:sz w:val="24"/>
                <w:szCs w:val="24"/>
                <w:lang w:val="en-US" w:eastAsia="zh-CN" w:bidi="ar-SA"/>
              </w:rPr>
              <w:t>材料）</w:t>
            </w:r>
            <w:r>
              <w:rPr>
                <w:rFonts w:hint="default" w:ascii="Times New Roman" w:hAnsi="Times New Roman" w:eastAsia="仿宋_GB2312" w:cs="Times New Roman"/>
                <w:b w:val="0"/>
                <w:bCs w:val="0"/>
                <w:color w:val="auto"/>
                <w:kern w:val="2"/>
                <w:sz w:val="24"/>
                <w:szCs w:val="24"/>
                <w:lang w:val="en-US" w:eastAsia="zh-CN" w:bidi="ar-SA"/>
              </w:rPr>
              <w:t>；接受过系统的会务工作培训，反应灵敏，身体健康；纪律性强、工作认真负</w:t>
            </w:r>
            <w:r>
              <w:rPr>
                <w:rFonts w:hint="default" w:ascii="Times New Roman" w:hAnsi="Times New Roman" w:eastAsia="仿宋_GB2312" w:cs="Times New Roman"/>
                <w:color w:val="auto"/>
                <w:sz w:val="24"/>
                <w:szCs w:val="24"/>
                <w:lang w:val="en-US" w:eastAsia="zh-CN"/>
              </w:rPr>
              <w:t xml:space="preserve">责、能吃苦耐劳，无不良记录。熟悉办公设备、用品的操作规程。 </w:t>
            </w:r>
          </w:p>
        </w:tc>
        <w:tc>
          <w:tcPr>
            <w:tcW w:w="1241" w:type="pct"/>
            <w:tcBorders>
              <w:top w:val="single" w:color="000000" w:sz="4" w:space="0"/>
              <w:left w:val="nil"/>
              <w:bottom w:val="single" w:color="auto" w:sz="4" w:space="0"/>
              <w:right w:val="single" w:color="000000" w:sz="4" w:space="0"/>
            </w:tcBorders>
            <w:noWrap w:val="0"/>
            <w:vAlign w:val="center"/>
          </w:tcPr>
          <w:p w14:paraId="6B5A377C">
            <w:pPr>
              <w:keepNext w:val="0"/>
              <w:keepLines w:val="0"/>
              <w:pageBreakBefore w:val="0"/>
              <w:kinsoku/>
              <w:wordWrap w:val="0"/>
              <w:overflowPunct/>
              <w:topLinePunct w:val="0"/>
              <w:autoSpaceDE/>
              <w:autoSpaceDN/>
              <w:bidi w:val="0"/>
              <w:adjustRightInd w:val="0"/>
              <w:snapToGrid w:val="0"/>
              <w:spacing w:line="360" w:lineRule="exact"/>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u w:val="none"/>
              </w:rPr>
              <w:t>专职在岗，负责统筹指挥、管理、安保、保洁、绿化、工程维修等物业服务工作；并且能够与</w:t>
            </w:r>
            <w:r>
              <w:rPr>
                <w:rFonts w:hint="default" w:ascii="Times New Roman" w:hAnsi="Times New Roman" w:eastAsia="仿宋_GB2312" w:cs="Times New Roman"/>
                <w:color w:val="auto"/>
                <w:sz w:val="24"/>
                <w:szCs w:val="24"/>
                <w:u w:val="none"/>
                <w:lang w:val="en-US" w:eastAsia="zh-CN"/>
              </w:rPr>
              <w:t>业主</w:t>
            </w:r>
            <w:r>
              <w:rPr>
                <w:rFonts w:hint="default" w:ascii="Times New Roman" w:hAnsi="Times New Roman" w:eastAsia="仿宋_GB2312" w:cs="Times New Roman"/>
                <w:color w:val="auto"/>
                <w:sz w:val="24"/>
                <w:szCs w:val="24"/>
                <w:u w:val="none"/>
              </w:rPr>
              <w:t>及时沟通联系和协调。</w:t>
            </w:r>
            <w:r>
              <w:rPr>
                <w:rFonts w:hint="default" w:ascii="Times New Roman" w:hAnsi="Times New Roman" w:eastAsia="仿宋_GB2312" w:cs="Times New Roman"/>
                <w:color w:val="auto"/>
                <w:sz w:val="24"/>
                <w:szCs w:val="24"/>
                <w:lang w:eastAsia="zh-CN"/>
              </w:rPr>
              <w:t>负责会务工作。</w:t>
            </w:r>
          </w:p>
        </w:tc>
        <w:tc>
          <w:tcPr>
            <w:tcW w:w="494" w:type="pct"/>
            <w:tcBorders>
              <w:top w:val="single" w:color="auto" w:sz="4" w:space="0"/>
              <w:left w:val="nil"/>
              <w:bottom w:val="single" w:color="auto" w:sz="4" w:space="0"/>
              <w:right w:val="single" w:color="000000" w:sz="4" w:space="0"/>
            </w:tcBorders>
            <w:noWrap w:val="0"/>
            <w:vAlign w:val="center"/>
          </w:tcPr>
          <w:p w14:paraId="282784D5">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p>
        </w:tc>
      </w:tr>
      <w:tr w14:paraId="53E5827F">
        <w:tblPrEx>
          <w:tblCellMar>
            <w:top w:w="0" w:type="dxa"/>
            <w:left w:w="15" w:type="dxa"/>
            <w:bottom w:w="0" w:type="dxa"/>
            <w:right w:w="15"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14:paraId="5F05EDE3">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水电维修人员</w:t>
            </w:r>
          </w:p>
        </w:tc>
        <w:tc>
          <w:tcPr>
            <w:tcW w:w="355" w:type="pct"/>
            <w:tcBorders>
              <w:top w:val="single" w:color="000000" w:sz="4" w:space="0"/>
              <w:left w:val="nil"/>
              <w:bottom w:val="single" w:color="000000" w:sz="4" w:space="0"/>
              <w:right w:val="single" w:color="000000" w:sz="4" w:space="0"/>
            </w:tcBorders>
            <w:noWrap w:val="0"/>
            <w:vAlign w:val="center"/>
          </w:tcPr>
          <w:p w14:paraId="0212C674">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2449" w:type="pct"/>
            <w:tcBorders>
              <w:top w:val="single" w:color="000000" w:sz="4" w:space="0"/>
              <w:left w:val="nil"/>
              <w:bottom w:val="single" w:color="000000" w:sz="4" w:space="0"/>
              <w:right w:val="single" w:color="000000" w:sz="4" w:space="0"/>
            </w:tcBorders>
            <w:noWrap w:val="0"/>
            <w:vAlign w:val="center"/>
          </w:tcPr>
          <w:p w14:paraId="0B9FDDC7">
            <w:pPr>
              <w:pStyle w:val="9"/>
              <w:keepNext w:val="0"/>
              <w:keepLines w:val="0"/>
              <w:pageBreakBefore w:val="0"/>
              <w:kinsoku/>
              <w:overflowPunct/>
              <w:topLinePunct w:val="0"/>
              <w:autoSpaceDE/>
              <w:autoSpaceDN/>
              <w:bidi w:val="0"/>
              <w:spacing w:line="360" w:lineRule="exact"/>
              <w:rPr>
                <w:rFonts w:hint="eastAsia" w:ascii="Times New Roman" w:hAnsi="Times New Roman" w:eastAsia="仿宋_GB2312" w:cs="Times New Roman"/>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男</w:t>
            </w:r>
            <w:r>
              <w:rPr>
                <w:rFonts w:hint="eastAsia" w:ascii="Times New Roman" w:hAnsi="Times New Roman" w:eastAsia="仿宋_GB2312" w:cs="Times New Roman"/>
                <w:b w:val="0"/>
                <w:bCs w:val="0"/>
                <w:color w:val="auto"/>
                <w:kern w:val="2"/>
                <w:sz w:val="24"/>
                <w:szCs w:val="24"/>
                <w:lang w:val="en-US" w:eastAsia="zh-CN" w:bidi="ar-SA"/>
              </w:rPr>
              <w:t>女不限，年龄55岁以下；身体健康、专业为电气工程、建筑设备工程、暖通等相关专业，持有电工证、高压操作证等相关专业资格证书</w:t>
            </w:r>
            <w:r>
              <w:rPr>
                <w:rFonts w:hint="eastAsia" w:ascii="Times New Roman" w:hAnsi="Times New Roman" w:eastAsia="仿宋_GB2312" w:cs="Times New Roman"/>
                <w:b w:val="0"/>
                <w:bCs w:val="0"/>
                <w:color w:val="000000"/>
                <w:kern w:val="2"/>
                <w:sz w:val="24"/>
                <w:szCs w:val="24"/>
                <w:lang w:val="en-US" w:eastAsia="zh-CN" w:bidi="ar-SA"/>
              </w:rPr>
              <w:t>（需提供相关</w:t>
            </w:r>
            <w:r>
              <w:rPr>
                <w:rFonts w:hint="eastAsia" w:eastAsia="仿宋_GB2312" w:cs="Times New Roman"/>
                <w:b w:val="0"/>
                <w:bCs w:val="0"/>
                <w:color w:val="000000"/>
                <w:kern w:val="2"/>
                <w:sz w:val="24"/>
                <w:szCs w:val="24"/>
                <w:lang w:val="en-US" w:eastAsia="zh-CN" w:bidi="ar-SA"/>
              </w:rPr>
              <w:t>证明</w:t>
            </w:r>
            <w:r>
              <w:rPr>
                <w:rFonts w:hint="eastAsia" w:ascii="Times New Roman" w:hAnsi="Times New Roman" w:eastAsia="仿宋_GB2312" w:cs="Times New Roman"/>
                <w:b w:val="0"/>
                <w:bCs w:val="0"/>
                <w:color w:val="000000"/>
                <w:kern w:val="2"/>
                <w:sz w:val="24"/>
                <w:szCs w:val="24"/>
                <w:lang w:val="en-US" w:eastAsia="zh-CN" w:bidi="ar-SA"/>
              </w:rPr>
              <w:t>材料）</w:t>
            </w:r>
            <w:r>
              <w:rPr>
                <w:rFonts w:hint="eastAsia" w:ascii="Times New Roman" w:hAnsi="Times New Roman" w:eastAsia="仿宋_GB2312" w:cs="Times New Roman"/>
                <w:b w:val="0"/>
                <w:bCs w:val="0"/>
                <w:color w:val="auto"/>
                <w:kern w:val="2"/>
                <w:sz w:val="24"/>
                <w:szCs w:val="24"/>
                <w:lang w:val="en-US" w:eastAsia="zh-CN" w:bidi="ar-SA"/>
              </w:rPr>
              <w:t>。具有3年以上的物业水电工工作经验</w:t>
            </w:r>
            <w:r>
              <w:rPr>
                <w:rFonts w:hint="eastAsia" w:ascii="Times New Roman" w:hAnsi="Times New Roman" w:eastAsia="仿宋_GB2312" w:cs="Times New Roman"/>
                <w:b w:val="0"/>
                <w:bCs w:val="0"/>
                <w:color w:val="000000"/>
                <w:kern w:val="2"/>
                <w:sz w:val="24"/>
                <w:szCs w:val="24"/>
                <w:lang w:val="en-US" w:eastAsia="zh-CN" w:bidi="ar-SA"/>
              </w:rPr>
              <w:t>（需提供相关</w:t>
            </w:r>
            <w:r>
              <w:rPr>
                <w:rFonts w:hint="eastAsia" w:eastAsia="仿宋_GB2312" w:cs="Times New Roman"/>
                <w:b w:val="0"/>
                <w:bCs w:val="0"/>
                <w:color w:val="000000"/>
                <w:kern w:val="2"/>
                <w:sz w:val="24"/>
                <w:szCs w:val="24"/>
                <w:lang w:val="en-US" w:eastAsia="zh-CN" w:bidi="ar-SA"/>
              </w:rPr>
              <w:t>证明</w:t>
            </w:r>
            <w:r>
              <w:rPr>
                <w:rFonts w:hint="eastAsia" w:ascii="Times New Roman" w:hAnsi="Times New Roman" w:eastAsia="仿宋_GB2312" w:cs="Times New Roman"/>
                <w:b w:val="0"/>
                <w:bCs w:val="0"/>
                <w:color w:val="000000"/>
                <w:kern w:val="2"/>
                <w:sz w:val="24"/>
                <w:szCs w:val="24"/>
                <w:lang w:val="en-US" w:eastAsia="zh-CN" w:bidi="ar-SA"/>
              </w:rPr>
              <w:t>材料）</w:t>
            </w:r>
            <w:r>
              <w:rPr>
                <w:rFonts w:hint="eastAsia" w:ascii="Times New Roman" w:hAnsi="Times New Roman" w:eastAsia="仿宋_GB2312" w:cs="Times New Roman"/>
                <w:b w:val="0"/>
                <w:bCs w:val="0"/>
                <w:color w:val="auto"/>
                <w:kern w:val="2"/>
                <w:sz w:val="24"/>
                <w:szCs w:val="24"/>
                <w:lang w:val="en-US" w:eastAsia="zh-CN" w:bidi="ar-SA"/>
              </w:rPr>
              <w:t>，具备物业水电工的基础技能，熟悉水、电、中央空调等相关设施设备的安装、维修及保养。掌握基本的安全知识和操作规程，能够正确使用各类工具和设备，确保工作安全。熟悉弱电系统、智能化设备的维护与管理，具备一定的具备较强的故障排查和现场处理能力。能够与各部门及上级领导有效沟通，确保工作协调顺畅。同时，要求吃苦耐劳，有责任心。</w:t>
            </w:r>
          </w:p>
        </w:tc>
        <w:tc>
          <w:tcPr>
            <w:tcW w:w="1241" w:type="pct"/>
            <w:tcBorders>
              <w:top w:val="single" w:color="000000" w:sz="4" w:space="0"/>
              <w:left w:val="nil"/>
              <w:bottom w:val="single" w:color="auto" w:sz="4" w:space="0"/>
              <w:right w:val="single" w:color="000000" w:sz="4" w:space="0"/>
            </w:tcBorders>
            <w:noWrap w:val="0"/>
            <w:vAlign w:val="center"/>
          </w:tcPr>
          <w:p w14:paraId="157615A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right="0" w:righ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负责场馆公共设施巡检及水电零星维修工作。</w:t>
            </w:r>
          </w:p>
        </w:tc>
        <w:tc>
          <w:tcPr>
            <w:tcW w:w="494" w:type="pct"/>
            <w:tcBorders>
              <w:top w:val="single" w:color="auto" w:sz="4" w:space="0"/>
              <w:left w:val="nil"/>
              <w:bottom w:val="single" w:color="auto" w:sz="4" w:space="0"/>
              <w:right w:val="single" w:color="000000" w:sz="4" w:space="0"/>
            </w:tcBorders>
            <w:noWrap w:val="0"/>
            <w:vAlign w:val="center"/>
          </w:tcPr>
          <w:p w14:paraId="0D0B52FE">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p>
        </w:tc>
      </w:tr>
      <w:tr w14:paraId="53D4F795">
        <w:tblPrEx>
          <w:tblCellMar>
            <w:top w:w="0" w:type="dxa"/>
            <w:left w:w="15" w:type="dxa"/>
            <w:bottom w:w="0" w:type="dxa"/>
            <w:right w:w="15"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14:paraId="68AA9C36">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保安员</w:t>
            </w:r>
          </w:p>
        </w:tc>
        <w:tc>
          <w:tcPr>
            <w:tcW w:w="355" w:type="pct"/>
            <w:tcBorders>
              <w:top w:val="single" w:color="000000" w:sz="4" w:space="0"/>
              <w:left w:val="nil"/>
              <w:bottom w:val="single" w:color="000000" w:sz="4" w:space="0"/>
              <w:right w:val="single" w:color="000000" w:sz="4" w:space="0"/>
            </w:tcBorders>
            <w:noWrap w:val="0"/>
            <w:vAlign w:val="center"/>
          </w:tcPr>
          <w:p w14:paraId="01811989">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2449" w:type="pct"/>
            <w:tcBorders>
              <w:top w:val="single" w:color="000000" w:sz="4" w:space="0"/>
              <w:left w:val="nil"/>
              <w:bottom w:val="single" w:color="000000" w:sz="4" w:space="0"/>
              <w:right w:val="single" w:color="000000" w:sz="4" w:space="0"/>
            </w:tcBorders>
            <w:noWrap w:val="0"/>
            <w:vAlign w:val="center"/>
          </w:tcPr>
          <w:p w14:paraId="257C3532">
            <w:pPr>
              <w:keepNext w:val="0"/>
              <w:keepLines w:val="0"/>
              <w:pageBreakBefore w:val="0"/>
              <w:kinsoku/>
              <w:wordWrap w:val="0"/>
              <w:overflowPunct/>
              <w:topLinePunct w:val="0"/>
              <w:autoSpaceDE/>
              <w:autoSpaceDN/>
              <w:bidi w:val="0"/>
              <w:adjustRightInd w:val="0"/>
              <w:snapToGrid w:val="0"/>
              <w:spacing w:line="360" w:lineRule="exact"/>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男女不限，年龄</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0周岁以下，初中以上文化水平，身体健康，</w:t>
            </w:r>
            <w:r>
              <w:rPr>
                <w:rFonts w:hint="default" w:ascii="Times New Roman" w:hAnsi="Times New Roman" w:eastAsia="仿宋_GB2312" w:cs="Times New Roman"/>
                <w:color w:val="000000"/>
                <w:sz w:val="24"/>
                <w:szCs w:val="24"/>
              </w:rPr>
              <w:t>品貌端正，</w:t>
            </w:r>
            <w:r>
              <w:rPr>
                <w:rFonts w:hint="default" w:ascii="Times New Roman" w:hAnsi="Times New Roman" w:eastAsia="仿宋_GB2312" w:cs="Times New Roman"/>
                <w:color w:val="auto"/>
                <w:sz w:val="24"/>
                <w:szCs w:val="24"/>
              </w:rPr>
              <w:t>品行优良、纪律性强，工作认真负责，作风正派，反应敏捷，具有较强执勤履职能力，能胜任安保执勤点的岗位任务。</w:t>
            </w:r>
            <w:r>
              <w:rPr>
                <w:rFonts w:hint="default" w:ascii="Times New Roman" w:hAnsi="Times New Roman" w:eastAsia="仿宋_GB2312" w:cs="Times New Roman"/>
                <w:color w:val="auto"/>
                <w:sz w:val="24"/>
                <w:szCs w:val="24"/>
                <w:lang w:val="en-US" w:eastAsia="zh-CN"/>
              </w:rPr>
              <w:t>实行</w:t>
            </w:r>
            <w:r>
              <w:rPr>
                <w:rStyle w:val="30"/>
                <w:rFonts w:hint="default" w:ascii="Times New Roman" w:hAnsi="Times New Roman" w:eastAsia="仿宋_GB2312" w:cs="Times New Roman"/>
                <w:color w:val="auto"/>
                <w:sz w:val="24"/>
                <w:szCs w:val="24"/>
              </w:rPr>
              <w:t>24小时值班</w:t>
            </w:r>
            <w:r>
              <w:rPr>
                <w:rStyle w:val="30"/>
                <w:rFonts w:hint="default" w:ascii="Times New Roman" w:hAnsi="Times New Roman" w:eastAsia="仿宋_GB2312" w:cs="Times New Roman"/>
                <w:color w:val="auto"/>
                <w:sz w:val="24"/>
                <w:szCs w:val="24"/>
                <w:lang w:val="en-US" w:eastAsia="zh-CN"/>
              </w:rPr>
              <w:t>制度</w:t>
            </w:r>
            <w:r>
              <w:rPr>
                <w:rStyle w:val="30"/>
                <w:rFonts w:hint="default" w:ascii="Times New Roman" w:hAnsi="Times New Roman" w:eastAsia="仿宋_GB2312" w:cs="Times New Roman"/>
                <w:color w:val="auto"/>
                <w:sz w:val="24"/>
                <w:szCs w:val="24"/>
              </w:rPr>
              <w:t>。</w:t>
            </w:r>
            <w:r>
              <w:rPr>
                <w:rStyle w:val="30"/>
                <w:rFonts w:hint="eastAsia" w:eastAsia="仿宋_GB2312" w:cs="Times New Roman"/>
                <w:color w:val="000000"/>
                <w:sz w:val="24"/>
                <w:szCs w:val="24"/>
                <w:lang w:eastAsia="zh-CN"/>
              </w:rPr>
              <w:t>拟投入保安员都具有保安证（需提供相关</w:t>
            </w:r>
            <w:r>
              <w:rPr>
                <w:rStyle w:val="30"/>
                <w:rFonts w:hint="eastAsia" w:eastAsia="仿宋_GB2312" w:cs="Times New Roman"/>
                <w:color w:val="000000"/>
                <w:sz w:val="24"/>
                <w:szCs w:val="24"/>
                <w:lang w:val="en-US" w:eastAsia="zh-CN"/>
              </w:rPr>
              <w:t>证明</w:t>
            </w:r>
            <w:r>
              <w:rPr>
                <w:rStyle w:val="30"/>
                <w:rFonts w:hint="eastAsia" w:eastAsia="仿宋_GB2312" w:cs="Times New Roman"/>
                <w:color w:val="000000"/>
                <w:sz w:val="24"/>
                <w:szCs w:val="24"/>
                <w:lang w:eastAsia="zh-CN"/>
              </w:rPr>
              <w:t>资料）。</w:t>
            </w:r>
          </w:p>
        </w:tc>
        <w:tc>
          <w:tcPr>
            <w:tcW w:w="1241" w:type="pct"/>
            <w:tcBorders>
              <w:top w:val="single" w:color="auto" w:sz="4" w:space="0"/>
              <w:left w:val="nil"/>
              <w:bottom w:val="single" w:color="000000" w:sz="4" w:space="0"/>
              <w:right w:val="single" w:color="000000" w:sz="4" w:space="0"/>
            </w:tcBorders>
            <w:noWrap w:val="0"/>
            <w:vAlign w:val="center"/>
          </w:tcPr>
          <w:p w14:paraId="3C104544">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保障主楼场馆出入登记管理、人身、财物、消防、治安等安全及工作秩序正常，针对各类型突发事件做好应急处理工作。</w:t>
            </w:r>
          </w:p>
        </w:tc>
        <w:tc>
          <w:tcPr>
            <w:tcW w:w="494" w:type="pct"/>
            <w:tcBorders>
              <w:top w:val="single" w:color="auto" w:sz="4" w:space="0"/>
              <w:left w:val="nil"/>
              <w:bottom w:val="nil"/>
              <w:right w:val="single" w:color="000000" w:sz="4" w:space="0"/>
            </w:tcBorders>
            <w:noWrap w:val="0"/>
            <w:vAlign w:val="center"/>
          </w:tcPr>
          <w:p w14:paraId="5BB274F1">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p>
        </w:tc>
      </w:tr>
      <w:tr w14:paraId="480D40D5">
        <w:tblPrEx>
          <w:tblCellMar>
            <w:top w:w="0" w:type="dxa"/>
            <w:left w:w="15" w:type="dxa"/>
            <w:bottom w:w="0" w:type="dxa"/>
            <w:right w:w="15"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14:paraId="2E796E55">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保洁员</w:t>
            </w:r>
          </w:p>
        </w:tc>
        <w:tc>
          <w:tcPr>
            <w:tcW w:w="355" w:type="pct"/>
            <w:tcBorders>
              <w:top w:val="single" w:color="000000" w:sz="4" w:space="0"/>
              <w:left w:val="nil"/>
              <w:bottom w:val="single" w:color="000000" w:sz="4" w:space="0"/>
              <w:right w:val="single" w:color="000000" w:sz="4" w:space="0"/>
            </w:tcBorders>
            <w:noWrap w:val="0"/>
            <w:vAlign w:val="center"/>
          </w:tcPr>
          <w:p w14:paraId="6C966704">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lang w:val="en-US" w:eastAsia="zh-CN"/>
              </w:rPr>
              <w:t>2</w:t>
            </w:r>
          </w:p>
        </w:tc>
        <w:tc>
          <w:tcPr>
            <w:tcW w:w="2449" w:type="pct"/>
            <w:tcBorders>
              <w:top w:val="single" w:color="000000" w:sz="4" w:space="0"/>
              <w:left w:val="nil"/>
              <w:bottom w:val="single" w:color="000000" w:sz="4" w:space="0"/>
              <w:right w:val="single" w:color="000000" w:sz="4" w:space="0"/>
            </w:tcBorders>
            <w:noWrap w:val="0"/>
            <w:vAlign w:val="center"/>
          </w:tcPr>
          <w:p w14:paraId="203D02BE">
            <w:pPr>
              <w:keepNext w:val="0"/>
              <w:keepLines w:val="0"/>
              <w:pageBreakBefore w:val="0"/>
              <w:kinsoku/>
              <w:wordWrap w:val="0"/>
              <w:overflowPunct/>
              <w:topLinePunct w:val="0"/>
              <w:autoSpaceDE/>
              <w:autoSpaceDN/>
              <w:bidi w:val="0"/>
              <w:adjustRightInd w:val="0"/>
              <w:snapToGrid w:val="0"/>
              <w:spacing w:line="360" w:lineRule="exac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男女不限初中以上文化程度，年龄55岁</w:t>
            </w:r>
            <w:r>
              <w:rPr>
                <w:rFonts w:hint="eastAsia" w:ascii="Times New Roman" w:hAnsi="Times New Roman" w:eastAsia="仿宋_GB2312" w:cs="Times New Roman"/>
                <w:color w:val="auto"/>
                <w:sz w:val="24"/>
                <w:szCs w:val="24"/>
                <w:lang w:eastAsia="zh-CN"/>
              </w:rPr>
              <w:t>以下</w:t>
            </w:r>
            <w:r>
              <w:rPr>
                <w:rFonts w:hint="default" w:ascii="Times New Roman" w:hAnsi="Times New Roman" w:eastAsia="仿宋_GB2312" w:cs="Times New Roman"/>
                <w:color w:val="auto"/>
                <w:sz w:val="24"/>
                <w:szCs w:val="24"/>
              </w:rPr>
              <w:t>，身体健康</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有办公楼保洁工作经验，</w:t>
            </w:r>
            <w:r>
              <w:rPr>
                <w:rStyle w:val="30"/>
                <w:rFonts w:hint="default" w:ascii="Times New Roman" w:hAnsi="Times New Roman" w:eastAsia="仿宋_GB2312" w:cs="Times New Roman"/>
                <w:color w:val="auto"/>
                <w:sz w:val="24"/>
                <w:szCs w:val="24"/>
              </w:rPr>
              <w:t>责任心和执行力强，具有清洁作业技能，能熟练操作和使用各种保洁工具和清洁用品，胜任保洁区域的岗位任务。</w:t>
            </w:r>
          </w:p>
        </w:tc>
        <w:tc>
          <w:tcPr>
            <w:tcW w:w="1241" w:type="pct"/>
            <w:tcBorders>
              <w:top w:val="single" w:color="000000" w:sz="4" w:space="0"/>
              <w:left w:val="nil"/>
              <w:bottom w:val="single" w:color="000000" w:sz="4" w:space="0"/>
              <w:right w:val="single" w:color="000000" w:sz="4" w:space="0"/>
            </w:tcBorders>
            <w:noWrap w:val="0"/>
            <w:vAlign w:val="center"/>
          </w:tcPr>
          <w:p w14:paraId="55A749A8">
            <w:pPr>
              <w:keepNext w:val="0"/>
              <w:keepLines w:val="0"/>
              <w:pageBreakBefore w:val="0"/>
              <w:kinsoku/>
              <w:wordWrap w:val="0"/>
              <w:overflowPunct/>
              <w:topLinePunct w:val="0"/>
              <w:autoSpaceDE/>
              <w:autoSpaceDN/>
              <w:bidi w:val="0"/>
              <w:adjustRightInd w:val="0"/>
              <w:snapToGrid w:val="0"/>
              <w:spacing w:line="360" w:lineRule="exac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负责管理区域范围内的卫生清洁工作、种植物浇水等日常养护。</w:t>
            </w:r>
          </w:p>
        </w:tc>
        <w:tc>
          <w:tcPr>
            <w:tcW w:w="494" w:type="pct"/>
            <w:tcBorders>
              <w:top w:val="single" w:color="000000" w:sz="4" w:space="0"/>
              <w:left w:val="nil"/>
              <w:bottom w:val="single" w:color="000000" w:sz="4" w:space="0"/>
              <w:right w:val="single" w:color="000000" w:sz="4" w:space="0"/>
            </w:tcBorders>
            <w:noWrap w:val="0"/>
            <w:vAlign w:val="top"/>
          </w:tcPr>
          <w:p w14:paraId="6DD27A1C">
            <w:pPr>
              <w:keepNext w:val="0"/>
              <w:keepLines w:val="0"/>
              <w:pageBreakBefore w:val="0"/>
              <w:kinsoku/>
              <w:wordWrap w:val="0"/>
              <w:overflowPunct/>
              <w:topLinePunct w:val="0"/>
              <w:autoSpaceDE/>
              <w:autoSpaceDN/>
              <w:bidi w:val="0"/>
              <w:adjustRightInd w:val="0"/>
              <w:snapToGrid w:val="0"/>
              <w:spacing w:line="360" w:lineRule="exact"/>
              <w:textAlignment w:val="center"/>
              <w:rPr>
                <w:rFonts w:hint="default" w:ascii="Times New Roman" w:hAnsi="Times New Roman" w:eastAsia="仿宋_GB2312" w:cs="Times New Roman"/>
                <w:color w:val="auto"/>
                <w:sz w:val="24"/>
                <w:szCs w:val="24"/>
              </w:rPr>
            </w:pPr>
          </w:p>
        </w:tc>
      </w:tr>
      <w:tr w14:paraId="3E1A65CE">
        <w:tblPrEx>
          <w:tblCellMar>
            <w:top w:w="0" w:type="dxa"/>
            <w:left w:w="15" w:type="dxa"/>
            <w:bottom w:w="0" w:type="dxa"/>
            <w:right w:w="15" w:type="dxa"/>
          </w:tblCellMar>
        </w:tblPrEx>
        <w:trPr>
          <w:trHeight w:val="23" w:hRule="atLeast"/>
        </w:trPr>
        <w:tc>
          <w:tcPr>
            <w:tcW w:w="458" w:type="pct"/>
            <w:tcBorders>
              <w:top w:val="single" w:color="000000" w:sz="4" w:space="0"/>
              <w:left w:val="single" w:color="auto" w:sz="4" w:space="0"/>
              <w:bottom w:val="single" w:color="000000" w:sz="4" w:space="0"/>
              <w:right w:val="single" w:color="000000" w:sz="4" w:space="0"/>
            </w:tcBorders>
            <w:noWrap w:val="0"/>
            <w:vAlign w:val="center"/>
          </w:tcPr>
          <w:p w14:paraId="5BC9E330">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合计</w:t>
            </w:r>
          </w:p>
        </w:tc>
        <w:tc>
          <w:tcPr>
            <w:tcW w:w="355" w:type="pct"/>
            <w:tcBorders>
              <w:top w:val="single" w:color="auto" w:sz="4" w:space="0"/>
              <w:left w:val="nil"/>
              <w:bottom w:val="single" w:color="auto" w:sz="4" w:space="0"/>
              <w:right w:val="single" w:color="auto" w:sz="4" w:space="0"/>
            </w:tcBorders>
            <w:noWrap w:val="0"/>
            <w:vAlign w:val="center"/>
          </w:tcPr>
          <w:p w14:paraId="603682C3">
            <w:pPr>
              <w:keepNext w:val="0"/>
              <w:keepLines w:val="0"/>
              <w:pageBreakBefore w:val="0"/>
              <w:widowControl/>
              <w:kinsoku/>
              <w:wordWrap w:val="0"/>
              <w:overflowPunct/>
              <w:topLinePunct w:val="0"/>
              <w:autoSpaceDE/>
              <w:autoSpaceDN/>
              <w:bidi w:val="0"/>
              <w:spacing w:line="3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lang w:val="en-US" w:eastAsia="zh-CN"/>
              </w:rPr>
              <w:t>9</w:t>
            </w:r>
          </w:p>
        </w:tc>
        <w:tc>
          <w:tcPr>
            <w:tcW w:w="4185" w:type="pct"/>
            <w:gridSpan w:val="3"/>
            <w:tcBorders>
              <w:top w:val="single" w:color="auto" w:sz="4" w:space="0"/>
              <w:left w:val="nil"/>
              <w:bottom w:val="single" w:color="auto" w:sz="4" w:space="0"/>
              <w:right w:val="single" w:color="auto" w:sz="4" w:space="0"/>
            </w:tcBorders>
            <w:noWrap w:val="0"/>
            <w:vAlign w:val="top"/>
          </w:tcPr>
          <w:p w14:paraId="123A2B06">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共性要求：</w:t>
            </w:r>
          </w:p>
          <w:p w14:paraId="09D43AFE">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（1）敬业、爱岗、专业、精干、高效、健康、思想品质好，作风正派，服务意识强。 </w:t>
            </w:r>
          </w:p>
          <w:p w14:paraId="5383DEC5">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（2）男员工不准留胡须、蓄长发、染发（黑色除外）、刺青纹身、</w:t>
            </w:r>
            <w:r>
              <w:rPr>
                <w:rFonts w:hint="eastAsia" w:ascii="Times New Roman" w:hAnsi="Times New Roman" w:eastAsia="仿宋_GB2312" w:cs="Times New Roman"/>
                <w:color w:val="auto"/>
                <w:sz w:val="24"/>
                <w:szCs w:val="24"/>
                <w:lang w:eastAsia="zh-CN"/>
              </w:rPr>
              <w:t>佩戴</w:t>
            </w:r>
            <w:r>
              <w:rPr>
                <w:rFonts w:hint="default" w:ascii="Times New Roman" w:hAnsi="Times New Roman" w:eastAsia="仿宋_GB2312" w:cs="Times New Roman"/>
                <w:color w:val="auto"/>
                <w:sz w:val="24"/>
                <w:szCs w:val="24"/>
              </w:rPr>
              <w:t>过分的饰物；女员工不准浓妆艳抹或</w:t>
            </w:r>
            <w:r>
              <w:rPr>
                <w:rFonts w:hint="eastAsia" w:ascii="Times New Roman" w:hAnsi="Times New Roman" w:eastAsia="仿宋_GB2312" w:cs="Times New Roman"/>
                <w:color w:val="auto"/>
                <w:sz w:val="24"/>
                <w:szCs w:val="24"/>
                <w:lang w:eastAsia="zh-CN"/>
              </w:rPr>
              <w:t>佩戴</w:t>
            </w:r>
            <w:r>
              <w:rPr>
                <w:rFonts w:hint="default" w:ascii="Times New Roman" w:hAnsi="Times New Roman" w:eastAsia="仿宋_GB2312" w:cs="Times New Roman"/>
                <w:color w:val="auto"/>
                <w:sz w:val="24"/>
                <w:szCs w:val="24"/>
              </w:rPr>
              <w:t xml:space="preserve">过分的饰物，头发染色不能过艳。  </w:t>
            </w:r>
          </w:p>
          <w:p w14:paraId="1B8DC13C">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（3）所有物业人员工作时间不准抽烟或吃零食、闲谈以及做和工作无关的事；使用语言要文明，举止要大方，</w:t>
            </w:r>
            <w:r>
              <w:rPr>
                <w:rFonts w:hint="default" w:ascii="Times New Roman" w:hAnsi="Times New Roman" w:eastAsia="仿宋_GB2312" w:cs="Times New Roman"/>
                <w:color w:val="000000"/>
                <w:sz w:val="24"/>
                <w:szCs w:val="24"/>
              </w:rPr>
              <w:t xml:space="preserve">要具有一定的工作经验。 </w:t>
            </w:r>
            <w:r>
              <w:rPr>
                <w:rFonts w:hint="default" w:ascii="Times New Roman" w:hAnsi="Times New Roman" w:eastAsia="仿宋_GB2312" w:cs="Times New Roman"/>
                <w:color w:val="auto"/>
                <w:sz w:val="24"/>
                <w:szCs w:val="24"/>
              </w:rPr>
              <w:t xml:space="preserve">   </w:t>
            </w:r>
          </w:p>
          <w:p w14:paraId="25E3E1FA">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（4）本项目物业管理服务全体工作人员须统一着装，佩戴统一标志，仪表端庄、大方，衣着整洁，表情自然和蔼、亲切。     </w:t>
            </w:r>
          </w:p>
          <w:p w14:paraId="5F0B5721">
            <w:pPr>
              <w:keepNext w:val="0"/>
              <w:keepLines w:val="0"/>
              <w:pageBreakBefore w:val="0"/>
              <w:widowControl/>
              <w:kinsoku/>
              <w:wordWrap w:val="0"/>
              <w:overflowPunct/>
              <w:topLinePunct w:val="0"/>
              <w:autoSpaceDE/>
              <w:autoSpaceDN/>
              <w:bidi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（5）所有进驻的物业人员不得有任何不良记录（以公安部门登记为准）。</w:t>
            </w:r>
          </w:p>
        </w:tc>
      </w:tr>
    </w:tbl>
    <w:p w14:paraId="4EAE723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lang w:val="en-US" w:eastAsia="zh-CN"/>
        </w:rPr>
        <w:t>、物业服务要求</w:t>
      </w:r>
    </w:p>
    <w:p w14:paraId="26FCE2D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1.服务企业具备较强的服务保障能力和综合实力，不能是挂靠公司或无同类服务业绩的公司。</w:t>
      </w:r>
    </w:p>
    <w:p w14:paraId="1017DB9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2</w:t>
      </w:r>
      <w:r>
        <w:rPr>
          <w:rFonts w:hint="default" w:ascii="Nimbus Roman No9 L" w:hAnsi="Nimbus Roman No9 L" w:eastAsia="仿宋_GB2312" w:cs="Nimbus Roman No9 L"/>
          <w:color w:val="auto"/>
          <w:sz w:val="32"/>
          <w:szCs w:val="32"/>
          <w:u w:val="none"/>
          <w:lang w:val="en-US" w:eastAsia="zh-CN"/>
        </w:rPr>
        <w:t>.物业经理必须专职在岗开展工作</w:t>
      </w:r>
      <w:r>
        <w:rPr>
          <w:rFonts w:hint="default" w:ascii="Nimbus Roman No9 L" w:hAnsi="Nimbus Roman No9 L" w:eastAsia="仿宋_GB2312" w:cs="Nimbus Roman No9 L"/>
          <w:color w:val="auto"/>
          <w:sz w:val="32"/>
          <w:szCs w:val="32"/>
          <w:lang w:val="en-US" w:eastAsia="zh-CN"/>
        </w:rPr>
        <w:t>，保安员必须实行24小时值班制度，确保场馆日常的生活办公保障系统运行正常。</w:t>
      </w:r>
    </w:p>
    <w:p w14:paraId="3B25210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3.建立完善各种应急预案，能迅速有效地处置各类突发事故。</w:t>
      </w:r>
    </w:p>
    <w:p w14:paraId="461C769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28"/>
          <w:szCs w:val="28"/>
          <w:lang w:val="en-US" w:eastAsia="zh-CN"/>
        </w:rPr>
      </w:pPr>
      <w:r>
        <w:rPr>
          <w:rFonts w:hint="default" w:ascii="Nimbus Roman No9 L" w:hAnsi="Nimbus Roman No9 L" w:eastAsia="仿宋_GB2312" w:cs="Nimbus Roman No9 L"/>
          <w:color w:val="auto"/>
          <w:sz w:val="32"/>
          <w:szCs w:val="32"/>
          <w:lang w:val="en-US" w:eastAsia="zh-CN"/>
        </w:rPr>
        <w:t>4.健全高效的反馈报告制度，提高工作执行力和快速反应能力。</w:t>
      </w:r>
    </w:p>
    <w:p w14:paraId="4C7E46E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b w:val="0"/>
          <w:bCs w:val="0"/>
          <w:color w:val="auto"/>
          <w:sz w:val="32"/>
          <w:szCs w:val="32"/>
          <w:lang w:val="en" w:eastAsia="zh-CN"/>
        </w:rPr>
      </w:pPr>
      <w:r>
        <w:rPr>
          <w:rFonts w:hint="eastAsia"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lang w:val="en" w:eastAsia="zh-CN"/>
        </w:rPr>
        <w:t>、物业报价</w:t>
      </w:r>
    </w:p>
    <w:p w14:paraId="345EAA0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strike w:val="0"/>
          <w:dstrike w:val="0"/>
          <w:color w:val="auto"/>
          <w:sz w:val="32"/>
          <w:szCs w:val="32"/>
          <w:u w:val="none"/>
          <w:lang w:val="en-US" w:eastAsia="zh-CN"/>
        </w:rPr>
      </w:pPr>
      <w:r>
        <w:rPr>
          <w:rFonts w:hint="default" w:ascii="Nimbus Roman No9 L" w:hAnsi="Nimbus Roman No9 L" w:eastAsia="仿宋_GB2312" w:cs="Nimbus Roman No9 L"/>
          <w:strike w:val="0"/>
          <w:dstrike w:val="0"/>
          <w:color w:val="auto"/>
          <w:sz w:val="32"/>
          <w:szCs w:val="32"/>
          <w:u w:val="none"/>
          <w:lang w:val="en-US" w:eastAsia="zh-CN"/>
        </w:rPr>
        <w:t>报价必须含以下部分：服务价格包含本项目的人工成本（含人员工资、工资附加及社会保险）、配置费用、低值易耗品、办公费用、节能技改和节水技改等相关维修改造费每年不少于2万元、100元（不含）以下日常耗材公共维修等费用，实行总价包干，不再增加任何费用。</w:t>
      </w:r>
    </w:p>
    <w:p w14:paraId="5E30149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strike w:val="0"/>
          <w:dstrike w:val="0"/>
          <w:color w:val="auto"/>
          <w:sz w:val="32"/>
          <w:szCs w:val="32"/>
          <w:u w:val="none"/>
          <w:lang w:val="en-US" w:eastAsia="zh-CN"/>
        </w:rPr>
      </w:pPr>
      <w:r>
        <w:rPr>
          <w:rFonts w:hint="default" w:ascii="Nimbus Roman No9 L" w:hAnsi="Nimbus Roman No9 L" w:eastAsia="仿宋_GB2312" w:cs="Nimbus Roman No9 L"/>
          <w:strike w:val="0"/>
          <w:dstrike w:val="0"/>
          <w:color w:val="auto"/>
          <w:sz w:val="32"/>
          <w:szCs w:val="32"/>
          <w:u w:val="none"/>
          <w:lang w:val="en-US" w:eastAsia="zh-CN"/>
        </w:rPr>
        <w:t>（一）此采购费用包括本项目所有涉及费用包括但不限于员工薪资、员工社保费、服装费、年终奖金、法定假日补贴、加班费、通讯费、低值易耗品、保洁、水电 检修、绿化等工具器材费、垃圾清运、消毒费、不可预见费（员工意外事故赔偿）、公司佣金、税费、交通费等一切费用，未说明的视为包含在报价内，且须考虑到合同执行中可能出现的索赔和变更；并根据广西壮族自治区财政厅等三部门《关于印发＜广西壮族自治区节约型机关创建行动方案＞的通知》（桂事管发﹝2020〕 17号）;《国家发展改革委关于印发《绿色生活创建行动总体方案》的通知》（发改环资（2019) 1696号）《广西壮族自治区公共机构节能管理办法》等文件精神，此次招标费用需包含我单位节能技改、节水技改等相关维修改造费每年不少于2万元（由中标公司提供资金）。</w:t>
      </w:r>
    </w:p>
    <w:p w14:paraId="1B5694F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Nimbus Roman No9 L" w:hAnsi="Nimbus Roman No9 L" w:eastAsia="仿宋_GB2312" w:cs="Nimbus Roman No9 L"/>
          <w:strike w:val="0"/>
          <w:dstrike w:val="0"/>
          <w:color w:val="auto"/>
          <w:sz w:val="32"/>
          <w:szCs w:val="32"/>
          <w:u w:val="none"/>
          <w:lang w:val="en-US" w:eastAsia="zh-CN"/>
        </w:rPr>
      </w:pPr>
      <w:r>
        <w:rPr>
          <w:rFonts w:hint="default" w:ascii="Nimbus Roman No9 L" w:hAnsi="Nimbus Roman No9 L" w:eastAsia="仿宋_GB2312" w:cs="Nimbus Roman No9 L"/>
          <w:strike w:val="0"/>
          <w:dstrike w:val="0"/>
          <w:color w:val="auto"/>
          <w:sz w:val="32"/>
          <w:szCs w:val="32"/>
          <w:u w:val="none"/>
          <w:lang w:val="en-US" w:eastAsia="zh-CN"/>
        </w:rPr>
        <w:t>（二）因正常使用损耗或自然老化导致的日常设施设备的小修小补所需材料费用，包含但不限于水龙头垫圈更换、门窗合页润滑剂添加、普通灯具灯泡更换、小型锁具零件（单价100元以内）维修等所涉及的材料费用。这些材料费用均已涵盖在物业管理服务采购合同金额内，成交供应商需无偿提供材料并完成维修工作，不得另行向采购单位收取费用。</w:t>
      </w:r>
    </w:p>
    <w:p w14:paraId="40D523F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lang w:val="en-US" w:eastAsia="zh-CN"/>
        </w:rPr>
        <w:t>、其他事项</w:t>
      </w:r>
    </w:p>
    <w:p w14:paraId="37C1D36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一）物业公司要严格按照招标需求配置物业服务人员，并定期对服务人员进行物业管理业务知识培训、消防培训及其他服务培训；服务本项目的所有从业人员必须是道德品质良好，无不良品行，服从管理，自觉遵守规章制度，着装统一，行为规范。</w:t>
      </w:r>
    </w:p>
    <w:p w14:paraId="43AD195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（二）服务方不得擅自占用和改变现有设施的使用功能,如需完善或扩建，须与业主方协商，经业主方同意后方可实施。</w:t>
      </w:r>
    </w:p>
    <w:p w14:paraId="0112DBA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（三）成交方应及时足额发放员工工资，涉及物业服务企业与其员工存在用工方面的劳务纠纷和劳动事故全部由成交方承担责任。</w:t>
      </w:r>
    </w:p>
    <w:p w14:paraId="3C58027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（四）成交方在</w:t>
      </w:r>
      <w:r>
        <w:rPr>
          <w:rFonts w:hint="default" w:ascii="Nimbus Roman No9 L" w:hAnsi="Nimbus Roman No9 L" w:eastAsia="仿宋_GB2312" w:cs="Nimbus Roman No9 L"/>
          <w:color w:val="auto"/>
          <w:sz w:val="32"/>
          <w:szCs w:val="32"/>
          <w:u w:val="none"/>
          <w:lang w:val="en-US" w:eastAsia="zh-CN"/>
        </w:rPr>
        <w:t>签订物业管理合同后接</w:t>
      </w:r>
      <w:r>
        <w:rPr>
          <w:rFonts w:hint="default" w:ascii="Nimbus Roman No9 L" w:hAnsi="Nimbus Roman No9 L" w:eastAsia="仿宋_GB2312" w:cs="Nimbus Roman No9 L"/>
          <w:color w:val="auto"/>
          <w:sz w:val="32"/>
          <w:szCs w:val="32"/>
          <w:lang w:val="en-US" w:eastAsia="zh-CN"/>
        </w:rPr>
        <w:t>手进驻并逐步进行移交工作，3个工作日内移交完毕，进入正常物业管理工作；承接或退出项目时，物业公司应与服务单位对物业设施设备进行认真查验交接，验收手续齐全。</w:t>
      </w:r>
    </w:p>
    <w:p w14:paraId="5CB17AF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（五）成交方成交后不得转包、分包，物业服务公司不得以挂靠形式承揽该项目，一经发现视为违约。</w:t>
      </w:r>
    </w:p>
    <w:p w14:paraId="6BE0AB8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（六）</w:t>
      </w:r>
      <w:r>
        <w:rPr>
          <w:rFonts w:hint="default" w:ascii="Nimbus Roman No9 L" w:hAnsi="Nimbus Roman No9 L" w:eastAsia="仿宋_GB2312" w:cs="Nimbus Roman No9 L"/>
          <w:color w:val="auto"/>
          <w:sz w:val="32"/>
          <w:szCs w:val="32"/>
        </w:rPr>
        <w:t>乙方自行负责保洁所需全部设备、工具、清洁材料及清洁保养技术；乙方负责保安人员所配备的对讲机、照明器具、太阳伞、雨衣、雨鞋等安保器具。</w:t>
      </w:r>
    </w:p>
    <w:p w14:paraId="23CBF37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lang w:val="en-US" w:eastAsia="zh-CN"/>
        </w:rPr>
        <w:t>七</w:t>
      </w:r>
      <w:r>
        <w:rPr>
          <w:rFonts w:hint="default" w:ascii="Nimbus Roman No9 L" w:hAnsi="Nimbus Roman No9 L" w:eastAsia="仿宋_GB2312" w:cs="Nimbus Roman No9 L"/>
          <w:color w:val="auto"/>
          <w:sz w:val="32"/>
          <w:szCs w:val="32"/>
          <w:lang w:eastAsia="zh-CN"/>
        </w:rPr>
        <w:t>）市民中心</w:t>
      </w:r>
      <w:r>
        <w:rPr>
          <w:rFonts w:hint="default" w:ascii="Nimbus Roman No9 L" w:hAnsi="Nimbus Roman No9 L" w:eastAsia="仿宋_GB2312" w:cs="Nimbus Roman No9 L"/>
          <w:color w:val="auto"/>
          <w:sz w:val="32"/>
          <w:szCs w:val="32"/>
        </w:rPr>
        <w:t>只提供物业管理办公室（休息室）一间。</w:t>
      </w:r>
      <w:r>
        <w:rPr>
          <w:rFonts w:hint="default" w:ascii="Nimbus Roman No9 L" w:hAnsi="Nimbus Roman No9 L" w:eastAsia="仿宋_GB2312" w:cs="Nimbus Roman No9 L"/>
          <w:color w:val="auto"/>
          <w:sz w:val="32"/>
          <w:szCs w:val="32"/>
          <w:lang w:eastAsia="zh-CN"/>
        </w:rPr>
        <w:t>我单位</w:t>
      </w:r>
      <w:r>
        <w:rPr>
          <w:rFonts w:hint="default" w:ascii="Nimbus Roman No9 L" w:hAnsi="Nimbus Roman No9 L" w:eastAsia="仿宋_GB2312" w:cs="Nimbus Roman No9 L"/>
          <w:color w:val="auto"/>
          <w:sz w:val="32"/>
          <w:szCs w:val="32"/>
        </w:rPr>
        <w:t>不定时对物业管理进行抽查、考核，如达不到合同上的服务标准和要求，则可终止委托管理合同并进行财务审计，由乙方承担违约和赔偿责任。</w:t>
      </w:r>
    </w:p>
    <w:p w14:paraId="704F023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（八）投标人应自行踏勘现场，按服务要求制定服务方案，费用自理。</w:t>
      </w:r>
    </w:p>
    <w:p w14:paraId="7B42015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lang w:val="en-US" w:eastAsia="zh-CN"/>
        </w:rPr>
        <w:t>、考评监督</w:t>
      </w:r>
    </w:p>
    <w:p w14:paraId="71A5674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业主按照《</w:t>
      </w:r>
      <w:bookmarkStart w:id="36" w:name="_Hlk47203425"/>
      <w:r>
        <w:rPr>
          <w:rFonts w:hint="default" w:ascii="Nimbus Roman No9 L" w:hAnsi="Nimbus Roman No9 L" w:eastAsia="仿宋_GB2312" w:cs="Nimbus Roman No9 L"/>
          <w:color w:val="auto"/>
          <w:sz w:val="32"/>
          <w:szCs w:val="32"/>
          <w:lang w:val="en-US" w:eastAsia="zh-CN"/>
        </w:rPr>
        <w:t>物业管理服务考核标准</w:t>
      </w:r>
      <w:bookmarkEnd w:id="36"/>
      <w:r>
        <w:rPr>
          <w:rFonts w:hint="default" w:ascii="Nimbus Roman No9 L" w:hAnsi="Nimbus Roman No9 L" w:eastAsia="仿宋_GB2312" w:cs="Nimbus Roman No9 L"/>
          <w:color w:val="auto"/>
          <w:sz w:val="32"/>
          <w:szCs w:val="32"/>
          <w:lang w:val="en-US" w:eastAsia="zh-CN"/>
        </w:rPr>
        <w:t>》定期对服务方的服务进行监督考核，服务方未能达到约定考核分值的，按考核办法追究责任，按考核分值扣减服务费，情节严重造成较大损失的，物业方有权追偿损失并终止服务合同。其中考核处罚办法如下：</w:t>
      </w:r>
      <w:r>
        <w:rPr>
          <w:rFonts w:hint="default" w:ascii="Nimbus Roman No9 L" w:hAnsi="Nimbus Roman No9 L" w:eastAsia="仿宋_GB2312" w:cs="Nimbus Roman No9 L"/>
          <w:color w:val="auto"/>
          <w:sz w:val="32"/>
          <w:szCs w:val="32"/>
          <w:u w:val="none"/>
          <w:lang w:val="en-US" w:eastAsia="zh-CN"/>
        </w:rPr>
        <w:t>每季度汇总考核结果不足90分，每少1分扣减当月服务费1000元（在支付服务费时扣除）。物业服务企业要对被扣分值的相应项目，按服务标准在10天内予以整改，如不及时整改或整改不到位，在下月检查考核时按所列分值加倍扣分。如</w:t>
      </w:r>
      <w:r>
        <w:rPr>
          <w:rFonts w:hint="default" w:ascii="Nimbus Roman No9 L" w:hAnsi="Nimbus Roman No9 L" w:eastAsia="仿宋_GB2312" w:cs="Nimbus Roman No9 L"/>
          <w:color w:val="auto"/>
          <w:sz w:val="32"/>
          <w:szCs w:val="32"/>
          <w:u w:val="none"/>
        </w:rPr>
        <w:t>每年年终物业平均考核评分</w:t>
      </w:r>
      <w:r>
        <w:rPr>
          <w:rFonts w:hint="default" w:ascii="Nimbus Roman No9 L" w:hAnsi="Nimbus Roman No9 L" w:eastAsia="仿宋_GB2312" w:cs="Nimbus Roman No9 L"/>
          <w:color w:val="auto"/>
          <w:sz w:val="32"/>
          <w:szCs w:val="32"/>
          <w:u w:val="none"/>
          <w:lang w:val="en-US" w:eastAsia="zh-CN"/>
        </w:rPr>
        <w:t>达不到90分的，年度考核平均分为考核不合格，</w:t>
      </w:r>
      <w:r>
        <w:rPr>
          <w:rFonts w:hint="default" w:ascii="Nimbus Roman No9 L" w:hAnsi="Nimbus Roman No9 L" w:eastAsia="仿宋_GB2312" w:cs="Nimbus Roman No9 L"/>
          <w:color w:val="auto"/>
          <w:sz w:val="32"/>
          <w:szCs w:val="32"/>
          <w:u w:val="none"/>
        </w:rPr>
        <w:t>扣减物业服务费</w:t>
      </w:r>
      <w:r>
        <w:rPr>
          <w:rFonts w:hint="default" w:ascii="Nimbus Roman No9 L" w:hAnsi="Nimbus Roman No9 L" w:eastAsia="仿宋_GB2312" w:cs="Nimbus Roman No9 L"/>
          <w:color w:val="auto"/>
          <w:sz w:val="32"/>
          <w:szCs w:val="32"/>
          <w:u w:val="none"/>
          <w:lang w:val="en-US" w:eastAsia="zh-CN"/>
        </w:rPr>
        <w:t>5000</w:t>
      </w:r>
      <w:r>
        <w:rPr>
          <w:rFonts w:hint="default" w:ascii="Nimbus Roman No9 L" w:hAnsi="Nimbus Roman No9 L" w:eastAsia="仿宋_GB2312" w:cs="Nimbus Roman No9 L"/>
          <w:color w:val="auto"/>
          <w:sz w:val="32"/>
          <w:szCs w:val="32"/>
          <w:u w:val="none"/>
        </w:rPr>
        <w:t>元</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color w:val="auto"/>
          <w:sz w:val="32"/>
          <w:szCs w:val="32"/>
          <w:lang w:val="en-US" w:eastAsia="zh-CN"/>
        </w:rPr>
        <w:t>考核不合格的，业主有权要求成交方进行整改，整改后仍达不到要求的，采购方有权提前解除服务合同。</w:t>
      </w:r>
    </w:p>
    <w:p w14:paraId="6205FB7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eastAsia="zh-CN"/>
        </w:rPr>
        <w:t>十一</w:t>
      </w:r>
      <w:r>
        <w:rPr>
          <w:rFonts w:hint="eastAsia" w:ascii="Times New Roman" w:hAnsi="Times New Roman" w:eastAsia="黑体" w:cs="Times New Roman"/>
          <w:b w:val="0"/>
          <w:bCs w:val="0"/>
          <w:color w:val="auto"/>
          <w:sz w:val="32"/>
          <w:szCs w:val="32"/>
          <w:lang w:val="en-US" w:eastAsia="zh-CN"/>
        </w:rPr>
        <w:t>、商务要求</w:t>
      </w:r>
    </w:p>
    <w:p w14:paraId="1EECF8B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（一）服务期限：自2026年2月1日起至2028年1月31日；</w:t>
      </w:r>
    </w:p>
    <w:p w14:paraId="5460F9C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（二）服务地点：防城港市港口区江山大道88号防城港市民中心；</w:t>
      </w:r>
    </w:p>
    <w:p w14:paraId="2A8ACE5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三）付款方式：按月支付，每月完成工作后，成交供应商根据实际服务内容附工作清单并提供的全额正规合法含税发票后，采购人在10个日历天内以对公转账方式将每月应付的合同金额的支付给成交供应商；否则，采购人有权拒绝付费且不承担任何责任；</w:t>
      </w:r>
    </w:p>
    <w:p w14:paraId="36C664C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（四）质量标准及验收要求：按照采购文件要求、响应文件承诺以及合同条款进行验收</w:t>
      </w:r>
      <w:r>
        <w:rPr>
          <w:rFonts w:hint="eastAsia" w:ascii="Nimbus Roman No9 L" w:hAnsi="Nimbus Roman No9 L" w:eastAsia="仿宋_GB2312" w:cs="Nimbus Roman No9 L"/>
          <w:color w:val="auto"/>
          <w:sz w:val="32"/>
          <w:szCs w:val="32"/>
          <w:lang w:val="en-US" w:eastAsia="zh-CN"/>
        </w:rPr>
        <w:t>。</w:t>
      </w:r>
    </w:p>
    <w:p w14:paraId="78A496A2">
      <w:pPr>
        <w:pStyle w:val="11"/>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Nimbus Roman No9 L" w:hAnsi="Nimbus Roman No9 L" w:eastAsia="仿宋_GB2312" w:cs="Nimbus Roman No9 L"/>
          <w:color w:val="auto"/>
          <w:sz w:val="32"/>
          <w:szCs w:val="32"/>
          <w:lang w:val="en-US" w:eastAsia="zh-CN"/>
        </w:rPr>
      </w:pPr>
    </w:p>
    <w:p w14:paraId="077D996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p>
    <w:p w14:paraId="4CC1290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附件：1-1.市民中心物业管理服务考核标准</w:t>
      </w:r>
    </w:p>
    <w:p w14:paraId="211E342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 xml:space="preserve">      1-2.工作整改通知书</w:t>
      </w:r>
    </w:p>
    <w:p w14:paraId="28B47F6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 xml:space="preserve">      1-3.季度物业检查记录表</w:t>
      </w:r>
    </w:p>
    <w:p w14:paraId="636A813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黑体" w:hAnsi="黑体" w:eastAsia="黑体" w:cs="黑体"/>
          <w:b w:val="0"/>
          <w:bCs/>
          <w:color w:val="auto"/>
          <w:sz w:val="32"/>
          <w:szCs w:val="32"/>
          <w:lang w:val="en-US" w:eastAsia="zh-CN"/>
        </w:rPr>
      </w:pPr>
      <w:r>
        <w:rPr>
          <w:rFonts w:hint="default" w:ascii="Nimbus Roman No9 L" w:hAnsi="Nimbus Roman No9 L" w:eastAsia="仿宋_GB2312" w:cs="Nimbus Roman No9 L"/>
          <w:color w:val="auto"/>
          <w:sz w:val="32"/>
          <w:szCs w:val="32"/>
          <w:lang w:val="en-US" w:eastAsia="zh-CN"/>
        </w:rPr>
        <w:br w:type="page"/>
      </w:r>
      <w:r>
        <w:rPr>
          <w:rFonts w:hint="eastAsia" w:ascii="黑体" w:hAnsi="黑体" w:eastAsia="黑体" w:cs="黑体"/>
          <w:b w:val="0"/>
          <w:bCs/>
          <w:color w:val="auto"/>
          <w:sz w:val="32"/>
          <w:szCs w:val="32"/>
          <w:lang w:val="en-US" w:eastAsia="zh-CN"/>
        </w:rPr>
        <w:t>附件1-1：</w:t>
      </w:r>
    </w:p>
    <w:p w14:paraId="6E8C2E94">
      <w:pPr>
        <w:pStyle w:val="11"/>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b w:val="0"/>
          <w:bCs/>
          <w:color w:val="auto"/>
          <w:sz w:val="44"/>
          <w:szCs w:val="44"/>
        </w:rPr>
      </w:pPr>
      <w:r>
        <w:rPr>
          <w:rFonts w:hint="eastAsia" w:ascii="Times New Roman" w:hAnsi="Times New Roman" w:eastAsia="黑体" w:cs="Times New Roman"/>
          <w:b w:val="0"/>
          <w:bCs/>
          <w:color w:val="auto"/>
          <w:sz w:val="44"/>
          <w:szCs w:val="44"/>
          <w:lang w:eastAsia="zh-CN"/>
        </w:rPr>
        <w:t>市民中心</w:t>
      </w:r>
      <w:r>
        <w:rPr>
          <w:rFonts w:hint="default" w:ascii="Times New Roman" w:hAnsi="Times New Roman" w:eastAsia="黑体" w:cs="Times New Roman"/>
          <w:b w:val="0"/>
          <w:bCs/>
          <w:color w:val="auto"/>
          <w:sz w:val="44"/>
          <w:szCs w:val="44"/>
          <w:lang w:eastAsia="zh-CN"/>
        </w:rPr>
        <w:t>物业管理</w:t>
      </w:r>
      <w:r>
        <w:rPr>
          <w:rFonts w:hint="default" w:ascii="Times New Roman" w:hAnsi="Times New Roman" w:eastAsia="黑体" w:cs="Times New Roman"/>
          <w:b w:val="0"/>
          <w:bCs/>
          <w:color w:val="auto"/>
          <w:sz w:val="44"/>
          <w:szCs w:val="44"/>
        </w:rPr>
        <w:t>服务考核标准</w:t>
      </w:r>
    </w:p>
    <w:tbl>
      <w:tblPr>
        <w:tblStyle w:val="23"/>
        <w:tblpPr w:leftFromText="180" w:rightFromText="180" w:vertAnchor="text" w:horzAnchor="page" w:tblpX="1087" w:tblpY="205"/>
        <w:tblOverlap w:val="never"/>
        <w:tblW w:w="9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6900"/>
        <w:gridCol w:w="900"/>
        <w:gridCol w:w="900"/>
        <w:gridCol w:w="595"/>
      </w:tblGrid>
      <w:tr w14:paraId="17CCF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1881631">
            <w:pPr>
              <w:pStyle w:val="11"/>
              <w:ind w:left="0" w:lef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内容</w:t>
            </w:r>
          </w:p>
        </w:tc>
        <w:tc>
          <w:tcPr>
            <w:tcW w:w="6900" w:type="dxa"/>
            <w:tcBorders>
              <w:top w:val="single" w:color="000000" w:sz="4" w:space="0"/>
              <w:left w:val="single" w:color="000000" w:sz="4" w:space="0"/>
              <w:bottom w:val="single" w:color="000000" w:sz="4" w:space="0"/>
              <w:right w:val="single" w:color="000000" w:sz="4" w:space="0"/>
            </w:tcBorders>
            <w:noWrap w:val="0"/>
            <w:vAlign w:val="center"/>
          </w:tcPr>
          <w:p w14:paraId="68F890AA">
            <w:pPr>
              <w:pStyle w:val="11"/>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考核标准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9CADAE3">
            <w:pPr>
              <w:pStyle w:val="11"/>
              <w:ind w:left="0" w:lef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评分方法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451476">
            <w:pPr>
              <w:pStyle w:val="11"/>
              <w:ind w:left="0" w:lef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扣分原因</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0402C167">
            <w:pPr>
              <w:pStyle w:val="11"/>
              <w:ind w:left="0" w:lef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得分</w:t>
            </w:r>
          </w:p>
        </w:tc>
      </w:tr>
      <w:tr w14:paraId="58E3F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A98DA">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基本</w:t>
            </w:r>
          </w:p>
          <w:p w14:paraId="76B62B1E">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要求</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AF1929A">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（一）物业服务单位和人员要求</w:t>
            </w:r>
            <w:r>
              <w:rPr>
                <w:rFonts w:hint="default" w:ascii="Times New Roman" w:hAnsi="Times New Roman" w:eastAsia="仿宋_GB2312" w:cs="Times New Roman"/>
                <w:b/>
                <w:bCs/>
                <w:color w:val="000000"/>
                <w:sz w:val="21"/>
                <w:szCs w:val="21"/>
                <w:lang w:val="en-US" w:eastAsia="zh-CN"/>
              </w:rPr>
              <w:t>6</w:t>
            </w:r>
            <w:r>
              <w:rPr>
                <w:rFonts w:hint="default" w:ascii="Times New Roman" w:hAnsi="Times New Roman" w:eastAsia="仿宋_GB2312" w:cs="Times New Roman"/>
                <w:b/>
                <w:bCs/>
                <w:color w:val="000000"/>
                <w:sz w:val="21"/>
                <w:szCs w:val="21"/>
              </w:rPr>
              <w:t>分</w:t>
            </w:r>
          </w:p>
          <w:p w14:paraId="7E71ECC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1.应具有独立的法人资格，具备专业物业管理服务能力。</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45F87DC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2.应根据物业服务合同约定和服务项目、面积、复杂情况等配备相应数量服务人员和设施设备。</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1DCD65C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3.应建立健全规章制度，包括物业服务方案、岗位职责、工作流程及服务规范、内部管理制度等，并应有具体落实措施及考核办法。</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4DA78D1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4.管理人员应具备物业服务知识，服务人员应持有健康证</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专业技术人员应取得职业技能资格证书，技术主管应取得相应专业技术证书，从事特种设备作业人员应取得特种作业资格。</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699BDF38">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5.掌握物业服务基本法律法规，熟悉办公楼基本情况。上岗前应进行专业技能培训和保密教育，合格后上岗。</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74ED4EF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rPr>
              <w:t>.统一着装，遵守工作纪律，仪容仪表整洁大方，精神风貌良好，服务主动热情。</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5BA93FD">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72851C3">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1ACF2C37">
            <w:pPr>
              <w:pStyle w:val="11"/>
              <w:rPr>
                <w:rFonts w:hint="default" w:ascii="Times New Roman" w:hAnsi="Times New Roman" w:eastAsia="仿宋_GB2312" w:cs="Times New Roman"/>
                <w:color w:val="000000"/>
                <w:sz w:val="21"/>
                <w:szCs w:val="21"/>
              </w:rPr>
            </w:pPr>
          </w:p>
        </w:tc>
      </w:tr>
      <w:tr w14:paraId="52E7B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7D4E054F">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0354793">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（二）档案管理</w:t>
            </w:r>
            <w:r>
              <w:rPr>
                <w:rFonts w:hint="default" w:ascii="Times New Roman" w:hAnsi="Times New Roman" w:eastAsia="仿宋_GB2312" w:cs="Times New Roman"/>
                <w:b/>
                <w:bCs/>
                <w:color w:val="000000"/>
                <w:sz w:val="21"/>
                <w:szCs w:val="21"/>
                <w:lang w:val="en-US" w:eastAsia="zh-CN"/>
              </w:rPr>
              <w:t>2</w:t>
            </w:r>
            <w:r>
              <w:rPr>
                <w:rFonts w:hint="default" w:ascii="Times New Roman" w:hAnsi="Times New Roman" w:eastAsia="仿宋_GB2312" w:cs="Times New Roman"/>
                <w:b/>
                <w:bCs/>
                <w:color w:val="000000"/>
                <w:sz w:val="21"/>
                <w:szCs w:val="21"/>
              </w:rPr>
              <w:t>分</w:t>
            </w:r>
          </w:p>
          <w:p w14:paraId="362ADA2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1.建立档案管理制度，进行电子备份，对服务记录应分类归档保存，方便查阅。档案记录应及时准确、清晰完整，并有责任人和审核人签字。</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34B4D7BF">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2.档案应设置查阅权限，未经许可，不应将资料内容转作其他用途。</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113145">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E8E5632">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6119EA47">
            <w:pPr>
              <w:pStyle w:val="11"/>
              <w:rPr>
                <w:rFonts w:hint="default" w:ascii="Times New Roman" w:hAnsi="Times New Roman" w:eastAsia="仿宋_GB2312" w:cs="Times New Roman"/>
                <w:color w:val="000000"/>
                <w:sz w:val="21"/>
                <w:szCs w:val="21"/>
              </w:rPr>
            </w:pPr>
          </w:p>
        </w:tc>
      </w:tr>
      <w:tr w14:paraId="7C2F5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585197FA">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C5062B9">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w:t>
            </w:r>
            <w:r>
              <w:rPr>
                <w:rFonts w:hint="default" w:ascii="Times New Roman" w:hAnsi="Times New Roman" w:eastAsia="仿宋_GB2312" w:cs="Times New Roman"/>
                <w:b/>
                <w:bCs/>
                <w:color w:val="000000"/>
                <w:sz w:val="21"/>
                <w:szCs w:val="21"/>
                <w:lang w:val="en-US" w:eastAsia="zh-CN"/>
              </w:rPr>
              <w:t>三</w:t>
            </w:r>
            <w:r>
              <w:rPr>
                <w:rFonts w:hint="default" w:ascii="Times New Roman" w:hAnsi="Times New Roman" w:eastAsia="仿宋_GB2312" w:cs="Times New Roman"/>
                <w:b/>
                <w:bCs/>
                <w:color w:val="000000"/>
                <w:sz w:val="21"/>
                <w:szCs w:val="21"/>
              </w:rPr>
              <w:t>）标识管理2分</w:t>
            </w:r>
          </w:p>
          <w:p w14:paraId="1FD128F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1.应在各楼层明显位置张贴平面疏散示意图、引路标志、紧急出口及控烟标志。0.5分</w:t>
            </w:r>
          </w:p>
          <w:p w14:paraId="5A25767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2.标识应风格统一，文字规范，并设置在明显位置。0.5分</w:t>
            </w:r>
          </w:p>
          <w:p w14:paraId="09F519F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3.应定期对标识进行检查，发现损坏或丢失时，应及时修缮或重新安装。0.5分</w:t>
            </w:r>
          </w:p>
          <w:p w14:paraId="3ED1C4D1">
            <w:pPr>
              <w:pStyle w:val="11"/>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4.应设置24小时服务热线，受理及时到位，记录归档保存。0.5分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E8315A">
            <w:pPr>
              <w:pStyle w:val="11"/>
              <w:ind w:left="0" w:leftChars="0" w:firstLine="0" w:firstLineChars="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val="en-US" w:eastAsia="zh-CN"/>
              </w:rPr>
              <w:t>0.5</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A08025A">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1BB4C54">
            <w:pPr>
              <w:pStyle w:val="11"/>
              <w:rPr>
                <w:rFonts w:hint="default" w:ascii="Times New Roman" w:hAnsi="Times New Roman" w:eastAsia="仿宋_GB2312" w:cs="Times New Roman"/>
                <w:color w:val="000000"/>
                <w:sz w:val="21"/>
                <w:szCs w:val="21"/>
              </w:rPr>
            </w:pPr>
          </w:p>
        </w:tc>
      </w:tr>
      <w:tr w14:paraId="1602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0D4DD88A">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02B0B2BA">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lang w:eastAsia="zh-CN"/>
              </w:rPr>
              <w:t>（</w:t>
            </w:r>
            <w:r>
              <w:rPr>
                <w:rFonts w:hint="default" w:ascii="Times New Roman" w:hAnsi="Times New Roman" w:eastAsia="仿宋_GB2312" w:cs="Times New Roman"/>
                <w:b/>
                <w:bCs/>
                <w:color w:val="000000"/>
                <w:sz w:val="21"/>
                <w:szCs w:val="21"/>
                <w:lang w:val="en-US" w:eastAsia="zh-CN"/>
              </w:rPr>
              <w:t>四</w:t>
            </w:r>
            <w:r>
              <w:rPr>
                <w:rFonts w:hint="default" w:ascii="Times New Roman" w:hAnsi="Times New Roman" w:eastAsia="仿宋_GB2312" w:cs="Times New Roman"/>
                <w:b/>
                <w:bCs/>
                <w:color w:val="000000"/>
                <w:sz w:val="21"/>
                <w:szCs w:val="21"/>
                <w:lang w:eastAsia="zh-CN"/>
              </w:rPr>
              <w:t>）</w:t>
            </w:r>
            <w:r>
              <w:rPr>
                <w:rFonts w:hint="default" w:ascii="Times New Roman" w:hAnsi="Times New Roman" w:eastAsia="仿宋_GB2312" w:cs="Times New Roman"/>
                <w:b/>
                <w:bCs/>
                <w:color w:val="000000"/>
                <w:sz w:val="21"/>
                <w:szCs w:val="21"/>
                <w:lang w:val="en-US" w:eastAsia="zh-CN"/>
              </w:rPr>
              <w:t>场地</w:t>
            </w:r>
            <w:r>
              <w:rPr>
                <w:rFonts w:hint="default" w:ascii="Times New Roman" w:hAnsi="Times New Roman" w:eastAsia="仿宋_GB2312" w:cs="Times New Roman"/>
                <w:b/>
                <w:bCs/>
                <w:color w:val="000000"/>
                <w:sz w:val="21"/>
                <w:szCs w:val="21"/>
              </w:rPr>
              <w:t>管理</w:t>
            </w:r>
            <w:r>
              <w:rPr>
                <w:rFonts w:hint="default" w:ascii="Times New Roman" w:hAnsi="Times New Roman" w:eastAsia="仿宋_GB2312" w:cs="Times New Roman"/>
                <w:b/>
                <w:bCs/>
                <w:color w:val="000000"/>
                <w:sz w:val="21"/>
                <w:szCs w:val="21"/>
                <w:lang w:val="en-US" w:eastAsia="zh-CN"/>
              </w:rPr>
              <w:t>2</w:t>
            </w:r>
            <w:r>
              <w:rPr>
                <w:rFonts w:hint="default" w:ascii="Times New Roman" w:hAnsi="Times New Roman" w:eastAsia="仿宋_GB2312" w:cs="Times New Roman"/>
                <w:b/>
                <w:bCs/>
                <w:color w:val="000000"/>
                <w:sz w:val="21"/>
                <w:szCs w:val="21"/>
              </w:rPr>
              <w:t>分</w:t>
            </w:r>
          </w:p>
          <w:p w14:paraId="0E4EE6B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1.宣传、教育和监督使用者和来访者遵守各项管理制度，禁止在场馆外墙面以及中心用地红线范围内乱竖招牌、乱挂条幅、乱拉管线，以免破坏场馆的整体效果及环境。</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310C37E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2.禁止在公共通道或楼梯间等处放置任何影响公共安全或妨碍他人的物件，公共区域的墙面不得随便张贴、乱钉乱挂标牌，以免影响场馆内整洁。</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B810E06">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一项不合扣</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8ED647A">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33A9717">
            <w:pPr>
              <w:pStyle w:val="11"/>
              <w:rPr>
                <w:rFonts w:hint="default" w:ascii="Times New Roman" w:hAnsi="Times New Roman" w:eastAsia="仿宋_GB2312" w:cs="Times New Roman"/>
                <w:color w:val="000000"/>
                <w:sz w:val="21"/>
                <w:szCs w:val="21"/>
              </w:rPr>
            </w:pPr>
          </w:p>
        </w:tc>
      </w:tr>
      <w:tr w14:paraId="14D3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top"/>
          </w:tcPr>
          <w:p w14:paraId="41327D3E">
            <w:pPr>
              <w:pStyle w:val="11"/>
              <w:jc w:val="center"/>
              <w:rPr>
                <w:rFonts w:hint="default" w:ascii="Times New Roman" w:hAnsi="Times New Roman" w:eastAsia="仿宋_GB2312" w:cs="Times New Roman"/>
                <w:color w:val="000000"/>
                <w:sz w:val="21"/>
                <w:szCs w:val="21"/>
              </w:rPr>
            </w:pPr>
          </w:p>
          <w:p w14:paraId="4757C7F1">
            <w:pPr>
              <w:pStyle w:val="11"/>
              <w:jc w:val="center"/>
              <w:rPr>
                <w:rFonts w:hint="default" w:ascii="Times New Roman" w:hAnsi="Times New Roman" w:eastAsia="仿宋_GB2312" w:cs="Times New Roman"/>
                <w:color w:val="000000"/>
                <w:sz w:val="21"/>
                <w:szCs w:val="21"/>
              </w:rPr>
            </w:pPr>
          </w:p>
          <w:p w14:paraId="32CBEA5F">
            <w:pPr>
              <w:pStyle w:val="11"/>
              <w:jc w:val="center"/>
              <w:rPr>
                <w:rFonts w:hint="default" w:ascii="Times New Roman" w:hAnsi="Times New Roman" w:eastAsia="仿宋_GB2312" w:cs="Times New Roman"/>
                <w:color w:val="000000"/>
                <w:sz w:val="21"/>
                <w:szCs w:val="21"/>
              </w:rPr>
            </w:pPr>
          </w:p>
          <w:p w14:paraId="27C39DF4">
            <w:pPr>
              <w:pStyle w:val="11"/>
              <w:jc w:val="center"/>
              <w:rPr>
                <w:rFonts w:hint="default" w:ascii="Times New Roman" w:hAnsi="Times New Roman" w:eastAsia="仿宋_GB2312" w:cs="Times New Roman"/>
                <w:color w:val="000000"/>
                <w:sz w:val="21"/>
                <w:szCs w:val="21"/>
              </w:rPr>
            </w:pPr>
          </w:p>
          <w:p w14:paraId="4BD3A595">
            <w:pPr>
              <w:pStyle w:val="11"/>
              <w:jc w:val="center"/>
              <w:rPr>
                <w:rFonts w:hint="default" w:ascii="Times New Roman" w:hAnsi="Times New Roman" w:eastAsia="仿宋_GB2312" w:cs="Times New Roman"/>
                <w:color w:val="000000"/>
                <w:sz w:val="21"/>
                <w:szCs w:val="21"/>
              </w:rPr>
            </w:pPr>
          </w:p>
          <w:p w14:paraId="49E629A9">
            <w:pPr>
              <w:pStyle w:val="11"/>
              <w:jc w:val="center"/>
              <w:rPr>
                <w:rFonts w:hint="default" w:ascii="Times New Roman" w:hAnsi="Times New Roman" w:eastAsia="仿宋_GB2312" w:cs="Times New Roman"/>
                <w:color w:val="000000"/>
                <w:sz w:val="21"/>
                <w:szCs w:val="21"/>
              </w:rPr>
            </w:pPr>
          </w:p>
          <w:p w14:paraId="2BD2A3AF">
            <w:pPr>
              <w:pStyle w:val="11"/>
              <w:jc w:val="center"/>
              <w:rPr>
                <w:rFonts w:hint="default" w:ascii="Times New Roman" w:hAnsi="Times New Roman" w:eastAsia="仿宋_GB2312" w:cs="Times New Roman"/>
                <w:color w:val="000000"/>
                <w:sz w:val="21"/>
                <w:szCs w:val="21"/>
              </w:rPr>
            </w:pPr>
          </w:p>
          <w:p w14:paraId="610C5F94">
            <w:pPr>
              <w:pStyle w:val="11"/>
              <w:jc w:val="center"/>
              <w:rPr>
                <w:rFonts w:hint="default" w:ascii="Times New Roman" w:hAnsi="Times New Roman" w:eastAsia="仿宋_GB2312" w:cs="Times New Roman"/>
                <w:color w:val="000000"/>
                <w:sz w:val="21"/>
                <w:szCs w:val="21"/>
              </w:rPr>
            </w:pPr>
          </w:p>
          <w:p w14:paraId="053FDC86">
            <w:pPr>
              <w:pStyle w:val="11"/>
              <w:jc w:val="center"/>
              <w:rPr>
                <w:rFonts w:hint="default" w:ascii="Times New Roman" w:hAnsi="Times New Roman" w:eastAsia="仿宋_GB2312" w:cs="Times New Roman"/>
                <w:color w:val="000000"/>
                <w:sz w:val="21"/>
                <w:szCs w:val="21"/>
              </w:rPr>
            </w:pPr>
          </w:p>
          <w:p w14:paraId="25C3B94A">
            <w:pPr>
              <w:pStyle w:val="11"/>
              <w:jc w:val="center"/>
              <w:rPr>
                <w:rFonts w:hint="default" w:ascii="Times New Roman" w:hAnsi="Times New Roman" w:eastAsia="仿宋_GB2312" w:cs="Times New Roman"/>
                <w:color w:val="000000"/>
                <w:sz w:val="21"/>
                <w:szCs w:val="21"/>
              </w:rPr>
            </w:pPr>
          </w:p>
          <w:p w14:paraId="5072A088">
            <w:pPr>
              <w:pStyle w:val="11"/>
              <w:jc w:val="center"/>
              <w:rPr>
                <w:rFonts w:hint="default" w:ascii="Times New Roman" w:hAnsi="Times New Roman" w:eastAsia="仿宋_GB2312" w:cs="Times New Roman"/>
                <w:color w:val="000000"/>
                <w:sz w:val="21"/>
                <w:szCs w:val="21"/>
              </w:rPr>
            </w:pPr>
          </w:p>
          <w:p w14:paraId="07C53FBA">
            <w:pPr>
              <w:pStyle w:val="11"/>
              <w:jc w:val="center"/>
              <w:rPr>
                <w:rFonts w:hint="default" w:ascii="Times New Roman" w:hAnsi="Times New Roman" w:eastAsia="仿宋_GB2312" w:cs="Times New Roman"/>
                <w:color w:val="000000"/>
                <w:sz w:val="21"/>
                <w:szCs w:val="21"/>
              </w:rPr>
            </w:pPr>
          </w:p>
          <w:p w14:paraId="438980F2">
            <w:pPr>
              <w:pStyle w:val="11"/>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     </w:t>
            </w:r>
          </w:p>
          <w:p w14:paraId="59CCD6E0">
            <w:pPr>
              <w:pStyle w:val="12"/>
              <w:rPr>
                <w:rFonts w:hint="eastAsia" w:eastAsia="仿宋_GB2312" w:cs="Times New Roman"/>
                <w:color w:val="000000"/>
                <w:sz w:val="21"/>
                <w:szCs w:val="21"/>
                <w:lang w:val="en-US" w:eastAsia="zh-CN"/>
              </w:rPr>
            </w:pPr>
          </w:p>
          <w:p w14:paraId="120D57B4">
            <w:pPr>
              <w:pStyle w:val="12"/>
              <w:rPr>
                <w:rFonts w:hint="eastAsia" w:eastAsia="仿宋_GB2312" w:cs="Times New Roman"/>
                <w:color w:val="000000"/>
                <w:sz w:val="21"/>
                <w:szCs w:val="21"/>
                <w:lang w:val="en-US" w:eastAsia="zh-CN"/>
              </w:rPr>
            </w:pPr>
          </w:p>
          <w:p w14:paraId="306BA665">
            <w:pPr>
              <w:pStyle w:val="12"/>
              <w:rPr>
                <w:rFonts w:hint="eastAsia" w:eastAsia="仿宋_GB2312" w:cs="Times New Roman"/>
                <w:color w:val="000000"/>
                <w:sz w:val="21"/>
                <w:szCs w:val="21"/>
                <w:lang w:val="en-US" w:eastAsia="zh-CN"/>
              </w:rPr>
            </w:pPr>
          </w:p>
          <w:p w14:paraId="5D4BC36A">
            <w:pPr>
              <w:pStyle w:val="12"/>
              <w:rPr>
                <w:rFonts w:hint="eastAsia" w:eastAsia="仿宋_GB2312" w:cs="Times New Roman"/>
                <w:color w:val="000000"/>
                <w:sz w:val="21"/>
                <w:szCs w:val="21"/>
                <w:lang w:val="en-US" w:eastAsia="zh-CN"/>
              </w:rPr>
            </w:pPr>
          </w:p>
          <w:p w14:paraId="43177FCF">
            <w:pPr>
              <w:pStyle w:val="12"/>
              <w:rPr>
                <w:rFonts w:hint="eastAsia" w:eastAsia="仿宋_GB2312" w:cs="Times New Roman"/>
                <w:color w:val="000000"/>
                <w:sz w:val="21"/>
                <w:szCs w:val="21"/>
                <w:lang w:val="en-US" w:eastAsia="zh-CN"/>
              </w:rPr>
            </w:pPr>
          </w:p>
          <w:p w14:paraId="0EA59B04">
            <w:pPr>
              <w:pStyle w:val="12"/>
              <w:rPr>
                <w:rFonts w:hint="eastAsia" w:eastAsia="仿宋_GB2312" w:cs="Times New Roman"/>
                <w:color w:val="000000"/>
                <w:sz w:val="21"/>
                <w:szCs w:val="21"/>
                <w:lang w:val="en-US" w:eastAsia="zh-CN"/>
              </w:rPr>
            </w:pPr>
          </w:p>
          <w:p w14:paraId="7239E90D">
            <w:pPr>
              <w:pStyle w:val="12"/>
              <w:rPr>
                <w:rFonts w:hint="eastAsia" w:eastAsia="仿宋_GB2312" w:cs="Times New Roman"/>
                <w:color w:val="000000"/>
                <w:sz w:val="21"/>
                <w:szCs w:val="21"/>
                <w:lang w:val="en-US" w:eastAsia="zh-CN"/>
              </w:rPr>
            </w:pPr>
          </w:p>
          <w:p w14:paraId="23FBDBC9">
            <w:pPr>
              <w:pStyle w:val="12"/>
              <w:jc w:val="center"/>
              <w:rPr>
                <w:rFonts w:hint="eastAsia" w:eastAsia="仿宋_GB2312" w:cs="Times New Roman"/>
                <w:color w:val="000000"/>
                <w:sz w:val="21"/>
                <w:szCs w:val="21"/>
                <w:lang w:val="en-US" w:eastAsia="zh-CN"/>
              </w:rPr>
            </w:pPr>
          </w:p>
          <w:p w14:paraId="5ED26CD6">
            <w:pPr>
              <w:pStyle w:val="12"/>
              <w:rPr>
                <w:rFonts w:hint="default" w:eastAsia="仿宋_GB2312" w:cs="Times New Roman"/>
                <w:color w:val="000000"/>
                <w:sz w:val="21"/>
                <w:szCs w:val="21"/>
                <w:lang w:val="en-US" w:eastAsia="zh-CN"/>
              </w:rPr>
            </w:pPr>
          </w:p>
          <w:p w14:paraId="7149BA2A">
            <w:pPr>
              <w:pStyle w:val="11"/>
              <w:ind w:left="0" w:leftChars="0"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保洁</w:t>
            </w:r>
          </w:p>
          <w:p w14:paraId="3C225F3F">
            <w:pPr>
              <w:pStyle w:val="11"/>
              <w:ind w:left="0" w:leftChars="0"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服务</w:t>
            </w:r>
          </w:p>
          <w:p w14:paraId="6DA1A3AB">
            <w:pPr>
              <w:pStyle w:val="11"/>
              <w:ind w:left="0" w:leftChars="0"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室内</w:t>
            </w:r>
          </w:p>
          <w:p w14:paraId="0E922E94">
            <w:pPr>
              <w:pStyle w:val="11"/>
              <w:ind w:left="0" w:leftChars="0"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区域</w:t>
            </w:r>
          </w:p>
          <w:p w14:paraId="40E138EE">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rPr>
              <w:t>清洁</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3EF3EB8">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（一）保洁基本要求3.5分</w:t>
            </w:r>
          </w:p>
          <w:p w14:paraId="2C848CF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1.根据清洁区域的不同，对所使用的清洁工具，应标记不同标识或颜色加以区分。0.5分</w:t>
            </w:r>
          </w:p>
          <w:p w14:paraId="31EE8895">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2.清洁用品应符合产品标准，并分类保存。危险化学品的储存应符合相关规定。1分</w:t>
            </w:r>
          </w:p>
          <w:p w14:paraId="4E96E07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3.开展高危清洁作业时，应采取安全防护措施。0.5分</w:t>
            </w:r>
          </w:p>
          <w:p w14:paraId="18C7082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4.定期对公共场所和周围环境进行预防性卫生消杀。0.5分</w:t>
            </w:r>
          </w:p>
          <w:p w14:paraId="599A8558">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5.应按相关规定采取综合措施消灭老鼠、蟑螂、白蚁，控制室内外苍蝇、蚊虫孳生。0.5分</w:t>
            </w:r>
          </w:p>
          <w:p w14:paraId="05C39CB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6.定期开展主题宣传和知识培训活动，包括但不限于垃圾分类、控烟等方面。0.5分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7F1592">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1E9F8EA">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97C68CA">
            <w:pPr>
              <w:pStyle w:val="11"/>
              <w:rPr>
                <w:rFonts w:hint="default" w:ascii="Times New Roman" w:hAnsi="Times New Roman" w:eastAsia="仿宋_GB2312" w:cs="Times New Roman"/>
                <w:color w:val="000000"/>
                <w:sz w:val="21"/>
                <w:szCs w:val="21"/>
              </w:rPr>
            </w:pPr>
          </w:p>
        </w:tc>
      </w:tr>
      <w:tr w14:paraId="17D6D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396C4A5">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B21B6C4">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（二）服务功能性用房2.5分</w:t>
            </w:r>
          </w:p>
          <w:p w14:paraId="5AF8D96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1.脚踢线等处无积垢、灰尘、水迹和胶粘物等。内墙面、天花板、顶角、转角及墙踢脚等处无积尘、霉斑和蜘蛛网。0.5分</w:t>
            </w:r>
          </w:p>
          <w:p w14:paraId="41D0B9D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2.地面保持干燥洁净、无污垢、纸屑。0.5分</w:t>
            </w:r>
          </w:p>
          <w:p w14:paraId="6702329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3.玻璃门、玻璃窗等表面应洁净、明亮、无水迹、手指印和张帖物。窗台及上下四周接缝处等应光洁、无灰尘。0.5分</w:t>
            </w:r>
          </w:p>
          <w:p w14:paraId="0DB1468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4.门面、门框、门背等应无油迹和灰尘，金属门饰、门锁、门附件等应保持金属光亮，无锈斑、污迹。0.5分</w:t>
            </w:r>
          </w:p>
          <w:p w14:paraId="46001465">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5.办公室家具应保持表面无灰尘，辅助设施的物件表面无积尘和污迹。0.5分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89E2680">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DC5E8B0">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2CEC2F5">
            <w:pPr>
              <w:pStyle w:val="11"/>
              <w:rPr>
                <w:rFonts w:hint="default" w:ascii="Times New Roman" w:hAnsi="Times New Roman" w:eastAsia="仿宋_GB2312" w:cs="Times New Roman"/>
                <w:color w:val="000000"/>
                <w:sz w:val="21"/>
                <w:szCs w:val="21"/>
              </w:rPr>
            </w:pPr>
          </w:p>
        </w:tc>
      </w:tr>
      <w:tr w14:paraId="1842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24EF635">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9F003EE">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（三）电梯管理1.5分</w:t>
            </w:r>
          </w:p>
          <w:p w14:paraId="4E8F558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1.电梯召唤面板应光亮，无指印和污迹。0.5分</w:t>
            </w:r>
          </w:p>
          <w:p w14:paraId="7F39170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2.电梯轿厢门和内壁面应保持光亮洁净，无手印、污迹、胶黏物和乱张贴。0.5分</w:t>
            </w:r>
          </w:p>
          <w:p w14:paraId="262AA9B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3.梯内地毯保持清洁，无污渍、纸屑、垃圾等，定期更换清洗。0.5分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51A5FA">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AEE027C">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0E31511">
            <w:pPr>
              <w:pStyle w:val="11"/>
              <w:rPr>
                <w:rFonts w:hint="default" w:ascii="Times New Roman" w:hAnsi="Times New Roman" w:eastAsia="仿宋_GB2312" w:cs="Times New Roman"/>
                <w:color w:val="000000"/>
                <w:sz w:val="21"/>
                <w:szCs w:val="21"/>
              </w:rPr>
            </w:pPr>
          </w:p>
        </w:tc>
      </w:tr>
      <w:tr w14:paraId="4B24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B00D8">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05D37BF7">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（四）走廊、过道、楼梯（消防梯）3分</w:t>
            </w:r>
          </w:p>
          <w:p w14:paraId="0BA4581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1.过道无堆积。楼梯无痰迹、油污、纸屑、烟蒂和废弃物。1分</w:t>
            </w:r>
          </w:p>
          <w:p w14:paraId="7FBE01B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2.扶手栏杆应洁净、无污迹、锈斑及灰尘。0.5分</w:t>
            </w:r>
          </w:p>
          <w:p w14:paraId="5047B1F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3.楼梯墙面无污迹、鞋印等。0.5分</w:t>
            </w:r>
          </w:p>
          <w:p w14:paraId="5ABA7A9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4.通道设施、消防设施等无破损、无积灰、水印。0.5分</w:t>
            </w:r>
          </w:p>
          <w:p w14:paraId="74267AC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5.通风窗窗框、窗槽及窗沿无积灰、积水、杂物有悬挂蛛网等，玻璃定期清洁。0.5分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77BA37">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val="en-US" w:eastAsia="zh-CN"/>
              </w:rPr>
              <w:t>0.5</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0AB8FF5">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9B738F0">
            <w:pPr>
              <w:pStyle w:val="11"/>
              <w:rPr>
                <w:rFonts w:hint="default" w:ascii="Times New Roman" w:hAnsi="Times New Roman" w:eastAsia="仿宋_GB2312" w:cs="Times New Roman"/>
                <w:color w:val="000000"/>
                <w:sz w:val="21"/>
                <w:szCs w:val="21"/>
              </w:rPr>
            </w:pPr>
          </w:p>
        </w:tc>
      </w:tr>
      <w:tr w14:paraId="6D9E5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4F1C6A42">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82A1583">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（五）卫生间5分</w:t>
            </w:r>
          </w:p>
          <w:p w14:paraId="5E29B54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1.镜面应明净，无水迹。0.5分</w:t>
            </w:r>
          </w:p>
          <w:p w14:paraId="03EA9A6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2.台盆和台面应无积垢、锈迹、皂迹和毛发。面池水龙头应无皂迹、锈迹和污垢。0.5分</w:t>
            </w:r>
          </w:p>
          <w:p w14:paraId="7489171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3.便斗内应放置清洁球，无积垢、黄迹、无堵塞。0.5分</w:t>
            </w:r>
          </w:p>
          <w:p w14:paraId="71DC01B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4.便池外部无积垢，内部无黄斑、霉斑，外部无污迹、无积灰。0.5分</w:t>
            </w:r>
          </w:p>
          <w:p w14:paraId="364E4AA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5.废纸篓无拖挂、无满溢，废弃物袋装，及时倾倒，定期清洗消毒。0.5分</w:t>
            </w:r>
          </w:p>
          <w:p w14:paraId="4C0BBE0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6.地面无积水印和脚印，地砖缝隙无霉斑、积垢。0.5分</w:t>
            </w:r>
          </w:p>
          <w:p w14:paraId="20F7E74F">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7.隔板无积灰、无蛛网、无锈迹、无乱张贴刻画。0.5分</w:t>
            </w:r>
          </w:p>
          <w:p w14:paraId="0D5EDBF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8.通风窗窗框、窗槽及窗沿无积灰、积水、杂物及悬挂蛛网等，玻璃定期清洗。0.5分</w:t>
            </w:r>
          </w:p>
          <w:p w14:paraId="0A70CC1F">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9.清洁工具摆放整齐，各类设施无积灰。0.5分</w:t>
            </w:r>
          </w:p>
          <w:p w14:paraId="7B9445E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10.卫生间整体无异味、清洁明亮。0.5分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0A270F">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0866D86">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6528C6E9">
            <w:pPr>
              <w:pStyle w:val="11"/>
              <w:rPr>
                <w:rFonts w:hint="default" w:ascii="Times New Roman" w:hAnsi="Times New Roman" w:eastAsia="仿宋_GB2312" w:cs="Times New Roman"/>
                <w:color w:val="000000"/>
                <w:sz w:val="21"/>
                <w:szCs w:val="21"/>
              </w:rPr>
            </w:pPr>
          </w:p>
        </w:tc>
      </w:tr>
      <w:tr w14:paraId="521AF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4DFC49C1">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6D075317">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（六）大厅4.5分</w:t>
            </w:r>
          </w:p>
          <w:p w14:paraId="088C712E">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1.大厅地面，无垃圾、水迹及脚印，定期进行清洗。地面保持整洁。0.5分</w:t>
            </w:r>
          </w:p>
          <w:p w14:paraId="03BFFA8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2.挑空厅顶及吊顶无蛛网、无长期积灰。0.5分</w:t>
            </w:r>
          </w:p>
          <w:p w14:paraId="794FD89E">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3.大厅环境应整洁，墙面、立柱应清洁光亮，无积灰。0.5分</w:t>
            </w:r>
          </w:p>
          <w:p w14:paraId="5FAB411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4.大厅内各类摆设、装饰物无积灰，摆放整齐。0.5分</w:t>
            </w:r>
          </w:p>
          <w:p w14:paraId="3CC36A6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5.落地玻璃明亮，无手印，无水迹，定期清洗。0.5分</w:t>
            </w:r>
          </w:p>
          <w:p w14:paraId="318CE6A4">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6.进门地毯定期清洗、更换、无破损。0.5分</w:t>
            </w:r>
          </w:p>
          <w:p w14:paraId="1C948CB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7.绿植生长茂盛，绿叶无浮灰，花盆干净，无烟蒂、杂物、盆底无水迹。0.5分</w:t>
            </w:r>
          </w:p>
          <w:p w14:paraId="07AAC3FF">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8.垃圾桶（烟缸）清洁无污垢，无异味，无满溢拖挂，摆放合理整齐。0.5分</w:t>
            </w:r>
          </w:p>
          <w:p w14:paraId="4F495BE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9.座椅应保持清洁，无水迹和污迹。0.5分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8641C1">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99CDF2B">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16CCD49F">
            <w:pPr>
              <w:pStyle w:val="11"/>
              <w:rPr>
                <w:rFonts w:hint="default" w:ascii="Times New Roman" w:hAnsi="Times New Roman" w:eastAsia="仿宋_GB2312" w:cs="Times New Roman"/>
                <w:color w:val="000000"/>
                <w:sz w:val="21"/>
                <w:szCs w:val="21"/>
              </w:rPr>
            </w:pPr>
          </w:p>
        </w:tc>
      </w:tr>
      <w:tr w14:paraId="6842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7A5386EF">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060BFD6C">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（七）设备房</w:t>
            </w:r>
            <w:r>
              <w:rPr>
                <w:rFonts w:hint="default" w:ascii="Times New Roman" w:hAnsi="Times New Roman" w:eastAsia="仿宋_GB2312" w:cs="Times New Roman"/>
                <w:b/>
                <w:bCs/>
                <w:color w:val="000000"/>
                <w:sz w:val="21"/>
                <w:szCs w:val="21"/>
                <w:lang w:val="en-US" w:eastAsia="zh-CN"/>
              </w:rPr>
              <w:t>2</w:t>
            </w:r>
            <w:r>
              <w:rPr>
                <w:rFonts w:hint="default" w:ascii="Times New Roman" w:hAnsi="Times New Roman" w:eastAsia="仿宋_GB2312" w:cs="Times New Roman"/>
                <w:b/>
                <w:bCs/>
                <w:color w:val="000000"/>
                <w:sz w:val="21"/>
                <w:szCs w:val="21"/>
              </w:rPr>
              <w:t>分</w:t>
            </w:r>
          </w:p>
          <w:p w14:paraId="33C0D495">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1.无卫生死角，无废弃物堆积，无蛛网，无积水。</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3A5058F2">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2.管道漆面干净，无锈斑，无油渍，无积灰。</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5967A7">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025324C">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31C3AAC">
            <w:pPr>
              <w:pStyle w:val="11"/>
              <w:rPr>
                <w:rFonts w:hint="default" w:ascii="Times New Roman" w:hAnsi="Times New Roman" w:eastAsia="仿宋_GB2312" w:cs="Times New Roman"/>
                <w:color w:val="000000"/>
                <w:sz w:val="21"/>
                <w:szCs w:val="21"/>
              </w:rPr>
            </w:pPr>
          </w:p>
        </w:tc>
      </w:tr>
      <w:tr w14:paraId="473C8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EA1BD">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保洁</w:t>
            </w:r>
          </w:p>
          <w:p w14:paraId="6BC4CD9A">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服务</w:t>
            </w:r>
          </w:p>
          <w:p w14:paraId="789F853B">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室外</w:t>
            </w:r>
          </w:p>
          <w:p w14:paraId="14D39A16">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区域</w:t>
            </w:r>
          </w:p>
          <w:p w14:paraId="702600B2">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清洁</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4FA86C9B">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（一）外立面、广场2.5分</w:t>
            </w:r>
          </w:p>
          <w:p w14:paraId="5B0EFBC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1.5米以下外立面无明显积灰、渗出物及污迹，及时建议甲方进行外墙清洗（通常二年一次，重要活动前视情进行）。0.5分</w:t>
            </w:r>
          </w:p>
          <w:p w14:paraId="46B2006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2.地面应保持干净、平整，路面标识清晰。无大面积积水，无大面积落叶，无青苔、杂草、油污。明沟下水道畅，无垃圾，落叶、淤泥等堆积，定期清理。0.5分</w:t>
            </w:r>
          </w:p>
          <w:p w14:paraId="01ABA514">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3.道路指示牌、照明、垃圾桶、果壳箱等无积灰、无污垢。0.5分</w:t>
            </w:r>
          </w:p>
          <w:p w14:paraId="7663FD6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4.绿化带内无烟蒂、杂物、无白色垃圾。0.5分</w:t>
            </w:r>
          </w:p>
          <w:p w14:paraId="4352F3BE">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5.各类设施无破损，无蛛网悬挂，无严重积灰。0.5分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E0352D">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AD5BF45">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9517631">
            <w:pPr>
              <w:pStyle w:val="11"/>
              <w:rPr>
                <w:rFonts w:hint="default" w:ascii="Times New Roman" w:hAnsi="Times New Roman" w:eastAsia="仿宋_GB2312" w:cs="Times New Roman"/>
                <w:color w:val="000000"/>
                <w:sz w:val="21"/>
                <w:szCs w:val="21"/>
              </w:rPr>
            </w:pPr>
          </w:p>
        </w:tc>
      </w:tr>
      <w:tr w14:paraId="2D0D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747C2">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center"/>
          </w:tcPr>
          <w:p w14:paraId="4B687010">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（二）</w:t>
            </w:r>
            <w:r>
              <w:rPr>
                <w:rFonts w:hint="default" w:ascii="Times New Roman" w:hAnsi="Times New Roman" w:eastAsia="仿宋_GB2312" w:cs="Times New Roman"/>
                <w:b/>
                <w:bCs/>
                <w:color w:val="000000"/>
                <w:sz w:val="21"/>
                <w:szCs w:val="21"/>
                <w:lang w:eastAsia="zh-CN"/>
              </w:rPr>
              <w:t>露</w:t>
            </w:r>
            <w:r>
              <w:rPr>
                <w:rFonts w:hint="default" w:ascii="Times New Roman" w:hAnsi="Times New Roman" w:eastAsia="仿宋_GB2312" w:cs="Times New Roman"/>
                <w:b/>
                <w:bCs/>
                <w:color w:val="000000"/>
                <w:sz w:val="21"/>
                <w:szCs w:val="21"/>
              </w:rPr>
              <w:t>台/台阶2分</w:t>
            </w:r>
          </w:p>
          <w:p w14:paraId="7A63028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1.无垃圾，无淤泥，无杂草，无杂物堆积。明沟通畅，无垃圾、落叶、淤泥等堆积物。0.5分</w:t>
            </w:r>
          </w:p>
          <w:p w14:paraId="692199E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2.设施设备整齐，无大面积积灰，无私自拉线、拖挂、晾晒。0.5分</w:t>
            </w:r>
          </w:p>
          <w:p w14:paraId="1A46E185">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3.定期冲洗台阶。0.5分</w:t>
            </w:r>
          </w:p>
          <w:p w14:paraId="239B78D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4.定期清洁</w:t>
            </w:r>
            <w:r>
              <w:rPr>
                <w:rFonts w:hint="default" w:ascii="Times New Roman" w:hAnsi="Times New Roman" w:eastAsia="仿宋_GB2312" w:cs="Times New Roman"/>
                <w:color w:val="000000"/>
                <w:sz w:val="21"/>
                <w:szCs w:val="21"/>
                <w:lang w:eastAsia="zh-CN"/>
              </w:rPr>
              <w:t>露台</w:t>
            </w:r>
            <w:r>
              <w:rPr>
                <w:rFonts w:hint="default" w:ascii="Times New Roman" w:hAnsi="Times New Roman" w:eastAsia="仿宋_GB2312" w:cs="Times New Roman"/>
                <w:color w:val="000000"/>
                <w:sz w:val="21"/>
                <w:szCs w:val="21"/>
              </w:rPr>
              <w:t>，下水通畅，无垃圾、落叶、淤泥等堆积。0.5分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2E36BF">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C9B973D">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F525FE8">
            <w:pPr>
              <w:pStyle w:val="11"/>
              <w:rPr>
                <w:rFonts w:hint="default" w:ascii="Times New Roman" w:hAnsi="Times New Roman" w:eastAsia="仿宋_GB2312" w:cs="Times New Roman"/>
                <w:color w:val="000000"/>
                <w:sz w:val="21"/>
                <w:szCs w:val="21"/>
              </w:rPr>
            </w:pPr>
          </w:p>
        </w:tc>
      </w:tr>
      <w:tr w14:paraId="2465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9DFE65B">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6C7E8627">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（三）园林绿地1.5分</w:t>
            </w:r>
          </w:p>
          <w:p w14:paraId="1F10A08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1.无大面积落叶堆积，无枯枝修剪树枝堆积，无杂物堆积。0.5分</w:t>
            </w:r>
          </w:p>
          <w:p w14:paraId="6A9C115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2.目测无垃圾、飘落物等。0.5分</w:t>
            </w:r>
          </w:p>
          <w:p w14:paraId="5906FE7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3.栏杆等无灰尘，无污垢。0.5分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5D7E7E">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434C55A">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22FDA54">
            <w:pPr>
              <w:pStyle w:val="11"/>
              <w:rPr>
                <w:rFonts w:hint="default" w:ascii="Times New Roman" w:hAnsi="Times New Roman" w:eastAsia="仿宋_GB2312" w:cs="Times New Roman"/>
                <w:color w:val="000000"/>
                <w:sz w:val="21"/>
                <w:szCs w:val="21"/>
              </w:rPr>
            </w:pPr>
          </w:p>
        </w:tc>
      </w:tr>
      <w:tr w14:paraId="0693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BAD551A">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2418BDD">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（四）垃圾2分</w:t>
            </w:r>
          </w:p>
          <w:p w14:paraId="4C8F8C3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1.封闭式，垃圾应分类。0.5分</w:t>
            </w:r>
          </w:p>
          <w:p w14:paraId="1A06007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2.应制定垃圾定时定点投放制度，明确管理责任人。0.5分</w:t>
            </w:r>
          </w:p>
          <w:p w14:paraId="78D41F0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3.垃圾日产日清，无拖挂，不满溢。清运时应分类收集和运输，并做好防护，避免二次污染。0.5分</w:t>
            </w:r>
          </w:p>
          <w:p w14:paraId="7A68C31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4.垃圾装袋，不散放，垃圾桶等每日清洗、消毒，定期灭四害。0.5分</w:t>
            </w:r>
          </w:p>
        </w:tc>
        <w:tc>
          <w:tcPr>
            <w:tcW w:w="900" w:type="dxa"/>
            <w:tcBorders>
              <w:top w:val="single" w:color="000000" w:sz="4" w:space="0"/>
              <w:left w:val="single" w:color="000000" w:sz="4" w:space="0"/>
              <w:bottom w:val="single" w:color="000000" w:sz="4" w:space="0"/>
              <w:right w:val="single" w:color="auto" w:sz="4" w:space="0"/>
            </w:tcBorders>
            <w:noWrap w:val="0"/>
            <w:vAlign w:val="center"/>
          </w:tcPr>
          <w:p w14:paraId="392C706C">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auto" w:sz="4" w:space="0"/>
              <w:bottom w:val="single" w:color="000000" w:sz="4" w:space="0"/>
              <w:right w:val="single" w:color="auto" w:sz="4" w:space="0"/>
            </w:tcBorders>
            <w:noWrap w:val="0"/>
            <w:vAlign w:val="top"/>
          </w:tcPr>
          <w:p w14:paraId="12596BA0">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auto" w:sz="4" w:space="0"/>
              <w:bottom w:val="single" w:color="000000" w:sz="4" w:space="0"/>
              <w:right w:val="single" w:color="000000" w:sz="4" w:space="0"/>
            </w:tcBorders>
            <w:noWrap w:val="0"/>
            <w:vAlign w:val="top"/>
          </w:tcPr>
          <w:p w14:paraId="62713B8F">
            <w:pPr>
              <w:pStyle w:val="11"/>
              <w:rPr>
                <w:rFonts w:hint="default" w:ascii="Times New Roman" w:hAnsi="Times New Roman" w:eastAsia="仿宋_GB2312" w:cs="Times New Roman"/>
                <w:color w:val="000000"/>
                <w:sz w:val="21"/>
                <w:szCs w:val="21"/>
              </w:rPr>
            </w:pPr>
          </w:p>
        </w:tc>
      </w:tr>
      <w:tr w14:paraId="2CFC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ABC38">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安全</w:t>
            </w:r>
          </w:p>
          <w:p w14:paraId="6BDD43F8">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服务</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D9278BD">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（一）公共秩序维护</w:t>
            </w:r>
            <w:r>
              <w:rPr>
                <w:rFonts w:hint="default" w:ascii="Times New Roman" w:hAnsi="Times New Roman" w:eastAsia="仿宋_GB2312" w:cs="Times New Roman"/>
                <w:b/>
                <w:bCs/>
                <w:color w:val="000000"/>
                <w:sz w:val="21"/>
                <w:szCs w:val="21"/>
                <w:lang w:eastAsia="zh-CN"/>
              </w:rPr>
              <w:t>9</w:t>
            </w:r>
            <w:r>
              <w:rPr>
                <w:rFonts w:hint="default" w:ascii="Times New Roman" w:hAnsi="Times New Roman" w:eastAsia="仿宋_GB2312" w:cs="Times New Roman"/>
                <w:b/>
                <w:bCs/>
                <w:color w:val="000000"/>
                <w:sz w:val="21"/>
                <w:szCs w:val="21"/>
              </w:rPr>
              <w:t>分</w:t>
            </w:r>
          </w:p>
          <w:p w14:paraId="0660BEE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rPr>
              <w:t>1</w:t>
            </w:r>
            <w:r>
              <w:rPr>
                <w:rFonts w:hint="default" w:ascii="Times New Roman" w:hAnsi="Times New Roman" w:eastAsia="仿宋_GB2312" w:cs="Times New Roman"/>
                <w:color w:val="000000"/>
                <w:sz w:val="21"/>
                <w:szCs w:val="21"/>
              </w:rPr>
              <w:t>.应建立出入登记制度，做好人员出入登记和管理，发生问题或发现可疑危险品时，应及时处理。</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45ECF374">
            <w:pPr>
              <w:pStyle w:val="1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.监控室实行24小时值班、24小时监控，确保无漏岗、脱岗等失职现象；发现故障和其他情况应及时向主管单位和公安部门报告，每日及时填写值班情况记录。有完善的值班制度和交接班制度。</w:t>
            </w:r>
            <w:r>
              <w:rPr>
                <w:rFonts w:hint="default" w:ascii="Times New Roman" w:hAnsi="Times New Roman" w:eastAsia="仿宋_GB2312" w:cs="Times New Roman"/>
                <w:color w:val="000000"/>
                <w:sz w:val="21"/>
                <w:szCs w:val="21"/>
                <w:lang w:val="en-US" w:eastAsia="zh-CN"/>
              </w:rPr>
              <w:t>3分</w:t>
            </w:r>
          </w:p>
          <w:p w14:paraId="07F08123">
            <w:pPr>
              <w:pStyle w:val="1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物业管理区域内实行巡视，负责各楼层开门、锁门和门窗、水电器关闭检查，并制定巡视的时间、路线、内容等。巡视时应着装规范整齐，巡视过程中发现问题应及时妥善处理，做好安全巡视记录。白天巡逻次数不少于</w:t>
            </w:r>
            <w:r>
              <w:rPr>
                <w:rFonts w:hint="eastAsia" w:ascii="Times New Roman" w:hAnsi="Times New Roman" w:eastAsia="仿宋_GB2312" w:cs="Times New Roman"/>
                <w:color w:val="000000"/>
                <w:sz w:val="21"/>
                <w:szCs w:val="21"/>
                <w:lang w:val="en-US" w:eastAsia="zh-CN"/>
              </w:rPr>
              <w:t>8</w:t>
            </w:r>
            <w:r>
              <w:rPr>
                <w:rFonts w:hint="default" w:ascii="Times New Roman" w:hAnsi="Times New Roman" w:eastAsia="仿宋_GB2312" w:cs="Times New Roman"/>
                <w:color w:val="000000"/>
                <w:sz w:val="21"/>
                <w:szCs w:val="21"/>
              </w:rPr>
              <w:t>次，夜间巡逻次数不少于4次，重点部位、重点时间以及特殊情况加强巡逻，及时发现和处理不安全隐患；为干部职工和群众提供紧急救助及安全支援；在遇到突发事件时，及时报告主管单位及公安部门，必要时采取正当防卫，防止事态扩大，协助保护现场和证据，在紧急情况下组织人员疏散；安全巡逻有记录有检查。</w:t>
            </w:r>
            <w:r>
              <w:rPr>
                <w:rFonts w:hint="default" w:ascii="Times New Roman" w:hAnsi="Times New Roman" w:eastAsia="仿宋_GB2312" w:cs="Times New Roman"/>
                <w:color w:val="000000"/>
                <w:sz w:val="21"/>
                <w:szCs w:val="21"/>
                <w:lang w:val="en-US" w:eastAsia="zh-CN"/>
              </w:rPr>
              <w:t>3分</w:t>
            </w:r>
          </w:p>
          <w:p w14:paraId="615B8889">
            <w:pPr>
              <w:pStyle w:val="11"/>
              <w:rPr>
                <w:rFonts w:hint="default" w:ascii="Times New Roman" w:hAnsi="Times New Roman" w:eastAsia="仿宋_GB2312" w:cs="Times New Roman"/>
                <w:strike w:val="0"/>
                <w:dstrike w:val="0"/>
                <w:color w:val="000000"/>
                <w:sz w:val="21"/>
                <w:szCs w:val="21"/>
              </w:rPr>
            </w:pPr>
            <w:r>
              <w:rPr>
                <w:rFonts w:hint="default" w:ascii="Times New Roman" w:hAnsi="Times New Roman" w:eastAsia="仿宋_GB2312" w:cs="Times New Roman"/>
                <w:strike w:val="0"/>
                <w:dstrike w:val="0"/>
                <w:color w:val="000000"/>
                <w:sz w:val="21"/>
                <w:szCs w:val="21"/>
                <w:lang w:val="en-US" w:eastAsia="zh-CN"/>
              </w:rPr>
              <w:t>4</w:t>
            </w:r>
            <w:r>
              <w:rPr>
                <w:rFonts w:hint="default" w:ascii="Times New Roman" w:hAnsi="Times New Roman" w:eastAsia="仿宋_GB2312" w:cs="Times New Roman"/>
                <w:strike w:val="0"/>
                <w:dstrike w:val="0"/>
                <w:color w:val="000000"/>
                <w:sz w:val="21"/>
                <w:szCs w:val="21"/>
              </w:rPr>
              <w:t>.视频图像监控资料的保存期限应符合相关规定，至少保留30天，重点目标管理单位不少于90天。</w:t>
            </w:r>
            <w:r>
              <w:rPr>
                <w:rFonts w:hint="default" w:ascii="Times New Roman" w:hAnsi="Times New Roman" w:eastAsia="仿宋_GB2312" w:cs="Times New Roman"/>
                <w:strike w:val="0"/>
                <w:dstrike w:val="0"/>
                <w:color w:val="000000"/>
                <w:sz w:val="21"/>
                <w:szCs w:val="21"/>
                <w:lang w:val="en-US" w:eastAsia="zh-CN"/>
              </w:rPr>
              <w:t>1</w:t>
            </w:r>
            <w:r>
              <w:rPr>
                <w:rFonts w:hint="default" w:ascii="Times New Roman" w:hAnsi="Times New Roman" w:eastAsia="仿宋_GB2312" w:cs="Times New Roman"/>
                <w:strike w:val="0"/>
                <w:dstrike w:val="0"/>
                <w:color w:val="000000"/>
                <w:sz w:val="21"/>
                <w:szCs w:val="21"/>
              </w:rPr>
              <w:t>分</w:t>
            </w:r>
          </w:p>
          <w:p w14:paraId="1B00EB31">
            <w:pPr>
              <w:pStyle w:val="11"/>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val="en-US" w:eastAsia="zh-CN"/>
              </w:rPr>
              <w:t>5</w:t>
            </w: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sz w:val="21"/>
                <w:szCs w:val="21"/>
              </w:rPr>
              <w:t>视频图像监控资料需严格保密，未经甲方书面批准任何个人和单位不得查阅或、复制、销毁。</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BE29FE">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A0E0123">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BE2AEDD">
            <w:pPr>
              <w:pStyle w:val="11"/>
              <w:rPr>
                <w:rFonts w:hint="default" w:ascii="Times New Roman" w:hAnsi="Times New Roman" w:eastAsia="仿宋_GB2312" w:cs="Times New Roman"/>
                <w:color w:val="000000"/>
                <w:sz w:val="21"/>
                <w:szCs w:val="21"/>
              </w:rPr>
            </w:pPr>
          </w:p>
        </w:tc>
      </w:tr>
      <w:tr w14:paraId="66CF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7EAEE">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6F96E42">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（二）消防安全管理6分</w:t>
            </w:r>
          </w:p>
          <w:p w14:paraId="06924E2E">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1.消防设施和器材配备、维护管理应符合要求。2分</w:t>
            </w:r>
          </w:p>
          <w:p w14:paraId="4886814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2.易燃易爆品设专区专人管理，并应符合消防相关要求。0.5分</w:t>
            </w:r>
          </w:p>
          <w:p w14:paraId="556BFF2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3.每月至少开展一次消防检查，检查内容包括消防设施和器材、疏散通道、安全出口及消防车道畅通情况，并做好记录。1分</w:t>
            </w:r>
          </w:p>
          <w:p w14:paraId="7DA993E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4.对消防安全进行巡查，出现问题应及时整改并上报。0.5分</w:t>
            </w:r>
          </w:p>
          <w:p w14:paraId="312AB72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5.每年至少各组织1次消防安全培训和生产安全培训，每半年至少组织1次消防演练。2分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6E2935">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C5437F0">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678B74E">
            <w:pPr>
              <w:pStyle w:val="11"/>
              <w:rPr>
                <w:rFonts w:hint="default" w:ascii="Times New Roman" w:hAnsi="Times New Roman" w:eastAsia="仿宋_GB2312" w:cs="Times New Roman"/>
                <w:color w:val="000000"/>
                <w:sz w:val="21"/>
                <w:szCs w:val="21"/>
              </w:rPr>
            </w:pPr>
          </w:p>
        </w:tc>
      </w:tr>
      <w:tr w14:paraId="6551D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auto" w:sz="4" w:space="0"/>
              <w:right w:val="single" w:color="000000" w:sz="4" w:space="0"/>
            </w:tcBorders>
            <w:noWrap w:val="0"/>
            <w:vAlign w:val="center"/>
          </w:tcPr>
          <w:p w14:paraId="4A9ED3DD">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auto" w:sz="4" w:space="0"/>
              <w:right w:val="single" w:color="000000" w:sz="4" w:space="0"/>
            </w:tcBorders>
            <w:noWrap w:val="0"/>
            <w:vAlign w:val="top"/>
          </w:tcPr>
          <w:p w14:paraId="55778EEE">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（三）突发事件处理</w:t>
            </w:r>
            <w:r>
              <w:rPr>
                <w:rFonts w:hint="default" w:ascii="Times New Roman" w:hAnsi="Times New Roman" w:eastAsia="仿宋_GB2312" w:cs="Times New Roman"/>
                <w:b/>
                <w:bCs/>
                <w:color w:val="000000"/>
                <w:sz w:val="21"/>
                <w:szCs w:val="21"/>
                <w:lang w:val="en-US" w:eastAsia="zh-CN"/>
              </w:rPr>
              <w:t>8</w:t>
            </w:r>
            <w:r>
              <w:rPr>
                <w:rFonts w:hint="default" w:ascii="Times New Roman" w:hAnsi="Times New Roman" w:eastAsia="仿宋_GB2312" w:cs="Times New Roman"/>
                <w:b/>
                <w:bCs/>
                <w:color w:val="000000"/>
                <w:sz w:val="21"/>
                <w:szCs w:val="21"/>
              </w:rPr>
              <w:t>分</w:t>
            </w:r>
          </w:p>
          <w:p w14:paraId="35555F9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1.建立突发事件应急预案体系，包括但不限于电梯困人、紧急会议、火警火灾、突发停电、意外伤害、群体性上访、台风、暴雨及雷电等应急预案。</w:t>
            </w:r>
            <w:r>
              <w:rPr>
                <w:rFonts w:hint="eastAsia"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分</w:t>
            </w:r>
          </w:p>
          <w:p w14:paraId="7D143DB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2.突发事件发生时应立即启动应急预案，迅速展开指挥协调、信息报告、紧急处置、秩序维护、抢险救援、后勤保障等工作，并在第一时间向甲方汇报处理结果。</w:t>
            </w:r>
            <w:r>
              <w:rPr>
                <w:rFonts w:hint="eastAsia"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分</w:t>
            </w:r>
          </w:p>
          <w:p w14:paraId="4393977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3.突发事件发生后编制突发事件处理报告，完善应急预案，并向甲方汇报。</w:t>
            </w: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分</w:t>
            </w:r>
          </w:p>
          <w:p w14:paraId="0937FF3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4.每年至少组织1次突发事件应急演习。</w:t>
            </w:r>
            <w:r>
              <w:rPr>
                <w:rFonts w:hint="eastAsia"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7D847B">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4F0D48B">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FCCEAE7">
            <w:pPr>
              <w:pStyle w:val="11"/>
              <w:rPr>
                <w:rFonts w:hint="default" w:ascii="Times New Roman" w:hAnsi="Times New Roman" w:eastAsia="仿宋_GB2312" w:cs="Times New Roman"/>
                <w:color w:val="000000"/>
                <w:sz w:val="21"/>
                <w:szCs w:val="21"/>
              </w:rPr>
            </w:pPr>
          </w:p>
        </w:tc>
      </w:tr>
      <w:tr w14:paraId="4F446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tcBorders>
              <w:top w:val="single" w:color="auto" w:sz="4" w:space="0"/>
              <w:left w:val="single" w:color="000000" w:sz="4" w:space="0"/>
              <w:bottom w:val="single" w:color="auto" w:sz="4" w:space="0"/>
              <w:right w:val="single" w:color="000000" w:sz="4" w:space="0"/>
            </w:tcBorders>
            <w:noWrap w:val="0"/>
            <w:vAlign w:val="center"/>
          </w:tcPr>
          <w:p w14:paraId="51B74567">
            <w:pPr>
              <w:pStyle w:val="11"/>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绿化</w:t>
            </w:r>
          </w:p>
          <w:p w14:paraId="76DEDE68">
            <w:pPr>
              <w:pStyle w:val="11"/>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管理</w:t>
            </w:r>
          </w:p>
        </w:tc>
        <w:tc>
          <w:tcPr>
            <w:tcW w:w="6900" w:type="dxa"/>
            <w:tcBorders>
              <w:top w:val="single" w:color="auto" w:sz="4" w:space="0"/>
              <w:left w:val="single" w:color="000000" w:sz="4" w:space="0"/>
              <w:bottom w:val="single" w:color="auto" w:sz="4" w:space="0"/>
              <w:right w:val="single" w:color="000000" w:sz="4" w:space="0"/>
            </w:tcBorders>
            <w:noWrap w:val="0"/>
            <w:vAlign w:val="top"/>
          </w:tcPr>
          <w:p w14:paraId="196DBB26">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室内绿化</w:t>
            </w:r>
            <w:r>
              <w:rPr>
                <w:rFonts w:hint="default" w:ascii="Times New Roman" w:hAnsi="Times New Roman" w:eastAsia="仿宋_GB2312" w:cs="Times New Roman"/>
                <w:b/>
                <w:bCs/>
                <w:color w:val="000000"/>
                <w:sz w:val="21"/>
                <w:szCs w:val="21"/>
                <w:lang w:val="en-US" w:eastAsia="zh-CN"/>
              </w:rPr>
              <w:t>1</w:t>
            </w:r>
            <w:r>
              <w:rPr>
                <w:rFonts w:hint="default" w:ascii="Times New Roman" w:hAnsi="Times New Roman" w:eastAsia="仿宋_GB2312" w:cs="Times New Roman"/>
                <w:b/>
                <w:bCs/>
                <w:color w:val="000000"/>
                <w:sz w:val="21"/>
                <w:szCs w:val="21"/>
                <w:lang w:eastAsia="zh-CN"/>
              </w:rPr>
              <w:t>.5</w:t>
            </w:r>
            <w:r>
              <w:rPr>
                <w:rFonts w:hint="default" w:ascii="Times New Roman" w:hAnsi="Times New Roman" w:eastAsia="仿宋_GB2312" w:cs="Times New Roman"/>
                <w:b/>
                <w:bCs/>
                <w:color w:val="000000"/>
                <w:sz w:val="21"/>
                <w:szCs w:val="21"/>
              </w:rPr>
              <w:t>分</w:t>
            </w:r>
          </w:p>
          <w:p w14:paraId="70751085">
            <w:pPr>
              <w:pStyle w:val="1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1.根据季节和气候状况，进行浇灌、施肥、修剪和松土等养护。</w:t>
            </w:r>
            <w:r>
              <w:rPr>
                <w:rFonts w:hint="default" w:ascii="Times New Roman" w:hAnsi="Times New Roman" w:eastAsia="仿宋_GB2312" w:cs="Times New Roman"/>
                <w:color w:val="000000"/>
                <w:sz w:val="21"/>
                <w:szCs w:val="21"/>
                <w:lang w:val="en-US" w:eastAsia="zh-CN"/>
              </w:rPr>
              <w:t>0.5分</w:t>
            </w:r>
          </w:p>
          <w:p w14:paraId="32ADC01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植株长势良好，无残枝、黄叶，花朵饱满、无萎蔫，托盘内无积水。0.5分</w:t>
            </w:r>
          </w:p>
          <w:p w14:paraId="23AB0A8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.应定期施肥浇水，出现病虫害问题应及时进行治理养护。0.</w:t>
            </w: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5分</w:t>
            </w:r>
          </w:p>
          <w:p w14:paraId="49A68341">
            <w:pPr>
              <w:pStyle w:val="11"/>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21"/>
                <w:szCs w:val="21"/>
                <w:lang w:val="en-US" w:eastAsia="zh-CN"/>
              </w:rPr>
              <w:t>4</w:t>
            </w:r>
            <w:r>
              <w:rPr>
                <w:rFonts w:hint="default" w:ascii="Times New Roman" w:hAnsi="Times New Roman" w:eastAsia="仿宋_GB2312" w:cs="Times New Roman"/>
                <w:color w:val="000000"/>
                <w:sz w:val="21"/>
                <w:szCs w:val="21"/>
              </w:rPr>
              <w:t>.绿化养护时产生的垃圾应随产随清。</w:t>
            </w:r>
            <w:r>
              <w:rPr>
                <w:rFonts w:hint="default" w:ascii="Times New Roman" w:hAnsi="Times New Roman" w:eastAsia="仿宋_GB2312" w:cs="Times New Roman"/>
                <w:color w:val="000000"/>
                <w:sz w:val="21"/>
                <w:szCs w:val="21"/>
                <w:lang w:val="en-US" w:eastAsia="zh-CN"/>
              </w:rPr>
              <w:t>0.25</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86F02AC">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w:t>
            </w: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7E9452">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312E2F5">
            <w:pPr>
              <w:pStyle w:val="11"/>
              <w:rPr>
                <w:rFonts w:hint="default" w:ascii="Times New Roman" w:hAnsi="Times New Roman" w:eastAsia="仿宋_GB2312" w:cs="Times New Roman"/>
                <w:color w:val="000000"/>
                <w:sz w:val="21"/>
                <w:szCs w:val="21"/>
              </w:rPr>
            </w:pPr>
          </w:p>
        </w:tc>
      </w:tr>
      <w:tr w14:paraId="3CE0F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83E4A">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设施</w:t>
            </w:r>
          </w:p>
          <w:p w14:paraId="60BEDB01">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设备</w:t>
            </w:r>
          </w:p>
          <w:p w14:paraId="0848FD1A">
            <w:pPr>
              <w:pStyle w:val="11"/>
              <w:ind w:left="0" w:leftChars="0"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维护</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F053B3F">
            <w:pPr>
              <w:pStyle w:val="11"/>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（一）基本要求10分</w:t>
            </w:r>
          </w:p>
          <w:p w14:paraId="4BBCF76E">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1.设施设备环境和场所应具备防雷电、防火灾、防日晒、防高温、防潮湿、防腐蚀、防噪音等功能，保证设施设备安全、稳定运行。</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39030094">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2.应在显著位置张贴各类设施设备管理制度、紧急联系方式、设备标识、安全防护和警示标识等。</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22B52E08">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3.建立现场管理、设施设备台账，根据设施设备运行情况，制定维护保养计划</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确保正常安全运行。</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0C09480C">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4.应对重点设施设备进行巡检，设置巡检周期、路线、内容和要求，如实记录运行参数和状况</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做好检测检查、日常维护维修以及运行数据动态记录等管理工作</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1分</w:t>
            </w:r>
          </w:p>
          <w:p w14:paraId="7888928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5.设施设备损坏应及时安排维修，并做好检查维修记录。维修时应放置警示标志，维修完毕后进行调试，及时清理现场。特种设备由</w:t>
            </w:r>
            <w:r>
              <w:rPr>
                <w:rFonts w:hint="default" w:ascii="Times New Roman" w:hAnsi="Times New Roman" w:eastAsia="仿宋_GB2312" w:cs="Times New Roman"/>
                <w:color w:val="000000"/>
                <w:sz w:val="21"/>
                <w:szCs w:val="21"/>
                <w:lang w:val="en-US" w:eastAsia="zh-CN"/>
              </w:rPr>
              <w:t>物业公司联系</w:t>
            </w:r>
            <w:r>
              <w:rPr>
                <w:rFonts w:hint="default" w:ascii="Times New Roman" w:hAnsi="Times New Roman" w:eastAsia="仿宋_GB2312" w:cs="Times New Roman"/>
                <w:color w:val="000000"/>
                <w:sz w:val="21"/>
                <w:szCs w:val="21"/>
              </w:rPr>
              <w:t>具有资质的专业性机构维修养护，物业公司</w:t>
            </w:r>
            <w:r>
              <w:rPr>
                <w:rFonts w:hint="default" w:ascii="Times New Roman" w:hAnsi="Times New Roman" w:eastAsia="仿宋_GB2312" w:cs="Times New Roman"/>
                <w:color w:val="000000"/>
                <w:sz w:val="21"/>
                <w:szCs w:val="21"/>
                <w:lang w:val="en-US" w:eastAsia="zh-CN"/>
              </w:rPr>
              <w:t>做好</w:t>
            </w:r>
            <w:r>
              <w:rPr>
                <w:rFonts w:hint="default" w:ascii="Times New Roman" w:hAnsi="Times New Roman" w:eastAsia="仿宋_GB2312" w:cs="Times New Roman"/>
                <w:color w:val="000000"/>
                <w:sz w:val="21"/>
                <w:szCs w:val="21"/>
              </w:rPr>
              <w:t>日常管理。</w:t>
            </w: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分</w:t>
            </w:r>
          </w:p>
          <w:p w14:paraId="14645DD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6.制订定期与不定期的设施设备维保计划，加强日常维护保养工作。</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4DB672C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7.</w:t>
            </w:r>
            <w:r>
              <w:rPr>
                <w:rFonts w:hint="default" w:ascii="Times New Roman" w:hAnsi="Times New Roman" w:eastAsia="仿宋_GB2312" w:cs="Times New Roman"/>
                <w:color w:val="000000"/>
                <w:sz w:val="21"/>
                <w:szCs w:val="21"/>
              </w:rPr>
              <w:t>做好相关设备、设施检修、维保计划的编报以及代表主管单位与有关单位联系年检、专业维修等工作。1分</w:t>
            </w:r>
          </w:p>
          <w:p w14:paraId="7EACE59B">
            <w:pPr>
              <w:pStyle w:val="11"/>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21"/>
                <w:szCs w:val="21"/>
                <w:lang w:val="en-US" w:eastAsia="zh-CN"/>
              </w:rPr>
              <w:t>8.</w:t>
            </w:r>
            <w:r>
              <w:rPr>
                <w:rFonts w:hint="default" w:ascii="Times New Roman" w:hAnsi="Times New Roman" w:eastAsia="仿宋_GB2312" w:cs="Times New Roman"/>
                <w:color w:val="000000"/>
                <w:sz w:val="21"/>
                <w:szCs w:val="21"/>
              </w:rPr>
              <w:t>在指定的时限内完成相关项目维护维修管理</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不按规定时限维护维修设备设施的，由业主在当季物业费中按市场价扣除维护维修相关费用。2</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483372">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val="en-US" w:eastAsia="zh-CN"/>
              </w:rPr>
              <w:t>相应</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7642E9C">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B713384">
            <w:pPr>
              <w:pStyle w:val="11"/>
              <w:rPr>
                <w:rFonts w:hint="default" w:ascii="Times New Roman" w:hAnsi="Times New Roman" w:eastAsia="仿宋_GB2312" w:cs="Times New Roman"/>
                <w:color w:val="000000"/>
                <w:sz w:val="21"/>
                <w:szCs w:val="21"/>
              </w:rPr>
            </w:pPr>
          </w:p>
        </w:tc>
      </w:tr>
      <w:tr w14:paraId="2A34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A604C">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45C0193">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（二）能源管理1.5分</w:t>
            </w:r>
          </w:p>
          <w:p w14:paraId="6ED9D9C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1.应根据气候变化、工作性质和基地的需求，调整设施设备的启停时间、运行参数，制定合理的节能运行计划。0.5分</w:t>
            </w:r>
          </w:p>
          <w:p w14:paraId="2A5D62C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2.应对重点用能设备的能源消耗及利用效率进行监控，定期进行能源统计和分析，采取措施进行改善。1分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38C15A">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E4D2139">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21004E1">
            <w:pPr>
              <w:pStyle w:val="11"/>
              <w:rPr>
                <w:rFonts w:hint="default" w:ascii="Times New Roman" w:hAnsi="Times New Roman" w:eastAsia="仿宋_GB2312" w:cs="Times New Roman"/>
                <w:color w:val="000000"/>
                <w:sz w:val="21"/>
                <w:szCs w:val="21"/>
              </w:rPr>
            </w:pPr>
          </w:p>
        </w:tc>
      </w:tr>
      <w:tr w14:paraId="59E7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9CAFD">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FEDE609">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（三）房屋维护</w:t>
            </w:r>
            <w:r>
              <w:rPr>
                <w:rFonts w:hint="default" w:ascii="Times New Roman" w:hAnsi="Times New Roman" w:eastAsia="仿宋_GB2312" w:cs="Times New Roman"/>
                <w:b/>
                <w:bCs/>
                <w:color w:val="000000"/>
                <w:sz w:val="21"/>
                <w:szCs w:val="21"/>
                <w:lang w:eastAsia="zh-CN"/>
              </w:rPr>
              <w:t>6</w:t>
            </w:r>
            <w:r>
              <w:rPr>
                <w:rFonts w:hint="default" w:ascii="Times New Roman" w:hAnsi="Times New Roman" w:eastAsia="仿宋_GB2312" w:cs="Times New Roman"/>
                <w:b/>
                <w:bCs/>
                <w:color w:val="000000"/>
                <w:sz w:val="21"/>
                <w:szCs w:val="21"/>
              </w:rPr>
              <w:t>分</w:t>
            </w:r>
          </w:p>
          <w:p w14:paraId="7DC33F3C">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1.定期巡视梁、板、柱等结构构件，发现外观有变形、开裂等现象，应采取必要防护措施。</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06F535B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2.建筑物及其附属件质量要求包括但不限于：</w:t>
            </w:r>
          </w:p>
          <w:p w14:paraId="34C846D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——房屋地面、墙、台面、</w:t>
            </w:r>
            <w:r>
              <w:rPr>
                <w:rFonts w:hint="default" w:ascii="Times New Roman" w:hAnsi="Times New Roman" w:eastAsia="仿宋_GB2312" w:cs="Times New Roman"/>
                <w:strike w:val="0"/>
                <w:dstrike w:val="0"/>
                <w:color w:val="000000"/>
                <w:sz w:val="21"/>
                <w:szCs w:val="21"/>
              </w:rPr>
              <w:t>吊顶</w:t>
            </w:r>
            <w:r>
              <w:rPr>
                <w:rFonts w:hint="default" w:ascii="Times New Roman" w:hAnsi="Times New Roman" w:eastAsia="仿宋_GB2312" w:cs="Times New Roman"/>
                <w:color w:val="000000"/>
                <w:sz w:val="21"/>
                <w:szCs w:val="21"/>
              </w:rPr>
              <w:t>、门、楼梯、通风道、卫生洁具等完好，无霉变破损；</w:t>
            </w:r>
          </w:p>
          <w:p w14:paraId="281764B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——各类管道通畅无锈蚀、无滴漏，室内外标识标牌、室外栏杆、扶手及钢架完好无锈蚀；</w:t>
            </w:r>
          </w:p>
          <w:p w14:paraId="47947FD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——室外铺装及道路平整无坑洼、无破损；</w:t>
            </w:r>
          </w:p>
          <w:p w14:paraId="460C276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——五金配件完好，门窗开闭灵活、密封性好、无异常声响；</w:t>
            </w:r>
          </w:p>
          <w:p w14:paraId="1D6D512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——粉刷无剥落开裂，墙面砖、地坪、地砖、地板平整不起壳、无遗缺，吊顶无污(水)渍、开缝和破损；</w:t>
            </w:r>
          </w:p>
          <w:p w14:paraId="1C4E34B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——屋面排水沟、室内室外排水管保障畅通。总共4分</w:t>
            </w:r>
          </w:p>
          <w:p w14:paraId="43BF66B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3.维修任务应在规定时间内完成。</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9C867A">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4CB283D">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2F044CF">
            <w:pPr>
              <w:pStyle w:val="11"/>
              <w:rPr>
                <w:rFonts w:hint="default" w:ascii="Times New Roman" w:hAnsi="Times New Roman" w:eastAsia="仿宋_GB2312" w:cs="Times New Roman"/>
                <w:color w:val="000000"/>
                <w:sz w:val="21"/>
                <w:szCs w:val="21"/>
              </w:rPr>
            </w:pPr>
          </w:p>
        </w:tc>
      </w:tr>
      <w:tr w14:paraId="34EA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79D69">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4B4B03D0">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（四）供配电系统4.5分</w:t>
            </w:r>
          </w:p>
          <w:p w14:paraId="3FC98F7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高(低)压变(配)电柜操作应运行正常，各类表计显示正常，功率因数自</w:t>
            </w:r>
            <w:r>
              <w:rPr>
                <w:rFonts w:hint="eastAsia" w:ascii="Times New Roman" w:hAnsi="Times New Roman" w:eastAsia="仿宋_GB2312" w:cs="Times New Roman"/>
                <w:color w:val="000000"/>
                <w:sz w:val="21"/>
                <w:szCs w:val="21"/>
                <w:lang w:val="en-US" w:eastAsia="zh-CN"/>
              </w:rPr>
              <w:t>动</w:t>
            </w:r>
            <w:r>
              <w:rPr>
                <w:rFonts w:hint="default" w:ascii="Times New Roman" w:hAnsi="Times New Roman" w:eastAsia="仿宋_GB2312" w:cs="Times New Roman"/>
                <w:color w:val="000000"/>
                <w:sz w:val="21"/>
                <w:szCs w:val="21"/>
              </w:rPr>
              <w:t>补偿电容器(组)、有源滤波系统等运行正常，自动切换准确可靠。0.5分</w:t>
            </w:r>
          </w:p>
          <w:p w14:paraId="546FFE5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2</w:t>
            </w:r>
            <w:r>
              <w:rPr>
                <w:rFonts w:hint="default" w:ascii="Times New Roman" w:hAnsi="Times New Roman" w:eastAsia="仿宋_GB2312" w:cs="Times New Roman"/>
                <w:color w:val="000000"/>
                <w:sz w:val="21"/>
                <w:szCs w:val="21"/>
              </w:rPr>
              <w:t>.各类照明灯具、泛光照明系统、应急供电系统、供用电设备设施(包括配电箱柜、桥架、井道、分电箱、开关、插座等)应运行正常。</w:t>
            </w:r>
            <w:r>
              <w:rPr>
                <w:rFonts w:hint="eastAsia"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25DBF0F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.建立配送电运行制度、电气维修制度和配电房管理制度。</w:t>
            </w:r>
            <w:r>
              <w:rPr>
                <w:rFonts w:hint="eastAsia"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001D01C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4</w:t>
            </w:r>
            <w:r>
              <w:rPr>
                <w:rFonts w:hint="default" w:ascii="Times New Roman" w:hAnsi="Times New Roman" w:eastAsia="仿宋_GB2312" w:cs="Times New Roman"/>
                <w:color w:val="000000"/>
                <w:sz w:val="21"/>
                <w:szCs w:val="21"/>
              </w:rPr>
              <w:t>.对供电范围内的电气设备定期巡视，对低压配电柜、配电箱、控制柜及线路等进行重点监测，至少每半天巡视一次各机房配电设备运行情况，定期进行检查、维护和清洁，并做好记录。1分</w:t>
            </w:r>
          </w:p>
          <w:p w14:paraId="5330C95B">
            <w:pPr>
              <w:pStyle w:val="11"/>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21"/>
                <w:szCs w:val="21"/>
                <w:lang w:val="en-US" w:eastAsia="zh-CN"/>
              </w:rPr>
              <w:t>5</w:t>
            </w:r>
            <w:r>
              <w:rPr>
                <w:rFonts w:hint="default" w:ascii="Times New Roman" w:hAnsi="Times New Roman" w:eastAsia="仿宋_GB2312" w:cs="Times New Roman"/>
                <w:color w:val="000000"/>
                <w:sz w:val="21"/>
                <w:szCs w:val="21"/>
              </w:rPr>
              <w:t>.出现故障时，应第一时间进行指挥调度，维修人员应及时到场，判断故障原因，并进行维修。1分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F812C3">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2473AF0">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F8A1B42">
            <w:pPr>
              <w:pStyle w:val="11"/>
              <w:rPr>
                <w:rFonts w:hint="default" w:ascii="Times New Roman" w:hAnsi="Times New Roman" w:eastAsia="仿宋_GB2312" w:cs="Times New Roman"/>
                <w:color w:val="000000"/>
                <w:sz w:val="21"/>
                <w:szCs w:val="21"/>
              </w:rPr>
            </w:pPr>
          </w:p>
        </w:tc>
      </w:tr>
      <w:tr w14:paraId="31A0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1B6A0">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1E3BF37">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（五）弱电系统3.5分</w:t>
            </w:r>
          </w:p>
          <w:p w14:paraId="0356D13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1.定期巡查机房现场环境、监控、门禁、会议系统设备，确保传输性能符合技术指标要求并做好记录。2分</w:t>
            </w:r>
          </w:p>
          <w:p w14:paraId="74B8F05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2.定期擦拭设备机柜、控制箱、单体设备外表吸附的灰尘和絮状物。0.5分</w:t>
            </w:r>
          </w:p>
          <w:p w14:paraId="0A136588">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3.暴雨、冰雹等恶劣天气前后，应检查设备线路，排除故障隐患。1分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A19C1DE">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633555F">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2BF1164">
            <w:pPr>
              <w:pStyle w:val="11"/>
              <w:rPr>
                <w:rFonts w:hint="default" w:ascii="Times New Roman" w:hAnsi="Times New Roman" w:eastAsia="仿宋_GB2312" w:cs="Times New Roman"/>
                <w:color w:val="000000"/>
                <w:sz w:val="21"/>
                <w:szCs w:val="21"/>
              </w:rPr>
            </w:pPr>
          </w:p>
        </w:tc>
      </w:tr>
      <w:tr w14:paraId="4151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F1623">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7DF150F9">
            <w:pPr>
              <w:pStyle w:val="11"/>
              <w:rPr>
                <w:rFonts w:hint="default" w:ascii="Times New Roman" w:hAnsi="Times New Roman" w:eastAsia="仿宋_GB2312" w:cs="Times New Roman"/>
                <w:b/>
                <w:bCs/>
                <w:strike w:val="0"/>
                <w:dstrike w:val="0"/>
                <w:color w:val="000000"/>
                <w:sz w:val="21"/>
                <w:szCs w:val="21"/>
                <w:lang w:val="en-US" w:eastAsia="zh-CN"/>
              </w:rPr>
            </w:pPr>
            <w:r>
              <w:rPr>
                <w:rFonts w:hint="default" w:ascii="Times New Roman" w:hAnsi="Times New Roman" w:eastAsia="仿宋_GB2312" w:cs="Times New Roman"/>
                <w:b/>
                <w:bCs/>
                <w:strike w:val="0"/>
                <w:dstrike w:val="0"/>
                <w:color w:val="000000"/>
                <w:sz w:val="21"/>
                <w:szCs w:val="21"/>
                <w:u w:val="none"/>
              </w:rPr>
              <w:t>（六）</w:t>
            </w:r>
            <w:r>
              <w:rPr>
                <w:rFonts w:hint="default" w:ascii="Times New Roman" w:hAnsi="Times New Roman" w:eastAsia="仿宋_GB2312" w:cs="Times New Roman"/>
                <w:b/>
                <w:bCs/>
                <w:strike w:val="0"/>
                <w:dstrike w:val="0"/>
                <w:color w:val="000000"/>
                <w:sz w:val="21"/>
                <w:szCs w:val="21"/>
                <w:lang w:eastAsia="zh-CN"/>
              </w:rPr>
              <w:t>电梯管理</w:t>
            </w:r>
            <w:r>
              <w:rPr>
                <w:rFonts w:hint="default" w:ascii="Times New Roman" w:hAnsi="Times New Roman" w:eastAsia="仿宋_GB2312" w:cs="Times New Roman"/>
                <w:b/>
                <w:bCs/>
                <w:strike w:val="0"/>
                <w:dstrike w:val="0"/>
                <w:color w:val="000000"/>
                <w:sz w:val="21"/>
                <w:szCs w:val="21"/>
                <w:lang w:val="en-US" w:eastAsia="zh-CN"/>
              </w:rPr>
              <w:t>3分</w:t>
            </w:r>
          </w:p>
          <w:p w14:paraId="46ECFE84">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1.电梯应经有资质检测机构检验合格，在《安全使用许可证》有效期内安全运行。0.5分</w:t>
            </w:r>
          </w:p>
          <w:p w14:paraId="6CF4F77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2.应在电梯轿厢内显著位置标明电梯使用标志、安全注意事项、应急救援电话、电梯使用管理和维护保养单位等相关信息。0.5分</w:t>
            </w:r>
          </w:p>
          <w:p w14:paraId="26E5C70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3.应装设易于识别和触及的紧急报警装置和自动再充电的紧急照明电源。紧急报警装置和紧急照明电源应符合要求。0.5分</w:t>
            </w:r>
          </w:p>
          <w:p w14:paraId="76BAC06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4.电梯设备机房、井道、底坑无渗水和漏水现象。轿厢内保持清洁，操作按钮及指示灯正常，楼层显示清晰，通风和照明应符合要求。0.5分</w:t>
            </w:r>
          </w:p>
          <w:p w14:paraId="08E2AA6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5.电梯应由具有专业资质的维修保养单位至少每一个月进行一次清洁、润滑、调整和检查。0.5分</w:t>
            </w:r>
          </w:p>
          <w:p w14:paraId="2AFB97FB">
            <w:pPr>
              <w:pStyle w:val="11"/>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rPr>
              <w:t>.电梯发生困人、停梯等重大事件时，应第一时间启动应急预案开展救援，并</w:t>
            </w:r>
            <w:r>
              <w:rPr>
                <w:rFonts w:hint="eastAsia" w:ascii="Times New Roman" w:hAnsi="Times New Roman" w:eastAsia="仿宋_GB2312" w:cs="Times New Roman"/>
                <w:color w:val="000000"/>
                <w:sz w:val="21"/>
                <w:szCs w:val="21"/>
                <w:lang w:eastAsia="zh-CN"/>
              </w:rPr>
              <w:t>立即上报相关部门</w:t>
            </w:r>
            <w:r>
              <w:rPr>
                <w:rFonts w:hint="default" w:ascii="Times New Roman" w:hAnsi="Times New Roman" w:eastAsia="仿宋_GB2312" w:cs="Times New Roman"/>
                <w:color w:val="000000"/>
                <w:sz w:val="21"/>
                <w:szCs w:val="21"/>
              </w:rPr>
              <w:t>，对设备及时进行抢修处理。0.5分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26F25D3">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5B6AD76">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97D1675">
            <w:pPr>
              <w:pStyle w:val="11"/>
              <w:rPr>
                <w:rFonts w:hint="default" w:ascii="Times New Roman" w:hAnsi="Times New Roman" w:eastAsia="仿宋_GB2312" w:cs="Times New Roman"/>
                <w:color w:val="000000"/>
                <w:sz w:val="21"/>
                <w:szCs w:val="21"/>
              </w:rPr>
            </w:pPr>
          </w:p>
        </w:tc>
      </w:tr>
      <w:tr w14:paraId="727E2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D99B6">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4D261EAC">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（七）空调系统</w:t>
            </w:r>
            <w:r>
              <w:rPr>
                <w:rFonts w:hint="default" w:ascii="Times New Roman" w:hAnsi="Times New Roman" w:eastAsia="仿宋_GB2312" w:cs="Times New Roman"/>
                <w:b/>
                <w:bCs/>
                <w:color w:val="000000"/>
                <w:sz w:val="21"/>
                <w:szCs w:val="21"/>
                <w:lang w:val="en-US" w:eastAsia="zh-CN"/>
              </w:rPr>
              <w:t>3</w:t>
            </w:r>
            <w:r>
              <w:rPr>
                <w:rFonts w:hint="default" w:ascii="Times New Roman" w:hAnsi="Times New Roman" w:eastAsia="仿宋_GB2312" w:cs="Times New Roman"/>
                <w:b/>
                <w:bCs/>
                <w:color w:val="000000"/>
                <w:sz w:val="21"/>
                <w:szCs w:val="21"/>
              </w:rPr>
              <w:t>分</w:t>
            </w:r>
          </w:p>
          <w:p w14:paraId="412B4D83">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1.定期巡查空调系统保证安全运行和正常使用，无超标噪音和严重滴漏水现象。</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5568092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2.分体式空调应定期巡查挂机和室外支架是否稳固。</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12750CEA">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.空调系统出现运行故障后，及时通知维修人员及时到达现场维修，并记录存档，零修合格率100％。</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7324F0">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A55592A">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245B33F">
            <w:pPr>
              <w:pStyle w:val="11"/>
              <w:rPr>
                <w:rFonts w:hint="default" w:ascii="Times New Roman" w:hAnsi="Times New Roman" w:eastAsia="仿宋_GB2312" w:cs="Times New Roman"/>
                <w:color w:val="000000"/>
                <w:sz w:val="21"/>
                <w:szCs w:val="21"/>
              </w:rPr>
            </w:pPr>
          </w:p>
        </w:tc>
      </w:tr>
      <w:tr w14:paraId="4A6B6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6940D">
            <w:pPr>
              <w:pStyle w:val="11"/>
              <w:jc w:val="center"/>
              <w:rPr>
                <w:rFonts w:hint="default" w:ascii="Times New Roman" w:hAnsi="Times New Roman" w:eastAsia="仿宋_GB2312" w:cs="Times New Roman"/>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E7C95E7">
            <w:pPr>
              <w:pStyle w:val="11"/>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（八）给排水系统2分</w:t>
            </w:r>
          </w:p>
          <w:p w14:paraId="12319F5E">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1.每周检查污水泵、提升泵、排水泵、阀门等，确保风机、排水系统通畅，各种管道阀门完好，仪表显示正常，无“跑</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冒</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滴</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漏”现象。0.5分</w:t>
            </w:r>
          </w:p>
          <w:p w14:paraId="60DD8E8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2.每季对给排水总管进行检查，每半年对水泵、管道进行养护。每半年对给排水系统进行维护、润滑，保持管道畅通。</w:t>
            </w: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分</w:t>
            </w:r>
          </w:p>
          <w:p w14:paraId="48E04D8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.水压及流量应满足使用要求。0.5分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D9B3D5">
            <w:pPr>
              <w:pStyle w:val="11"/>
              <w:ind w:left="0" w:leftChars="0"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一项不合格扣</w:t>
            </w:r>
            <w:r>
              <w:rPr>
                <w:rFonts w:hint="default" w:ascii="Times New Roman" w:hAnsi="Times New Roman" w:eastAsia="仿宋_GB2312" w:cs="Times New Roman"/>
                <w:color w:val="000000"/>
                <w:sz w:val="21"/>
                <w:szCs w:val="21"/>
                <w:lang w:eastAsia="zh-CN"/>
              </w:rPr>
              <w:t>相应</w:t>
            </w:r>
            <w:r>
              <w:rPr>
                <w:rFonts w:hint="default" w:ascii="Times New Roman" w:hAnsi="Times New Roman" w:eastAsia="仿宋_GB2312" w:cs="Times New Roman"/>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D40FB51">
            <w:pPr>
              <w:pStyle w:val="11"/>
              <w:rPr>
                <w:rFonts w:hint="default" w:ascii="Times New Roman" w:hAnsi="Times New Roman" w:eastAsia="仿宋_GB2312" w:cs="Times New Roman"/>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E05B14B">
            <w:pPr>
              <w:pStyle w:val="11"/>
              <w:rPr>
                <w:rFonts w:hint="default" w:ascii="Times New Roman" w:hAnsi="Times New Roman" w:eastAsia="仿宋_GB2312" w:cs="Times New Roman"/>
                <w:color w:val="000000"/>
                <w:sz w:val="21"/>
                <w:szCs w:val="21"/>
              </w:rPr>
            </w:pPr>
          </w:p>
        </w:tc>
      </w:tr>
      <w:tr w14:paraId="4AC5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940" w:type="dxa"/>
            <w:gridSpan w:val="5"/>
            <w:tcBorders>
              <w:top w:val="single" w:color="000000" w:sz="4" w:space="0"/>
              <w:left w:val="single" w:color="000000" w:sz="4" w:space="0"/>
              <w:bottom w:val="single" w:color="000000" w:sz="4" w:space="0"/>
              <w:right w:val="single" w:color="000000" w:sz="4" w:space="0"/>
            </w:tcBorders>
            <w:noWrap w:val="0"/>
            <w:vAlign w:val="center"/>
          </w:tcPr>
          <w:p w14:paraId="1D5B0E2D">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考核要求</w:t>
            </w:r>
          </w:p>
          <w:p w14:paraId="618E7516">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1.甲方采取日常监督考核、评价小组考核等方式对物业公司的运行情况进行考核管理。</w:t>
            </w:r>
          </w:p>
          <w:p w14:paraId="0FCC4E97">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2.日常巡查发现的问题，</w:t>
            </w:r>
            <w:r>
              <w:rPr>
                <w:rFonts w:hint="default" w:ascii="Times New Roman" w:hAnsi="Times New Roman" w:eastAsia="仿宋_GB2312" w:cs="Times New Roman"/>
                <w:color w:val="000000"/>
                <w:sz w:val="21"/>
                <w:szCs w:val="21"/>
                <w:lang w:val="en-US" w:eastAsia="zh-CN"/>
              </w:rPr>
              <w:t>甲方</w:t>
            </w:r>
            <w:r>
              <w:rPr>
                <w:rFonts w:hint="default" w:ascii="Times New Roman" w:hAnsi="Times New Roman" w:eastAsia="仿宋_GB2312" w:cs="Times New Roman"/>
                <w:color w:val="000000"/>
                <w:sz w:val="21"/>
                <w:szCs w:val="21"/>
              </w:rPr>
              <w:t>发</w:t>
            </w:r>
            <w:r>
              <w:rPr>
                <w:rFonts w:hint="default" w:ascii="Times New Roman" w:hAnsi="Times New Roman" w:eastAsia="仿宋_GB2312" w:cs="Times New Roman"/>
                <w:color w:val="000000"/>
                <w:sz w:val="21"/>
                <w:szCs w:val="21"/>
                <w:lang w:eastAsia="zh-CN"/>
              </w:rPr>
              <w:t>现</w:t>
            </w:r>
            <w:r>
              <w:rPr>
                <w:rFonts w:hint="default" w:ascii="Times New Roman" w:hAnsi="Times New Roman" w:eastAsia="仿宋_GB2312" w:cs="Times New Roman"/>
                <w:color w:val="000000"/>
                <w:sz w:val="21"/>
                <w:szCs w:val="21"/>
                <w:lang w:val="en-US" w:eastAsia="zh-CN"/>
              </w:rPr>
              <w:t>要求</w:t>
            </w:r>
            <w:r>
              <w:rPr>
                <w:rFonts w:hint="default" w:ascii="Times New Roman" w:hAnsi="Times New Roman" w:eastAsia="仿宋_GB2312" w:cs="Times New Roman"/>
                <w:color w:val="000000"/>
                <w:sz w:val="21"/>
                <w:szCs w:val="21"/>
              </w:rPr>
              <w:t>3</w:t>
            </w:r>
            <w:r>
              <w:rPr>
                <w:rFonts w:hint="default" w:ascii="Times New Roman" w:hAnsi="Times New Roman" w:eastAsia="仿宋_GB2312" w:cs="Times New Roman"/>
                <w:color w:val="000000"/>
                <w:sz w:val="21"/>
                <w:szCs w:val="21"/>
                <w:lang w:val="en-US" w:eastAsia="zh-CN"/>
              </w:rPr>
              <w:t>日内</w:t>
            </w:r>
            <w:r>
              <w:rPr>
                <w:rFonts w:hint="default" w:ascii="Times New Roman" w:hAnsi="Times New Roman" w:eastAsia="仿宋_GB2312" w:cs="Times New Roman"/>
                <w:color w:val="000000"/>
                <w:sz w:val="21"/>
                <w:szCs w:val="21"/>
              </w:rPr>
              <w:t>整改通知书并全程跟踪整改进度。整改通知书参见附件，年内发放整改通知书10次以上的，一次扣完5分，计算在第四季度总分。</w:t>
            </w:r>
          </w:p>
          <w:p w14:paraId="25E74C2F">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3.每月开展1次考核，考核小组成员由甲方召集。</w:t>
            </w:r>
          </w:p>
          <w:p w14:paraId="6461A409">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4.出现以下安全管理责任事故的情形，物业公司应立即整改，并按合同约定接受处罚：</w:t>
            </w:r>
          </w:p>
          <w:p w14:paraId="61C7CF2B">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（1）工作时间，因管理或操作人员失误等原因导致不能正常供电，致使办公连续中断</w:t>
            </w:r>
            <w:r>
              <w:rPr>
                <w:rFonts w:hint="eastAsia"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小时以上的情形；</w:t>
            </w:r>
          </w:p>
          <w:p w14:paraId="78B555B8">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（2）发生火灾事故，经消防部门认定负重大责任的情形；</w:t>
            </w:r>
          </w:p>
          <w:p w14:paraId="0F858800">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（3）组织高空作业或装修施工，发生人员伤亡事故（直接责任不在物业公司除外）的情形；</w:t>
            </w:r>
          </w:p>
          <w:p w14:paraId="2F7B3BC5">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（4）因工作人员操作失误或管理疏漏，造成空调、消防设施设备、供水等重大设备严重故障，致使正常办公受到严重影响的情形；</w:t>
            </w:r>
          </w:p>
          <w:p w14:paraId="4C42BEA1">
            <w:pPr>
              <w:pStyle w:val="1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rPr>
              <w:t>（5）其它被认定的严重责任事故。</w:t>
            </w:r>
          </w:p>
          <w:p w14:paraId="60649801">
            <w:pPr>
              <w:pStyle w:val="11"/>
              <w:ind w:firstLine="315" w:firstLineChars="150"/>
              <w:rPr>
                <w:rFonts w:hint="default" w:ascii="Times New Roman" w:hAnsi="Times New Roman" w:eastAsia="仿宋_GB2312" w:cs="Times New Roman"/>
                <w:color w:val="000000"/>
                <w:sz w:val="21"/>
                <w:szCs w:val="21"/>
              </w:rPr>
            </w:pPr>
          </w:p>
        </w:tc>
      </w:tr>
    </w:tbl>
    <w:p w14:paraId="51B30197">
      <w:pPr>
        <w:pStyle w:val="11"/>
        <w:ind w:left="0" w:leftChars="0" w:firstLine="0" w:firstLineChars="0"/>
        <w:rPr>
          <w:rFonts w:hint="default" w:ascii="Times New Roman" w:hAnsi="Times New Roman" w:eastAsia="仿宋_GB2312" w:cs="Times New Roman"/>
          <w:color w:val="auto"/>
          <w:sz w:val="21"/>
          <w:szCs w:val="21"/>
        </w:rPr>
      </w:pPr>
    </w:p>
    <w:p w14:paraId="1300E53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检查组成员：</w:t>
      </w:r>
    </w:p>
    <w:p w14:paraId="1B81165E">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受检单位负责人：</w:t>
      </w:r>
    </w:p>
    <w:p w14:paraId="78E6946C">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   月   日</w:t>
      </w:r>
    </w:p>
    <w:p w14:paraId="3CD0DDE6">
      <w:pPr>
        <w:pStyle w:val="12"/>
        <w:rPr>
          <w:rFonts w:hint="default" w:ascii="Times New Roman" w:hAnsi="Times New Roman" w:eastAsia="仿宋_GB2312" w:cs="Times New Roman"/>
          <w:color w:val="000000"/>
          <w:sz w:val="21"/>
          <w:szCs w:val="21"/>
        </w:rPr>
      </w:pPr>
    </w:p>
    <w:p w14:paraId="2B6D5EBF">
      <w:pPr>
        <w:pStyle w:val="12"/>
        <w:rPr>
          <w:rFonts w:hint="default" w:ascii="Times New Roman" w:hAnsi="Times New Roman" w:eastAsia="仿宋_GB2312" w:cs="Times New Roman"/>
          <w:color w:val="000000"/>
          <w:sz w:val="21"/>
          <w:szCs w:val="21"/>
        </w:rPr>
      </w:pPr>
    </w:p>
    <w:p w14:paraId="30CEE48E">
      <w:pPr>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br w:type="page"/>
      </w:r>
    </w:p>
    <w:p w14:paraId="17079CFE">
      <w:pPr>
        <w:pStyle w:val="11"/>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1-2</w:t>
      </w:r>
      <w:r>
        <w:rPr>
          <w:rFonts w:hint="default" w:ascii="Times New Roman" w:hAnsi="Times New Roman" w:eastAsia="黑体" w:cs="Times New Roman"/>
          <w:b w:val="0"/>
          <w:bCs/>
          <w:color w:val="auto"/>
          <w:sz w:val="32"/>
          <w:szCs w:val="32"/>
          <w:lang w:eastAsia="zh-CN"/>
        </w:rPr>
        <w:t>：</w:t>
      </w:r>
    </w:p>
    <w:p w14:paraId="29EE89FF">
      <w:pPr>
        <w:pStyle w:val="11"/>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工作整改通知书</w:t>
      </w:r>
    </w:p>
    <w:tbl>
      <w:tblPr>
        <w:tblStyle w:val="23"/>
        <w:tblW w:w="94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0"/>
        <w:gridCol w:w="7184"/>
      </w:tblGrid>
      <w:tr w14:paraId="38F52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4322626D">
            <w:pPr>
              <w:pStyle w:val="11"/>
              <w:rPr>
                <w:rFonts w:hint="default" w:ascii="Times New Roman" w:hAnsi="Times New Roman" w:eastAsia="宋体" w:cs="Times New Roman"/>
                <w:color w:val="auto"/>
                <w:sz w:val="21"/>
                <w:szCs w:val="21"/>
              </w:rPr>
            </w:pPr>
          </w:p>
          <w:p w14:paraId="5424D29F">
            <w:pPr>
              <w:pStyle w:val="11"/>
              <w:ind w:firstLine="1680" w:firstLineChars="8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153670</wp:posOffset>
                      </wp:positionV>
                      <wp:extent cx="1003935" cy="6350"/>
                      <wp:effectExtent l="0" t="4445" r="0" b="5080"/>
                      <wp:wrapNone/>
                      <wp:docPr id="3" name="直接连接符 3"/>
                      <wp:cNvGraphicFramePr/>
                      <a:graphic xmlns:a="http://schemas.openxmlformats.org/drawingml/2006/main">
                        <a:graphicData uri="http://schemas.microsoft.com/office/word/2010/wordprocessingShape">
                          <wps:wsp>
                            <wps:cNvCnPr/>
                            <wps:spPr>
                              <a:xfrm flipV="1">
                                <a:off x="0" y="0"/>
                                <a:ext cx="1003935" cy="635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1.15pt;margin-top:12.1pt;height:0.5pt;width:79.05pt;z-index:251661312;mso-width-relative:page;mso-height-relative:page;" filled="f" stroked="t" coordsize="21600,21600" o:gfxdata="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qQqwbUAAAABwEAAA8AAAAAAAAAAQAgAAAAIgAAAGRy&#10;cy9kb3ducmV2LnhtbFBLAQIUABQAAAAIAIdO4kCfV3anCQIAAAkEAAAOAAAAAAAAAAEAIAAAACMB&#10;AABkcnMvZTJvRG9jLnhtbFBLBQYAAAAABgAGAFkBAACeBQ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21"/>
                <w:szCs w:val="21"/>
              </w:rPr>
              <w:t>物业公司</w:t>
            </w:r>
            <w:r>
              <w:rPr>
                <w:rFonts w:hint="default" w:ascii="Times New Roman" w:hAnsi="Times New Roman" w:eastAsia="宋体" w:cs="Times New Roman"/>
                <w:color w:val="auto"/>
                <w:sz w:val="21"/>
                <w:szCs w:val="21"/>
                <w:lang w:eastAsia="zh-CN"/>
              </w:rPr>
              <w:t>：</w:t>
            </w:r>
          </w:p>
          <w:p w14:paraId="2CAB610A">
            <w:pPr>
              <w:pStyle w:val="11"/>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我单位在巡查中发现存在下列故障（隐患），现通知你单位，请尽快采取措施整改和消除隐患，并在消除隐患后书面告知我单位。</w:t>
            </w:r>
          </w:p>
        </w:tc>
      </w:tr>
      <w:tr w14:paraId="2F60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2EB5CDC1">
            <w:pPr>
              <w:pStyle w:val="11"/>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整改时间</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0E554A83">
            <w:pPr>
              <w:pStyle w:val="11"/>
              <w:rPr>
                <w:rFonts w:hint="default" w:ascii="Times New Roman" w:hAnsi="Times New Roman" w:eastAsia="宋体" w:cs="Times New Roman"/>
                <w:color w:val="auto"/>
                <w:sz w:val="21"/>
                <w:szCs w:val="21"/>
              </w:rPr>
            </w:pPr>
          </w:p>
        </w:tc>
      </w:tr>
      <w:tr w14:paraId="0A895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57BD2A94">
            <w:pPr>
              <w:pStyle w:val="11"/>
              <w:jc w:val="center"/>
              <w:rPr>
                <w:rFonts w:hint="default" w:ascii="Times New Roman" w:hAnsi="Times New Roman" w:eastAsia="宋体" w:cs="Times New Roman"/>
                <w:color w:val="auto"/>
                <w:sz w:val="21"/>
                <w:szCs w:val="21"/>
              </w:rPr>
            </w:pPr>
          </w:p>
          <w:p w14:paraId="1F7550D4">
            <w:pPr>
              <w:pStyle w:val="11"/>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立即整改项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6747A75E">
            <w:pPr>
              <w:pStyle w:val="11"/>
              <w:rPr>
                <w:rFonts w:hint="default" w:ascii="Times New Roman" w:hAnsi="Times New Roman" w:eastAsia="宋体" w:cs="Times New Roman"/>
                <w:color w:val="auto"/>
                <w:sz w:val="21"/>
                <w:szCs w:val="21"/>
              </w:rPr>
            </w:pPr>
          </w:p>
        </w:tc>
      </w:tr>
      <w:tr w14:paraId="62DF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2436E26E">
            <w:pPr>
              <w:pStyle w:val="11"/>
              <w:jc w:val="center"/>
              <w:rPr>
                <w:rFonts w:hint="default" w:ascii="Times New Roman" w:hAnsi="Times New Roman" w:eastAsia="宋体" w:cs="Times New Roman"/>
                <w:color w:val="auto"/>
                <w:sz w:val="21"/>
                <w:szCs w:val="21"/>
              </w:rPr>
            </w:pPr>
          </w:p>
          <w:p w14:paraId="2662E532">
            <w:pPr>
              <w:pStyle w:val="11"/>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限期整改项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661E3AF4">
            <w:pPr>
              <w:pStyle w:val="11"/>
              <w:rPr>
                <w:rFonts w:hint="default" w:ascii="Times New Roman" w:hAnsi="Times New Roman" w:eastAsia="宋体" w:cs="Times New Roman"/>
                <w:color w:val="auto"/>
                <w:sz w:val="21"/>
                <w:szCs w:val="21"/>
              </w:rPr>
            </w:pPr>
          </w:p>
        </w:tc>
      </w:tr>
      <w:tr w14:paraId="6D8E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17A5D2B4">
            <w:pPr>
              <w:pStyle w:val="1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巡查经办人：</w:t>
            </w:r>
          </w:p>
          <w:p w14:paraId="0D594B33">
            <w:pPr>
              <w:pStyle w:val="11"/>
              <w:rPr>
                <w:rFonts w:hint="default" w:ascii="Times New Roman" w:hAnsi="Times New Roman" w:eastAsia="宋体" w:cs="Times New Roman"/>
                <w:color w:val="auto"/>
                <w:sz w:val="21"/>
                <w:szCs w:val="21"/>
              </w:rPr>
            </w:pPr>
          </w:p>
          <w:p w14:paraId="30ED3938">
            <w:pPr>
              <w:pStyle w:val="1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物业签收人：</w:t>
            </w:r>
          </w:p>
          <w:p w14:paraId="581A31A8">
            <w:pPr>
              <w:pStyle w:val="11"/>
              <w:rPr>
                <w:rFonts w:hint="default" w:ascii="Times New Roman" w:hAnsi="Times New Roman" w:eastAsia="宋体" w:cs="Times New Roman"/>
                <w:color w:val="auto"/>
                <w:sz w:val="21"/>
                <w:szCs w:val="21"/>
              </w:rPr>
            </w:pPr>
          </w:p>
          <w:p w14:paraId="552EDE2D">
            <w:pPr>
              <w:pStyle w:val="11"/>
              <w:rPr>
                <w:rFonts w:hint="default" w:ascii="Times New Roman" w:hAnsi="Times New Roman" w:eastAsia="宋体" w:cs="Times New Roman"/>
                <w:color w:val="auto"/>
                <w:sz w:val="21"/>
                <w:szCs w:val="21"/>
              </w:rPr>
            </w:pPr>
          </w:p>
          <w:p w14:paraId="3AF3C02B">
            <w:pPr>
              <w:pStyle w:val="11"/>
              <w:rPr>
                <w:rFonts w:hint="default" w:ascii="Times New Roman" w:hAnsi="Times New Roman" w:eastAsia="宋体" w:cs="Times New Roman"/>
                <w:color w:val="auto"/>
                <w:sz w:val="21"/>
                <w:szCs w:val="21"/>
              </w:rPr>
            </w:pPr>
          </w:p>
          <w:p w14:paraId="148C0AE4">
            <w:pPr>
              <w:pStyle w:val="1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签收时间：</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日</w:t>
            </w:r>
          </w:p>
        </w:tc>
      </w:tr>
    </w:tbl>
    <w:p w14:paraId="3800E008">
      <w:pPr>
        <w:rPr>
          <w:rFonts w:hint="default" w:ascii="Times New Roman" w:hAnsi="Times New Roman" w:eastAsia="黑体" w:cs="Times New Roman"/>
          <w:b/>
          <w:bCs w:val="0"/>
          <w:color w:val="auto"/>
          <w:sz w:val="32"/>
          <w:szCs w:val="32"/>
          <w:lang w:val="en-US" w:eastAsia="zh-CN"/>
        </w:rPr>
      </w:pPr>
    </w:p>
    <w:p w14:paraId="253A3905">
      <w:pPr>
        <w:pStyle w:val="11"/>
        <w:rPr>
          <w:rFonts w:hint="default"/>
          <w:lang w:val="en-US" w:eastAsia="zh-CN"/>
        </w:rPr>
      </w:pPr>
    </w:p>
    <w:p w14:paraId="03A8621F">
      <w:pPr>
        <w:pStyle w:val="11"/>
        <w:jc w:val="both"/>
        <w:rPr>
          <w:rFonts w:hint="default" w:ascii="Times New Roman" w:hAnsi="Times New Roman" w:eastAsia="黑体" w:cs="Times New Roman"/>
          <w:b w:val="0"/>
          <w:bCs/>
          <w:color w:val="auto"/>
          <w:sz w:val="32"/>
          <w:szCs w:val="32"/>
          <w:lang w:val="en-US" w:eastAsia="zh-CN"/>
        </w:rPr>
      </w:pPr>
    </w:p>
    <w:p w14:paraId="3ED7C7D6">
      <w:pPr>
        <w:pStyle w:val="11"/>
        <w:jc w:val="both"/>
        <w:rPr>
          <w:rFonts w:hint="default" w:ascii="Times New Roman" w:hAnsi="Times New Roman" w:eastAsia="黑体" w:cs="Times New Roman"/>
          <w:b w:val="0"/>
          <w:bCs/>
          <w:color w:val="auto"/>
          <w:sz w:val="32"/>
          <w:szCs w:val="32"/>
          <w:lang w:val="en-US" w:eastAsia="zh-CN"/>
        </w:rPr>
      </w:pPr>
    </w:p>
    <w:p w14:paraId="7BD48006">
      <w:pPr>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br w:type="page"/>
      </w:r>
    </w:p>
    <w:p w14:paraId="423F03EF">
      <w:pPr>
        <w:pStyle w:val="11"/>
        <w:jc w:val="both"/>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附件1-3：</w:t>
      </w:r>
    </w:p>
    <w:p w14:paraId="4519D2E2">
      <w:pPr>
        <w:pStyle w:val="11"/>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季度物业检查记录表</w:t>
      </w:r>
    </w:p>
    <w:p w14:paraId="4798653B">
      <w:pPr>
        <w:pStyle w:val="11"/>
        <w:jc w:val="center"/>
        <w:rPr>
          <w:rFonts w:hint="default" w:ascii="Times New Roman" w:hAnsi="Times New Roman" w:eastAsia="宋体" w:cs="Times New Roman"/>
          <w:b/>
          <w:bCs w:val="0"/>
          <w:color w:val="auto"/>
          <w:sz w:val="21"/>
          <w:szCs w:val="21"/>
        </w:rPr>
      </w:pPr>
    </w:p>
    <w:tbl>
      <w:tblPr>
        <w:tblStyle w:val="24"/>
        <w:tblW w:w="9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8322"/>
      </w:tblGrid>
      <w:tr w14:paraId="4553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trPr>
        <w:tc>
          <w:tcPr>
            <w:tcW w:w="9432" w:type="dxa"/>
            <w:gridSpan w:val="2"/>
            <w:noWrap w:val="0"/>
            <w:vAlign w:val="top"/>
          </w:tcPr>
          <w:p w14:paraId="36A98B3C">
            <w:pPr>
              <w:rPr>
                <w:rFonts w:hint="default" w:ascii="Times New Roman" w:hAnsi="Times New Roman" w:eastAsia="宋体" w:cs="Times New Roman"/>
                <w:color w:val="auto"/>
                <w:sz w:val="21"/>
                <w:szCs w:val="21"/>
              </w:rPr>
            </w:pPr>
          </w:p>
          <w:p w14:paraId="1328B3D5">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检查时间：           年      月      日                                    </w:t>
            </w:r>
          </w:p>
          <w:p w14:paraId="69D98A54">
            <w:pPr>
              <w:rPr>
                <w:rFonts w:hint="default" w:ascii="Times New Roman" w:hAnsi="Times New Roman" w:eastAsia="宋体" w:cs="Times New Roman"/>
                <w:color w:val="auto"/>
                <w:sz w:val="21"/>
                <w:szCs w:val="21"/>
              </w:rPr>
            </w:pPr>
          </w:p>
          <w:p w14:paraId="69AD1DC1">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受检公司： </w:t>
            </w:r>
          </w:p>
          <w:p w14:paraId="1F5E03C3">
            <w:pPr>
              <w:rPr>
                <w:rFonts w:hint="default" w:ascii="Times New Roman" w:hAnsi="Times New Roman" w:eastAsia="宋体" w:cs="Times New Roman"/>
                <w:color w:val="auto"/>
                <w:sz w:val="21"/>
                <w:szCs w:val="21"/>
              </w:rPr>
            </w:pPr>
          </w:p>
        </w:tc>
      </w:tr>
      <w:tr w14:paraId="61B7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9" w:hRule="atLeast"/>
        </w:trPr>
        <w:tc>
          <w:tcPr>
            <w:tcW w:w="1110" w:type="dxa"/>
            <w:noWrap w:val="0"/>
            <w:vAlign w:val="center"/>
          </w:tcPr>
          <w:p w14:paraId="21828798">
            <w:pPr>
              <w:jc w:val="center"/>
              <w:rPr>
                <w:rFonts w:hint="default" w:ascii="Times New Roman" w:hAnsi="Times New Roman" w:eastAsia="宋体" w:cs="Times New Roman"/>
                <w:color w:val="auto"/>
                <w:sz w:val="21"/>
                <w:szCs w:val="21"/>
              </w:rPr>
            </w:pPr>
          </w:p>
          <w:p w14:paraId="3D07793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存在问题及扣分情况</w:t>
            </w:r>
          </w:p>
        </w:tc>
        <w:tc>
          <w:tcPr>
            <w:tcW w:w="8322" w:type="dxa"/>
            <w:noWrap w:val="0"/>
            <w:vAlign w:val="top"/>
          </w:tcPr>
          <w:p w14:paraId="14A2A88C">
            <w:pPr>
              <w:rPr>
                <w:rFonts w:hint="default" w:ascii="Times New Roman" w:hAnsi="Times New Roman" w:eastAsia="宋体" w:cs="Times New Roman"/>
                <w:color w:val="auto"/>
                <w:sz w:val="21"/>
                <w:szCs w:val="21"/>
              </w:rPr>
            </w:pPr>
          </w:p>
        </w:tc>
      </w:tr>
      <w:tr w14:paraId="4C803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9432" w:type="dxa"/>
            <w:gridSpan w:val="2"/>
            <w:noWrap w:val="0"/>
            <w:vAlign w:val="top"/>
          </w:tcPr>
          <w:p w14:paraId="4A2BE3DC">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检查组成员：     </w:t>
            </w:r>
          </w:p>
          <w:p w14:paraId="2D08D63B">
            <w:pPr>
              <w:rPr>
                <w:rFonts w:hint="default" w:ascii="Times New Roman" w:hAnsi="Times New Roman" w:eastAsia="宋体" w:cs="Times New Roman"/>
                <w:color w:val="auto"/>
                <w:sz w:val="21"/>
                <w:szCs w:val="21"/>
              </w:rPr>
            </w:pPr>
          </w:p>
        </w:tc>
      </w:tr>
      <w:tr w14:paraId="2531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9432" w:type="dxa"/>
            <w:gridSpan w:val="2"/>
            <w:noWrap w:val="0"/>
            <w:vAlign w:val="top"/>
          </w:tcPr>
          <w:p w14:paraId="7F52BEC4">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物业负责人：</w:t>
            </w:r>
          </w:p>
          <w:p w14:paraId="29A22E03">
            <w:pPr>
              <w:ind w:firstLine="10080" w:firstLineChars="48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签</w:t>
            </w:r>
          </w:p>
        </w:tc>
      </w:tr>
    </w:tbl>
    <w:p w14:paraId="6939E6EE"/>
    <w:p w14:paraId="5A43202A">
      <w:pPr>
        <w:rPr>
          <w:rFonts w:hint="eastAsia" w:ascii="宋体" w:hAnsi="宋体" w:cs="宋体"/>
          <w:b/>
          <w:sz w:val="44"/>
          <w:szCs w:val="44"/>
        </w:rPr>
      </w:pPr>
      <w:r>
        <w:rPr>
          <w:rFonts w:hint="eastAsia" w:ascii="宋体" w:hAnsi="宋体" w:cs="宋体"/>
          <w:b/>
          <w:sz w:val="44"/>
          <w:szCs w:val="44"/>
        </w:rPr>
        <w:br w:type="page"/>
      </w:r>
    </w:p>
    <w:p w14:paraId="4690E5AA">
      <w:pPr>
        <w:pStyle w:val="2"/>
        <w:jc w:val="center"/>
        <w:rPr>
          <w:rFonts w:hint="eastAsia"/>
        </w:rPr>
      </w:pPr>
      <w:bookmarkStart w:id="37" w:name="_Toc22105"/>
      <w:bookmarkStart w:id="38" w:name="_Toc24369"/>
      <w:bookmarkStart w:id="39" w:name="_Toc9720"/>
      <w:bookmarkStart w:id="40" w:name="_Toc29934"/>
      <w:bookmarkStart w:id="41" w:name="_Toc18544"/>
      <w:r>
        <w:rPr>
          <w:rFonts w:hint="eastAsia"/>
        </w:rPr>
        <w:t>第四章 评审程序和评定成交的标准</w:t>
      </w:r>
      <w:bookmarkEnd w:id="37"/>
      <w:bookmarkEnd w:id="38"/>
      <w:bookmarkEnd w:id="39"/>
      <w:bookmarkEnd w:id="40"/>
      <w:bookmarkEnd w:id="41"/>
    </w:p>
    <w:p w14:paraId="76A17924">
      <w:pPr>
        <w:pStyle w:val="3"/>
        <w:keepNext/>
        <w:keepLines/>
        <w:pageBreakBefore w:val="0"/>
        <w:widowControl w:val="0"/>
        <w:kinsoku/>
        <w:wordWrap/>
        <w:overflowPunct/>
        <w:topLinePunct w:val="0"/>
        <w:autoSpaceDE/>
        <w:autoSpaceDN/>
        <w:bidi w:val="0"/>
        <w:adjustRightInd/>
        <w:snapToGrid/>
        <w:spacing w:before="200" w:after="200" w:line="416" w:lineRule="auto"/>
        <w:jc w:val="center"/>
        <w:textAlignment w:val="auto"/>
        <w:rPr>
          <w:rFonts w:hint="eastAsia"/>
        </w:rPr>
      </w:pPr>
      <w:r>
        <w:rPr>
          <w:rFonts w:hint="eastAsia"/>
        </w:rPr>
        <w:t>一、评审程序</w:t>
      </w:r>
    </w:p>
    <w:p w14:paraId="79733C6F">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327CC468">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由谈判小组确认谈判文件。</w:t>
      </w:r>
    </w:p>
    <w:p w14:paraId="693DA639">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14:paraId="6279A99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14:paraId="32D27639">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注：</w:t>
      </w:r>
      <w:r>
        <w:rPr>
          <w:rFonts w:hint="eastAsia"/>
        </w:rPr>
        <w:t>谈判小组</w:t>
      </w:r>
      <w:r>
        <w:rPr>
          <w:rFonts w:hint="eastAsia" w:ascii="宋体" w:hAnsi="宋体" w:cs="宋体"/>
          <w:szCs w:val="21"/>
        </w:rPr>
        <w:t>在资格审查结束前，对供应商进行信用查询。</w:t>
      </w:r>
    </w:p>
    <w:p w14:paraId="248D4683">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（1）查询渠道：</w:t>
      </w:r>
      <w:r>
        <w:rPr>
          <w:rFonts w:ascii="宋体" w:hAnsi="宋体" w:cs="宋体"/>
          <w:szCs w:val="21"/>
        </w:rPr>
        <w:t>广西政府采购云平台</w:t>
      </w:r>
      <w:r>
        <w:rPr>
          <w:rFonts w:hint="eastAsia" w:ascii="宋体" w:hAnsi="宋体" w:cs="宋体"/>
          <w:szCs w:val="21"/>
        </w:rPr>
        <w:t>、信用中国”网站(www.creditchina.gov.cn)、中国政府采购网(www.ccgp.gov.cn)链接入口。</w:t>
      </w:r>
    </w:p>
    <w:p w14:paraId="16B7AA19">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（2）信用查询截止时点：资格审查结束前。</w:t>
      </w:r>
    </w:p>
    <w:p w14:paraId="5109A7C3">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BA2C13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（4）信用信息使用规则：对在“信用中国”网站（www.creditchina.gov.cn）、中国政府采购网（www.ccgp.gov.cn）被列入失信被执行人、</w:t>
      </w:r>
      <w: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t>重大税收违法失信主体</w:t>
      </w:r>
      <w:r>
        <w:rPr>
          <w:rFonts w:hint="eastAsia" w:ascii="宋体" w:hAnsi="宋体"/>
          <w:szCs w:val="21"/>
        </w:rPr>
        <w:t>、政府采购严重违法失信行为记录名单及其他不符合《中华人民共和国政府采购法》第二十二条规定条件的供应商）的，视同联合体存在不良信用记录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22CB8AC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14:paraId="6577C26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.3供应商有下列情形之一的，资格审查不通过，其响应文件按无效处理：</w:t>
      </w:r>
    </w:p>
    <w:p w14:paraId="4B0FCF0A">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4B6F3E1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（2）未按谈判文件规定的方式获取本谈判文件的供应商；</w:t>
      </w:r>
    </w:p>
    <w:p w14:paraId="1AB92EBB">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）响应文件中的资格证明文件缺少任一项“供应商须知前附表”资格证明文件规定的“必须提供”的文件资料的；</w:t>
      </w:r>
    </w:p>
    <w:p w14:paraId="39FA59FB">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14:paraId="72ACF98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48378AF1">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3.7</w:t>
      </w:r>
      <w:r>
        <w:rPr>
          <w:rFonts w:hint="eastAsia" w:ascii="宋体" w:hAnsi="宋体" w:cs="宋体"/>
          <w:szCs w:val="21"/>
        </w:rPr>
        <w:t>条规定除外）的，不得进入符合性审查环节，应当重新开展采购活动。</w:t>
      </w:r>
    </w:p>
    <w:p w14:paraId="5CC587B7">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14:paraId="2B88AF7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14:paraId="497AF58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B5C5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rPr>
        <w:t>签章</w:t>
      </w:r>
      <w:r>
        <w:rPr>
          <w:rFonts w:hint="eastAsia" w:ascii="宋体" w:hAnsi="宋体" w:cs="宋体"/>
          <w:spacing w:val="-6"/>
          <w:szCs w:val="21"/>
        </w:rPr>
        <w:t>。</w:t>
      </w:r>
    </w:p>
    <w:p w14:paraId="064E3F2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F5BB224">
      <w:pPr>
        <w:keepNext w:val="0"/>
        <w:keepLines w:val="0"/>
        <w:pageBreakBefore w:val="0"/>
        <w:kinsoku/>
        <w:wordWrap/>
        <w:overflowPunct/>
        <w:topLinePunct w:val="0"/>
        <w:autoSpaceDE/>
        <w:autoSpaceDN/>
        <w:bidi w:val="0"/>
        <w:adjustRightInd/>
        <w:spacing w:line="340" w:lineRule="exact"/>
        <w:ind w:firstLine="396" w:firstLineChars="200"/>
        <w:textAlignment w:val="auto"/>
        <w:rPr>
          <w:rFonts w:hint="eastAsia" w:ascii="宋体" w:hAnsi="宋体" w:cs="宋体"/>
          <w:szCs w:val="21"/>
        </w:rPr>
      </w:pPr>
      <w:r>
        <w:rPr>
          <w:rFonts w:ascii="宋体" w:hAnsi="宋体" w:cs="宋体"/>
          <w:spacing w:val="-6"/>
          <w:szCs w:val="21"/>
        </w:rPr>
        <w:t>3.4</w:t>
      </w:r>
      <w:r>
        <w:rPr>
          <w:rFonts w:hint="eastAsia" w:ascii="宋体" w:hAnsi="宋体" w:cs="宋体"/>
          <w:szCs w:val="21"/>
        </w:rPr>
        <w:t>首次响应文件报价出现前后不一致的，按照下列规定修正：</w:t>
      </w:r>
    </w:p>
    <w:p w14:paraId="06718E7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6D1DF32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（2）大写金额和小写金额不一致的，以大写金额为准；</w:t>
      </w:r>
    </w:p>
    <w:p w14:paraId="1D8A848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45C6692A">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（4）总价金额与按单价汇总金额不一致的，以单价金额计算结果为准。</w:t>
      </w:r>
    </w:p>
    <w:p w14:paraId="18BC321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D0C8C1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74FFB44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在评审时，如发现下列情形之一的，将被视为响应文件无效处理：</w:t>
      </w:r>
    </w:p>
    <w:p w14:paraId="4CDD26B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（1）商务技术评审</w:t>
      </w:r>
    </w:p>
    <w:p w14:paraId="6C80787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1）响应文件未按谈判文件要求签署、盖章的；</w:t>
      </w:r>
    </w:p>
    <w:p w14:paraId="5B82BF17">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2）委托代理人未能出具有效身份证或者出具的身份证与授权委托书中的信息不符的；</w:t>
      </w:r>
    </w:p>
    <w:p w14:paraId="4189670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6D5438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4）商务要求允许负偏离的条款数超过“供应商须知前附表”规定项数的；</w:t>
      </w:r>
    </w:p>
    <w:p w14:paraId="5C02D54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14:paraId="454B720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6）响应文件的实质性内容未使用中文表述、使用计量单位不符合谈判文件要求的；</w:t>
      </w:r>
    </w:p>
    <w:p w14:paraId="028A43A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7）响应文件中的文件资料因填写不齐全或者内容虚假或者出现其他情形而导致被谈判小组认定无效的；</w:t>
      </w:r>
    </w:p>
    <w:p w14:paraId="136306D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8）响应文件含有采购人不能接受的附加条件的；</w:t>
      </w:r>
    </w:p>
    <w:p w14:paraId="103A847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9）属于“供应商须知正文”第7.</w:t>
      </w:r>
      <w:r>
        <w:rPr>
          <w:rFonts w:ascii="宋体" w:hAnsi="宋体" w:cs="宋体"/>
          <w:szCs w:val="21"/>
        </w:rPr>
        <w:t>5</w:t>
      </w:r>
      <w:r>
        <w:rPr>
          <w:rFonts w:hint="eastAsia" w:ascii="宋体" w:hAnsi="宋体" w:cs="宋体"/>
          <w:szCs w:val="21"/>
        </w:rPr>
        <w:t>条的情形的；</w:t>
      </w:r>
    </w:p>
    <w:p w14:paraId="65AB23E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10）技术评审允许负偏离的条款数超过“供应商须知前附表”规定项数的；</w:t>
      </w:r>
    </w:p>
    <w:p w14:paraId="54885CF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11）虚假竞标，或者出现其他情形而导致被谈判小组认定无效的；</w:t>
      </w:r>
    </w:p>
    <w:p w14:paraId="6B26D63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12）</w:t>
      </w:r>
      <w:bookmarkStart w:id="42" w:name="_Hlk71704147"/>
      <w:r>
        <w:rPr>
          <w:rFonts w:hint="eastAsia" w:ascii="宋体" w:hAnsi="宋体" w:cs="宋体"/>
          <w:szCs w:val="21"/>
        </w:rPr>
        <w:t>谈判文件未载明允许提供备选（替代）竞标方案或明确不允许提供备选（替代）竞标方案时，供应商提供了备选（替代）竞标方案的；</w:t>
      </w:r>
      <w:bookmarkEnd w:id="42"/>
    </w:p>
    <w:p w14:paraId="15DD037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13）响应文件标注的项目名称或者项目编号与谈判文件标注的项目名称或者项目编号不一致的；</w:t>
      </w:r>
    </w:p>
    <w:p w14:paraId="07EE2D3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14）</w:t>
      </w:r>
      <w:r>
        <w:rPr>
          <w:rFonts w:hint="eastAsia" w:ascii="宋体" w:hAnsi="宋体"/>
          <w:szCs w:val="21"/>
        </w:rPr>
        <w:t>谈判文件明确不允许分包，响应文件拟分包的；</w:t>
      </w:r>
    </w:p>
    <w:p w14:paraId="097DDB8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15）未响应谈判文件实质性要求；</w:t>
      </w:r>
    </w:p>
    <w:p w14:paraId="1C12BA4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16）法律、法规和谈判文件规定的其他无效情形。</w:t>
      </w:r>
    </w:p>
    <w:p w14:paraId="213CBA1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14:paraId="5C115FE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1）响应文件未提供“供应商须知前附表”报价文件中规定的“竞标报价表”的；</w:t>
      </w:r>
    </w:p>
    <w:p w14:paraId="68C2AA1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2）未采用人民币报价或者未按照谈判文件标明的币种报价的；</w:t>
      </w:r>
    </w:p>
    <w:p w14:paraId="24CA88E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2322DC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593599C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5）修正后的报价，供应商不确认的；或者经供应商确认修正后的竞标报价（包含首次报价、最后报价）超过所竞标项目规定的采购预算金额或者最高限价（如本项目</w:t>
      </w:r>
      <w:r>
        <w:rPr>
          <w:rFonts w:hint="eastAsia" w:ascii="宋体" w:hAnsi="宋体" w:cs="宋体"/>
          <w:bCs/>
          <w:kern w:val="0"/>
          <w:szCs w:val="21"/>
        </w:rPr>
        <w:t>分标</w:t>
      </w:r>
      <w:r>
        <w:rPr>
          <w:rFonts w:hint="eastAsia" w:ascii="宋体" w:hAnsi="宋体" w:cs="宋体"/>
          <w:szCs w:val="21"/>
        </w:rPr>
        <w:t>公布了最高限价）；或者经供应商确认修正后竞标报价（包含首次报价、最后报价）超过谈判文件分项采购预算金额或者最高限价的（如本项目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0ABCB7A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14:paraId="670CE7E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4D4F66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BD45FC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.8除本章3.7条规定的情形外，通过符合性审查的合格供应商不足3家的，不得进入谈判环节，应当重新开展采购活动。</w:t>
      </w:r>
    </w:p>
    <w:p w14:paraId="5D1B84CC">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谈判程序</w:t>
      </w:r>
    </w:p>
    <w:p w14:paraId="6FBBDC57">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w:t>
      </w:r>
      <w:r>
        <w:rPr>
          <w:rFonts w:hint="eastAsia" w:ascii="宋体" w:hAnsi="宋体" w:cs="宋体"/>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0255FE9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AE8D9C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对谈判文件作出的实质性变动是谈判文件的有效组成部分，由谈判小组及时以电子澄清函形式同时通知所有参加谈判的供应商。</w:t>
      </w:r>
    </w:p>
    <w:p w14:paraId="65A434C8">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F95B2C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4.5</w:t>
      </w:r>
      <w:r>
        <w:rPr>
          <w:rFonts w:hint="eastAsia" w:ascii="宋体" w:hAnsi="宋体" w:cs="宋体"/>
          <w:szCs w:val="21"/>
        </w:rPr>
        <w:t>谈判中，谈判的任何一方不得透露与谈判有关的其他供应商的技术资料、价格和其他信息。</w:t>
      </w:r>
    </w:p>
    <w:p w14:paraId="29F226AC">
      <w:pPr>
        <w:keepNext w:val="0"/>
        <w:keepLines w:val="0"/>
        <w:pageBreakBefore w:val="0"/>
        <w:widowControl/>
        <w:tabs>
          <w:tab w:val="left" w:pos="540"/>
        </w:tabs>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szCs w:val="21"/>
        </w:rPr>
      </w:pPr>
      <w:r>
        <w:rPr>
          <w:rFonts w:ascii="宋体" w:hAnsi="宋体" w:cs="宋体"/>
          <w:szCs w:val="21"/>
        </w:rPr>
        <w:t>4.6</w:t>
      </w:r>
      <w:r>
        <w:rPr>
          <w:rFonts w:hint="eastAsia" w:ascii="宋体" w:hAnsi="宋体" w:cs="宋体"/>
          <w:szCs w:val="21"/>
        </w:rPr>
        <w:t>谈判小组应对谈判过程和重要谈判内容进行记录。</w:t>
      </w:r>
    </w:p>
    <w:p w14:paraId="2CEBE061">
      <w:pPr>
        <w:keepNext w:val="0"/>
        <w:keepLines w:val="0"/>
        <w:pageBreakBefore w:val="0"/>
        <w:tabs>
          <w:tab w:val="left" w:pos="2835"/>
        </w:tabs>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w:t>
      </w:r>
      <w:r>
        <w:rPr>
          <w:rFonts w:hint="eastAsia" w:ascii="宋体" w:hAnsi="宋体" w:cs="宋体"/>
          <w:szCs w:val="21"/>
        </w:rPr>
        <w:t>7除本章第3.7条外，</w:t>
      </w:r>
      <w:r>
        <w:rPr>
          <w:rFonts w:hint="eastAsia" w:ascii="宋体" w:hAnsi="宋体"/>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szCs w:val="21"/>
        </w:rPr>
        <w:t>。</w:t>
      </w:r>
    </w:p>
    <w:p w14:paraId="3B8D75D1">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最后报价</w:t>
      </w:r>
    </w:p>
    <w:p w14:paraId="7E2671E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7172DD4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CD06E5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3最后报价是供应商响应文件的有效组成部分。</w:t>
      </w:r>
    </w:p>
    <w:p w14:paraId="7B1C978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4已经提交响应文件的供应商，在提交最后报价之前，可以根据谈判情况退出谈判，退出谈判的供应商的响应文件按无效响应处理。</w:t>
      </w:r>
    </w:p>
    <w:p w14:paraId="17654F6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5供应商未在规定时间内提交最后报价的，视为退出谈判，其响应文件按无效处理。</w:t>
      </w:r>
    </w:p>
    <w:p w14:paraId="053644C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6最后报价统一开启后，谈判小组对最后报价进行有效性、完整性和响应程度的审查。</w:t>
      </w:r>
    </w:p>
    <w:p w14:paraId="7FD0F95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7最后报价出现前后不一致的，按照本章第</w:t>
      </w:r>
      <w:r>
        <w:rPr>
          <w:rFonts w:ascii="宋体" w:hAnsi="宋体" w:cs="宋体"/>
          <w:szCs w:val="21"/>
        </w:rPr>
        <w:t>3.4</w:t>
      </w:r>
      <w:r>
        <w:rPr>
          <w:rFonts w:hint="eastAsia" w:ascii="宋体" w:hAnsi="宋体" w:cs="宋体"/>
          <w:szCs w:val="21"/>
        </w:rPr>
        <w:t>条的规定修正。</w:t>
      </w:r>
    </w:p>
    <w:p w14:paraId="0A775E4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8修正后的报价出现下列情形的，按无效响应处理：</w:t>
      </w:r>
    </w:p>
    <w:p w14:paraId="46A7208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（1）供应商不确认的（全流程电子化评标采取在线确认）；</w:t>
      </w:r>
    </w:p>
    <w:p w14:paraId="35F445B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（2）经供应商确认修正后的竞标报价（包含首次报价、最后报价）超过所竞标项目规定的采购预算金额或者最高限价的（如本项目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5852AAC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046E00D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9经供应商确认修正后的最后报价作为评审及签订合同的依据。</w:t>
      </w:r>
    </w:p>
    <w:p w14:paraId="7CB8D3E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14:paraId="5AD80F0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11最后报价结束后，谈判小组不得再与供应商进行任何形式的商谈。</w:t>
      </w:r>
    </w:p>
    <w:p w14:paraId="7A65765A">
      <w:pPr>
        <w:keepNext w:val="0"/>
        <w:keepLines w:val="0"/>
        <w:pageBreakBefore w:val="0"/>
        <w:widowControl w:val="0"/>
        <w:kinsoku/>
        <w:wordWrap/>
        <w:overflowPunct/>
        <w:topLinePunct w:val="0"/>
        <w:autoSpaceDE/>
        <w:autoSpaceDN/>
        <w:bidi w:val="0"/>
        <w:adjustRightInd/>
        <w:snapToGrid/>
        <w:spacing w:line="340" w:lineRule="exact"/>
        <w:ind w:firstLine="472" w:firstLineChars="196"/>
        <w:textAlignment w:val="auto"/>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最后报价政府采购政策性扣除</w:t>
      </w:r>
    </w:p>
    <w:p w14:paraId="638BE998">
      <w:pPr>
        <w:keepNext/>
        <w:keepLines/>
        <w:pageBreakBefore w:val="0"/>
        <w:widowControl w:val="0"/>
        <w:kinsoku/>
        <w:wordWrap/>
        <w:overflowPunct/>
        <w:topLinePunct w:val="0"/>
        <w:autoSpaceDE/>
        <w:autoSpaceDN/>
        <w:bidi w:val="0"/>
        <w:adjustRightInd/>
        <w:snapToGrid/>
        <w:spacing w:before="0" w:after="0" w:line="340" w:lineRule="exact"/>
        <w:ind w:firstLine="420" w:firstLineChars="200"/>
        <w:jc w:val="both"/>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6.1评审价为供应商的最后报价进行政策性扣除后的价格，评审价只是作为评审时使用。最终成交供应商的成交金额等于最后报价（如有修正，以确认修正后的最后报价为准）。</w:t>
      </w:r>
    </w:p>
    <w:p w14:paraId="191CA9E0">
      <w:pPr>
        <w:keepNext/>
        <w:keepLines/>
        <w:pageBreakBefore w:val="0"/>
        <w:widowControl w:val="0"/>
        <w:kinsoku/>
        <w:wordWrap/>
        <w:overflowPunct/>
        <w:topLinePunct w:val="0"/>
        <w:autoSpaceDE/>
        <w:autoSpaceDN/>
        <w:bidi w:val="0"/>
        <w:adjustRightInd/>
        <w:snapToGrid/>
        <w:spacing w:before="0" w:after="0" w:line="340" w:lineRule="exact"/>
        <w:ind w:firstLine="420" w:firstLineChars="200"/>
        <w:jc w:val="both"/>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6.2政策性扣除计算方法。</w:t>
      </w:r>
    </w:p>
    <w:p w14:paraId="62EBBCDF">
      <w:pPr>
        <w:keepNext/>
        <w:keepLines/>
        <w:pageBreakBefore w:val="0"/>
        <w:widowControl w:val="0"/>
        <w:kinsoku/>
        <w:wordWrap/>
        <w:overflowPunct/>
        <w:topLinePunct w:val="0"/>
        <w:autoSpaceDE/>
        <w:autoSpaceDN/>
        <w:bidi w:val="0"/>
        <w:adjustRightInd/>
        <w:snapToGrid/>
        <w:spacing w:before="0" w:after="0" w:line="340" w:lineRule="exact"/>
        <w:ind w:firstLine="420" w:firstLineChars="200"/>
        <w:jc w:val="both"/>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根据《政府采购促进中小企业发展管理办法》（财库〔2020〕46号）以及“桂财采〔2024〕55号广西壮族自治区财政厅关于持续优化政府采购营商环境推动高质量发展的通知”的规定，投标人在其投标文件中提供《中小企业声明函》，且其竞标全部货物由小微企业制造的，对其投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范围为4%-6%）的扣除，用扣除后的价格参加评审，扣除后的价格为评标报价，即评标报价=投标报价×（1-6%）。</w:t>
      </w:r>
    </w:p>
    <w:p w14:paraId="563B953C">
      <w:pPr>
        <w:keepNext/>
        <w:keepLines/>
        <w:pageBreakBefore w:val="0"/>
        <w:widowControl w:val="0"/>
        <w:kinsoku/>
        <w:wordWrap/>
        <w:overflowPunct/>
        <w:topLinePunct w:val="0"/>
        <w:autoSpaceDE/>
        <w:autoSpaceDN/>
        <w:bidi w:val="0"/>
        <w:adjustRightInd/>
        <w:snapToGrid/>
        <w:spacing w:before="0" w:after="0" w:line="340" w:lineRule="exact"/>
        <w:ind w:firstLine="420" w:firstLineChars="200"/>
        <w:jc w:val="both"/>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8A28843">
      <w:pPr>
        <w:keepNext/>
        <w:keepLines/>
        <w:pageBreakBefore w:val="0"/>
        <w:widowControl w:val="0"/>
        <w:kinsoku/>
        <w:wordWrap/>
        <w:overflowPunct/>
        <w:topLinePunct w:val="0"/>
        <w:autoSpaceDE/>
        <w:autoSpaceDN/>
        <w:bidi w:val="0"/>
        <w:adjustRightInd/>
        <w:snapToGrid/>
        <w:spacing w:before="0" w:after="0" w:line="340" w:lineRule="exact"/>
        <w:ind w:firstLine="420" w:firstLineChars="200"/>
        <w:jc w:val="both"/>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6728E1E">
      <w:pPr>
        <w:keepNext/>
        <w:keepLines/>
        <w:pageBreakBefore w:val="0"/>
        <w:widowControl w:val="0"/>
        <w:kinsoku/>
        <w:wordWrap/>
        <w:overflowPunct/>
        <w:topLinePunct w:val="0"/>
        <w:autoSpaceDE/>
        <w:autoSpaceDN/>
        <w:bidi w:val="0"/>
        <w:adjustRightInd/>
        <w:snapToGrid/>
        <w:spacing w:before="0" w:after="0" w:line="340" w:lineRule="exact"/>
        <w:ind w:firstLine="420" w:firstLineChars="200"/>
        <w:jc w:val="both"/>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6.5除上述情况外，评审价＝最后报价。</w:t>
      </w:r>
    </w:p>
    <w:p w14:paraId="245B3101">
      <w:pPr>
        <w:pStyle w:val="3"/>
        <w:keepNext/>
        <w:keepLines/>
        <w:pageBreakBefore w:val="0"/>
        <w:widowControl w:val="0"/>
        <w:kinsoku/>
        <w:wordWrap/>
        <w:overflowPunct/>
        <w:topLinePunct w:val="0"/>
        <w:autoSpaceDE/>
        <w:autoSpaceDN/>
        <w:bidi w:val="0"/>
        <w:adjustRightInd/>
        <w:snapToGrid/>
        <w:spacing w:before="200" w:after="200" w:line="340" w:lineRule="exact"/>
        <w:jc w:val="center"/>
        <w:textAlignment w:val="auto"/>
        <w:rPr>
          <w:rFonts w:hint="eastAsia"/>
        </w:rPr>
      </w:pPr>
      <w:r>
        <w:rPr>
          <w:rFonts w:hint="eastAsia"/>
        </w:rPr>
        <w:t>二、评定成交的标准</w:t>
      </w:r>
    </w:p>
    <w:p w14:paraId="40BABCC1">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highlight w:val="none"/>
        </w:rPr>
        <w:t>7</w:t>
      </w:r>
      <w:r>
        <w:rPr>
          <w:rFonts w:ascii="黑体" w:hAnsi="黑体" w:eastAsia="黑体" w:cs="宋体"/>
          <w:b/>
          <w:bCs/>
          <w:sz w:val="24"/>
          <w:highlight w:val="none"/>
        </w:rPr>
        <w:t>.</w:t>
      </w:r>
      <w:r>
        <w:rPr>
          <w:rFonts w:hint="eastAsia" w:ascii="黑体" w:hAnsi="黑体" w:eastAsia="黑体" w:cs="宋体"/>
          <w:b/>
          <w:bCs/>
          <w:sz w:val="24"/>
        </w:rPr>
        <w:t>成交候选人推荐</w:t>
      </w:r>
    </w:p>
    <w:p w14:paraId="20B28B59">
      <w:pPr>
        <w:keepNext w:val="0"/>
        <w:keepLines w:val="0"/>
        <w:pageBreakBefore w:val="0"/>
        <w:widowControl w:val="0"/>
        <w:kinsoku/>
        <w:wordWrap/>
        <w:overflowPunct/>
        <w:topLinePunct w:val="0"/>
        <w:autoSpaceDE/>
        <w:autoSpaceDN/>
        <w:bidi w:val="0"/>
        <w:adjustRightInd/>
        <w:snapToGrid/>
        <w:spacing w:line="340" w:lineRule="exact"/>
        <w:ind w:firstLine="420" w:firstLineChars="200"/>
        <w:contextualSpacing/>
        <w:textAlignment w:val="auto"/>
        <w:rPr>
          <w:rFonts w:hint="eastAsia" w:hAnsi="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条规定的顺序推荐），并编写评审报告，评审报告</w:t>
      </w:r>
      <w:r>
        <w:rPr>
          <w:rFonts w:hint="eastAsia" w:hAnsi="宋体"/>
        </w:rPr>
        <w:t>通过电子交易平台向采购人、采购代理机构提交。</w:t>
      </w:r>
    </w:p>
    <w:p w14:paraId="2F1A71A1">
      <w:pPr>
        <w:rPr>
          <w:rFonts w:hint="eastAsia" w:hAnsi="宋体"/>
        </w:rPr>
      </w:pPr>
      <w:r>
        <w:rPr>
          <w:rFonts w:hint="eastAsia" w:hAnsi="宋体"/>
        </w:rPr>
        <w:br w:type="page"/>
      </w:r>
    </w:p>
    <w:p w14:paraId="1DAC6623">
      <w:pPr>
        <w:pStyle w:val="2"/>
        <w:numPr>
          <w:ilvl w:val="0"/>
          <w:numId w:val="0"/>
        </w:numPr>
        <w:jc w:val="center"/>
        <w:rPr>
          <w:rFonts w:hint="eastAsia"/>
        </w:rPr>
      </w:pPr>
      <w:bookmarkStart w:id="43" w:name="_Toc28578"/>
      <w:bookmarkStart w:id="44" w:name="_Toc6082"/>
      <w:bookmarkStart w:id="45" w:name="_Toc168674249"/>
      <w:bookmarkStart w:id="46" w:name="_Toc19734"/>
      <w:bookmarkStart w:id="47" w:name="_Toc26822"/>
      <w:r>
        <w:rPr>
          <w:rFonts w:hint="eastAsia"/>
          <w:lang w:val="en-US" w:eastAsia="zh-CN"/>
        </w:rPr>
        <w:t xml:space="preserve">第五章 </w:t>
      </w:r>
      <w:r>
        <w:rPr>
          <w:rFonts w:hint="eastAsia"/>
        </w:rPr>
        <w:t>响应文件格式</w:t>
      </w:r>
      <w:bookmarkEnd w:id="43"/>
      <w:bookmarkEnd w:id="44"/>
      <w:bookmarkEnd w:id="45"/>
      <w:bookmarkEnd w:id="46"/>
      <w:bookmarkEnd w:id="47"/>
    </w:p>
    <w:p w14:paraId="321CFAFC">
      <w:pPr>
        <w:rPr>
          <w:rFonts w:hint="eastAsia"/>
          <w:b/>
          <w:sz w:val="32"/>
          <w:szCs w:val="32"/>
        </w:rPr>
      </w:pPr>
      <w:bookmarkStart w:id="48" w:name="_Toc71366060"/>
      <w:bookmarkStart w:id="49" w:name="_Toc71365382"/>
      <w:r>
        <w:rPr>
          <w:rFonts w:hint="eastAsia"/>
          <w:b/>
          <w:sz w:val="32"/>
          <w:szCs w:val="32"/>
        </w:rPr>
        <w:t>一、资格证明文件格式</w:t>
      </w:r>
      <w:bookmarkEnd w:id="48"/>
      <w:bookmarkEnd w:id="49"/>
    </w:p>
    <w:p w14:paraId="4EA29DCE">
      <w:pPr>
        <w:snapToGrid w:val="0"/>
        <w:spacing w:before="156" w:beforeLines="50" w:after="50" w:line="360" w:lineRule="auto"/>
        <w:jc w:val="left"/>
        <w:rPr>
          <w:rFonts w:hint="eastAsia" w:ascii="宋体" w:hAnsi="宋体"/>
          <w:b/>
          <w:sz w:val="24"/>
        </w:rPr>
      </w:pPr>
      <w:r>
        <w:rPr>
          <w:rFonts w:hint="eastAsia" w:ascii="宋体" w:hAnsi="宋体"/>
          <w:b/>
          <w:sz w:val="32"/>
          <w:szCs w:val="32"/>
        </w:rPr>
        <w:t>1.资格证明文件封面格式：</w:t>
      </w:r>
    </w:p>
    <w:p w14:paraId="6A01709C">
      <w:pPr>
        <w:snapToGrid w:val="0"/>
        <w:spacing w:before="156" w:beforeLines="50" w:after="50"/>
        <w:rPr>
          <w:rFonts w:hint="eastAsia" w:ascii="宋体" w:hAnsi="宋体"/>
          <w:bCs/>
          <w:sz w:val="32"/>
          <w:szCs w:val="20"/>
        </w:rPr>
      </w:pPr>
      <w:r>
        <w:rPr>
          <w:rFonts w:hint="eastAsia" w:ascii="宋体" w:hAnsi="宋体"/>
          <w:sz w:val="24"/>
        </w:rPr>
        <w:t xml:space="preserve">                                                    </w:t>
      </w:r>
    </w:p>
    <w:p w14:paraId="28493B91">
      <w:pPr>
        <w:snapToGrid w:val="0"/>
        <w:spacing w:before="156" w:beforeLines="50" w:after="50"/>
        <w:jc w:val="center"/>
        <w:rPr>
          <w:rFonts w:ascii="宋体" w:hAnsi="宋体"/>
          <w:sz w:val="44"/>
          <w:szCs w:val="44"/>
        </w:rPr>
      </w:pPr>
      <w:r>
        <w:rPr>
          <w:rFonts w:hint="eastAsia" w:ascii="宋体" w:hAnsi="宋体"/>
          <w:sz w:val="44"/>
          <w:szCs w:val="44"/>
        </w:rPr>
        <w:t>电 子 响 应 文 件</w:t>
      </w:r>
    </w:p>
    <w:p w14:paraId="3C5F48BC">
      <w:pPr>
        <w:snapToGrid w:val="0"/>
        <w:spacing w:before="156" w:beforeLines="50" w:after="50"/>
        <w:rPr>
          <w:rFonts w:hint="eastAsia" w:ascii="宋体" w:hAnsi="宋体"/>
          <w:sz w:val="24"/>
          <w:szCs w:val="20"/>
        </w:rPr>
      </w:pPr>
    </w:p>
    <w:p w14:paraId="2A9F288D">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019A5066">
      <w:pPr>
        <w:snapToGrid w:val="0"/>
        <w:spacing w:before="156" w:beforeLines="50" w:after="50"/>
        <w:rPr>
          <w:rFonts w:hint="eastAsia" w:ascii="宋体" w:hAnsi="宋体"/>
          <w:bCs/>
          <w:sz w:val="24"/>
          <w:szCs w:val="20"/>
        </w:rPr>
      </w:pPr>
    </w:p>
    <w:p w14:paraId="444CD98A">
      <w:pPr>
        <w:snapToGrid w:val="0"/>
        <w:spacing w:before="156" w:beforeLines="50" w:after="50"/>
        <w:rPr>
          <w:rFonts w:hint="eastAsia" w:ascii="宋体" w:hAnsi="宋体"/>
          <w:bCs/>
          <w:sz w:val="24"/>
          <w:szCs w:val="20"/>
        </w:rPr>
      </w:pPr>
    </w:p>
    <w:p w14:paraId="77938E4F">
      <w:pPr>
        <w:snapToGrid w:val="0"/>
        <w:spacing w:before="156" w:beforeLines="50" w:after="50"/>
        <w:rPr>
          <w:rFonts w:hint="eastAsia" w:ascii="宋体" w:hAnsi="宋体"/>
          <w:bCs/>
          <w:sz w:val="24"/>
          <w:szCs w:val="20"/>
        </w:rPr>
      </w:pPr>
    </w:p>
    <w:p w14:paraId="2434393B">
      <w:pPr>
        <w:snapToGrid w:val="0"/>
        <w:spacing w:before="156" w:beforeLines="50" w:after="50"/>
        <w:rPr>
          <w:rFonts w:hint="eastAsia" w:ascii="宋体" w:hAnsi="宋体"/>
          <w:bCs/>
          <w:sz w:val="24"/>
          <w:szCs w:val="20"/>
        </w:rPr>
      </w:pPr>
    </w:p>
    <w:p w14:paraId="286BBC42">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2DA15B12">
      <w:pPr>
        <w:snapToGrid w:val="0"/>
        <w:spacing w:before="156" w:beforeLines="50" w:after="50"/>
        <w:ind w:firstLine="720" w:firstLineChars="225"/>
        <w:rPr>
          <w:rFonts w:hint="eastAsia" w:ascii="宋体" w:hAnsi="宋体" w:cs="仿宋_GB2312"/>
          <w:bCs/>
          <w:sz w:val="32"/>
          <w:szCs w:val="32"/>
        </w:rPr>
      </w:pPr>
    </w:p>
    <w:p w14:paraId="142C8257">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624E1077">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54FAEDA">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1EAA7943">
      <w:pPr>
        <w:snapToGrid w:val="0"/>
        <w:spacing w:before="156" w:beforeLines="50" w:after="50"/>
        <w:ind w:firstLine="640" w:firstLineChars="200"/>
        <w:rPr>
          <w:rFonts w:hint="eastAsia" w:ascii="宋体" w:hAnsi="宋体" w:cs="仿宋_GB2312"/>
          <w:bCs/>
          <w:sz w:val="32"/>
          <w:szCs w:val="32"/>
        </w:rPr>
      </w:pPr>
    </w:p>
    <w:p w14:paraId="0DD87D97">
      <w:pPr>
        <w:pStyle w:val="7"/>
        <w:snapToGrid w:val="0"/>
        <w:spacing w:before="50" w:after="50"/>
        <w:ind w:firstLine="1280" w:firstLineChars="400"/>
        <w:rPr>
          <w:rFonts w:hint="eastAsia" w:ascii="宋体" w:hAnsi="宋体" w:cs="仿宋_GB2312"/>
          <w:bCs/>
          <w:sz w:val="32"/>
          <w:szCs w:val="32"/>
        </w:rPr>
      </w:pPr>
    </w:p>
    <w:p w14:paraId="7FAA6885">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6A16C88">
      <w:pPr>
        <w:rPr>
          <w:rFonts w:hint="eastAsia" w:ascii="宋体" w:hAnsi="宋体"/>
          <w:b/>
          <w:bCs/>
          <w:sz w:val="32"/>
          <w:szCs w:val="32"/>
        </w:rPr>
      </w:pPr>
      <w:r>
        <w:rPr>
          <w:rFonts w:hint="eastAsia"/>
        </w:rPr>
        <w:br w:type="page"/>
      </w:r>
    </w:p>
    <w:p w14:paraId="739A8C04">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2.资格证明文件目录</w:t>
      </w:r>
    </w:p>
    <w:p w14:paraId="004C55F8">
      <w:pPr>
        <w:snapToGrid w:val="0"/>
        <w:spacing w:before="156" w:beforeLines="50" w:after="50" w:line="360" w:lineRule="auto"/>
        <w:ind w:firstLine="645"/>
        <w:rPr>
          <w:rFonts w:ascii="宋体" w:hAnsi="宋体"/>
          <w:sz w:val="32"/>
          <w:szCs w:val="32"/>
        </w:rPr>
      </w:pPr>
      <w:r>
        <w:rPr>
          <w:rFonts w:hint="eastAsia" w:ascii="宋体" w:hAnsi="宋体"/>
          <w:sz w:val="32"/>
          <w:szCs w:val="32"/>
        </w:rPr>
        <w:t>根据谈判文件规定及供应商提供的材料自行编写目录（部分格式后附）。</w:t>
      </w:r>
    </w:p>
    <w:p w14:paraId="16CE72AE">
      <w:pPr>
        <w:pStyle w:val="5"/>
        <w:spacing w:before="156" w:after="156"/>
        <w:rPr>
          <w:rFonts w:hint="eastAsia"/>
        </w:rPr>
      </w:pPr>
    </w:p>
    <w:p w14:paraId="20D26226">
      <w:pPr>
        <w:pStyle w:val="5"/>
        <w:spacing w:before="156" w:after="156"/>
        <w:rPr>
          <w:rFonts w:hint="eastAsia"/>
        </w:rPr>
      </w:pPr>
    </w:p>
    <w:p w14:paraId="3C783CC7">
      <w:pPr>
        <w:pStyle w:val="5"/>
        <w:spacing w:before="156" w:after="156"/>
        <w:ind w:left="0" w:firstLine="0"/>
        <w:rPr>
          <w:rFonts w:hint="eastAsia"/>
        </w:rPr>
      </w:pPr>
    </w:p>
    <w:p w14:paraId="4C9AAD5D">
      <w:pPr>
        <w:pStyle w:val="5"/>
        <w:spacing w:before="156" w:after="156"/>
        <w:rPr>
          <w:rFonts w:hint="eastAsia"/>
        </w:rPr>
      </w:pPr>
    </w:p>
    <w:p w14:paraId="6507E209">
      <w:pPr>
        <w:pStyle w:val="5"/>
        <w:spacing w:before="156" w:after="156"/>
        <w:rPr>
          <w:rFonts w:hint="eastAsia"/>
        </w:rPr>
      </w:pPr>
    </w:p>
    <w:p w14:paraId="5E6BA6B2">
      <w:pPr>
        <w:pStyle w:val="5"/>
        <w:spacing w:before="156" w:after="156"/>
        <w:rPr>
          <w:rFonts w:hint="eastAsia"/>
        </w:rPr>
      </w:pPr>
    </w:p>
    <w:p w14:paraId="6D8DF42B">
      <w:pPr>
        <w:pStyle w:val="5"/>
        <w:spacing w:before="156" w:after="156"/>
        <w:rPr>
          <w:rFonts w:hint="eastAsia"/>
        </w:rPr>
      </w:pPr>
    </w:p>
    <w:p w14:paraId="0A6F7076">
      <w:pPr>
        <w:pStyle w:val="5"/>
        <w:spacing w:before="156" w:after="156"/>
        <w:rPr>
          <w:rFonts w:hint="eastAsia"/>
        </w:rPr>
      </w:pPr>
    </w:p>
    <w:p w14:paraId="5B7253A5">
      <w:pPr>
        <w:pStyle w:val="5"/>
        <w:spacing w:before="156" w:after="156"/>
        <w:ind w:left="0" w:firstLine="0"/>
        <w:rPr>
          <w:rFonts w:hint="eastAsia"/>
        </w:rPr>
      </w:pPr>
    </w:p>
    <w:p w14:paraId="3FD6F48C">
      <w:pPr>
        <w:pStyle w:val="5"/>
        <w:spacing w:before="156" w:after="156"/>
        <w:rPr>
          <w:rFonts w:hint="eastAsia"/>
        </w:rPr>
      </w:pPr>
    </w:p>
    <w:p w14:paraId="2F69516B">
      <w:pPr>
        <w:pStyle w:val="5"/>
        <w:spacing w:before="156" w:after="156"/>
        <w:rPr>
          <w:rFonts w:hint="eastAsia"/>
        </w:rPr>
      </w:pPr>
    </w:p>
    <w:p w14:paraId="23996EFA">
      <w:pPr>
        <w:pStyle w:val="5"/>
        <w:spacing w:before="156" w:after="156"/>
        <w:rPr>
          <w:rFonts w:hint="eastAsia"/>
        </w:rPr>
      </w:pPr>
    </w:p>
    <w:p w14:paraId="6409BCE5">
      <w:pPr>
        <w:pStyle w:val="5"/>
        <w:spacing w:before="156" w:after="156"/>
        <w:rPr>
          <w:rFonts w:hint="eastAsia"/>
        </w:rPr>
      </w:pPr>
    </w:p>
    <w:p w14:paraId="59497452">
      <w:pPr>
        <w:rPr>
          <w:rFonts w:hint="eastAsia"/>
        </w:rPr>
        <w:sectPr>
          <w:footerReference r:id="rId4" w:type="default"/>
          <w:pgSz w:w="11906" w:h="16838"/>
          <w:pgMar w:top="1440" w:right="1080" w:bottom="1440" w:left="1080" w:header="851" w:footer="992" w:gutter="0"/>
          <w:pgNumType w:fmt="decimal" w:start="2"/>
          <w:cols w:space="720" w:num="1"/>
          <w:docGrid w:type="lines" w:linePitch="312" w:charSpace="0"/>
        </w:sectPr>
      </w:pPr>
    </w:p>
    <w:p w14:paraId="02A9F591">
      <w:pPr>
        <w:spacing w:line="320" w:lineRule="exact"/>
        <w:jc w:val="center"/>
        <w:rPr>
          <w:rFonts w:ascii="宋体" w:hAnsi="宋体"/>
          <w:b/>
          <w:sz w:val="32"/>
          <w:szCs w:val="32"/>
        </w:rPr>
      </w:pPr>
      <w:r>
        <w:rPr>
          <w:rFonts w:hint="eastAsia" w:ascii="宋体" w:hAnsi="宋体"/>
          <w:b/>
          <w:sz w:val="32"/>
          <w:szCs w:val="32"/>
        </w:rPr>
        <w:t>防城港市政府采购供应商信用承诺函（格式）</w:t>
      </w:r>
    </w:p>
    <w:p w14:paraId="73174029">
      <w:pPr>
        <w:spacing w:line="320" w:lineRule="exact"/>
        <w:jc w:val="left"/>
        <w:rPr>
          <w:rFonts w:hint="eastAsia" w:ascii="宋体" w:hAnsi="宋体"/>
          <w:szCs w:val="21"/>
        </w:rPr>
      </w:pPr>
    </w:p>
    <w:p w14:paraId="0C2A6507">
      <w:pPr>
        <w:spacing w:line="360" w:lineRule="auto"/>
        <w:jc w:val="left"/>
        <w:rPr>
          <w:rFonts w:hint="eastAsia" w:ascii="宋体" w:hAnsi="宋体"/>
          <w:sz w:val="24"/>
        </w:rPr>
      </w:pPr>
      <w:r>
        <w:rPr>
          <w:rFonts w:hint="eastAsia" w:ascii="宋体" w:hAnsi="宋体"/>
          <w:sz w:val="24"/>
        </w:rPr>
        <w:t>致（采购人或采购代理机构） ：</w:t>
      </w:r>
    </w:p>
    <w:p w14:paraId="31159BD2">
      <w:pPr>
        <w:spacing w:line="360" w:lineRule="auto"/>
        <w:ind w:firstLine="480" w:firstLineChars="200"/>
        <w:jc w:val="left"/>
        <w:rPr>
          <w:rFonts w:hint="eastAsia" w:ascii="宋体" w:hAnsi="宋体"/>
          <w:sz w:val="24"/>
        </w:rPr>
      </w:pPr>
      <w:r>
        <w:rPr>
          <w:rFonts w:hint="eastAsia" w:ascii="宋体" w:hAnsi="宋体"/>
          <w:sz w:val="24"/>
        </w:rPr>
        <w:t>我方自愿参加</w:t>
      </w:r>
      <w:r>
        <w:rPr>
          <w:rFonts w:hint="eastAsia" w:ascii="宋体" w:hAnsi="宋体"/>
          <w:sz w:val="24"/>
          <w:u w:val="single"/>
        </w:rPr>
        <w:t xml:space="preserve"> （项目名称） </w:t>
      </w:r>
      <w:r>
        <w:rPr>
          <w:rFonts w:hint="eastAsia" w:ascii="宋体" w:hAnsi="宋体"/>
          <w:sz w:val="24"/>
        </w:rPr>
        <w:t>项目（</w:t>
      </w:r>
      <w:r>
        <w:rPr>
          <w:rFonts w:hint="eastAsia" w:ascii="宋体" w:hAnsi="宋体"/>
          <w:sz w:val="24"/>
          <w:u w:val="single"/>
        </w:rPr>
        <w:t xml:space="preserve">项目编号：         </w:t>
      </w:r>
      <w:r>
        <w:rPr>
          <w:rFonts w:hint="eastAsia" w:ascii="宋体" w:hAnsi="宋体"/>
          <w:sz w:val="24"/>
        </w:rPr>
        <w:t xml:space="preserve">）的政府采购活动，严格遵守《中华人民共和国政府采购法》及相关法律法规，依法诚信经营，无条件遵守本次政府采购活动的各项规定，并郑重承诺： </w:t>
      </w:r>
    </w:p>
    <w:p w14:paraId="2BD6866E">
      <w:pPr>
        <w:spacing w:line="360" w:lineRule="auto"/>
        <w:ind w:firstLine="480" w:firstLineChars="200"/>
        <w:jc w:val="left"/>
        <w:rPr>
          <w:rFonts w:hint="eastAsia" w:ascii="宋体" w:hAnsi="宋体"/>
          <w:sz w:val="24"/>
        </w:rPr>
      </w:pPr>
      <w:r>
        <w:rPr>
          <w:rFonts w:hint="eastAsia" w:ascii="宋体" w:hAnsi="宋体"/>
          <w:sz w:val="24"/>
        </w:rPr>
        <w:t xml:space="preserve">1.我方具有符合采购文件资格要求的财务状况报告。 </w:t>
      </w:r>
    </w:p>
    <w:p w14:paraId="516FA59D">
      <w:pPr>
        <w:spacing w:line="360" w:lineRule="auto"/>
        <w:ind w:firstLine="480" w:firstLineChars="200"/>
        <w:jc w:val="left"/>
        <w:rPr>
          <w:rFonts w:hint="eastAsia" w:ascii="宋体" w:hAnsi="宋体"/>
          <w:sz w:val="24"/>
        </w:rPr>
      </w:pPr>
      <w:r>
        <w:rPr>
          <w:rFonts w:hint="eastAsia" w:ascii="宋体" w:hAnsi="宋体"/>
          <w:sz w:val="24"/>
        </w:rPr>
        <w:t xml:space="preserve">2.我方具有符合采购文件资格要求的依法缴纳税收和社会保障资金的良好记录。 </w:t>
      </w:r>
    </w:p>
    <w:p w14:paraId="4416612C">
      <w:pPr>
        <w:spacing w:line="360" w:lineRule="auto"/>
        <w:ind w:firstLine="480" w:firstLineChars="200"/>
        <w:jc w:val="left"/>
        <w:rPr>
          <w:rFonts w:hint="eastAsia" w:ascii="宋体" w:hAnsi="宋体"/>
          <w:sz w:val="24"/>
        </w:rPr>
      </w:pPr>
      <w:r>
        <w:rPr>
          <w:rFonts w:hint="eastAsia" w:ascii="宋体" w:hAnsi="宋体"/>
          <w:sz w:val="24"/>
        </w:rPr>
        <w:t xml:space="preserve">3.我方参加政府采购活动前三年内在经营活动中没有重大违法记录。 </w:t>
      </w:r>
    </w:p>
    <w:p w14:paraId="024BF1D1">
      <w:pPr>
        <w:spacing w:line="360" w:lineRule="auto"/>
        <w:ind w:firstLine="480" w:firstLineChars="200"/>
        <w:jc w:val="left"/>
        <w:rPr>
          <w:rFonts w:hint="eastAsia" w:ascii="宋体" w:hAnsi="宋体"/>
          <w:sz w:val="24"/>
        </w:rPr>
      </w:pPr>
      <w:r>
        <w:rPr>
          <w:rFonts w:hint="eastAsia" w:ascii="宋体" w:hAnsi="宋体"/>
          <w:sz w:val="24"/>
        </w:rPr>
        <w:t>我方对以上承诺内容的真实性负责。如有虚假，将依法承担相应责任。</w:t>
      </w:r>
    </w:p>
    <w:p w14:paraId="02F2241B">
      <w:pPr>
        <w:spacing w:line="360" w:lineRule="auto"/>
        <w:jc w:val="left"/>
        <w:rPr>
          <w:rFonts w:hint="eastAsia" w:ascii="宋体" w:hAnsi="宋体"/>
          <w:sz w:val="24"/>
        </w:rPr>
      </w:pPr>
    </w:p>
    <w:p w14:paraId="7A0B67D5">
      <w:pPr>
        <w:spacing w:line="360" w:lineRule="auto"/>
        <w:jc w:val="left"/>
        <w:rPr>
          <w:rFonts w:hint="eastAsia" w:ascii="宋体" w:hAnsi="宋体"/>
          <w:sz w:val="24"/>
        </w:rPr>
      </w:pPr>
    </w:p>
    <w:p w14:paraId="3FA4B35C">
      <w:pPr>
        <w:spacing w:line="360" w:lineRule="auto"/>
        <w:jc w:val="left"/>
        <w:rPr>
          <w:rFonts w:hint="eastAsia" w:ascii="宋体" w:hAnsi="宋体"/>
          <w:sz w:val="24"/>
        </w:rPr>
      </w:pPr>
      <w:r>
        <w:rPr>
          <w:rFonts w:hint="eastAsia" w:ascii="宋体" w:hAnsi="宋体"/>
          <w:sz w:val="24"/>
        </w:rPr>
        <w:t>供应商名称（电子签章）：</w:t>
      </w:r>
    </w:p>
    <w:p w14:paraId="78BEE60B">
      <w:pPr>
        <w:spacing w:line="360" w:lineRule="auto"/>
        <w:jc w:val="left"/>
        <w:rPr>
          <w:rFonts w:hint="eastAsia" w:ascii="宋体" w:hAnsi="宋体"/>
          <w:sz w:val="24"/>
        </w:rPr>
      </w:pPr>
      <w:r>
        <w:rPr>
          <w:rFonts w:hint="eastAsia" w:ascii="宋体" w:hAnsi="宋体"/>
          <w:sz w:val="24"/>
        </w:rPr>
        <w:t>统一社会信用代码：</w:t>
      </w:r>
    </w:p>
    <w:p w14:paraId="3D497FAF">
      <w:pPr>
        <w:spacing w:line="360" w:lineRule="auto"/>
        <w:jc w:val="left"/>
        <w:rPr>
          <w:rFonts w:hint="eastAsia" w:ascii="宋体" w:hAnsi="宋体"/>
          <w:sz w:val="24"/>
        </w:rPr>
      </w:pPr>
      <w:r>
        <w:rPr>
          <w:rFonts w:hint="eastAsia" w:ascii="宋体" w:hAnsi="宋体"/>
          <w:sz w:val="24"/>
        </w:rPr>
        <w:t>法定代表人或授权代表(签字或者电子签名)：</w:t>
      </w:r>
    </w:p>
    <w:p w14:paraId="4F8C42CA">
      <w:pPr>
        <w:spacing w:line="360" w:lineRule="auto"/>
        <w:jc w:val="left"/>
        <w:rPr>
          <w:rFonts w:hint="eastAsia" w:ascii="宋体" w:hAnsi="宋体"/>
          <w:sz w:val="24"/>
        </w:rPr>
      </w:pPr>
      <w:r>
        <w:rPr>
          <w:rFonts w:hint="eastAsia" w:ascii="宋体" w:hAnsi="宋体"/>
          <w:sz w:val="24"/>
        </w:rPr>
        <w:t>日期： 年 月 日</w:t>
      </w:r>
    </w:p>
    <w:p w14:paraId="0DC8D540">
      <w:pPr>
        <w:spacing w:line="360" w:lineRule="auto"/>
        <w:jc w:val="left"/>
        <w:rPr>
          <w:rFonts w:hint="eastAsia" w:ascii="宋体" w:hAnsi="宋体"/>
          <w:sz w:val="24"/>
        </w:rPr>
      </w:pPr>
    </w:p>
    <w:p w14:paraId="48B367AC">
      <w:pPr>
        <w:spacing w:line="360" w:lineRule="auto"/>
        <w:jc w:val="left"/>
        <w:rPr>
          <w:rFonts w:hint="eastAsia" w:ascii="宋体" w:hAnsi="宋体"/>
          <w:sz w:val="24"/>
        </w:rPr>
      </w:pPr>
      <w:r>
        <w:rPr>
          <w:rFonts w:hint="eastAsia" w:ascii="宋体" w:hAnsi="宋体"/>
          <w:sz w:val="24"/>
        </w:rPr>
        <w:t>注：1.供应商须在响应文件中按此模板提供承诺函，未提供视为未实质性响应采购文件要求，按无效响应处理。</w:t>
      </w:r>
    </w:p>
    <w:p w14:paraId="3BC29B76">
      <w:pPr>
        <w:spacing w:line="360" w:lineRule="auto"/>
        <w:jc w:val="left"/>
        <w:rPr>
          <w:rFonts w:hint="eastAsia" w:ascii="宋体" w:hAnsi="宋体"/>
          <w:sz w:val="24"/>
        </w:rPr>
      </w:pPr>
      <w:r>
        <w:rPr>
          <w:rFonts w:hint="eastAsia" w:ascii="宋体" w:hAnsi="宋体"/>
          <w:sz w:val="24"/>
        </w:rPr>
        <w:t>2.供应商的法定代表人（其他组织的为负责人）或者授权代表的签名或盖章应真实、有效，如由授权代表签名或盖章的，应提供“法定代表人授权书”。</w:t>
      </w:r>
    </w:p>
    <w:p w14:paraId="0353B507">
      <w:pPr>
        <w:spacing w:before="156" w:beforeLines="50" w:after="156" w:afterLines="50" w:line="360" w:lineRule="exact"/>
        <w:rPr>
          <w:rFonts w:hint="eastAsia" w:ascii="宋体" w:hAnsi="宋体" w:cs="宋体"/>
          <w:szCs w:val="21"/>
          <w:u w:val="single"/>
        </w:rPr>
      </w:pPr>
    </w:p>
    <w:p w14:paraId="3F60E95A">
      <w:pPr>
        <w:pStyle w:val="22"/>
        <w:rPr>
          <w:rFonts w:hint="eastAsia" w:ascii="宋体" w:hAnsi="宋体" w:cs="宋体"/>
          <w:szCs w:val="21"/>
          <w:u w:val="single"/>
        </w:rPr>
      </w:pPr>
    </w:p>
    <w:p w14:paraId="3E6926EA">
      <w:pPr>
        <w:rPr>
          <w:rFonts w:hint="eastAsia" w:ascii="宋体" w:hAnsi="宋体" w:cs="宋体"/>
          <w:szCs w:val="21"/>
          <w:u w:val="single"/>
        </w:rPr>
      </w:pPr>
    </w:p>
    <w:p w14:paraId="55736FCA">
      <w:pPr>
        <w:pStyle w:val="22"/>
        <w:rPr>
          <w:rFonts w:hint="eastAsia" w:ascii="宋体" w:hAnsi="宋体" w:cs="宋体"/>
          <w:szCs w:val="21"/>
          <w:u w:val="single"/>
        </w:rPr>
      </w:pPr>
    </w:p>
    <w:p w14:paraId="74B0F02B">
      <w:pPr>
        <w:rPr>
          <w:rFonts w:hint="eastAsia" w:ascii="宋体" w:hAnsi="宋体" w:cs="宋体"/>
          <w:szCs w:val="21"/>
          <w:u w:val="single"/>
        </w:rPr>
      </w:pPr>
    </w:p>
    <w:p w14:paraId="400A917F">
      <w:pPr>
        <w:rPr>
          <w:rFonts w:hint="eastAsia"/>
        </w:rPr>
        <w:sectPr>
          <w:footerReference r:id="rId6" w:type="first"/>
          <w:footerReference r:id="rId5" w:type="default"/>
          <w:pgSz w:w="11906" w:h="16838"/>
          <w:pgMar w:top="1247" w:right="1247" w:bottom="1247" w:left="1247" w:header="851" w:footer="992" w:gutter="0"/>
          <w:pgNumType w:fmt="decimal"/>
          <w:cols w:space="720" w:num="1"/>
          <w:titlePg/>
          <w:docGrid w:type="lines" w:linePitch="312" w:charSpace="0"/>
        </w:sectPr>
      </w:pPr>
    </w:p>
    <w:p w14:paraId="3B5DA492">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供应商直接控股、管理关系信息表</w:t>
      </w:r>
    </w:p>
    <w:p w14:paraId="0C195046">
      <w:pPr>
        <w:snapToGrid w:val="0"/>
        <w:spacing w:before="156" w:beforeLines="50" w:after="50"/>
        <w:jc w:val="center"/>
        <w:rPr>
          <w:rFonts w:hint="eastAsia" w:ascii="宋体" w:hAnsi="宋体"/>
          <w:b/>
          <w:sz w:val="32"/>
          <w:szCs w:val="32"/>
        </w:rPr>
      </w:pPr>
    </w:p>
    <w:p w14:paraId="7E99E2D8">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供应商直接控股股东信息表</w:t>
      </w:r>
    </w:p>
    <w:p w14:paraId="77186B4D">
      <w:pPr>
        <w:snapToGrid w:val="0"/>
        <w:spacing w:before="50" w:after="156" w:afterLines="50"/>
        <w:jc w:val="center"/>
        <w:rPr>
          <w:rFonts w:hint="eastAsia" w:ascii="宋体" w:hAnsi="宋体"/>
          <w:b/>
          <w:sz w:val="32"/>
          <w:szCs w:val="32"/>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554499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F18DB">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938C53">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6B045B">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0413FD">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408518">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0E587F5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DF2108">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2154B7">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7C6B3">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0840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A23AE1">
            <w:pPr>
              <w:widowControl/>
              <w:spacing w:line="360" w:lineRule="auto"/>
              <w:jc w:val="center"/>
              <w:rPr>
                <w:rFonts w:hint="eastAsia" w:ascii="宋体" w:hAnsi="宋体" w:cs="宋体"/>
                <w:kern w:val="0"/>
                <w:sz w:val="28"/>
                <w:szCs w:val="28"/>
              </w:rPr>
            </w:pPr>
          </w:p>
        </w:tc>
      </w:tr>
      <w:tr w14:paraId="3938D7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A6653F">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04626C">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D9FE78">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F1701A">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E4580">
            <w:pPr>
              <w:widowControl/>
              <w:spacing w:line="360" w:lineRule="auto"/>
              <w:jc w:val="center"/>
              <w:rPr>
                <w:rFonts w:hint="eastAsia" w:ascii="宋体" w:hAnsi="宋体" w:cs="宋体"/>
                <w:kern w:val="0"/>
                <w:sz w:val="28"/>
                <w:szCs w:val="28"/>
              </w:rPr>
            </w:pPr>
          </w:p>
        </w:tc>
      </w:tr>
      <w:tr w14:paraId="10AD0BC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A3B11C">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213397">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68D241">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20E6D6">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DC0B9">
            <w:pPr>
              <w:widowControl/>
              <w:spacing w:line="360" w:lineRule="auto"/>
              <w:jc w:val="center"/>
              <w:rPr>
                <w:rFonts w:hint="eastAsia" w:ascii="宋体" w:hAnsi="宋体" w:cs="宋体"/>
                <w:kern w:val="0"/>
                <w:sz w:val="28"/>
                <w:szCs w:val="28"/>
              </w:rPr>
            </w:pPr>
          </w:p>
        </w:tc>
      </w:tr>
      <w:tr w14:paraId="1B7DEB5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E28E5">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60D043">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04C67">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B47BA3">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F2EF4A">
            <w:pPr>
              <w:widowControl/>
              <w:spacing w:line="360" w:lineRule="auto"/>
              <w:jc w:val="center"/>
              <w:rPr>
                <w:rFonts w:hint="eastAsia" w:ascii="宋体" w:hAnsi="宋体" w:cs="宋体"/>
                <w:kern w:val="0"/>
                <w:sz w:val="28"/>
                <w:szCs w:val="28"/>
              </w:rPr>
            </w:pPr>
          </w:p>
        </w:tc>
      </w:tr>
    </w:tbl>
    <w:p w14:paraId="70BEDFD1">
      <w:pPr>
        <w:spacing w:line="360" w:lineRule="auto"/>
        <w:contextualSpacing/>
        <w:jc w:val="left"/>
        <w:rPr>
          <w:rFonts w:hint="eastAsia" w:ascii="宋体" w:hAnsi="宋体" w:cs="宋体"/>
          <w:sz w:val="24"/>
        </w:rPr>
      </w:pPr>
      <w:r>
        <w:rPr>
          <w:rFonts w:hint="eastAsia" w:ascii="宋体" w:hAnsi="宋体" w:cs="宋体"/>
          <w:sz w:val="24"/>
        </w:rPr>
        <w:t>注：</w:t>
      </w:r>
    </w:p>
    <w:p w14:paraId="583C425E">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5C9B38">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F0D2340">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50F6D194">
      <w:pPr>
        <w:spacing w:line="360" w:lineRule="auto"/>
        <w:ind w:firstLine="420" w:firstLineChars="200"/>
        <w:contextualSpacing/>
        <w:jc w:val="left"/>
        <w:rPr>
          <w:rFonts w:ascii="宋体" w:hAnsi="宋体" w:cs="宋体"/>
          <w:szCs w:val="21"/>
        </w:rPr>
      </w:pPr>
    </w:p>
    <w:p w14:paraId="39325449">
      <w:pPr>
        <w:spacing w:line="360" w:lineRule="auto"/>
        <w:ind w:firstLine="560" w:firstLineChars="200"/>
        <w:contextualSpacing/>
        <w:jc w:val="left"/>
        <w:rPr>
          <w:rFonts w:hint="eastAsia" w:ascii="宋体" w:hAnsi="宋体" w:cs="宋体"/>
          <w:sz w:val="28"/>
          <w:szCs w:val="28"/>
        </w:rPr>
      </w:pPr>
    </w:p>
    <w:p w14:paraId="20A7CB44">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14:paraId="261B9B22">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14:paraId="0FAEC9FE">
      <w:pPr>
        <w:spacing w:line="360" w:lineRule="auto"/>
        <w:ind w:right="480" w:firstLine="5280" w:firstLineChars="2200"/>
        <w:contextualSpacing/>
        <w:rPr>
          <w:rFonts w:hint="eastAsia" w:ascii="宋体" w:hAnsi="宋体" w:cs="宋体"/>
          <w:sz w:val="28"/>
          <w:szCs w:val="28"/>
        </w:rPr>
      </w:pPr>
      <w:r>
        <w:rPr>
          <w:rFonts w:hint="eastAsia" w:ascii="宋体" w:hAnsi="宋体" w:cs="宋体"/>
          <w:sz w:val="24"/>
        </w:rPr>
        <w:t>年    月    日</w:t>
      </w:r>
    </w:p>
    <w:p w14:paraId="56058FC1">
      <w:pPr>
        <w:snapToGrid w:val="0"/>
        <w:jc w:val="center"/>
        <w:rPr>
          <w:rFonts w:hint="eastAsia" w:ascii="宋体" w:hAnsi="宋体"/>
          <w:b/>
          <w:sz w:val="28"/>
          <w:szCs w:val="28"/>
        </w:rPr>
      </w:pPr>
      <w:r>
        <w:rPr>
          <w:rFonts w:ascii="宋体" w:hAnsi="宋体"/>
          <w:b/>
          <w:sz w:val="28"/>
          <w:szCs w:val="28"/>
        </w:rPr>
        <w:br w:type="page"/>
      </w:r>
    </w:p>
    <w:p w14:paraId="4A8F3CAB">
      <w:pPr>
        <w:snapToGrid w:val="0"/>
        <w:jc w:val="center"/>
        <w:rPr>
          <w:rFonts w:hint="eastAsia" w:ascii="宋体" w:hAnsi="宋体"/>
          <w:b/>
          <w:sz w:val="32"/>
          <w:szCs w:val="32"/>
        </w:rPr>
      </w:pPr>
      <w:r>
        <w:rPr>
          <w:rFonts w:hint="eastAsia" w:ascii="宋体" w:hAnsi="宋体"/>
          <w:b/>
          <w:sz w:val="32"/>
          <w:szCs w:val="32"/>
        </w:rPr>
        <w:t>供应商直接管理关系信息表</w:t>
      </w:r>
    </w:p>
    <w:p w14:paraId="2FE76921">
      <w:pPr>
        <w:snapToGrid w:val="0"/>
        <w:jc w:val="center"/>
        <w:rPr>
          <w:rFonts w:hint="eastAsia" w:ascii="宋体" w:hAnsi="宋体"/>
          <w:b/>
          <w:sz w:val="32"/>
          <w:szCs w:val="32"/>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757564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246D32">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47AC4D">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7B2F9D">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0687ADD">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100BCDB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36671">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EDE162">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BB9B75">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DBBDD">
            <w:pPr>
              <w:widowControl/>
              <w:wordWrap w:val="0"/>
              <w:spacing w:line="200" w:lineRule="atLeast"/>
              <w:jc w:val="center"/>
              <w:rPr>
                <w:rFonts w:ascii="宋体" w:hAnsi="宋体" w:cs="宋体"/>
                <w:kern w:val="0"/>
                <w:sz w:val="28"/>
                <w:szCs w:val="28"/>
              </w:rPr>
            </w:pPr>
          </w:p>
        </w:tc>
      </w:tr>
      <w:tr w14:paraId="6823581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8C7A2">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15D746">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A1912">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1DCC66">
            <w:pPr>
              <w:widowControl/>
              <w:wordWrap w:val="0"/>
              <w:spacing w:line="200" w:lineRule="atLeast"/>
              <w:jc w:val="center"/>
              <w:rPr>
                <w:rFonts w:ascii="宋体" w:hAnsi="宋体" w:cs="宋体"/>
                <w:kern w:val="0"/>
                <w:sz w:val="28"/>
                <w:szCs w:val="28"/>
              </w:rPr>
            </w:pPr>
          </w:p>
        </w:tc>
      </w:tr>
      <w:tr w14:paraId="6E9AD0B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8C8E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5072E6">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9B8EC">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E07B2">
            <w:pPr>
              <w:widowControl/>
              <w:wordWrap w:val="0"/>
              <w:spacing w:line="200" w:lineRule="atLeast"/>
              <w:jc w:val="center"/>
              <w:rPr>
                <w:rFonts w:ascii="宋体" w:hAnsi="宋体" w:cs="宋体"/>
                <w:kern w:val="0"/>
                <w:sz w:val="28"/>
                <w:szCs w:val="28"/>
              </w:rPr>
            </w:pPr>
          </w:p>
        </w:tc>
      </w:tr>
      <w:tr w14:paraId="2FAC820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3529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46317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C4D3FE">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2CFD0">
            <w:pPr>
              <w:widowControl/>
              <w:wordWrap w:val="0"/>
              <w:spacing w:line="200" w:lineRule="atLeast"/>
              <w:jc w:val="center"/>
              <w:rPr>
                <w:rFonts w:ascii="宋体" w:hAnsi="宋体" w:cs="宋体"/>
                <w:kern w:val="0"/>
                <w:sz w:val="28"/>
                <w:szCs w:val="28"/>
              </w:rPr>
            </w:pPr>
          </w:p>
        </w:tc>
      </w:tr>
    </w:tbl>
    <w:p w14:paraId="3E0F6B80">
      <w:pPr>
        <w:spacing w:line="360" w:lineRule="auto"/>
        <w:contextualSpacing/>
        <w:jc w:val="left"/>
        <w:rPr>
          <w:rFonts w:hint="eastAsia" w:ascii="宋体" w:hAnsi="宋体"/>
          <w:sz w:val="24"/>
        </w:rPr>
      </w:pPr>
      <w:r>
        <w:rPr>
          <w:rFonts w:hint="eastAsia" w:ascii="宋体" w:hAnsi="宋体"/>
          <w:sz w:val="24"/>
        </w:rPr>
        <w:t>注：</w:t>
      </w:r>
    </w:p>
    <w:p w14:paraId="31FFE15A">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BB5527A">
      <w:pPr>
        <w:spacing w:line="360" w:lineRule="auto"/>
        <w:ind w:firstLine="480" w:firstLineChars="200"/>
        <w:contextualSpacing/>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06A98DC0">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14:paraId="6494A7A1">
      <w:pPr>
        <w:spacing w:line="360" w:lineRule="auto"/>
        <w:contextualSpacing/>
        <w:jc w:val="left"/>
        <w:rPr>
          <w:rFonts w:hint="eastAsia"/>
          <w:sz w:val="28"/>
          <w:szCs w:val="28"/>
        </w:rPr>
      </w:pPr>
    </w:p>
    <w:p w14:paraId="3A3D1ADE">
      <w:pPr>
        <w:spacing w:line="360" w:lineRule="auto"/>
        <w:contextualSpacing/>
        <w:jc w:val="left"/>
        <w:rPr>
          <w:rFonts w:hint="eastAsia"/>
          <w:sz w:val="28"/>
          <w:szCs w:val="28"/>
        </w:rPr>
      </w:pPr>
    </w:p>
    <w:p w14:paraId="3691FB42">
      <w:pPr>
        <w:spacing w:line="360" w:lineRule="auto"/>
        <w:contextualSpacing/>
        <w:jc w:val="left"/>
        <w:rPr>
          <w:rFonts w:hint="eastAsia"/>
          <w:sz w:val="28"/>
          <w:szCs w:val="28"/>
        </w:rPr>
      </w:pPr>
    </w:p>
    <w:p w14:paraId="64367511">
      <w:pPr>
        <w:spacing w:line="360" w:lineRule="auto"/>
        <w:contextualSpacing/>
        <w:jc w:val="left"/>
        <w:rPr>
          <w:rFonts w:hint="eastAsia" w:ascii="宋体" w:hAnsi="宋体"/>
          <w:sz w:val="28"/>
          <w:szCs w:val="28"/>
        </w:rPr>
      </w:pPr>
    </w:p>
    <w:p w14:paraId="3A195B2C">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23675F85">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3056AB06">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年    月    日</w:t>
      </w:r>
    </w:p>
    <w:p w14:paraId="360F208D">
      <w:pPr>
        <w:spacing w:line="500" w:lineRule="exact"/>
        <w:jc w:val="center"/>
        <w:rPr>
          <w:rFonts w:hint="eastAsia" w:ascii="方正小标宋简体" w:hAnsi="宋体" w:eastAsia="方正小标宋简体"/>
          <w:b/>
          <w:sz w:val="32"/>
          <w:szCs w:val="32"/>
        </w:rPr>
      </w:pPr>
      <w:r>
        <w:rPr>
          <w:rFonts w:ascii="宋体" w:hAnsi="宋体"/>
          <w:b/>
          <w:sz w:val="32"/>
          <w:szCs w:val="32"/>
        </w:rPr>
        <w:br w:type="page"/>
      </w:r>
      <w:r>
        <w:rPr>
          <w:rFonts w:hint="eastAsia" w:ascii="Times New Roman" w:hAnsi="Times New Roman" w:eastAsia="宋体" w:cs="Times New Roman"/>
          <w:b/>
          <w:sz w:val="32"/>
          <w:szCs w:val="32"/>
        </w:rPr>
        <w:t>竞标声明</w:t>
      </w:r>
    </w:p>
    <w:p w14:paraId="0B15A761">
      <w:pPr>
        <w:spacing w:line="320" w:lineRule="exact"/>
        <w:jc w:val="center"/>
        <w:rPr>
          <w:rFonts w:hint="eastAsia" w:ascii="宋体" w:hAnsi="宋体"/>
          <w:sz w:val="24"/>
          <w:szCs w:val="20"/>
        </w:rPr>
      </w:pPr>
    </w:p>
    <w:p w14:paraId="3C699D59">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9FC9B6C">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3D33F4C">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414B33E2">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59D173E6">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2E47A2DC">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295E802F">
      <w:pPr>
        <w:spacing w:line="360" w:lineRule="auto"/>
        <w:ind w:firstLine="480" w:firstLineChars="200"/>
        <w:contextualSpacing/>
        <w:rPr>
          <w:rFonts w:hint="eastAsia" w:ascii="宋体" w:hAnsi="宋体" w:cs="宋体"/>
          <w:sz w:val="24"/>
        </w:rPr>
      </w:pPr>
      <w:r>
        <w:rPr>
          <w:rFonts w:hint="eastAsia" w:ascii="宋体" w:hAnsi="宋体" w:cs="宋体"/>
          <w:sz w:val="24"/>
        </w:rPr>
        <w:t>（1）将按谈判文件的约定履行合同责任和义务；</w:t>
      </w:r>
    </w:p>
    <w:p w14:paraId="6D61D4A0">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（2）已详细审查全部谈判文件，包括补遗文件（如有）；</w:t>
      </w:r>
    </w:p>
    <w:p w14:paraId="643D7354">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（3）同意提供按照贵方可能要求的与谈判有关的一切数据或者资料；</w:t>
      </w:r>
    </w:p>
    <w:p w14:paraId="7DFC5901">
      <w:pPr>
        <w:spacing w:line="360" w:lineRule="auto"/>
        <w:ind w:firstLine="480" w:firstLineChars="200"/>
        <w:contextualSpacing/>
        <w:rPr>
          <w:rFonts w:hint="eastAsia" w:ascii="宋体" w:hAnsi="宋体" w:cs="宋体"/>
          <w:sz w:val="24"/>
        </w:rPr>
      </w:pPr>
      <w:r>
        <w:rPr>
          <w:rFonts w:hint="eastAsia" w:ascii="宋体" w:hAnsi="宋体" w:cs="宋体"/>
          <w:sz w:val="24"/>
        </w:rPr>
        <w:t>（4）响应谈判文件规定的竞标有效期。</w:t>
      </w:r>
    </w:p>
    <w:p w14:paraId="01D6AD49">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5799135F">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7E31E2DB">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1FFF491E">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5E203AE0">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41038CC2">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0538AE38">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0D797118">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sz w:val="24"/>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7C8DDF55">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8C686C">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A26CCCB">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08D2B82D">
      <w:pPr>
        <w:pStyle w:val="14"/>
        <w:spacing w:line="360" w:lineRule="auto"/>
        <w:ind w:firstLine="480" w:firstLineChars="200"/>
        <w:contextualSpacing/>
        <w:rPr>
          <w:rFonts w:hint="eastAsia"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6F889E01">
      <w:pPr>
        <w:pStyle w:val="14"/>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14:paraId="21B8BA21">
      <w:pPr>
        <w:pStyle w:val="13"/>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账号/行号：</w:t>
      </w:r>
      <w:r>
        <w:rPr>
          <w:rFonts w:hint="eastAsia" w:ascii="宋体" w:hAnsi="宋体" w:cs="宋体"/>
          <w:sz w:val="24"/>
          <w:u w:val="single"/>
        </w:rPr>
        <w:t xml:space="preserve">           </w:t>
      </w:r>
    </w:p>
    <w:p w14:paraId="327A510E">
      <w:pPr>
        <w:pStyle w:val="13"/>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8.以</w:t>
      </w:r>
      <w:r>
        <w:rPr>
          <w:rFonts w:hint="eastAsia" w:ascii="宋体" w:hAnsi="宋体" w:eastAsia="宋体" w:cs="宋体"/>
          <w:kern w:val="2"/>
          <w:sz w:val="24"/>
          <w:szCs w:val="24"/>
          <w:lang w:val="en-US" w:eastAsia="zh-CN" w:bidi="ar-SA"/>
        </w:rPr>
        <w:t>上事项如有虚假或者隐瞒，我方愿意承担一切后果，并不再寻求任何旨在减轻或者免除法律责任的辩解。</w:t>
      </w:r>
    </w:p>
    <w:p w14:paraId="1552E039">
      <w:pPr>
        <w:pStyle w:val="13"/>
        <w:tabs>
          <w:tab w:val="left" w:pos="939"/>
        </w:tabs>
        <w:spacing w:line="360" w:lineRule="auto"/>
        <w:ind w:left="141" w:leftChars="67" w:firstLine="360" w:firstLineChars="150"/>
        <w:rPr>
          <w:rFonts w:hint="eastAsia" w:ascii="宋体" w:hAnsi="宋体" w:cs="宋体"/>
          <w:szCs w:val="21"/>
        </w:rPr>
      </w:pPr>
      <w:r>
        <w:rPr>
          <w:rFonts w:hint="eastAsia" w:ascii="宋体" w:hAnsi="宋体" w:cs="宋体"/>
          <w:sz w:val="24"/>
        </w:rPr>
        <w:t>特此承诺。</w:t>
      </w:r>
    </w:p>
    <w:p w14:paraId="2C4CD220">
      <w:pPr>
        <w:spacing w:line="360" w:lineRule="auto"/>
        <w:contextualSpacing/>
        <w:jc w:val="left"/>
        <w:rPr>
          <w:rFonts w:hint="eastAsia" w:ascii="宋体" w:hAnsi="宋体" w:cs="宋体"/>
          <w:sz w:val="24"/>
        </w:rPr>
      </w:pPr>
    </w:p>
    <w:p w14:paraId="1D09FBC1">
      <w:pPr>
        <w:spacing w:line="360" w:lineRule="auto"/>
        <w:ind w:firstLine="2280" w:firstLineChars="950"/>
        <w:contextualSpacing/>
        <w:rPr>
          <w:rFonts w:hint="eastAsia"/>
          <w:sz w:val="24"/>
        </w:rPr>
      </w:pPr>
      <w:r>
        <w:rPr>
          <w:rFonts w:hint="eastAsia"/>
          <w:sz w:val="24"/>
        </w:rPr>
        <w:t>法定代表人（</w:t>
      </w:r>
      <w:r>
        <w:rPr>
          <w:rFonts w:hint="eastAsia" w:ascii="宋体" w:hAnsi="宋体"/>
          <w:sz w:val="24"/>
        </w:rPr>
        <w:t>签字或者盖章或者电子签名</w:t>
      </w:r>
      <w:r>
        <w:rPr>
          <w:rFonts w:hint="eastAsia"/>
          <w:sz w:val="24"/>
        </w:rPr>
        <w:t>）：</w:t>
      </w:r>
      <w:r>
        <w:rPr>
          <w:rFonts w:hint="eastAsia"/>
          <w:sz w:val="24"/>
          <w:u w:val="single"/>
        </w:rPr>
        <w:t xml:space="preserve">           </w:t>
      </w:r>
      <w:r>
        <w:rPr>
          <w:rFonts w:hint="eastAsia"/>
          <w:sz w:val="24"/>
        </w:rPr>
        <w:t xml:space="preserve">  </w:t>
      </w:r>
    </w:p>
    <w:p w14:paraId="30E333E8">
      <w:pPr>
        <w:spacing w:line="360" w:lineRule="auto"/>
        <w:ind w:firstLine="3840" w:firstLineChars="1600"/>
        <w:contextualSpacing/>
        <w:rPr>
          <w:rFonts w:hint="eastAsia" w:ascii="宋体" w:hAnsi="宋体" w:cs="宋体"/>
          <w:sz w:val="24"/>
          <w:u w:val="single"/>
        </w:rPr>
      </w:pPr>
      <w:r>
        <w:rPr>
          <w:rFonts w:hint="eastAsia"/>
          <w:sz w:val="24"/>
        </w:rPr>
        <w:t>供应商（电子签章）：</w:t>
      </w:r>
      <w:r>
        <w:rPr>
          <w:rFonts w:hint="eastAsia"/>
          <w:sz w:val="24"/>
          <w:u w:val="single"/>
        </w:rPr>
        <w:t xml:space="preserve">                   </w:t>
      </w:r>
    </w:p>
    <w:p w14:paraId="4EB9260B">
      <w:pPr>
        <w:spacing w:line="360" w:lineRule="auto"/>
        <w:ind w:right="482" w:firstLine="240" w:firstLineChars="100"/>
        <w:contextualSpacing/>
        <w:jc w:val="center"/>
        <w:rPr>
          <w:rFonts w:hint="eastAsia"/>
          <w:sz w:val="24"/>
        </w:rPr>
      </w:pPr>
      <w:r>
        <w:rPr>
          <w:rFonts w:hint="eastAsia" w:ascii="宋体" w:hAnsi="宋体" w:cs="宋体"/>
          <w:sz w:val="24"/>
        </w:rPr>
        <w:t xml:space="preserve">                                               </w:t>
      </w:r>
      <w:r>
        <w:rPr>
          <w:rFonts w:hint="eastAsia"/>
          <w:sz w:val="24"/>
        </w:rPr>
        <w:t xml:space="preserve">年    月    日 </w:t>
      </w:r>
    </w:p>
    <w:p w14:paraId="67D0023F">
      <w:pPr>
        <w:rPr>
          <w:rFonts w:hint="eastAsia"/>
          <w:sz w:val="24"/>
        </w:rPr>
      </w:pPr>
      <w:r>
        <w:rPr>
          <w:rFonts w:hint="eastAsia"/>
          <w:sz w:val="24"/>
        </w:rPr>
        <w:br w:type="page"/>
      </w:r>
    </w:p>
    <w:p w14:paraId="588EB56B">
      <w:pPr>
        <w:spacing w:line="5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lang w:eastAsia="zh-CN"/>
        </w:rPr>
        <w:t>中小</w:t>
      </w:r>
      <w:r>
        <w:rPr>
          <w:rFonts w:hint="eastAsia" w:ascii="Times New Roman" w:hAnsi="Times New Roman" w:eastAsia="宋体" w:cs="Times New Roman"/>
          <w:b/>
          <w:sz w:val="32"/>
          <w:szCs w:val="32"/>
        </w:rPr>
        <w:t>企业声明函</w:t>
      </w:r>
      <w:r>
        <w:rPr>
          <w:rFonts w:hint="eastAsia" w:ascii="Times New Roman" w:hAnsi="Times New Roman" w:eastAsia="宋体" w:cs="Times New Roman"/>
          <w:b/>
          <w:sz w:val="32"/>
          <w:szCs w:val="32"/>
          <w:lang w:eastAsia="zh-CN"/>
        </w:rPr>
        <w:t>（</w:t>
      </w:r>
      <w:r>
        <w:rPr>
          <w:rFonts w:hint="eastAsia" w:ascii="Times New Roman" w:hAnsi="Times New Roman" w:eastAsia="宋体" w:cs="Times New Roman"/>
          <w:b/>
          <w:sz w:val="32"/>
          <w:szCs w:val="32"/>
        </w:rPr>
        <w:t>格式</w:t>
      </w:r>
      <w:r>
        <w:rPr>
          <w:rFonts w:hint="eastAsia" w:ascii="Times New Roman" w:hAnsi="Times New Roman" w:eastAsia="宋体" w:cs="Times New Roman"/>
          <w:b/>
          <w:sz w:val="32"/>
          <w:szCs w:val="32"/>
          <w:lang w:eastAsia="zh-CN"/>
        </w:rPr>
        <w:t>）</w:t>
      </w:r>
    </w:p>
    <w:p w14:paraId="37563DB8">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5A7C278B">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80" w:firstLineChars="200"/>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14:paraId="60D90FAF">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560" w:lineRule="exact"/>
        <w:ind w:left="-426" w:right="-58" w:firstLine="655"/>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1.</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0D087A8D">
      <w:pPr>
        <w:keepNext w:val="0"/>
        <w:keepLines w:val="0"/>
        <w:pageBreakBefore w:val="0"/>
        <w:widowControl w:val="0"/>
        <w:tabs>
          <w:tab w:val="left" w:pos="1065"/>
          <w:tab w:val="left" w:pos="6477"/>
        </w:tabs>
        <w:kinsoku/>
        <w:wordWrap/>
        <w:overflowPunct/>
        <w:topLinePunct w:val="0"/>
        <w:autoSpaceDE/>
        <w:autoSpaceDN/>
        <w:bidi w:val="0"/>
        <w:adjustRightInd/>
        <w:snapToGrid/>
        <w:spacing w:line="560" w:lineRule="exact"/>
        <w:ind w:left="-426" w:right="-58" w:firstLine="655"/>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2.</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62B966EE">
      <w:pPr>
        <w:keepNext w:val="0"/>
        <w:keepLines w:val="0"/>
        <w:pageBreakBefore w:val="0"/>
        <w:widowControl w:val="0"/>
        <w:kinsoku/>
        <w:wordWrap/>
        <w:overflowPunct/>
        <w:topLinePunct w:val="0"/>
        <w:autoSpaceDE/>
        <w:autoSpaceDN/>
        <w:bidi w:val="0"/>
        <w:adjustRightInd/>
        <w:snapToGrid/>
        <w:spacing w:line="560" w:lineRule="exact"/>
        <w:ind w:left="142" w:right="142"/>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 xml:space="preserve">…… </w:t>
      </w:r>
    </w:p>
    <w:p w14:paraId="321EAF3B">
      <w:pPr>
        <w:keepNext w:val="0"/>
        <w:keepLines w:val="0"/>
        <w:pageBreakBefore w:val="0"/>
        <w:widowControl w:val="0"/>
        <w:kinsoku/>
        <w:wordWrap/>
        <w:overflowPunct/>
        <w:topLinePunct w:val="0"/>
        <w:autoSpaceDE/>
        <w:autoSpaceDN/>
        <w:bidi w:val="0"/>
        <w:adjustRightInd/>
        <w:snapToGrid/>
        <w:spacing w:line="560" w:lineRule="exact"/>
        <w:ind w:left="-405" w:leftChars="-193" w:right="142" w:firstLine="453" w:firstLineChars="189"/>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14:paraId="565CE4F6">
      <w:pPr>
        <w:keepNext w:val="0"/>
        <w:keepLines w:val="0"/>
        <w:pageBreakBefore w:val="0"/>
        <w:widowControl w:val="0"/>
        <w:kinsoku/>
        <w:wordWrap/>
        <w:overflowPunct/>
        <w:topLinePunct w:val="0"/>
        <w:autoSpaceDE/>
        <w:autoSpaceDN/>
        <w:bidi w:val="0"/>
        <w:adjustRightInd/>
        <w:snapToGrid/>
        <w:spacing w:line="560" w:lineRule="exact"/>
        <w:ind w:left="-426" w:right="142" w:firstLine="567"/>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14:paraId="4E7E037F">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p>
    <w:p w14:paraId="6011C2FE">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企业名称（</w:t>
      </w:r>
      <w:r>
        <w:rPr>
          <w:rFonts w:hint="eastAsia" w:ascii="宋体" w:hAnsi="宋体" w:eastAsia="宋体" w:cs="宋体"/>
          <w:color w:val="auto"/>
          <w:sz w:val="24"/>
          <w:szCs w:val="24"/>
          <w:highlight w:val="none"/>
        </w:rPr>
        <w:t>公章</w:t>
      </w:r>
      <w:r>
        <w:rPr>
          <w:rFonts w:hint="eastAsia" w:ascii="宋体" w:hAnsi="宋体" w:eastAsia="宋体" w:cs="宋体"/>
          <w:color w:val="auto"/>
          <w:kern w:val="24"/>
          <w:sz w:val="24"/>
          <w:szCs w:val="24"/>
          <w:highlight w:val="none"/>
        </w:rPr>
        <w:t>）：</w:t>
      </w:r>
    </w:p>
    <w:p w14:paraId="424CA5A5">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日 期：</w:t>
      </w:r>
    </w:p>
    <w:p w14:paraId="428EB39B">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p>
    <w:p w14:paraId="2DEDA4C4">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p>
    <w:p w14:paraId="3438E463">
      <w:pPr>
        <w:keepNext w:val="0"/>
        <w:keepLines w:val="0"/>
        <w:pageBreakBefore w:val="0"/>
        <w:widowControl w:val="0"/>
        <w:kinsoku/>
        <w:wordWrap/>
        <w:overflowPunct/>
        <w:topLinePunct w:val="0"/>
        <w:autoSpaceDE/>
        <w:autoSpaceDN/>
        <w:bidi w:val="0"/>
        <w:adjustRightInd/>
        <w:snapToGrid/>
        <w:spacing w:line="560" w:lineRule="exact"/>
        <w:ind w:left="-426" w:right="142" w:firstLine="567"/>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6EE3475">
      <w:pPr>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br w:type="page"/>
      </w:r>
    </w:p>
    <w:p w14:paraId="77B74D16">
      <w:pPr>
        <w:pStyle w:val="11"/>
        <w:rPr>
          <w:rFonts w:hint="eastAsia"/>
        </w:rPr>
      </w:pPr>
    </w:p>
    <w:p w14:paraId="73EA1A0E">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残疾人福利性单位声明函</w:t>
      </w:r>
    </w:p>
    <w:p w14:paraId="69B5D0F3">
      <w:pPr>
        <w:spacing w:line="520" w:lineRule="exact"/>
        <w:rPr>
          <w:rFonts w:hint="eastAsia" w:ascii="仿宋_GB2312" w:hAnsi="仿宋_GB2312" w:eastAsia="仿宋_GB2312" w:cs="仿宋_GB2312"/>
          <w:sz w:val="32"/>
          <w:szCs w:val="32"/>
        </w:rPr>
      </w:pPr>
    </w:p>
    <w:p w14:paraId="1CFC87CA">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单位的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项目采购活动提供本单位制造的货物（由本单位承担工程/提供服务），或者提供其他残疾人福利性单位制造的货物（不包括使用非残疾人福利性单位注册商标的货物）。</w:t>
      </w:r>
    </w:p>
    <w:p w14:paraId="155D7228">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14:paraId="4E056616">
      <w:pPr>
        <w:spacing w:line="360" w:lineRule="auto"/>
        <w:contextualSpacing/>
        <w:rPr>
          <w:rFonts w:hint="eastAsia" w:ascii="宋体" w:hAnsi="宋体" w:cs="仿宋_GB2312"/>
          <w:sz w:val="24"/>
        </w:rPr>
      </w:pPr>
    </w:p>
    <w:p w14:paraId="0B11842A">
      <w:pPr>
        <w:spacing w:line="360" w:lineRule="auto"/>
        <w:contextualSpacing/>
        <w:rPr>
          <w:rFonts w:hint="eastAsia" w:ascii="宋体" w:hAnsi="宋体" w:cs="仿宋_GB2312"/>
          <w:sz w:val="24"/>
        </w:rPr>
      </w:pPr>
    </w:p>
    <w:p w14:paraId="35FE25A4">
      <w:pPr>
        <w:spacing w:line="360" w:lineRule="auto"/>
        <w:contextualSpacing/>
        <w:rPr>
          <w:rFonts w:hint="eastAsia" w:ascii="宋体" w:hAnsi="宋体" w:cs="仿宋_GB2312"/>
          <w:sz w:val="24"/>
        </w:rPr>
      </w:pPr>
    </w:p>
    <w:p w14:paraId="15862A9D">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14:paraId="660127EB">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14:paraId="68C2A093">
      <w:pPr>
        <w:spacing w:line="360" w:lineRule="auto"/>
        <w:contextualSpacing/>
        <w:rPr>
          <w:rFonts w:hint="eastAsia" w:ascii="宋体" w:hAnsi="宋体" w:cs="仿宋_GB2312"/>
          <w:sz w:val="24"/>
        </w:rPr>
      </w:pPr>
    </w:p>
    <w:p w14:paraId="0DE35D88">
      <w:pPr>
        <w:spacing w:line="360" w:lineRule="auto"/>
        <w:contextualSpacing/>
        <w:rPr>
          <w:rFonts w:hint="eastAsia" w:ascii="宋体" w:hAnsi="宋体" w:cs="仿宋_GB2312"/>
          <w:sz w:val="24"/>
        </w:rPr>
      </w:pPr>
    </w:p>
    <w:p w14:paraId="73AFC478">
      <w:pPr>
        <w:spacing w:line="360" w:lineRule="auto"/>
        <w:contextualSpacing/>
        <w:rPr>
          <w:rFonts w:hint="eastAsia" w:ascii="宋体" w:hAnsi="宋体" w:cs="仿宋_GB2312"/>
          <w:sz w:val="24"/>
        </w:rPr>
      </w:pPr>
    </w:p>
    <w:p w14:paraId="2633E648">
      <w:pPr>
        <w:spacing w:line="360" w:lineRule="auto"/>
        <w:contextualSpacing/>
        <w:rPr>
          <w:rFonts w:hint="eastAsia" w:ascii="方正小标宋简体" w:hAnsi="方正小标宋简体" w:eastAsia="方正小标宋简体" w:cs="方正小标宋简体"/>
          <w:sz w:val="44"/>
          <w:szCs w:val="44"/>
        </w:rPr>
        <w:sectPr>
          <w:footerReference r:id="rId8" w:type="first"/>
          <w:footerReference r:id="rId7" w:type="default"/>
          <w:pgSz w:w="11906" w:h="16838"/>
          <w:pgMar w:top="1247" w:right="1247" w:bottom="1247" w:left="1247" w:header="851" w:footer="992" w:gutter="0"/>
          <w:pgNumType w:fmt="decimal"/>
          <w:cols w:space="720" w:num="1"/>
          <w:titlePg/>
          <w:docGrid w:type="lines" w:linePitch="312" w:charSpace="0"/>
        </w:sect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323FBE02">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具备履行合同所必需的设备和专业技术能力的证明材料</w:t>
      </w:r>
    </w:p>
    <w:p w14:paraId="2046C653">
      <w:pPr>
        <w:jc w:val="both"/>
        <w:rPr>
          <w:rFonts w:hint="eastAsia" w:ascii="宋体" w:hAnsi="宋体" w:cs="Times New Roman"/>
          <w:kern w:val="2"/>
          <w:sz w:val="24"/>
          <w:szCs w:val="24"/>
          <w:lang w:val="en-US" w:eastAsia="zh-CN" w:bidi="ar-SA"/>
        </w:rPr>
      </w:pPr>
    </w:p>
    <w:p w14:paraId="48768D09">
      <w:pPr>
        <w:jc w:val="center"/>
        <w:rPr>
          <w:rFonts w:hint="eastAsia" w:ascii="宋体" w:hAnsi="宋体" w:eastAsia="宋体" w:cs="Times New Roman"/>
          <w:b/>
          <w:bCs/>
          <w:kern w:val="2"/>
          <w:sz w:val="24"/>
          <w:szCs w:val="24"/>
          <w:lang w:val="en-US" w:eastAsia="zh-CN" w:bidi="ar-SA"/>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4CBFAD20">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br w:type="page"/>
      </w:r>
    </w:p>
    <w:p w14:paraId="7B4270FF">
      <w:pP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二、报价文件格式</w:t>
      </w:r>
    </w:p>
    <w:p w14:paraId="7439A4F2">
      <w:pPr>
        <w:snapToGrid w:val="0"/>
        <w:spacing w:before="156" w:beforeLines="50" w:after="50" w:line="360" w:lineRule="auto"/>
        <w:jc w:val="left"/>
        <w:rPr>
          <w:rFonts w:ascii="宋体" w:hAnsi="宋体"/>
          <w:b/>
          <w:sz w:val="32"/>
          <w:szCs w:val="32"/>
        </w:rPr>
      </w:pPr>
      <w:r>
        <w:rPr>
          <w:rFonts w:hint="eastAsia" w:ascii="宋体" w:hAnsi="宋体"/>
          <w:b/>
          <w:sz w:val="32"/>
          <w:szCs w:val="32"/>
        </w:rPr>
        <w:t>1.报价文件封面格式</w:t>
      </w:r>
    </w:p>
    <w:p w14:paraId="524214CA">
      <w:pPr>
        <w:snapToGrid w:val="0"/>
        <w:spacing w:before="156" w:beforeLines="50" w:after="50"/>
        <w:rPr>
          <w:rFonts w:hint="eastAsia" w:ascii="宋体" w:hAnsi="宋体"/>
          <w:bCs/>
          <w:sz w:val="32"/>
          <w:szCs w:val="20"/>
        </w:rPr>
      </w:pPr>
      <w:r>
        <w:rPr>
          <w:rFonts w:hint="eastAsia" w:ascii="宋体" w:hAnsi="宋体"/>
          <w:sz w:val="24"/>
        </w:rPr>
        <w:t xml:space="preserve">                                                    </w:t>
      </w:r>
    </w:p>
    <w:p w14:paraId="5E0E61DB">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2CECD288">
      <w:pPr>
        <w:snapToGrid w:val="0"/>
        <w:spacing w:before="156" w:beforeLines="50" w:after="50"/>
        <w:rPr>
          <w:rFonts w:hint="eastAsia" w:ascii="宋体" w:hAnsi="宋体"/>
          <w:sz w:val="24"/>
          <w:szCs w:val="20"/>
        </w:rPr>
      </w:pPr>
    </w:p>
    <w:p w14:paraId="3AF342F1">
      <w:pPr>
        <w:snapToGrid w:val="0"/>
        <w:spacing w:before="156" w:beforeLines="50" w:after="50"/>
        <w:rPr>
          <w:rFonts w:hint="eastAsia" w:ascii="宋体" w:hAnsi="宋体"/>
          <w:sz w:val="24"/>
          <w:szCs w:val="20"/>
        </w:rPr>
      </w:pPr>
    </w:p>
    <w:p w14:paraId="4D802912">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14:paraId="0EEB3824">
      <w:pPr>
        <w:snapToGrid w:val="0"/>
        <w:spacing w:before="156" w:beforeLines="50" w:after="50"/>
        <w:rPr>
          <w:rFonts w:hint="eastAsia" w:ascii="宋体" w:hAnsi="宋体"/>
          <w:bCs/>
          <w:sz w:val="24"/>
          <w:szCs w:val="20"/>
        </w:rPr>
      </w:pPr>
    </w:p>
    <w:p w14:paraId="009196BC">
      <w:pPr>
        <w:snapToGrid w:val="0"/>
        <w:spacing w:before="156" w:beforeLines="50" w:after="50"/>
        <w:rPr>
          <w:rFonts w:hint="eastAsia" w:ascii="宋体" w:hAnsi="宋体"/>
          <w:bCs/>
          <w:sz w:val="24"/>
          <w:szCs w:val="20"/>
        </w:rPr>
      </w:pPr>
    </w:p>
    <w:p w14:paraId="1C31A913">
      <w:pPr>
        <w:snapToGrid w:val="0"/>
        <w:spacing w:before="156" w:beforeLines="50" w:after="50"/>
        <w:rPr>
          <w:rFonts w:hint="eastAsia" w:ascii="宋体" w:hAnsi="宋体"/>
          <w:bCs/>
          <w:sz w:val="24"/>
          <w:szCs w:val="20"/>
        </w:rPr>
      </w:pPr>
    </w:p>
    <w:p w14:paraId="17C892BC">
      <w:pPr>
        <w:snapToGrid w:val="0"/>
        <w:spacing w:before="156" w:beforeLines="50" w:after="50"/>
        <w:rPr>
          <w:rFonts w:hint="eastAsia" w:ascii="宋体" w:hAnsi="宋体"/>
          <w:bCs/>
          <w:sz w:val="24"/>
          <w:szCs w:val="20"/>
        </w:rPr>
      </w:pPr>
    </w:p>
    <w:p w14:paraId="692A7D4B">
      <w:pPr>
        <w:snapToGrid w:val="0"/>
        <w:spacing w:before="156" w:beforeLines="50" w:after="50"/>
        <w:rPr>
          <w:rFonts w:hint="eastAsia" w:ascii="宋体" w:hAnsi="宋体"/>
          <w:bCs/>
          <w:sz w:val="24"/>
          <w:szCs w:val="20"/>
        </w:rPr>
      </w:pPr>
    </w:p>
    <w:p w14:paraId="2FB721A2">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AA2DC7B">
      <w:pPr>
        <w:snapToGrid w:val="0"/>
        <w:spacing w:before="156" w:beforeLines="50" w:after="50"/>
        <w:ind w:firstLine="720" w:firstLineChars="225"/>
        <w:rPr>
          <w:rFonts w:hint="eastAsia" w:ascii="宋体" w:hAnsi="宋体" w:cs="仿宋_GB2312"/>
          <w:bCs/>
          <w:sz w:val="32"/>
          <w:szCs w:val="32"/>
        </w:rPr>
      </w:pPr>
    </w:p>
    <w:p w14:paraId="18244EE9">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5D424DA9">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6107F564">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DEB5C91">
      <w:pPr>
        <w:pStyle w:val="7"/>
        <w:snapToGrid w:val="0"/>
        <w:spacing w:before="50" w:after="50"/>
        <w:ind w:firstLine="640" w:firstLineChars="200"/>
        <w:rPr>
          <w:rFonts w:hint="eastAsia" w:ascii="宋体" w:hAnsi="宋体" w:cs="仿宋_GB2312"/>
          <w:bCs/>
          <w:sz w:val="32"/>
          <w:szCs w:val="32"/>
        </w:rPr>
      </w:pPr>
    </w:p>
    <w:p w14:paraId="0DE95DFF">
      <w:pPr>
        <w:pStyle w:val="7"/>
        <w:snapToGrid w:val="0"/>
        <w:spacing w:before="50" w:after="50"/>
        <w:ind w:firstLine="720" w:firstLineChars="225"/>
        <w:rPr>
          <w:rFonts w:hint="eastAsia" w:ascii="宋体" w:hAnsi="宋体" w:cs="仿宋_GB2312"/>
          <w:bCs/>
          <w:sz w:val="32"/>
          <w:szCs w:val="32"/>
        </w:rPr>
      </w:pPr>
    </w:p>
    <w:p w14:paraId="6662084B">
      <w:pPr>
        <w:pStyle w:val="7"/>
        <w:snapToGrid w:val="0"/>
        <w:spacing w:before="50" w:after="50"/>
        <w:ind w:firstLine="0"/>
        <w:rPr>
          <w:rFonts w:hint="eastAsia" w:ascii="宋体" w:hAnsi="宋体" w:cs="仿宋_GB2312"/>
          <w:bCs/>
          <w:sz w:val="32"/>
          <w:szCs w:val="32"/>
        </w:rPr>
      </w:pPr>
    </w:p>
    <w:p w14:paraId="590887BC">
      <w:pPr>
        <w:pStyle w:val="7"/>
        <w:snapToGrid w:val="0"/>
        <w:spacing w:before="50" w:after="50"/>
        <w:ind w:firstLine="1280" w:firstLineChars="400"/>
        <w:rPr>
          <w:rFonts w:hint="eastAsia" w:ascii="宋体" w:hAnsi="宋体" w:cs="仿宋_GB2312"/>
          <w:bCs/>
          <w:sz w:val="32"/>
          <w:szCs w:val="32"/>
        </w:rPr>
      </w:pPr>
    </w:p>
    <w:p w14:paraId="30071B6C">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37749633">
      <w:pPr>
        <w:snapToGrid w:val="0"/>
        <w:spacing w:before="156" w:beforeLines="50" w:after="50" w:line="360" w:lineRule="auto"/>
        <w:ind w:left="142"/>
        <w:jc w:val="left"/>
        <w:rPr>
          <w:rFonts w:hint="eastAsia" w:ascii="宋体" w:hAnsi="宋体"/>
          <w:b/>
          <w:bCs/>
          <w:sz w:val="24"/>
        </w:rPr>
      </w:pPr>
      <w:r>
        <w:rPr>
          <w:rFonts w:ascii="宋体" w:hAnsi="宋体"/>
          <w:szCs w:val="21"/>
        </w:rPr>
        <w:br w:type="page"/>
      </w:r>
      <w:r>
        <w:rPr>
          <w:rFonts w:hint="eastAsia" w:ascii="宋体" w:hAnsi="宋体"/>
          <w:b/>
          <w:bCs/>
          <w:sz w:val="32"/>
          <w:szCs w:val="32"/>
        </w:rPr>
        <w:t>2.报价文件目录</w:t>
      </w:r>
    </w:p>
    <w:p w14:paraId="25455020">
      <w:pPr>
        <w:tabs>
          <w:tab w:val="left" w:pos="3479"/>
        </w:tabs>
        <w:spacing w:line="520" w:lineRule="exact"/>
        <w:jc w:val="left"/>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19D3F816">
      <w:pPr>
        <w:spacing w:line="500" w:lineRule="exact"/>
        <w:jc w:val="center"/>
        <w:rPr>
          <w:rFonts w:hAnsi="宋体"/>
          <w:b/>
          <w:sz w:val="32"/>
        </w:rPr>
      </w:pPr>
      <w:r>
        <w:rPr>
          <w:rFonts w:hAnsi="宋体"/>
        </w:rPr>
        <w:br w:type="page"/>
      </w:r>
      <w:r>
        <w:rPr>
          <w:rFonts w:hint="eastAsia" w:ascii="Times New Roman" w:hAnsi="Times New Roman" w:eastAsia="宋体" w:cs="Times New Roman"/>
          <w:b/>
          <w:sz w:val="32"/>
          <w:szCs w:val="32"/>
          <w:lang w:eastAsia="zh-CN"/>
        </w:rPr>
        <w:t>响 应 函 （格 式）</w:t>
      </w:r>
    </w:p>
    <w:p w14:paraId="20BBF8F0">
      <w:pPr>
        <w:spacing w:line="240" w:lineRule="exact"/>
        <w:jc w:val="center"/>
        <w:rPr>
          <w:rFonts w:ascii="宋体"/>
          <w:sz w:val="32"/>
        </w:rPr>
      </w:pPr>
    </w:p>
    <w:p w14:paraId="78A8E551">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：防城港市政府采购中心</w:t>
      </w:r>
    </w:p>
    <w:p w14:paraId="49AB5416">
      <w:pPr>
        <w:spacing w:line="400" w:lineRule="exact"/>
        <w:rPr>
          <w:rFonts w:hint="eastAsia" w:ascii="宋体" w:hAnsi="宋体" w:cs="宋体"/>
          <w:szCs w:val="21"/>
        </w:rPr>
      </w:pPr>
    </w:p>
    <w:p w14:paraId="444278DF">
      <w:pPr>
        <w:pStyle w:val="14"/>
        <w:spacing w:line="36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项目谈判文件，项目编号：</w:t>
      </w:r>
      <w:r>
        <w:rPr>
          <w:rFonts w:hint="eastAsia" w:hAnsi="宋体" w:cs="宋体"/>
          <w:u w:val="single"/>
        </w:rPr>
        <w:t xml:space="preserve">            </w:t>
      </w:r>
      <w:r>
        <w:rPr>
          <w:rFonts w:hint="eastAsia" w:hAnsi="宋体" w:cs="宋体"/>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183F8960">
      <w:pPr>
        <w:pStyle w:val="14"/>
        <w:spacing w:line="360" w:lineRule="exact"/>
        <w:ind w:firstLine="420"/>
        <w:rPr>
          <w:rFonts w:hint="eastAsia" w:hAnsi="宋体" w:cs="宋体"/>
        </w:rPr>
      </w:pPr>
      <w:r>
        <w:rPr>
          <w:rFonts w:hint="eastAsia" w:hAnsi="宋体" w:cs="宋体"/>
        </w:rPr>
        <w:t>据此函，签字代表宣布同意如下：</w:t>
      </w:r>
    </w:p>
    <w:p w14:paraId="4784A409">
      <w:pPr>
        <w:pStyle w:val="14"/>
        <w:spacing w:line="360" w:lineRule="exact"/>
        <w:ind w:firstLine="420"/>
        <w:outlineLvl w:val="3"/>
        <w:rPr>
          <w:rFonts w:hint="eastAsia" w:hAnsi="宋体" w:cs="宋体"/>
        </w:rPr>
      </w:pPr>
      <w:r>
        <w:rPr>
          <w:rFonts w:hint="eastAsia" w:hAnsi="宋体" w:cs="宋体"/>
        </w:rPr>
        <w:t>1. 按谈判文件采购需求和谈判报价表：</w:t>
      </w:r>
    </w:p>
    <w:p w14:paraId="685C7D0F">
      <w:pPr>
        <w:pStyle w:val="14"/>
        <w:spacing w:line="360" w:lineRule="exact"/>
        <w:ind w:firstLine="420"/>
        <w:rPr>
          <w:rFonts w:hint="eastAsia" w:hAnsi="宋体" w:cs="宋体"/>
        </w:rPr>
      </w:pPr>
      <w:r>
        <w:rPr>
          <w:rFonts w:hint="eastAsia" w:hAnsi="宋体" w:cs="宋体"/>
        </w:rPr>
        <w:t>谈判总报价（大写）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423195E9">
      <w:pPr>
        <w:pStyle w:val="14"/>
        <w:spacing w:line="360" w:lineRule="exact"/>
        <w:ind w:firstLine="420"/>
        <w:outlineLvl w:val="3"/>
        <w:rPr>
          <w:rFonts w:hint="eastAsia" w:hAnsi="宋体" w:cs="宋体"/>
        </w:rPr>
      </w:pPr>
      <w:r>
        <w:rPr>
          <w:rFonts w:hint="eastAsia" w:hAnsi="宋体" w:cs="宋体"/>
        </w:rPr>
        <w:t>2.我方承诺已具备谈判文件规定的供应商资格条件。</w:t>
      </w:r>
    </w:p>
    <w:p w14:paraId="28746F62">
      <w:pPr>
        <w:pStyle w:val="14"/>
        <w:spacing w:line="360" w:lineRule="exact"/>
        <w:ind w:firstLine="420"/>
        <w:rPr>
          <w:rFonts w:hint="eastAsia" w:hAnsi="宋体" w:cs="宋体"/>
        </w:rPr>
      </w:pPr>
      <w:r>
        <w:rPr>
          <w:rFonts w:hint="eastAsia" w:hAnsi="宋体" w:cs="宋体"/>
        </w:rPr>
        <w:t>3.我方已详细审核谈判文件，包括修改文件（如有的话）和有关附件，将自行承担因对全部谈判文件理解不正确或误解而产生的相应后果。</w:t>
      </w:r>
    </w:p>
    <w:p w14:paraId="1A408E90">
      <w:pPr>
        <w:pStyle w:val="14"/>
        <w:spacing w:line="360" w:lineRule="exact"/>
        <w:ind w:firstLine="420"/>
        <w:rPr>
          <w:rFonts w:hint="eastAsia" w:hAnsi="宋体" w:cs="宋体"/>
        </w:rPr>
      </w:pPr>
      <w:r>
        <w:rPr>
          <w:rFonts w:hint="eastAsia" w:hAnsi="宋体" w:cs="宋体"/>
        </w:rPr>
        <w:t>4. 响应文件有效期为响应文件递交截止时间之日起90天。</w:t>
      </w:r>
    </w:p>
    <w:p w14:paraId="5534F02A">
      <w:pPr>
        <w:pStyle w:val="14"/>
        <w:spacing w:line="360" w:lineRule="exact"/>
        <w:ind w:firstLine="420"/>
        <w:rPr>
          <w:rFonts w:hint="eastAsia" w:hAnsi="宋体" w:cs="宋体"/>
        </w:rPr>
      </w:pPr>
      <w:r>
        <w:rPr>
          <w:rFonts w:hint="eastAsia" w:hAnsi="宋体" w:cs="宋体"/>
        </w:rPr>
        <w:t>5. 如我方成交：</w:t>
      </w:r>
    </w:p>
    <w:p w14:paraId="09423CFB">
      <w:pPr>
        <w:pStyle w:val="14"/>
        <w:spacing w:line="360" w:lineRule="exact"/>
        <w:ind w:firstLine="420"/>
        <w:rPr>
          <w:rFonts w:hint="eastAsia" w:hAnsi="宋体" w:cs="宋体"/>
        </w:rPr>
      </w:pPr>
      <w:r>
        <w:rPr>
          <w:rFonts w:hint="eastAsia" w:hAnsi="宋体" w:cs="宋体"/>
        </w:rPr>
        <w:t>（1）我方承诺在收到成交通知书后，在成交通知书规定的期限内与采购人签订合同。</w:t>
      </w:r>
    </w:p>
    <w:p w14:paraId="103AF2D6">
      <w:pPr>
        <w:pStyle w:val="14"/>
        <w:spacing w:line="360" w:lineRule="exact"/>
        <w:ind w:firstLine="420"/>
        <w:outlineLvl w:val="4"/>
        <w:rPr>
          <w:rFonts w:hint="eastAsia" w:hAnsi="宋体" w:cs="宋体"/>
        </w:rPr>
      </w:pPr>
      <w:r>
        <w:rPr>
          <w:rFonts w:hint="eastAsia" w:hAnsi="宋体" w:cs="宋体"/>
        </w:rPr>
        <w:t>（2）我方承诺按照谈判文件规定递交履约担保。</w:t>
      </w:r>
    </w:p>
    <w:p w14:paraId="0B234A19">
      <w:pPr>
        <w:pStyle w:val="14"/>
        <w:spacing w:line="360" w:lineRule="exact"/>
        <w:ind w:firstLine="420"/>
        <w:rPr>
          <w:rFonts w:hint="eastAsia" w:hAnsi="宋体" w:cs="宋体"/>
        </w:rPr>
      </w:pPr>
      <w:r>
        <w:rPr>
          <w:rFonts w:hint="eastAsia" w:hAnsi="宋体" w:cs="宋体"/>
        </w:rPr>
        <w:t>（3）我方承诺本响应文件至本项目合同履行完毕止均保持有效，按谈判文件及政府采购法律、法规的规定履行合同责任和义务。</w:t>
      </w:r>
    </w:p>
    <w:p w14:paraId="0225E589">
      <w:pPr>
        <w:pStyle w:val="14"/>
        <w:spacing w:line="360" w:lineRule="exact"/>
        <w:ind w:firstLine="420"/>
        <w:rPr>
          <w:rFonts w:hint="eastAsia" w:hAnsi="宋体" w:cs="宋体"/>
        </w:rPr>
      </w:pPr>
      <w:r>
        <w:rPr>
          <w:rFonts w:hint="eastAsia" w:hAnsi="宋体" w:cs="宋体"/>
        </w:rPr>
        <w:t>与本项目有关的正式通讯地址为：</w:t>
      </w:r>
    </w:p>
    <w:p w14:paraId="5F3119AD">
      <w:pPr>
        <w:pStyle w:val="14"/>
        <w:spacing w:line="400" w:lineRule="exact"/>
        <w:ind w:firstLine="420"/>
        <w:rPr>
          <w:rFonts w:hint="eastAsia" w:hAnsi="宋体" w:cs="宋体"/>
        </w:rPr>
      </w:pPr>
    </w:p>
    <w:p w14:paraId="24F7A0C5">
      <w:pPr>
        <w:pStyle w:val="14"/>
        <w:spacing w:line="320" w:lineRule="exact"/>
        <w:ind w:firstLine="42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电话、传真：</w:t>
      </w:r>
      <w:r>
        <w:rPr>
          <w:rFonts w:hint="eastAsia" w:hAnsi="宋体" w:cs="宋体"/>
          <w:u w:val="single"/>
        </w:rPr>
        <w:t xml:space="preserve">            </w:t>
      </w:r>
    </w:p>
    <w:p w14:paraId="30093E98">
      <w:pPr>
        <w:pStyle w:val="14"/>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14:paraId="5D05B35F">
      <w:pPr>
        <w:pStyle w:val="14"/>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14:paraId="33FE2A7F">
      <w:pPr>
        <w:pStyle w:val="14"/>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14:paraId="4C827494">
      <w:pPr>
        <w:pStyle w:val="14"/>
        <w:spacing w:line="320" w:lineRule="exact"/>
        <w:ind w:firstLine="420"/>
        <w:rPr>
          <w:rFonts w:hint="eastAsia" w:hAnsi="宋体" w:cs="宋体"/>
          <w:bCs/>
          <w:u w:val="single"/>
        </w:rPr>
      </w:pPr>
      <w:r>
        <w:rPr>
          <w:rFonts w:hint="eastAsia" w:hAnsi="宋体" w:cs="宋体"/>
          <w:bCs/>
        </w:rPr>
        <w:t>供应商[公章(CA签章)、自然人除外]：</w:t>
      </w:r>
      <w:r>
        <w:rPr>
          <w:rFonts w:hint="eastAsia" w:hAnsi="宋体" w:cs="宋体"/>
          <w:bCs/>
          <w:u w:val="single"/>
        </w:rPr>
        <w:t xml:space="preserve">                              </w:t>
      </w:r>
    </w:p>
    <w:p w14:paraId="0C3D3A0F">
      <w:pPr>
        <w:pStyle w:val="14"/>
        <w:spacing w:line="320" w:lineRule="exact"/>
        <w:ind w:firstLine="420"/>
        <w:rPr>
          <w:rFonts w:hint="eastAsia" w:hAnsi="宋体" w:cs="宋体"/>
          <w:u w:val="single"/>
        </w:rPr>
      </w:pPr>
      <w:r>
        <w:rPr>
          <w:rFonts w:hint="eastAsia" w:hAnsi="宋体" w:cs="宋体"/>
        </w:rPr>
        <w:t>法定代表人、负责人、自然人或相应的委托代理人签字[或盖章(CA签章)]（属自然人的应在签名处加盖大拇指指印或个人CA签章）：</w:t>
      </w:r>
      <w:r>
        <w:rPr>
          <w:rFonts w:hint="eastAsia" w:hAnsi="宋体" w:cs="宋体"/>
          <w:u w:val="single"/>
        </w:rPr>
        <w:t xml:space="preserve">              </w:t>
      </w:r>
    </w:p>
    <w:p w14:paraId="790B5286">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14:paraId="16AFDEA7">
      <w:pPr>
        <w:pStyle w:val="11"/>
        <w:rPr>
          <w:rFonts w:hint="eastAsia"/>
        </w:rPr>
      </w:pPr>
    </w:p>
    <w:p w14:paraId="6AD4F81F">
      <w:pPr>
        <w:pStyle w:val="14"/>
        <w:spacing w:line="320" w:lineRule="exact"/>
        <w:ind w:firstLine="420"/>
        <w:rPr>
          <w:rFonts w:hint="eastAsia" w:hAnsi="宋体" w:cs="宋体"/>
          <w:bCs/>
        </w:rPr>
      </w:pPr>
      <w:r>
        <w:rPr>
          <w:rFonts w:hint="eastAsia" w:hAnsi="宋体" w:cs="宋体"/>
          <w:bCs/>
        </w:rPr>
        <w:t>注：1.未按照本响应函（格式）要求填报的响应函将被视为非实质性响应询价通知书要求，从而导致该响应被拒绝。</w:t>
      </w:r>
    </w:p>
    <w:p w14:paraId="0B0DB97D">
      <w:pPr>
        <w:pStyle w:val="14"/>
        <w:spacing w:line="320" w:lineRule="exact"/>
        <w:ind w:firstLine="840" w:firstLineChars="400"/>
        <w:rPr>
          <w:rFonts w:hint="eastAsia" w:hAnsi="宋体" w:cs="宋体"/>
          <w:b/>
          <w:bCs/>
        </w:rPr>
        <w:sectPr>
          <w:pgSz w:w="11906" w:h="16838"/>
          <w:pgMar w:top="1440" w:right="935" w:bottom="1440" w:left="779" w:header="851" w:footer="992" w:gutter="0"/>
          <w:pgNumType w:fmt="decimal"/>
          <w:cols w:space="720" w:num="1"/>
          <w:docGrid w:type="linesAndChars" w:linePitch="312" w:charSpace="0"/>
        </w:sectPr>
      </w:pPr>
      <w:r>
        <w:rPr>
          <w:rFonts w:hint="eastAsia" w:hAnsi="宋体" w:cs="宋体"/>
          <w:bCs/>
        </w:rPr>
        <w:t>2.响应函须由法定代表人（负责人/自然人）或委托代理人签字或CA个人签章并加盖供应商公章（自然人签字并加盖大拇指指印或个人CA签章</w:t>
      </w:r>
    </w:p>
    <w:p w14:paraId="7A20C2F9">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竞  标  报  价  表</w:t>
      </w:r>
    </w:p>
    <w:p w14:paraId="5506411B">
      <w:pPr>
        <w:spacing w:line="520" w:lineRule="exact"/>
        <w:jc w:val="center"/>
        <w:rPr>
          <w:rFonts w:hint="eastAsia" w:ascii="方正小标宋简体" w:hAnsi="方正小标宋简体" w:eastAsia="方正小标宋简体" w:cs="方正小标宋简体"/>
          <w:bCs/>
          <w:sz w:val="32"/>
          <w:szCs w:val="32"/>
        </w:rPr>
      </w:pPr>
    </w:p>
    <w:p w14:paraId="2F3A48F4">
      <w:pPr>
        <w:pageBreakBefore w:val="0"/>
        <w:kinsoku/>
        <w:wordWrap w:val="0"/>
        <w:overflowPunct/>
        <w:topLinePunct w:val="0"/>
        <w:bidi w:val="0"/>
        <w:spacing w:line="560" w:lineRule="exact"/>
        <w:rPr>
          <w:rFonts w:ascii="宋体" w:hAnsi="宋体"/>
          <w:color w:val="auto"/>
          <w:szCs w:val="21"/>
          <w:highlight w:val="none"/>
          <w:u w:val="single"/>
        </w:rPr>
      </w:pPr>
      <w:r>
        <w:rPr>
          <w:rFonts w:hint="eastAsia" w:ascii="宋体" w:hAnsi="宋体"/>
          <w:color w:val="auto"/>
          <w:szCs w:val="21"/>
          <w:highlight w:val="none"/>
        </w:rPr>
        <w:t>采购项目编号:</w:t>
      </w:r>
    </w:p>
    <w:p w14:paraId="05CC918C">
      <w:pPr>
        <w:pageBreakBefore w:val="0"/>
        <w:kinsoku/>
        <w:wordWrap w:val="0"/>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采购项目名称:</w:t>
      </w:r>
      <w:r>
        <w:rPr>
          <w:rFonts w:hint="eastAsia"/>
          <w:color w:val="auto"/>
          <w:highlight w:val="none"/>
        </w:rPr>
        <w:t xml:space="preserve"> </w:t>
      </w:r>
    </w:p>
    <w:p w14:paraId="5E6DA3EC">
      <w:pPr>
        <w:pageBreakBefore w:val="0"/>
        <w:kinsoku/>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u w:val="single"/>
        </w:rPr>
        <w:t xml:space="preserve">    /     </w:t>
      </w:r>
      <w:r>
        <w:rPr>
          <w:rFonts w:hint="eastAsia" w:ascii="宋体" w:hAnsi="宋体"/>
          <w:color w:val="auto"/>
          <w:szCs w:val="21"/>
          <w:highlight w:val="none"/>
        </w:rPr>
        <w:t>（有分标时填写）</w:t>
      </w:r>
    </w:p>
    <w:tbl>
      <w:tblPr>
        <w:tblStyle w:val="23"/>
        <w:tblW w:w="92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3671"/>
        <w:gridCol w:w="734"/>
        <w:gridCol w:w="1175"/>
        <w:gridCol w:w="1616"/>
        <w:gridCol w:w="1615"/>
      </w:tblGrid>
      <w:tr w14:paraId="0BB37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06" w:type="dxa"/>
            <w:tcBorders>
              <w:top w:val="single" w:color="auto" w:sz="4" w:space="0"/>
              <w:left w:val="single" w:color="auto" w:sz="4" w:space="0"/>
              <w:bottom w:val="single" w:color="auto" w:sz="4" w:space="0"/>
              <w:right w:val="single" w:color="auto" w:sz="4" w:space="0"/>
            </w:tcBorders>
            <w:vAlign w:val="center"/>
          </w:tcPr>
          <w:p w14:paraId="7D080B03">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项号</w:t>
            </w:r>
          </w:p>
        </w:tc>
        <w:tc>
          <w:tcPr>
            <w:tcW w:w="3671" w:type="dxa"/>
            <w:tcBorders>
              <w:top w:val="single" w:color="auto" w:sz="4" w:space="0"/>
              <w:left w:val="single" w:color="auto" w:sz="4" w:space="0"/>
              <w:bottom w:val="single" w:color="auto" w:sz="4" w:space="0"/>
              <w:right w:val="single" w:color="auto" w:sz="4" w:space="0"/>
            </w:tcBorders>
            <w:vAlign w:val="center"/>
          </w:tcPr>
          <w:p w14:paraId="3C71DAC6">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服务内容</w:t>
            </w:r>
          </w:p>
        </w:tc>
        <w:tc>
          <w:tcPr>
            <w:tcW w:w="734" w:type="dxa"/>
            <w:tcBorders>
              <w:top w:val="single" w:color="auto" w:sz="4" w:space="0"/>
              <w:left w:val="single" w:color="auto" w:sz="4" w:space="0"/>
              <w:bottom w:val="single" w:color="auto" w:sz="4" w:space="0"/>
              <w:right w:val="single" w:color="auto" w:sz="4" w:space="0"/>
            </w:tcBorders>
            <w:vAlign w:val="center"/>
          </w:tcPr>
          <w:p w14:paraId="07448524">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单位</w:t>
            </w:r>
          </w:p>
        </w:tc>
        <w:tc>
          <w:tcPr>
            <w:tcW w:w="1175" w:type="dxa"/>
            <w:tcBorders>
              <w:top w:val="single" w:color="auto" w:sz="4" w:space="0"/>
              <w:left w:val="single" w:color="auto" w:sz="4" w:space="0"/>
              <w:bottom w:val="single" w:color="auto" w:sz="4" w:space="0"/>
              <w:right w:val="single" w:color="auto" w:sz="4" w:space="0"/>
            </w:tcBorders>
            <w:vAlign w:val="center"/>
          </w:tcPr>
          <w:p w14:paraId="2E25AD87">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数量</w:t>
            </w:r>
          </w:p>
          <w:p w14:paraId="405C2F51">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①</w:t>
            </w:r>
          </w:p>
        </w:tc>
        <w:tc>
          <w:tcPr>
            <w:tcW w:w="1616" w:type="dxa"/>
            <w:tcBorders>
              <w:top w:val="single" w:color="auto" w:sz="4" w:space="0"/>
              <w:left w:val="single" w:color="auto" w:sz="4" w:space="0"/>
              <w:bottom w:val="single" w:color="auto" w:sz="4" w:space="0"/>
              <w:right w:val="single" w:color="auto" w:sz="4" w:space="0"/>
            </w:tcBorders>
            <w:vAlign w:val="center"/>
          </w:tcPr>
          <w:p w14:paraId="5BEA0D96">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单价（元)</w:t>
            </w:r>
          </w:p>
          <w:p w14:paraId="0F7B9933">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②</w:t>
            </w:r>
          </w:p>
        </w:tc>
        <w:tc>
          <w:tcPr>
            <w:tcW w:w="1615" w:type="dxa"/>
            <w:tcBorders>
              <w:top w:val="single" w:color="auto" w:sz="4" w:space="0"/>
              <w:left w:val="single" w:color="auto" w:sz="4" w:space="0"/>
              <w:bottom w:val="single" w:color="auto" w:sz="4" w:space="0"/>
              <w:right w:val="single" w:color="auto" w:sz="4" w:space="0"/>
            </w:tcBorders>
            <w:vAlign w:val="center"/>
          </w:tcPr>
          <w:p w14:paraId="7C1FF7CB">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单项合价（元）</w:t>
            </w:r>
          </w:p>
          <w:p w14:paraId="0208B368">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③=①×②</w:t>
            </w:r>
          </w:p>
        </w:tc>
      </w:tr>
      <w:tr w14:paraId="244EA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06" w:type="dxa"/>
            <w:tcBorders>
              <w:top w:val="single" w:color="auto" w:sz="4" w:space="0"/>
              <w:left w:val="single" w:color="auto" w:sz="4" w:space="0"/>
              <w:bottom w:val="single" w:color="auto" w:sz="4" w:space="0"/>
              <w:right w:val="single" w:color="auto" w:sz="4" w:space="0"/>
            </w:tcBorders>
            <w:vAlign w:val="center"/>
          </w:tcPr>
          <w:p w14:paraId="3E38B24E">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3671" w:type="dxa"/>
            <w:tcBorders>
              <w:top w:val="single" w:color="auto" w:sz="4" w:space="0"/>
              <w:left w:val="single" w:color="auto" w:sz="4" w:space="0"/>
              <w:right w:val="single" w:color="auto" w:sz="4" w:space="0"/>
            </w:tcBorders>
            <w:vAlign w:val="center"/>
          </w:tcPr>
          <w:p w14:paraId="08E94120">
            <w:pPr>
              <w:pageBreakBefore w:val="0"/>
              <w:widowControl/>
              <w:kinsoku/>
              <w:overflowPunct/>
              <w:topLinePunct w:val="0"/>
              <w:bidi w:val="0"/>
              <w:spacing w:line="560" w:lineRule="exact"/>
              <w:jc w:val="center"/>
              <w:rPr>
                <w:rFonts w:ascii="宋体" w:hAnsi="宋体" w:cs="仿宋"/>
                <w:color w:val="auto"/>
                <w:szCs w:val="21"/>
                <w:highlight w:val="none"/>
              </w:rPr>
            </w:pPr>
            <w:r>
              <w:rPr>
                <w:rFonts w:hint="eastAsia" w:ascii="宋体" w:hAnsi="宋体" w:cs="仿宋"/>
                <w:color w:val="auto"/>
                <w:szCs w:val="21"/>
                <w:highlight w:val="none"/>
                <w:lang w:val="en-US" w:eastAsia="zh-CN"/>
              </w:rPr>
              <w:t xml:space="preserve"> </w:t>
            </w:r>
          </w:p>
        </w:tc>
        <w:tc>
          <w:tcPr>
            <w:tcW w:w="734" w:type="dxa"/>
            <w:tcBorders>
              <w:top w:val="single" w:color="auto" w:sz="4" w:space="0"/>
              <w:left w:val="single" w:color="auto" w:sz="4" w:space="0"/>
              <w:right w:val="single" w:color="auto" w:sz="4" w:space="0"/>
            </w:tcBorders>
            <w:vAlign w:val="center"/>
          </w:tcPr>
          <w:p w14:paraId="638DC26B">
            <w:pPr>
              <w:pageBreakBefore w:val="0"/>
              <w:kinsoku/>
              <w:overflowPunct/>
              <w:topLinePunct w:val="0"/>
              <w:bidi w:val="0"/>
              <w:spacing w:line="560" w:lineRule="exact"/>
              <w:jc w:val="center"/>
              <w:rPr>
                <w:color w:val="auto"/>
                <w:highlight w:val="none"/>
              </w:rPr>
            </w:pPr>
            <w:r>
              <w:rPr>
                <w:rFonts w:hint="eastAsia"/>
                <w:color w:val="auto"/>
                <w:highlight w:val="none"/>
              </w:rPr>
              <w:t>项</w:t>
            </w:r>
          </w:p>
        </w:tc>
        <w:tc>
          <w:tcPr>
            <w:tcW w:w="1175" w:type="dxa"/>
            <w:tcBorders>
              <w:top w:val="single" w:color="auto" w:sz="4" w:space="0"/>
              <w:left w:val="single" w:color="auto" w:sz="4" w:space="0"/>
              <w:right w:val="single" w:color="auto" w:sz="4" w:space="0"/>
            </w:tcBorders>
            <w:vAlign w:val="center"/>
          </w:tcPr>
          <w:p w14:paraId="6DE6814F">
            <w:pPr>
              <w:pageBreakBefore w:val="0"/>
              <w:kinsoku/>
              <w:overflowPunct/>
              <w:topLinePunct w:val="0"/>
              <w:bidi w:val="0"/>
              <w:spacing w:line="560" w:lineRule="exact"/>
              <w:jc w:val="center"/>
              <w:rPr>
                <w:color w:val="auto"/>
                <w:highlight w:val="none"/>
              </w:rPr>
            </w:pPr>
          </w:p>
        </w:tc>
        <w:tc>
          <w:tcPr>
            <w:tcW w:w="1616" w:type="dxa"/>
            <w:tcBorders>
              <w:top w:val="single" w:color="auto" w:sz="4" w:space="0"/>
              <w:left w:val="single" w:color="auto" w:sz="4" w:space="0"/>
              <w:right w:val="single" w:color="auto" w:sz="4" w:space="0"/>
            </w:tcBorders>
            <w:vAlign w:val="center"/>
          </w:tcPr>
          <w:p w14:paraId="09B35DFB">
            <w:pPr>
              <w:pStyle w:val="14"/>
              <w:pageBreakBefore w:val="0"/>
              <w:kinsoku/>
              <w:overflowPunct/>
              <w:topLinePunct w:val="0"/>
              <w:bidi w:val="0"/>
              <w:spacing w:line="560" w:lineRule="exact"/>
              <w:jc w:val="center"/>
              <w:rPr>
                <w:rFonts w:hAnsi="宋体"/>
                <w:color w:val="auto"/>
                <w:szCs w:val="21"/>
                <w:highlight w:val="none"/>
              </w:rPr>
            </w:pPr>
          </w:p>
        </w:tc>
        <w:tc>
          <w:tcPr>
            <w:tcW w:w="1615" w:type="dxa"/>
            <w:tcBorders>
              <w:top w:val="single" w:color="auto" w:sz="4" w:space="0"/>
              <w:left w:val="single" w:color="auto" w:sz="4" w:space="0"/>
              <w:right w:val="single" w:color="auto" w:sz="4" w:space="0"/>
            </w:tcBorders>
            <w:vAlign w:val="center"/>
          </w:tcPr>
          <w:p w14:paraId="1CEB726C">
            <w:pPr>
              <w:pStyle w:val="14"/>
              <w:pageBreakBefore w:val="0"/>
              <w:kinsoku/>
              <w:overflowPunct/>
              <w:topLinePunct w:val="0"/>
              <w:bidi w:val="0"/>
              <w:spacing w:line="560" w:lineRule="exact"/>
              <w:jc w:val="center"/>
              <w:rPr>
                <w:rFonts w:hAnsi="宋体"/>
                <w:color w:val="auto"/>
                <w:szCs w:val="21"/>
                <w:highlight w:val="none"/>
              </w:rPr>
            </w:pPr>
          </w:p>
        </w:tc>
      </w:tr>
      <w:tr w14:paraId="3450D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14:paraId="5BA5D203">
            <w:pPr>
              <w:pageBreakBefore w:val="0"/>
              <w:kinsoku/>
              <w:overflowPunct/>
              <w:topLinePunct w:val="0"/>
              <w:bidi w:val="0"/>
              <w:snapToGrid w:val="0"/>
              <w:spacing w:before="50" w:after="50" w:line="560" w:lineRule="exact"/>
              <w:rPr>
                <w:rFonts w:ascii="宋体" w:hAnsi="宋体" w:cs="仿宋"/>
                <w:color w:val="auto"/>
                <w:szCs w:val="21"/>
                <w:highlight w:val="none"/>
              </w:rPr>
            </w:pPr>
            <w:r>
              <w:rPr>
                <w:rFonts w:hint="eastAsia" w:ascii="宋体" w:hAnsi="宋体" w:cs="仿宋"/>
                <w:color w:val="auto"/>
                <w:szCs w:val="21"/>
                <w:highlight w:val="none"/>
              </w:rPr>
              <w:t>总报价：（大写）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（小写）</w:t>
            </w:r>
            <w:r>
              <w:rPr>
                <w:rFonts w:hint="eastAsia" w:hAnsi="宋体"/>
                <w:color w:val="auto"/>
                <w:szCs w:val="21"/>
                <w:highlight w:val="none"/>
                <w:u w:val="single"/>
              </w:rPr>
              <w:t xml:space="preserve">        </w:t>
            </w:r>
          </w:p>
        </w:tc>
      </w:tr>
      <w:tr w14:paraId="10AE3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14:paraId="4D3C1DD9">
            <w:pPr>
              <w:pageBreakBefore w:val="0"/>
              <w:kinsoku/>
              <w:overflowPunct/>
              <w:topLinePunct w:val="0"/>
              <w:bidi w:val="0"/>
              <w:snapToGrid w:val="0"/>
              <w:spacing w:before="50" w:after="50" w:line="560" w:lineRule="exact"/>
              <w:rPr>
                <w:rFonts w:ascii="宋体" w:hAnsi="宋体" w:cs="仿宋"/>
                <w:color w:val="auto"/>
                <w:spacing w:val="20"/>
                <w:szCs w:val="21"/>
                <w:highlight w:val="none"/>
              </w:rPr>
            </w:pPr>
            <w:r>
              <w:rPr>
                <w:rFonts w:hint="eastAsia" w:ascii="宋体" w:hAnsi="宋体" w:cs="仿宋"/>
                <w:color w:val="auto"/>
                <w:spacing w:val="20"/>
                <w:szCs w:val="21"/>
                <w:highlight w:val="none"/>
              </w:rPr>
              <w:t>服务期限</w:t>
            </w:r>
            <w:r>
              <w:rPr>
                <w:rFonts w:hint="eastAsia" w:ascii="宋体" w:hAnsi="宋体" w:cs="仿宋"/>
                <w:color w:val="auto"/>
                <w:szCs w:val="21"/>
                <w:highlight w:val="none"/>
              </w:rPr>
              <w:t xml:space="preserve">： </w:t>
            </w:r>
          </w:p>
        </w:tc>
      </w:tr>
    </w:tbl>
    <w:p w14:paraId="635708C7">
      <w:pPr>
        <w:pStyle w:val="14"/>
        <w:pageBreakBefore w:val="0"/>
        <w:kinsoku/>
        <w:overflowPunct/>
        <w:topLinePunct w:val="0"/>
        <w:bidi w:val="0"/>
        <w:spacing w:line="560" w:lineRule="exact"/>
        <w:rPr>
          <w:rFonts w:hAnsi="宋体"/>
          <w:color w:val="auto"/>
          <w:szCs w:val="21"/>
          <w:highlight w:val="none"/>
        </w:rPr>
      </w:pPr>
    </w:p>
    <w:p w14:paraId="72C23346">
      <w:pPr>
        <w:pStyle w:val="14"/>
        <w:pageBreakBefore w:val="0"/>
        <w:kinsoku/>
        <w:overflowPunct/>
        <w:topLinePunct w:val="0"/>
        <w:bidi w:val="0"/>
        <w:spacing w:line="560" w:lineRule="exact"/>
        <w:jc w:val="center"/>
        <w:rPr>
          <w:rFonts w:hAnsi="宋体"/>
          <w:color w:val="auto"/>
          <w:szCs w:val="21"/>
          <w:highlight w:val="none"/>
        </w:rPr>
      </w:pPr>
    </w:p>
    <w:p w14:paraId="24E80DC7">
      <w:pPr>
        <w:pStyle w:val="14"/>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p>
    <w:p w14:paraId="53ACD16E">
      <w:pPr>
        <w:pStyle w:val="14"/>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p>
    <w:p w14:paraId="4E43740C">
      <w:pPr>
        <w:pStyle w:val="11"/>
        <w:rPr>
          <w:rFonts w:hint="eastAsia"/>
        </w:rPr>
      </w:pPr>
    </w:p>
    <w:p w14:paraId="421BDCD0">
      <w:pPr>
        <w:rPr>
          <w:rFonts w:hint="eastAsia" w:eastAsia="宋体"/>
          <w:lang w:val="en-US" w:eastAsia="zh-CN"/>
        </w:rPr>
      </w:pPr>
      <w:r>
        <w:rPr>
          <w:rFonts w:hint="eastAsia" w:eastAsia="宋体"/>
          <w:lang w:val="en-US" w:eastAsia="zh-CN"/>
        </w:rPr>
        <w:br w:type="page"/>
      </w:r>
    </w:p>
    <w:p w14:paraId="2F441DA3">
      <w:pPr>
        <w:spacing w:line="360" w:lineRule="auto"/>
        <w:ind w:right="-817" w:rightChars="-389"/>
        <w:contextualSpacing/>
        <w:rPr>
          <w:rFonts w:hint="eastAsia" w:ascii="宋体" w:hAnsi="宋体"/>
          <w:b/>
          <w:sz w:val="32"/>
          <w:szCs w:val="32"/>
        </w:rPr>
      </w:pPr>
      <w:r>
        <w:rPr>
          <w:rFonts w:hint="eastAsia" w:ascii="宋体" w:hAnsi="宋体"/>
          <w:b/>
          <w:bCs/>
          <w:sz w:val="32"/>
          <w:szCs w:val="32"/>
        </w:rPr>
        <w:t>三、</w:t>
      </w:r>
      <w:r>
        <w:rPr>
          <w:rFonts w:hint="eastAsia" w:ascii="宋体" w:hAnsi="宋体"/>
          <w:b/>
          <w:sz w:val="32"/>
          <w:szCs w:val="32"/>
        </w:rPr>
        <w:t xml:space="preserve">商务技术文件格式 </w:t>
      </w:r>
    </w:p>
    <w:p w14:paraId="562150F9">
      <w:pPr>
        <w:snapToGrid w:val="0"/>
        <w:spacing w:before="156" w:beforeLines="50" w:after="50" w:line="360" w:lineRule="auto"/>
        <w:jc w:val="left"/>
        <w:rPr>
          <w:rFonts w:ascii="宋体" w:hAnsi="宋体"/>
          <w:b/>
          <w:sz w:val="32"/>
          <w:szCs w:val="32"/>
        </w:rPr>
      </w:pPr>
      <w:r>
        <w:rPr>
          <w:rFonts w:hint="eastAsia" w:ascii="宋体" w:hAnsi="宋体"/>
          <w:b/>
          <w:sz w:val="32"/>
          <w:szCs w:val="32"/>
        </w:rPr>
        <w:t>1.商务技术文件封面格式</w:t>
      </w:r>
    </w:p>
    <w:p w14:paraId="0907E83B">
      <w:pPr>
        <w:snapToGrid w:val="0"/>
        <w:spacing w:before="156" w:beforeLines="50" w:after="50"/>
        <w:rPr>
          <w:rFonts w:hint="eastAsia" w:ascii="宋体" w:hAnsi="宋体"/>
          <w:bCs/>
          <w:sz w:val="32"/>
          <w:szCs w:val="20"/>
        </w:rPr>
      </w:pPr>
      <w:r>
        <w:rPr>
          <w:rFonts w:hint="eastAsia" w:ascii="宋体" w:hAnsi="宋体"/>
          <w:sz w:val="24"/>
        </w:rPr>
        <w:t xml:space="preserve">                                                    </w:t>
      </w:r>
    </w:p>
    <w:p w14:paraId="7F1D2D7D">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6B715956">
      <w:pPr>
        <w:snapToGrid w:val="0"/>
        <w:spacing w:before="156" w:beforeLines="50" w:after="50"/>
        <w:rPr>
          <w:rFonts w:hint="eastAsia" w:ascii="宋体" w:hAnsi="宋体"/>
          <w:sz w:val="24"/>
          <w:szCs w:val="20"/>
        </w:rPr>
      </w:pPr>
    </w:p>
    <w:p w14:paraId="7118C08E">
      <w:pPr>
        <w:snapToGrid w:val="0"/>
        <w:spacing w:before="156" w:beforeLines="50" w:after="50"/>
        <w:rPr>
          <w:rFonts w:hint="eastAsia" w:ascii="宋体" w:hAnsi="宋体"/>
          <w:sz w:val="24"/>
          <w:szCs w:val="20"/>
        </w:rPr>
      </w:pPr>
    </w:p>
    <w:p w14:paraId="28669907">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38CD343F">
      <w:pPr>
        <w:snapToGrid w:val="0"/>
        <w:spacing w:before="156" w:beforeLines="50" w:after="50"/>
        <w:rPr>
          <w:rFonts w:hint="eastAsia" w:ascii="宋体" w:hAnsi="宋体"/>
          <w:bCs/>
          <w:sz w:val="24"/>
          <w:szCs w:val="20"/>
        </w:rPr>
      </w:pPr>
    </w:p>
    <w:p w14:paraId="6CCEF1F7">
      <w:pPr>
        <w:snapToGrid w:val="0"/>
        <w:spacing w:before="156" w:beforeLines="50" w:after="50"/>
        <w:rPr>
          <w:rFonts w:hint="eastAsia" w:ascii="宋体" w:hAnsi="宋体"/>
          <w:bCs/>
          <w:sz w:val="24"/>
          <w:szCs w:val="20"/>
        </w:rPr>
      </w:pPr>
    </w:p>
    <w:p w14:paraId="43214792">
      <w:pPr>
        <w:snapToGrid w:val="0"/>
        <w:spacing w:before="156" w:beforeLines="50" w:after="50"/>
        <w:rPr>
          <w:rFonts w:hint="eastAsia" w:ascii="宋体" w:hAnsi="宋体"/>
          <w:bCs/>
          <w:sz w:val="24"/>
          <w:szCs w:val="20"/>
        </w:rPr>
      </w:pPr>
    </w:p>
    <w:p w14:paraId="6A985CF0">
      <w:pPr>
        <w:snapToGrid w:val="0"/>
        <w:spacing w:before="156" w:beforeLines="50" w:after="50"/>
        <w:rPr>
          <w:rFonts w:hint="eastAsia" w:ascii="宋体" w:hAnsi="宋体"/>
          <w:bCs/>
          <w:sz w:val="24"/>
          <w:szCs w:val="20"/>
        </w:rPr>
      </w:pPr>
    </w:p>
    <w:p w14:paraId="23743510">
      <w:pPr>
        <w:snapToGrid w:val="0"/>
        <w:spacing w:before="156" w:beforeLines="50" w:after="50"/>
        <w:rPr>
          <w:rFonts w:hint="eastAsia" w:ascii="宋体" w:hAnsi="宋体"/>
          <w:bCs/>
          <w:sz w:val="24"/>
          <w:szCs w:val="20"/>
        </w:rPr>
      </w:pPr>
    </w:p>
    <w:p w14:paraId="730DFB18">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3118F22F">
      <w:pPr>
        <w:snapToGrid w:val="0"/>
        <w:spacing w:before="156" w:beforeLines="50" w:after="50"/>
        <w:ind w:firstLine="720" w:firstLineChars="225"/>
        <w:rPr>
          <w:rFonts w:hint="eastAsia" w:ascii="宋体" w:hAnsi="宋体" w:cs="仿宋_GB2312"/>
          <w:bCs/>
          <w:sz w:val="32"/>
          <w:szCs w:val="32"/>
        </w:rPr>
      </w:pPr>
    </w:p>
    <w:p w14:paraId="06369D1C">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7C53AF5">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BAEA447">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9CA56F9">
      <w:pPr>
        <w:pStyle w:val="7"/>
        <w:snapToGrid w:val="0"/>
        <w:spacing w:before="50" w:after="50"/>
        <w:ind w:firstLine="640" w:firstLineChars="200"/>
        <w:rPr>
          <w:rFonts w:hint="eastAsia" w:ascii="宋体" w:hAnsi="宋体" w:cs="仿宋_GB2312"/>
          <w:bCs/>
          <w:sz w:val="32"/>
          <w:szCs w:val="32"/>
        </w:rPr>
      </w:pPr>
    </w:p>
    <w:p w14:paraId="3D64907F">
      <w:pPr>
        <w:pStyle w:val="7"/>
        <w:snapToGrid w:val="0"/>
        <w:spacing w:before="50" w:after="50"/>
        <w:ind w:firstLine="720" w:firstLineChars="225"/>
        <w:rPr>
          <w:rFonts w:hint="eastAsia" w:ascii="宋体" w:hAnsi="宋体" w:cs="仿宋_GB2312"/>
          <w:bCs/>
          <w:sz w:val="32"/>
          <w:szCs w:val="32"/>
        </w:rPr>
      </w:pPr>
    </w:p>
    <w:p w14:paraId="7DC906C9">
      <w:pPr>
        <w:pStyle w:val="7"/>
        <w:snapToGrid w:val="0"/>
        <w:spacing w:before="50" w:after="50"/>
        <w:ind w:firstLine="0"/>
        <w:rPr>
          <w:rFonts w:hint="eastAsia" w:ascii="宋体" w:hAnsi="宋体" w:cs="仿宋_GB2312"/>
          <w:bCs/>
          <w:sz w:val="32"/>
          <w:szCs w:val="32"/>
        </w:rPr>
      </w:pPr>
    </w:p>
    <w:p w14:paraId="3629D829">
      <w:pPr>
        <w:pStyle w:val="7"/>
        <w:snapToGrid w:val="0"/>
        <w:spacing w:before="50" w:after="50"/>
        <w:ind w:firstLine="1280" w:firstLineChars="400"/>
        <w:rPr>
          <w:rFonts w:hint="eastAsia" w:ascii="宋体" w:hAnsi="宋体" w:cs="仿宋_GB2312"/>
          <w:bCs/>
          <w:sz w:val="32"/>
          <w:szCs w:val="32"/>
        </w:rPr>
      </w:pPr>
    </w:p>
    <w:p w14:paraId="6F9839B8">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5B31FD80">
      <w:pPr>
        <w:snapToGrid w:val="0"/>
        <w:spacing w:before="156"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14:paraId="1F734E0E">
      <w:pPr>
        <w:snapToGrid w:val="0"/>
        <w:spacing w:before="156" w:beforeLines="50" w:after="50" w:line="360" w:lineRule="auto"/>
        <w:ind w:firstLine="640" w:firstLineChars="200"/>
        <w:rPr>
          <w:rFonts w:ascii="宋体" w:hAnsi="宋体"/>
          <w:sz w:val="32"/>
          <w:szCs w:val="32"/>
        </w:rPr>
      </w:pPr>
      <w:r>
        <w:rPr>
          <w:rFonts w:hint="eastAsia" w:ascii="宋体" w:hAnsi="宋体"/>
          <w:sz w:val="32"/>
          <w:szCs w:val="32"/>
        </w:rPr>
        <w:t>根据谈判文件规定及供应商提供的材料自行编写目录（部分格式后附）。</w:t>
      </w:r>
    </w:p>
    <w:p w14:paraId="713018A3">
      <w:pPr>
        <w:spacing w:line="400" w:lineRule="exact"/>
        <w:rPr>
          <w:rFonts w:hint="eastAsia" w:ascii="仿宋_GB2312" w:hAnsi="仿宋_GB2312" w:eastAsia="仿宋_GB2312" w:cs="仿宋_GB2312"/>
          <w:sz w:val="32"/>
          <w:szCs w:val="32"/>
        </w:rPr>
      </w:pPr>
    </w:p>
    <w:p w14:paraId="0370D99C">
      <w:pPr>
        <w:pStyle w:val="5"/>
        <w:spacing w:before="156" w:after="156"/>
        <w:ind w:left="0" w:firstLine="0"/>
        <w:rPr>
          <w:rFonts w:hint="eastAsia"/>
        </w:rPr>
        <w:sectPr>
          <w:footerReference r:id="rId9" w:type="default"/>
          <w:pgSz w:w="11906" w:h="16838"/>
          <w:pgMar w:top="1247" w:right="1247" w:bottom="1247" w:left="1247" w:header="851" w:footer="992" w:gutter="0"/>
          <w:pgNumType w:fmt="decimal"/>
          <w:cols w:space="720" w:num="1"/>
          <w:titlePg/>
          <w:docGrid w:type="lines" w:linePitch="312" w:charSpace="0"/>
        </w:sectPr>
      </w:pPr>
    </w:p>
    <w:p w14:paraId="6FEC9B8E">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无串通竞标行为的承诺函</w:t>
      </w:r>
    </w:p>
    <w:p w14:paraId="7AD8369B">
      <w:pPr>
        <w:spacing w:line="360" w:lineRule="auto"/>
        <w:ind w:firstLine="640" w:firstLineChars="200"/>
        <w:contextualSpacing/>
        <w:rPr>
          <w:rFonts w:hint="eastAsia" w:ascii="仿宋_GB2312" w:hAnsi="仿宋_GB2312" w:eastAsia="仿宋_GB2312" w:cs="仿宋_GB2312"/>
          <w:sz w:val="32"/>
          <w:szCs w:val="32"/>
        </w:rPr>
      </w:pPr>
    </w:p>
    <w:p w14:paraId="32B120D5">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71EF23B8">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14:paraId="3CC26A8C">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14:paraId="0A2F9444">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14:paraId="0936807A">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56E9BE85">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14:paraId="340D6C79">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1051E93F">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3552ABC9">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4C64A8DE">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31703C1">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41DC68F9">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3351F532">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3536A3DD">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36A466E3">
      <w:pPr>
        <w:spacing w:line="360" w:lineRule="auto"/>
        <w:ind w:firstLine="480" w:firstLineChars="200"/>
        <w:contextualSpacing/>
        <w:rPr>
          <w:rFonts w:hint="eastAsia" w:ascii="宋体" w:hAnsi="宋体" w:cs="仿宋_GB2312"/>
          <w:sz w:val="24"/>
        </w:rPr>
      </w:pPr>
    </w:p>
    <w:p w14:paraId="741D24E7">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6DFD571A">
      <w:pPr>
        <w:spacing w:line="360" w:lineRule="auto"/>
        <w:ind w:firstLine="480" w:firstLineChars="200"/>
        <w:contextualSpacing/>
        <w:rPr>
          <w:rFonts w:hint="eastAsia" w:ascii="宋体" w:hAnsi="宋体" w:cs="仿宋_GB2312"/>
          <w:sz w:val="24"/>
        </w:rPr>
      </w:pPr>
    </w:p>
    <w:p w14:paraId="64838B69">
      <w:pPr>
        <w:spacing w:line="360" w:lineRule="auto"/>
        <w:contextualSpacing/>
        <w:rPr>
          <w:rFonts w:hint="eastAsia" w:ascii="宋体" w:hAnsi="宋体" w:cs="仿宋_GB2312"/>
          <w:sz w:val="24"/>
        </w:rPr>
      </w:pPr>
    </w:p>
    <w:p w14:paraId="51C4A721">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14:paraId="65688FBE">
      <w:pPr>
        <w:spacing w:line="360" w:lineRule="auto"/>
        <w:ind w:firstLine="480" w:firstLineChars="200"/>
        <w:contextualSpacing/>
        <w:jc w:val="center"/>
        <w:rPr>
          <w:rFonts w:hint="eastAsia" w:ascii="宋体" w:hAnsi="宋体" w:cs="宋体"/>
          <w:b/>
          <w:sz w:val="28"/>
          <w:szCs w:val="28"/>
        </w:rPr>
      </w:pPr>
      <w:r>
        <w:rPr>
          <w:rFonts w:hint="eastAsia" w:ascii="宋体" w:hAnsi="宋体" w:cs="仿宋_GB2312"/>
          <w:sz w:val="24"/>
        </w:rPr>
        <w:t xml:space="preserve">                               年   月   日</w:t>
      </w:r>
    </w:p>
    <w:p w14:paraId="0E2CB73D">
      <w:pPr>
        <w:pStyle w:val="5"/>
        <w:spacing w:before="156" w:after="156"/>
        <w:rPr>
          <w:rFonts w:hint="eastAsia"/>
        </w:rPr>
      </w:pPr>
      <w:bookmarkStart w:id="50" w:name="_Toc29893"/>
    </w:p>
    <w:bookmarkEnd w:id="50"/>
    <w:p w14:paraId="1674363E">
      <w:pPr>
        <w:pStyle w:val="22"/>
        <w:rPr>
          <w:rFonts w:hint="eastAsia" w:ascii="宋体" w:hAnsi="宋体" w:cs="宋体"/>
          <w:szCs w:val="21"/>
          <w:u w:val="single"/>
        </w:rPr>
      </w:pPr>
    </w:p>
    <w:p w14:paraId="4E3C88FD">
      <w:pPr>
        <w:spacing w:line="300" w:lineRule="auto"/>
        <w:rPr>
          <w:rFonts w:hint="eastAsia" w:ascii="宋体" w:hAnsi="宋体" w:cs="宋体"/>
          <w:b/>
          <w:szCs w:val="21"/>
        </w:rPr>
      </w:pPr>
    </w:p>
    <w:p w14:paraId="290DCC6D">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法定代表人证明书</w:t>
      </w:r>
    </w:p>
    <w:p w14:paraId="65A5F5E0">
      <w:pPr>
        <w:spacing w:line="360" w:lineRule="auto"/>
        <w:ind w:left="540"/>
        <w:contextualSpacing/>
        <w:rPr>
          <w:rFonts w:hint="eastAsia" w:ascii="仿宋_GB2312" w:hAnsi="仿宋_GB2312" w:eastAsia="仿宋_GB2312" w:cs="仿宋_GB2312"/>
          <w:sz w:val="32"/>
          <w:szCs w:val="32"/>
        </w:rPr>
      </w:pPr>
    </w:p>
    <w:p w14:paraId="49440C70">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46C74AD">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5D716B52">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58C1FE99">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5C98689F">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BD7618E">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62DF74FA">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63B0EAAF">
      <w:pPr>
        <w:spacing w:line="360" w:lineRule="auto"/>
        <w:ind w:left="540"/>
        <w:contextualSpacing/>
        <w:rPr>
          <w:rFonts w:hint="eastAsia" w:ascii="宋体" w:hAnsi="宋体" w:cs="仿宋_GB2312"/>
          <w:sz w:val="24"/>
        </w:rPr>
      </w:pPr>
    </w:p>
    <w:p w14:paraId="2F2471C8">
      <w:pPr>
        <w:spacing w:line="360" w:lineRule="auto"/>
        <w:ind w:left="540"/>
        <w:contextualSpacing/>
        <w:rPr>
          <w:rFonts w:hint="eastAsia" w:ascii="宋体" w:hAnsi="宋体" w:cs="仿宋_GB2312"/>
          <w:sz w:val="24"/>
        </w:rPr>
      </w:pPr>
    </w:p>
    <w:p w14:paraId="4DB3E1A0">
      <w:pPr>
        <w:spacing w:line="360" w:lineRule="auto"/>
        <w:ind w:left="540"/>
        <w:contextualSpacing/>
        <w:rPr>
          <w:rFonts w:hint="eastAsia" w:ascii="宋体" w:hAnsi="宋体" w:cs="仿宋_GB2312"/>
          <w:sz w:val="24"/>
        </w:rPr>
      </w:pPr>
    </w:p>
    <w:p w14:paraId="52AAE1A3">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64A2BC5">
      <w:pPr>
        <w:spacing w:line="360" w:lineRule="auto"/>
        <w:ind w:left="540"/>
        <w:contextualSpacing/>
        <w:rPr>
          <w:rFonts w:hint="eastAsia" w:ascii="宋体" w:hAnsi="宋体" w:cs="仿宋_GB2312"/>
          <w:sz w:val="24"/>
        </w:rPr>
      </w:pPr>
    </w:p>
    <w:p w14:paraId="56FF8947">
      <w:pPr>
        <w:spacing w:line="360" w:lineRule="auto"/>
        <w:ind w:left="540"/>
        <w:contextualSpacing/>
        <w:jc w:val="center"/>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14:paraId="0A7C19E5">
      <w:pPr>
        <w:spacing w:line="360" w:lineRule="auto"/>
        <w:ind w:firstLine="4560" w:firstLineChars="19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0FE2186D">
      <w:pPr>
        <w:spacing w:line="360" w:lineRule="auto"/>
        <w:contextualSpacing/>
        <w:jc w:val="center"/>
        <w:rPr>
          <w:rFonts w:hint="eastAsia" w:ascii="宋体" w:hAnsi="宋体" w:cs="仿宋_GB2312"/>
          <w:b/>
          <w:sz w:val="24"/>
        </w:rPr>
      </w:pPr>
    </w:p>
    <w:p w14:paraId="132E2306">
      <w:pPr>
        <w:spacing w:line="360" w:lineRule="auto"/>
        <w:contextualSpacing/>
        <w:jc w:val="left"/>
        <w:rPr>
          <w:rFonts w:ascii="宋体" w:hAnsi="宋体" w:cs="仿宋_GB2312"/>
          <w:sz w:val="24"/>
        </w:rPr>
      </w:pPr>
      <w:r>
        <w:rPr>
          <w:rFonts w:hint="eastAsia" w:ascii="宋体" w:hAnsi="宋体" w:cs="仿宋_GB2312"/>
          <w:sz w:val="24"/>
        </w:rPr>
        <w:t>注：自然人竞标的无需提供。</w:t>
      </w:r>
    </w:p>
    <w:p w14:paraId="494B9426">
      <w:pPr>
        <w:adjustRightInd w:val="0"/>
        <w:snapToGrid w:val="0"/>
        <w:spacing w:line="300" w:lineRule="auto"/>
        <w:rPr>
          <w:rFonts w:hint="eastAsia" w:ascii="宋体" w:hAnsi="宋体" w:cs="宋体"/>
          <w:b/>
          <w:szCs w:val="21"/>
        </w:rPr>
      </w:pPr>
    </w:p>
    <w:p w14:paraId="4BE9E40F">
      <w:pPr>
        <w:pStyle w:val="12"/>
        <w:rPr>
          <w:rFonts w:hint="eastAsia"/>
          <w:color w:val="auto"/>
        </w:rPr>
      </w:pPr>
    </w:p>
    <w:p w14:paraId="4EFB3B0B">
      <w:pPr>
        <w:adjustRightInd w:val="0"/>
        <w:snapToGrid w:val="0"/>
        <w:spacing w:line="300" w:lineRule="auto"/>
        <w:rPr>
          <w:rFonts w:hint="eastAsia" w:ascii="宋体" w:hAnsi="宋体" w:cs="宋体"/>
          <w:b/>
          <w:szCs w:val="21"/>
        </w:rPr>
      </w:pPr>
    </w:p>
    <w:p w14:paraId="240C92B2">
      <w:pPr>
        <w:pStyle w:val="22"/>
        <w:ind w:firstLine="422"/>
        <w:rPr>
          <w:rFonts w:hint="eastAsia" w:ascii="宋体" w:hAnsi="宋体" w:cs="宋体"/>
          <w:b/>
          <w:szCs w:val="21"/>
        </w:rPr>
      </w:pPr>
    </w:p>
    <w:p w14:paraId="6FE8231C">
      <w:pPr>
        <w:rPr>
          <w:rFonts w:hint="eastAsia" w:ascii="宋体" w:hAnsi="宋体" w:cs="宋体"/>
          <w:b/>
          <w:szCs w:val="21"/>
        </w:rPr>
      </w:pPr>
    </w:p>
    <w:p w14:paraId="6E19BF20">
      <w:pPr>
        <w:pStyle w:val="22"/>
        <w:rPr>
          <w:rFonts w:hint="eastAsia"/>
        </w:rPr>
      </w:pPr>
    </w:p>
    <w:p w14:paraId="4DB055DF">
      <w:pPr>
        <w:rPr>
          <w:rFonts w:hint="eastAsia"/>
        </w:rPr>
      </w:pPr>
    </w:p>
    <w:p w14:paraId="78EBE98C">
      <w:pPr>
        <w:pStyle w:val="22"/>
        <w:rPr>
          <w:rFonts w:hint="eastAsia"/>
        </w:rPr>
      </w:pPr>
    </w:p>
    <w:p w14:paraId="45AB73FE">
      <w:pPr>
        <w:rPr>
          <w:rFonts w:hint="eastAsia"/>
        </w:rPr>
      </w:pPr>
    </w:p>
    <w:p w14:paraId="22B2FBA5">
      <w:pPr>
        <w:pStyle w:val="22"/>
        <w:rPr>
          <w:rFonts w:hint="eastAsia"/>
        </w:rPr>
      </w:pPr>
    </w:p>
    <w:p w14:paraId="55901AE7">
      <w:pPr>
        <w:pStyle w:val="5"/>
        <w:spacing w:before="156" w:after="156"/>
        <w:rPr>
          <w:rFonts w:hint="eastAsia"/>
        </w:rPr>
        <w:sectPr>
          <w:pgSz w:w="11906" w:h="16838"/>
          <w:pgMar w:top="1247" w:right="1247" w:bottom="1247" w:left="1247" w:header="851" w:footer="992" w:gutter="0"/>
          <w:pgNumType w:fmt="decimal"/>
          <w:cols w:space="720" w:num="1"/>
          <w:titlePg/>
          <w:docGrid w:type="lines" w:linePitch="312" w:charSpace="0"/>
        </w:sectPr>
      </w:pPr>
      <w:bookmarkStart w:id="51" w:name="_Toc31290"/>
    </w:p>
    <w:p w14:paraId="0D7A5743">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授权委托书</w:t>
      </w:r>
    </w:p>
    <w:p w14:paraId="51A6EFB9">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（如有委托时）</w:t>
      </w:r>
    </w:p>
    <w:p w14:paraId="7F44ADD3">
      <w:pPr>
        <w:spacing w:line="360" w:lineRule="auto"/>
        <w:contextualSpacing/>
        <w:rPr>
          <w:rFonts w:hint="eastAsia" w:ascii="仿宋_GB2312" w:hAnsi="仿宋_GB2312" w:eastAsia="仿宋_GB2312" w:cs="仿宋_GB2312"/>
          <w:sz w:val="32"/>
          <w:szCs w:val="32"/>
        </w:rPr>
      </w:pPr>
    </w:p>
    <w:p w14:paraId="41870866">
      <w:pPr>
        <w:spacing w:line="360" w:lineRule="auto"/>
        <w:contextualSpacing/>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6BD9239E">
      <w:pPr>
        <w:spacing w:line="360" w:lineRule="auto"/>
        <w:ind w:firstLine="480" w:firstLineChars="200"/>
        <w:contextualSpacing/>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w:t>
      </w:r>
      <w:r>
        <w:rPr>
          <w:rFonts w:hint="eastAsia" w:ascii="宋体" w:hAnsi="宋体" w:cs="宋体"/>
          <w:sz w:val="24"/>
          <w:u w:val="single"/>
        </w:rPr>
        <w:t xml:space="preserve">     </w:t>
      </w:r>
      <w:r>
        <w:rPr>
          <w:rFonts w:hint="eastAsia" w:ascii="宋体" w:hAnsi="宋体" w:cs="宋体"/>
          <w:sz w:val="24"/>
        </w:rPr>
        <w:t>分标</w:t>
      </w:r>
      <w:r>
        <w:rPr>
          <w:rFonts w:hint="eastAsia" w:ascii="宋体" w:hAnsi="宋体" w:cs="仿宋_GB2312"/>
          <w:sz w:val="24"/>
        </w:rPr>
        <w:t>的竞标活动，并代表我方全权办理针对上述项目的所有采购程序和环节的具体事务和签署相关文件。</w:t>
      </w:r>
    </w:p>
    <w:p w14:paraId="30A879DF">
      <w:pPr>
        <w:spacing w:line="360" w:lineRule="auto"/>
        <w:contextualSpacing/>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14:paraId="112BCF42">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0ECDEF19">
      <w:pPr>
        <w:spacing w:line="360" w:lineRule="auto"/>
        <w:ind w:firstLine="480" w:firstLineChars="200"/>
        <w:contextualSpacing/>
        <w:rPr>
          <w:rFonts w:hint="eastAsia" w:ascii="宋体" w:hAnsi="宋体" w:cs="仿宋_GB2312"/>
          <w:sz w:val="24"/>
        </w:rPr>
      </w:pPr>
      <w:r>
        <w:rPr>
          <w:rFonts w:hint="eastAsia" w:ascii="宋体" w:hAnsi="宋体" w:cs="仿宋_GB2312"/>
          <w:sz w:val="24"/>
        </w:rPr>
        <w:t>委托代理人无转委托权，特此委托。</w:t>
      </w:r>
    </w:p>
    <w:p w14:paraId="03677C93">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35754999">
      <w:pPr>
        <w:spacing w:line="360" w:lineRule="auto"/>
        <w:contextualSpacing/>
        <w:rPr>
          <w:rFonts w:hint="eastAsia" w:ascii="宋体" w:hAnsi="宋体" w:cs="仿宋_GB2312"/>
          <w:sz w:val="24"/>
        </w:rPr>
      </w:pPr>
    </w:p>
    <w:p w14:paraId="5823F1CD">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74C9B601">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14:paraId="361D6145">
      <w:pPr>
        <w:spacing w:line="360" w:lineRule="auto"/>
        <w:contextualSpacing/>
        <w:rPr>
          <w:rFonts w:hint="eastAsia" w:ascii="宋体" w:hAnsi="宋体" w:cs="仿宋_GB2312"/>
          <w:sz w:val="24"/>
        </w:rPr>
      </w:pPr>
      <w:r>
        <w:rPr>
          <w:rFonts w:hint="eastAsia" w:ascii="宋体" w:hAnsi="宋体" w:cs="仿宋_GB2312"/>
          <w:sz w:val="24"/>
        </w:rPr>
        <w:t xml:space="preserve">                                </w:t>
      </w:r>
    </w:p>
    <w:p w14:paraId="1CACFC51">
      <w:pPr>
        <w:spacing w:line="360" w:lineRule="auto"/>
        <w:contextualSpacing/>
        <w:rPr>
          <w:rFonts w:hint="eastAsia" w:ascii="宋体" w:hAnsi="宋体" w:cs="仿宋_GB2312"/>
          <w:sz w:val="24"/>
        </w:rPr>
      </w:pPr>
      <w:r>
        <w:rPr>
          <w:rFonts w:hint="eastAsia" w:ascii="宋体" w:hAnsi="宋体" w:cs="仿宋_GB2312"/>
          <w:sz w:val="24"/>
        </w:rPr>
        <w:t xml:space="preserve">                         供应商（电子签章）：                      </w:t>
      </w:r>
    </w:p>
    <w:p w14:paraId="0A5A6E44">
      <w:pPr>
        <w:spacing w:line="360" w:lineRule="auto"/>
        <w:contextualSpacing/>
        <w:rPr>
          <w:rFonts w:hint="eastAsia" w:ascii="宋体" w:hAnsi="宋体" w:cs="仿宋_GB2312"/>
          <w:sz w:val="24"/>
        </w:rPr>
      </w:pPr>
      <w:r>
        <w:rPr>
          <w:rFonts w:hint="eastAsia" w:ascii="宋体" w:hAnsi="宋体" w:cs="仿宋_GB2312"/>
          <w:sz w:val="24"/>
        </w:rPr>
        <w:t xml:space="preserve">                                         年    月    日</w:t>
      </w:r>
    </w:p>
    <w:p w14:paraId="0E5119C1">
      <w:pPr>
        <w:spacing w:line="360" w:lineRule="auto"/>
        <w:contextualSpacing/>
        <w:rPr>
          <w:rFonts w:hint="eastAsia" w:ascii="宋体" w:hAnsi="宋体" w:cs="仿宋_GB2312"/>
          <w:sz w:val="24"/>
        </w:rPr>
      </w:pPr>
    </w:p>
    <w:p w14:paraId="2BF5BD05">
      <w:pPr>
        <w:spacing w:line="360" w:lineRule="auto"/>
        <w:contextualSpacing/>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7C3ACAD3">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14:paraId="1AEF0E98">
      <w:pPr>
        <w:pStyle w:val="5"/>
        <w:spacing w:before="156" w:after="156"/>
        <w:rPr>
          <w:rFonts w:hint="eastAsia"/>
        </w:rPr>
        <w:sectPr>
          <w:pgSz w:w="11906" w:h="16838"/>
          <w:pgMar w:top="1247" w:right="1247" w:bottom="1247" w:left="1247" w:header="851" w:footer="992" w:gutter="0"/>
          <w:pgNumType w:fmt="decimal"/>
          <w:cols w:space="720" w:num="1"/>
          <w:titlePg/>
          <w:docGrid w:type="lines" w:linePitch="312" w:charSpace="0"/>
        </w:sectPr>
      </w:pPr>
    </w:p>
    <w:bookmarkEnd w:id="51"/>
    <w:p w14:paraId="3FA8ECDF">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商务要求偏离表格式</w:t>
      </w:r>
    </w:p>
    <w:tbl>
      <w:tblPr>
        <w:tblStyle w:val="23"/>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2342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E511758">
            <w:pPr>
              <w:snapToGrid w:val="0"/>
              <w:spacing w:before="156" w:beforeLines="50" w:line="360" w:lineRule="auto"/>
              <w:jc w:val="center"/>
              <w:rPr>
                <w:rFonts w:hint="eastAsia" w:ascii="宋体" w:hAnsi="宋体" w:cs="宋体"/>
                <w:szCs w:val="21"/>
              </w:rPr>
            </w:pPr>
            <w:r>
              <w:rPr>
                <w:rFonts w:hint="eastAsia" w:ascii="宋体" w:hAnsi="宋体" w:cs="宋体"/>
                <w:szCs w:val="21"/>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0374AC">
            <w:pPr>
              <w:snapToGrid w:val="0"/>
              <w:spacing w:before="156" w:beforeLines="50" w:line="360" w:lineRule="auto"/>
              <w:jc w:val="center"/>
              <w:rPr>
                <w:rFonts w:hint="eastAsia" w:ascii="宋体" w:hAnsi="宋体" w:cs="宋体"/>
                <w:szCs w:val="21"/>
              </w:rPr>
            </w:pPr>
            <w:r>
              <w:rPr>
                <w:rFonts w:hint="eastAsia" w:ascii="宋体" w:hAnsi="宋体" w:cs="宋体"/>
                <w:szCs w:val="21"/>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6D41899">
            <w:pPr>
              <w:snapToGrid w:val="0"/>
              <w:spacing w:before="156" w:beforeLines="50" w:line="360" w:lineRule="auto"/>
              <w:jc w:val="center"/>
              <w:rPr>
                <w:rFonts w:hint="eastAsia" w:ascii="宋体" w:hAnsi="宋体" w:cs="宋体"/>
                <w:szCs w:val="21"/>
              </w:rPr>
            </w:pPr>
            <w:r>
              <w:rPr>
                <w:rFonts w:hint="eastAsia" w:ascii="宋体" w:hAnsi="宋体" w:cs="宋体"/>
                <w:szCs w:val="21"/>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2D2A8E3">
            <w:pPr>
              <w:snapToGrid w:val="0"/>
              <w:spacing w:before="156" w:beforeLines="50" w:line="360" w:lineRule="auto"/>
              <w:jc w:val="center"/>
              <w:rPr>
                <w:rFonts w:hint="eastAsia" w:ascii="宋体" w:hAnsi="宋体" w:cs="宋体"/>
                <w:szCs w:val="21"/>
              </w:rPr>
            </w:pPr>
            <w:r>
              <w:rPr>
                <w:rFonts w:hint="eastAsia" w:ascii="宋体" w:hAnsi="宋体" w:cs="宋体"/>
                <w:szCs w:val="21"/>
              </w:rPr>
              <w:t>偏离说明</w:t>
            </w:r>
          </w:p>
        </w:tc>
      </w:tr>
      <w:tr w14:paraId="0639E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98F8263">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AFF930">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3630B9C">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DDC9B71">
            <w:pPr>
              <w:snapToGrid w:val="0"/>
              <w:spacing w:before="156" w:beforeLines="50" w:line="360" w:lineRule="auto"/>
              <w:jc w:val="center"/>
              <w:rPr>
                <w:rFonts w:hint="eastAsia" w:ascii="宋体" w:hAnsi="宋体" w:cs="宋体"/>
                <w:szCs w:val="21"/>
              </w:rPr>
            </w:pPr>
          </w:p>
        </w:tc>
      </w:tr>
      <w:tr w14:paraId="593C4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DA62D6D">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040612">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57B99C9">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5F8D9A9">
            <w:pPr>
              <w:snapToGrid w:val="0"/>
              <w:spacing w:before="156" w:beforeLines="50" w:line="360" w:lineRule="auto"/>
              <w:ind w:left="43"/>
              <w:jc w:val="center"/>
              <w:rPr>
                <w:rFonts w:hint="eastAsia" w:ascii="宋体" w:hAnsi="宋体" w:cs="宋体"/>
                <w:szCs w:val="21"/>
              </w:rPr>
            </w:pPr>
          </w:p>
        </w:tc>
      </w:tr>
      <w:tr w14:paraId="73A6F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2D52AE6D">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DDD7C31">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6E26FC4">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7E25CBE">
            <w:pPr>
              <w:snapToGrid w:val="0"/>
              <w:spacing w:before="156" w:beforeLines="50" w:line="360" w:lineRule="auto"/>
              <w:ind w:left="43"/>
              <w:jc w:val="center"/>
              <w:rPr>
                <w:rFonts w:hint="eastAsia" w:ascii="宋体" w:hAnsi="宋体" w:cs="宋体"/>
                <w:szCs w:val="21"/>
              </w:rPr>
            </w:pPr>
          </w:p>
        </w:tc>
      </w:tr>
      <w:tr w14:paraId="225E9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FD8724E">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186071">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87C72BE">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CDF36DC">
            <w:pPr>
              <w:snapToGrid w:val="0"/>
              <w:spacing w:before="156" w:beforeLines="50" w:line="360" w:lineRule="auto"/>
              <w:ind w:left="43"/>
              <w:jc w:val="center"/>
              <w:rPr>
                <w:rFonts w:hint="eastAsia" w:ascii="宋体" w:hAnsi="宋体" w:cs="宋体"/>
                <w:szCs w:val="21"/>
              </w:rPr>
            </w:pPr>
          </w:p>
        </w:tc>
      </w:tr>
      <w:tr w14:paraId="36124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720A78A">
            <w:pPr>
              <w:snapToGrid w:val="0"/>
              <w:spacing w:line="300" w:lineRule="exact"/>
              <w:ind w:firstLine="210" w:firstLineChars="100"/>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91C625">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BC51308">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ED01F05">
            <w:pPr>
              <w:snapToGrid w:val="0"/>
              <w:spacing w:before="156" w:beforeLines="50" w:line="360" w:lineRule="auto"/>
              <w:ind w:left="43"/>
              <w:jc w:val="center"/>
              <w:rPr>
                <w:rFonts w:hint="eastAsia" w:ascii="宋体" w:hAnsi="宋体" w:cs="宋体"/>
                <w:szCs w:val="21"/>
              </w:rPr>
            </w:pPr>
          </w:p>
        </w:tc>
      </w:tr>
      <w:tr w14:paraId="25BE5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FE9AF3A">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398085B">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749D3E2">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77830BD">
            <w:pPr>
              <w:snapToGrid w:val="0"/>
              <w:spacing w:before="156" w:beforeLines="50" w:line="360" w:lineRule="auto"/>
              <w:ind w:left="43"/>
              <w:jc w:val="center"/>
              <w:rPr>
                <w:rFonts w:hint="eastAsia" w:ascii="宋体" w:hAnsi="宋体" w:cs="宋体"/>
                <w:szCs w:val="21"/>
              </w:rPr>
            </w:pPr>
          </w:p>
        </w:tc>
      </w:tr>
      <w:tr w14:paraId="4EAB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1BA48CCD">
            <w:pPr>
              <w:spacing w:line="300" w:lineRule="atLeast"/>
              <w:jc w:val="center"/>
              <w:rPr>
                <w:rFonts w:hint="eastAsia" w:ascii="宋体" w:hAnsi="宋体" w:cs="宋体"/>
                <w:szCs w:val="21"/>
              </w:rPr>
            </w:pPr>
            <w:r>
              <w:rPr>
                <w:rFonts w:ascii="宋体" w:hAnsi="宋体" w:cs="宋体"/>
                <w:szCs w:val="21"/>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7776546">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795F36">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9DDEC0C">
            <w:pPr>
              <w:snapToGrid w:val="0"/>
              <w:spacing w:before="156" w:beforeLines="50" w:line="360" w:lineRule="auto"/>
              <w:ind w:left="43"/>
              <w:jc w:val="center"/>
              <w:rPr>
                <w:rFonts w:hint="eastAsia" w:ascii="宋体" w:hAnsi="宋体" w:cs="宋体"/>
                <w:szCs w:val="21"/>
              </w:rPr>
            </w:pPr>
          </w:p>
        </w:tc>
      </w:tr>
      <w:tr w14:paraId="1774A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9834164">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FF65D2C">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06AE5C2">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5DAA4A7">
            <w:pPr>
              <w:snapToGrid w:val="0"/>
              <w:spacing w:before="156" w:beforeLines="50" w:line="360" w:lineRule="auto"/>
              <w:ind w:left="43"/>
              <w:jc w:val="center"/>
              <w:rPr>
                <w:rFonts w:hint="eastAsia" w:ascii="宋体" w:hAnsi="宋体" w:cs="宋体"/>
                <w:szCs w:val="21"/>
              </w:rPr>
            </w:pPr>
          </w:p>
        </w:tc>
      </w:tr>
      <w:tr w14:paraId="72AA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C91F3C8">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F9885FA">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9FE5FD">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2EFCBAD">
            <w:pPr>
              <w:snapToGrid w:val="0"/>
              <w:spacing w:before="156" w:beforeLines="50" w:line="360" w:lineRule="auto"/>
              <w:ind w:left="43"/>
              <w:jc w:val="center"/>
              <w:rPr>
                <w:rFonts w:hint="eastAsia" w:ascii="宋体" w:hAnsi="宋体" w:cs="宋体"/>
                <w:szCs w:val="21"/>
              </w:rPr>
            </w:pPr>
          </w:p>
        </w:tc>
      </w:tr>
      <w:tr w14:paraId="6B3ED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BC176E6">
            <w:pPr>
              <w:snapToGrid w:val="0"/>
              <w:spacing w:line="300" w:lineRule="exact"/>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1B84CA">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BCD2A1">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A81E36">
            <w:pPr>
              <w:snapToGrid w:val="0"/>
              <w:spacing w:before="156" w:beforeLines="50" w:line="360" w:lineRule="auto"/>
              <w:ind w:left="43"/>
              <w:jc w:val="center"/>
              <w:rPr>
                <w:rFonts w:hint="eastAsia" w:ascii="宋体" w:hAnsi="宋体" w:cs="宋体"/>
                <w:szCs w:val="21"/>
              </w:rPr>
            </w:pPr>
          </w:p>
        </w:tc>
      </w:tr>
      <w:tr w14:paraId="1D654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1A1F8AB9">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7E13E14">
            <w:pPr>
              <w:snapToGrid w:val="0"/>
              <w:spacing w:before="156" w:beforeLines="50" w:line="360" w:lineRule="auto"/>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FAC2F58">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EAED35A">
            <w:pPr>
              <w:snapToGrid w:val="0"/>
              <w:spacing w:before="156" w:beforeLines="50" w:line="360" w:lineRule="auto"/>
              <w:jc w:val="center"/>
              <w:rPr>
                <w:rFonts w:hint="eastAsia" w:ascii="宋体" w:hAnsi="宋体" w:cs="宋体"/>
                <w:szCs w:val="21"/>
              </w:rPr>
            </w:pPr>
          </w:p>
        </w:tc>
      </w:tr>
    </w:tbl>
    <w:p w14:paraId="36814C55">
      <w:pPr>
        <w:pStyle w:val="10"/>
        <w:spacing w:line="360" w:lineRule="auto"/>
        <w:contextualSpacing/>
        <w:rPr>
          <w:rFonts w:hint="eastAsia" w:ascii="宋体" w:hAnsi="宋体"/>
          <w:kern w:val="0"/>
        </w:rPr>
      </w:pPr>
      <w:r>
        <w:rPr>
          <w:rFonts w:hint="eastAsia" w:ascii="宋体" w:hAnsi="宋体"/>
          <w:kern w:val="0"/>
        </w:rPr>
        <w:t>注：</w:t>
      </w:r>
    </w:p>
    <w:p w14:paraId="4347D0CF">
      <w:pPr>
        <w:spacing w:line="360" w:lineRule="auto"/>
        <w:contextualSpacing/>
        <w:rPr>
          <w:rFonts w:ascii="宋体" w:hAnsi="宋体"/>
          <w:kern w:val="0"/>
          <w:sz w:val="24"/>
        </w:rPr>
      </w:pPr>
      <w:r>
        <w:rPr>
          <w:rFonts w:hint="eastAsia" w:ascii="宋体" w:hAnsi="宋体"/>
          <w:kern w:val="0"/>
          <w:sz w:val="24"/>
        </w:rPr>
        <w:t>1. 说明：应对照谈判文件“第三章 采购需求”中的商务要求逐条明确响应，并作出偏离说明。</w:t>
      </w:r>
    </w:p>
    <w:p w14:paraId="5DEF3E16">
      <w:pPr>
        <w:spacing w:line="360" w:lineRule="auto"/>
        <w:contextualSpacing/>
        <w:rPr>
          <w:rFonts w:hint="eastAsia" w:ascii="宋体" w:hAnsi="宋体"/>
          <w:kern w:val="0"/>
          <w:sz w:val="24"/>
        </w:rPr>
      </w:pPr>
      <w:r>
        <w:rPr>
          <w:rFonts w:hint="eastAsia" w:ascii="宋体" w:hAnsi="宋体"/>
          <w:kern w:val="0"/>
          <w:sz w:val="24"/>
        </w:rPr>
        <w:t>2.供应商应根据自身的承诺，对照谈判文件要求在“偏离说明”中注明“正偏离”、“负偏离”或者“无偏离”。既不属于“正偏离”也不属于“负偏离”即为“无偏离”。</w:t>
      </w:r>
    </w:p>
    <w:p w14:paraId="3DA2F177">
      <w:pPr>
        <w:spacing w:line="360" w:lineRule="auto"/>
        <w:contextualSpacing/>
        <w:jc w:val="left"/>
        <w:rPr>
          <w:rFonts w:hint="eastAsia" w:ascii="宋体" w:hAnsi="宋体" w:cs="仿宋_GB2312"/>
          <w:sz w:val="24"/>
          <w:u w:val="single"/>
        </w:rPr>
      </w:pPr>
    </w:p>
    <w:p w14:paraId="1850274D">
      <w:pPr>
        <w:spacing w:line="360" w:lineRule="auto"/>
        <w:contextualSpacing/>
        <w:jc w:val="left"/>
        <w:rPr>
          <w:rFonts w:hint="eastAsia" w:ascii="宋体" w:hAnsi="宋体" w:cs="仿宋_GB2312"/>
          <w:sz w:val="24"/>
          <w:u w:val="single"/>
        </w:rPr>
      </w:pPr>
    </w:p>
    <w:p w14:paraId="5FE0B307">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284DFBC9">
      <w:pPr>
        <w:spacing w:line="360" w:lineRule="auto"/>
        <w:ind w:right="-817" w:rightChars="-389" w:firstLine="2880" w:firstLineChars="1200"/>
        <w:contextualSpacing/>
        <w:rPr>
          <w:rFonts w:ascii="宋体" w:hAnsi="宋体" w:cs="仿宋_GB2312"/>
          <w:sz w:val="24"/>
        </w:rPr>
      </w:pPr>
      <w:r>
        <w:rPr>
          <w:rFonts w:hint="eastAsia" w:ascii="宋体" w:hAnsi="宋体" w:cs="仿宋_GB2312"/>
          <w:sz w:val="24"/>
        </w:rPr>
        <w:t xml:space="preserve">供应商（电子签章）：      </w:t>
      </w:r>
    </w:p>
    <w:p w14:paraId="2E1A5BCB">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0A6B9A37">
      <w:pPr>
        <w:rPr>
          <w:rFonts w:hint="eastAsia" w:ascii="宋体" w:hAnsi="宋体" w:cs="宋体"/>
          <w:b/>
          <w:bCs/>
          <w:sz w:val="30"/>
          <w:szCs w:val="30"/>
        </w:rPr>
      </w:pPr>
      <w:r>
        <w:rPr>
          <w:rFonts w:hint="eastAsia" w:ascii="宋体" w:hAnsi="宋体" w:cs="宋体"/>
          <w:b/>
          <w:bCs/>
          <w:sz w:val="30"/>
          <w:szCs w:val="30"/>
        </w:rPr>
        <w:br w:type="page"/>
      </w:r>
    </w:p>
    <w:p w14:paraId="1E46D5BC">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服务承诺</w:t>
      </w:r>
    </w:p>
    <w:p w14:paraId="23B10811">
      <w:pPr>
        <w:spacing w:line="360" w:lineRule="exact"/>
        <w:rPr>
          <w:rFonts w:hint="eastAsia" w:ascii="宋体" w:hAnsi="宋体" w:cs="宋体"/>
        </w:rPr>
      </w:pPr>
    </w:p>
    <w:p w14:paraId="655F6B0D">
      <w:pPr>
        <w:spacing w:line="360" w:lineRule="auto"/>
        <w:contextualSpacing/>
        <w:jc w:val="center"/>
        <w:rPr>
          <w:rFonts w:hint="eastAsia" w:ascii="宋体" w:hAnsi="宋体"/>
          <w:b/>
          <w:bCs/>
          <w:kern w:val="0"/>
          <w:sz w:val="24"/>
        </w:rPr>
      </w:pPr>
      <w:r>
        <w:rPr>
          <w:rFonts w:hint="eastAsia" w:ascii="宋体" w:hAnsi="宋体"/>
          <w:b/>
          <w:bCs/>
          <w:kern w:val="0"/>
          <w:sz w:val="24"/>
        </w:rPr>
        <w:t>【由谈判供应商自行填写，提供切实可行的服务承诺】</w:t>
      </w:r>
    </w:p>
    <w:p w14:paraId="1776918D">
      <w:pPr>
        <w:spacing w:line="300" w:lineRule="auto"/>
        <w:ind w:left="420" w:hanging="420"/>
        <w:jc w:val="center"/>
        <w:rPr>
          <w:rFonts w:hint="eastAsia" w:ascii="宋体" w:hAnsi="宋体" w:cs="宋体"/>
          <w:b/>
          <w:kern w:val="0"/>
          <w:sz w:val="32"/>
          <w:szCs w:val="32"/>
        </w:rPr>
      </w:pPr>
    </w:p>
    <w:p w14:paraId="337F95BE">
      <w:pPr>
        <w:pStyle w:val="14"/>
        <w:adjustRightInd w:val="0"/>
        <w:snapToGrid w:val="0"/>
        <w:jc w:val="center"/>
        <w:rPr>
          <w:rFonts w:hint="eastAsia" w:hAnsi="宋体" w:cs="宋体"/>
          <w:u w:val="single"/>
        </w:rPr>
      </w:pPr>
    </w:p>
    <w:p w14:paraId="5335E15D">
      <w:pPr>
        <w:pStyle w:val="14"/>
        <w:adjustRightInd w:val="0"/>
        <w:snapToGrid w:val="0"/>
        <w:jc w:val="center"/>
        <w:rPr>
          <w:rFonts w:hint="eastAsia" w:hAnsi="宋体" w:cs="宋体"/>
          <w:u w:val="single"/>
        </w:rPr>
      </w:pPr>
    </w:p>
    <w:p w14:paraId="2B46DE32">
      <w:pPr>
        <w:pStyle w:val="14"/>
        <w:adjustRightInd w:val="0"/>
        <w:snapToGrid w:val="0"/>
        <w:jc w:val="center"/>
        <w:rPr>
          <w:rFonts w:hint="eastAsia" w:hAnsi="宋体" w:cs="宋体"/>
          <w:u w:val="single"/>
        </w:rPr>
      </w:pPr>
    </w:p>
    <w:p w14:paraId="607E5B37">
      <w:pPr>
        <w:pStyle w:val="14"/>
        <w:adjustRightInd w:val="0"/>
        <w:snapToGrid w:val="0"/>
        <w:jc w:val="center"/>
        <w:rPr>
          <w:rFonts w:hint="eastAsia" w:hAnsi="宋体" w:cs="宋体"/>
          <w:u w:val="single"/>
        </w:rPr>
      </w:pPr>
    </w:p>
    <w:p w14:paraId="7C57D8B2">
      <w:pPr>
        <w:pStyle w:val="14"/>
        <w:adjustRightInd w:val="0"/>
        <w:snapToGrid w:val="0"/>
        <w:jc w:val="center"/>
        <w:rPr>
          <w:rFonts w:hint="eastAsia" w:hAnsi="宋体" w:cs="宋体"/>
          <w:u w:val="single"/>
        </w:rPr>
      </w:pPr>
    </w:p>
    <w:p w14:paraId="5894B51D">
      <w:pPr>
        <w:pStyle w:val="14"/>
        <w:adjustRightInd w:val="0"/>
        <w:snapToGrid w:val="0"/>
        <w:jc w:val="center"/>
        <w:rPr>
          <w:rFonts w:hint="eastAsia" w:hAnsi="宋体" w:cs="宋体"/>
          <w:u w:val="single"/>
        </w:rPr>
      </w:pPr>
    </w:p>
    <w:p w14:paraId="1005B894">
      <w:pPr>
        <w:pStyle w:val="14"/>
        <w:adjustRightInd w:val="0"/>
        <w:snapToGrid w:val="0"/>
        <w:jc w:val="center"/>
        <w:rPr>
          <w:rFonts w:hint="eastAsia" w:hAnsi="宋体" w:cs="宋体"/>
          <w:u w:val="single"/>
        </w:rPr>
      </w:pPr>
    </w:p>
    <w:p w14:paraId="3461EEFE">
      <w:pPr>
        <w:pStyle w:val="14"/>
        <w:adjustRightInd w:val="0"/>
        <w:snapToGrid w:val="0"/>
        <w:jc w:val="center"/>
        <w:rPr>
          <w:rFonts w:hint="eastAsia" w:hAnsi="宋体" w:cs="宋体"/>
          <w:u w:val="single"/>
        </w:rPr>
      </w:pPr>
    </w:p>
    <w:p w14:paraId="35A245DC">
      <w:pPr>
        <w:pStyle w:val="14"/>
        <w:adjustRightInd w:val="0"/>
        <w:snapToGrid w:val="0"/>
        <w:jc w:val="center"/>
        <w:rPr>
          <w:rFonts w:hint="eastAsia" w:hAnsi="宋体" w:cs="宋体"/>
          <w:u w:val="single"/>
        </w:rPr>
      </w:pPr>
    </w:p>
    <w:p w14:paraId="760AE71D">
      <w:pPr>
        <w:pStyle w:val="14"/>
        <w:adjustRightInd w:val="0"/>
        <w:snapToGrid w:val="0"/>
        <w:jc w:val="center"/>
        <w:rPr>
          <w:rFonts w:hint="eastAsia" w:hAnsi="宋体" w:cs="宋体"/>
          <w:u w:val="single"/>
        </w:rPr>
      </w:pPr>
    </w:p>
    <w:p w14:paraId="3EB4D622">
      <w:pPr>
        <w:pStyle w:val="14"/>
        <w:adjustRightInd w:val="0"/>
        <w:snapToGrid w:val="0"/>
        <w:jc w:val="center"/>
        <w:rPr>
          <w:rFonts w:hint="eastAsia" w:hAnsi="宋体" w:cs="宋体"/>
          <w:u w:val="single"/>
        </w:rPr>
      </w:pPr>
    </w:p>
    <w:p w14:paraId="382B475D">
      <w:pPr>
        <w:pStyle w:val="14"/>
        <w:adjustRightInd w:val="0"/>
        <w:snapToGrid w:val="0"/>
        <w:jc w:val="center"/>
        <w:rPr>
          <w:rFonts w:hint="eastAsia" w:hAnsi="宋体" w:cs="宋体"/>
          <w:u w:val="single"/>
        </w:rPr>
      </w:pPr>
    </w:p>
    <w:p w14:paraId="6C7A218C">
      <w:pPr>
        <w:pStyle w:val="14"/>
        <w:adjustRightInd w:val="0"/>
        <w:snapToGrid w:val="0"/>
        <w:jc w:val="center"/>
        <w:rPr>
          <w:rFonts w:hint="eastAsia" w:hAnsi="宋体" w:cs="宋体"/>
          <w:u w:val="single"/>
        </w:rPr>
      </w:pPr>
    </w:p>
    <w:p w14:paraId="05F93627">
      <w:pPr>
        <w:pStyle w:val="14"/>
        <w:adjustRightInd w:val="0"/>
        <w:snapToGrid w:val="0"/>
        <w:jc w:val="center"/>
        <w:rPr>
          <w:rFonts w:hint="eastAsia" w:hAnsi="宋体" w:cs="宋体"/>
          <w:u w:val="single"/>
        </w:rPr>
      </w:pPr>
    </w:p>
    <w:p w14:paraId="19B99E5C">
      <w:pPr>
        <w:pStyle w:val="14"/>
        <w:adjustRightInd w:val="0"/>
        <w:snapToGrid w:val="0"/>
        <w:jc w:val="center"/>
        <w:rPr>
          <w:rFonts w:hint="eastAsia" w:hAnsi="宋体" w:cs="宋体"/>
          <w:u w:val="single"/>
        </w:rPr>
      </w:pPr>
    </w:p>
    <w:p w14:paraId="330CED41">
      <w:pPr>
        <w:pStyle w:val="14"/>
        <w:adjustRightInd w:val="0"/>
        <w:snapToGrid w:val="0"/>
        <w:jc w:val="center"/>
        <w:rPr>
          <w:rFonts w:hint="eastAsia" w:hAnsi="宋体" w:cs="宋体"/>
          <w:u w:val="single"/>
        </w:rPr>
      </w:pPr>
    </w:p>
    <w:p w14:paraId="1CE5DD87">
      <w:pPr>
        <w:pStyle w:val="14"/>
        <w:adjustRightInd w:val="0"/>
        <w:snapToGrid w:val="0"/>
        <w:jc w:val="center"/>
        <w:rPr>
          <w:rFonts w:hint="eastAsia" w:hAnsi="宋体" w:cs="宋体"/>
          <w:u w:val="single"/>
        </w:rPr>
      </w:pPr>
    </w:p>
    <w:p w14:paraId="08C0C927">
      <w:pPr>
        <w:pStyle w:val="14"/>
        <w:adjustRightInd w:val="0"/>
        <w:snapToGrid w:val="0"/>
        <w:jc w:val="center"/>
        <w:rPr>
          <w:rFonts w:hint="eastAsia" w:hAnsi="宋体" w:cs="宋体"/>
          <w:u w:val="single"/>
        </w:rPr>
      </w:pPr>
    </w:p>
    <w:p w14:paraId="73E94BA2">
      <w:pPr>
        <w:pStyle w:val="14"/>
        <w:adjustRightInd w:val="0"/>
        <w:snapToGrid w:val="0"/>
        <w:jc w:val="center"/>
        <w:rPr>
          <w:rFonts w:hint="eastAsia" w:hAnsi="宋体" w:cs="宋体"/>
          <w:u w:val="single"/>
        </w:rPr>
      </w:pPr>
    </w:p>
    <w:p w14:paraId="2EB15111">
      <w:pPr>
        <w:pStyle w:val="14"/>
        <w:adjustRightInd w:val="0"/>
        <w:snapToGrid w:val="0"/>
        <w:jc w:val="center"/>
        <w:rPr>
          <w:rFonts w:hint="eastAsia" w:hAnsi="宋体" w:cs="宋体"/>
          <w:u w:val="single"/>
        </w:rPr>
      </w:pPr>
    </w:p>
    <w:p w14:paraId="4288B91E">
      <w:pPr>
        <w:pStyle w:val="14"/>
        <w:adjustRightInd w:val="0"/>
        <w:snapToGrid w:val="0"/>
        <w:jc w:val="center"/>
        <w:rPr>
          <w:rFonts w:hint="eastAsia" w:hAnsi="宋体" w:cs="宋体"/>
          <w:u w:val="single"/>
        </w:rPr>
      </w:pPr>
    </w:p>
    <w:p w14:paraId="3154ADEC">
      <w:pPr>
        <w:pStyle w:val="14"/>
        <w:adjustRightInd w:val="0"/>
        <w:snapToGrid w:val="0"/>
        <w:jc w:val="center"/>
        <w:rPr>
          <w:rFonts w:hint="eastAsia" w:hAnsi="宋体" w:cs="宋体"/>
          <w:u w:val="single"/>
        </w:rPr>
      </w:pPr>
    </w:p>
    <w:p w14:paraId="61105BBE">
      <w:pPr>
        <w:pStyle w:val="14"/>
        <w:adjustRightInd w:val="0"/>
        <w:snapToGrid w:val="0"/>
        <w:rPr>
          <w:rFonts w:hint="eastAsia" w:hAnsi="宋体" w:cs="宋体"/>
          <w:u w:val="single"/>
        </w:rPr>
      </w:pPr>
    </w:p>
    <w:p w14:paraId="28C6F76D">
      <w:pPr>
        <w:spacing w:line="600" w:lineRule="exact"/>
        <w:rPr>
          <w:rFonts w:hint="eastAsia" w:ascii="宋体" w:hAnsi="宋体" w:cs="宋体"/>
          <w:b/>
          <w:bCs/>
          <w:sz w:val="32"/>
        </w:rPr>
      </w:pPr>
    </w:p>
    <w:p w14:paraId="467D50C9">
      <w:pPr>
        <w:spacing w:line="600" w:lineRule="exact"/>
        <w:rPr>
          <w:rFonts w:hint="eastAsia" w:ascii="宋体" w:hAnsi="宋体" w:cs="宋体"/>
          <w:b/>
          <w:bCs/>
          <w:sz w:val="32"/>
        </w:rPr>
      </w:pPr>
    </w:p>
    <w:p w14:paraId="3C7F68D8">
      <w:pPr>
        <w:spacing w:line="600" w:lineRule="exact"/>
        <w:rPr>
          <w:rFonts w:hint="eastAsia" w:ascii="宋体" w:hAnsi="宋体" w:cs="宋体"/>
          <w:b/>
          <w:bCs/>
          <w:sz w:val="32"/>
        </w:rPr>
      </w:pPr>
    </w:p>
    <w:p w14:paraId="6D78DD51">
      <w:pPr>
        <w:spacing w:line="600" w:lineRule="exact"/>
        <w:rPr>
          <w:rFonts w:hint="eastAsia" w:ascii="宋体" w:hAnsi="宋体" w:cs="宋体"/>
          <w:b/>
          <w:bCs/>
          <w:sz w:val="32"/>
        </w:rPr>
      </w:pPr>
    </w:p>
    <w:p w14:paraId="148008EB">
      <w:pPr>
        <w:spacing w:line="600" w:lineRule="exact"/>
        <w:rPr>
          <w:rFonts w:hint="eastAsia" w:ascii="宋体" w:hAnsi="宋体" w:cs="宋体"/>
          <w:b/>
          <w:bCs/>
          <w:sz w:val="32"/>
        </w:rPr>
      </w:pPr>
    </w:p>
    <w:p w14:paraId="4757DA49">
      <w:pPr>
        <w:spacing w:line="600" w:lineRule="exact"/>
        <w:rPr>
          <w:rFonts w:hint="eastAsia" w:ascii="宋体" w:hAnsi="宋体" w:cs="宋体"/>
          <w:b/>
          <w:bCs/>
          <w:sz w:val="32"/>
        </w:rPr>
      </w:pPr>
    </w:p>
    <w:p w14:paraId="6382D605">
      <w:pPr>
        <w:spacing w:line="600" w:lineRule="exact"/>
        <w:rPr>
          <w:rFonts w:hint="eastAsia" w:ascii="宋体" w:hAnsi="宋体" w:cs="宋体"/>
          <w:b/>
          <w:bCs/>
          <w:sz w:val="32"/>
        </w:rPr>
      </w:pPr>
    </w:p>
    <w:p w14:paraId="419EA173">
      <w:pPr>
        <w:spacing w:line="300" w:lineRule="auto"/>
        <w:rPr>
          <w:rFonts w:hint="eastAsia" w:ascii="宋体" w:hAnsi="宋体" w:cs="宋体"/>
          <w:b/>
          <w:szCs w:val="21"/>
        </w:rPr>
      </w:pPr>
    </w:p>
    <w:p w14:paraId="4DB96D1B">
      <w:pPr>
        <w:spacing w:line="300" w:lineRule="auto"/>
        <w:rPr>
          <w:rFonts w:hint="eastAsia"/>
        </w:rPr>
      </w:pPr>
      <w:bookmarkStart w:id="52" w:name="_Toc31356"/>
    </w:p>
    <w:bookmarkEnd w:id="52"/>
    <w:p w14:paraId="1B955E5E">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7EE07257">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技术要求偏离表</w:t>
      </w:r>
    </w:p>
    <w:p w14:paraId="16E0E267">
      <w:pPr>
        <w:spacing w:line="520" w:lineRule="exact"/>
        <w:rPr>
          <w:rFonts w:hint="eastAsia" w:ascii="仿宋_GB2312" w:hAnsi="仿宋_GB2312" w:eastAsia="仿宋_GB2312" w:cs="仿宋_GB2312"/>
          <w:sz w:val="32"/>
          <w:szCs w:val="32"/>
        </w:rPr>
      </w:pPr>
    </w:p>
    <w:p w14:paraId="12815CA0">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5F37F306">
      <w:pPr>
        <w:spacing w:line="360" w:lineRule="auto"/>
        <w:rPr>
          <w:rFonts w:hint="eastAsia" w:ascii="宋体" w:hAnsi="宋体" w:cs="仿宋_GB2312"/>
          <w:sz w:val="24"/>
          <w:u w:val="single"/>
        </w:rPr>
      </w:pPr>
      <w:r>
        <w:rPr>
          <w:rFonts w:hint="eastAsia" w:ascii="宋体" w:hAnsi="宋体" w:cs="仿宋_GB2312"/>
          <w:sz w:val="24"/>
        </w:rPr>
        <w:t>采购项目名称：</w:t>
      </w:r>
      <w:r>
        <w:rPr>
          <w:rFonts w:hint="eastAsia" w:ascii="宋体" w:hAnsi="宋体" w:cs="仿宋_GB2312"/>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3"/>
        <w:gridCol w:w="1005"/>
        <w:gridCol w:w="3328"/>
        <w:gridCol w:w="2994"/>
        <w:gridCol w:w="1632"/>
      </w:tblGrid>
      <w:tr w14:paraId="11409A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5C6A09A1">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序号</w:t>
            </w:r>
          </w:p>
        </w:tc>
        <w:tc>
          <w:tcPr>
            <w:tcW w:w="971" w:type="dxa"/>
            <w:tcBorders>
              <w:right w:val="single" w:color="auto" w:sz="4" w:space="0"/>
            </w:tcBorders>
            <w:noWrap w:val="0"/>
            <w:vAlign w:val="center"/>
          </w:tcPr>
          <w:p w14:paraId="65261DB7">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名称</w:t>
            </w:r>
          </w:p>
        </w:tc>
        <w:tc>
          <w:tcPr>
            <w:tcW w:w="3216" w:type="dxa"/>
            <w:tcBorders>
              <w:left w:val="single" w:color="auto" w:sz="4" w:space="0"/>
            </w:tcBorders>
            <w:noWrap w:val="0"/>
            <w:vAlign w:val="center"/>
          </w:tcPr>
          <w:p w14:paraId="4902BD01">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谈判文件要求</w:t>
            </w:r>
          </w:p>
        </w:tc>
        <w:tc>
          <w:tcPr>
            <w:tcW w:w="2894" w:type="dxa"/>
            <w:noWrap w:val="0"/>
            <w:vAlign w:val="center"/>
          </w:tcPr>
          <w:p w14:paraId="3C64BF0B">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竞标响应</w:t>
            </w:r>
          </w:p>
        </w:tc>
        <w:tc>
          <w:tcPr>
            <w:tcW w:w="1577" w:type="dxa"/>
            <w:noWrap w:val="0"/>
            <w:vAlign w:val="center"/>
          </w:tcPr>
          <w:p w14:paraId="2D076733">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偏离说明</w:t>
            </w:r>
          </w:p>
        </w:tc>
      </w:tr>
      <w:tr w14:paraId="3E1CCF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1D2166AB">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p>
        </w:tc>
        <w:tc>
          <w:tcPr>
            <w:tcW w:w="971" w:type="dxa"/>
            <w:tcBorders>
              <w:right w:val="single" w:color="auto" w:sz="4" w:space="0"/>
            </w:tcBorders>
            <w:noWrap w:val="0"/>
            <w:vAlign w:val="center"/>
          </w:tcPr>
          <w:p w14:paraId="2A69F669">
            <w:pPr>
              <w:pStyle w:val="8"/>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6193A9E8">
            <w:pPr>
              <w:pStyle w:val="8"/>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42B88615">
            <w:pPr>
              <w:pStyle w:val="8"/>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539C1630">
            <w:pPr>
              <w:pStyle w:val="8"/>
              <w:spacing w:line="360" w:lineRule="auto"/>
              <w:ind w:firstLine="0" w:firstLineChars="0"/>
              <w:jc w:val="center"/>
              <w:rPr>
                <w:rFonts w:hint="eastAsia" w:ascii="宋体" w:hAnsi="宋体" w:eastAsia="宋体" w:cs="仿宋_GB2312"/>
                <w:sz w:val="24"/>
                <w:szCs w:val="24"/>
                <w:lang w:val="en-US" w:eastAsia="zh-CN"/>
              </w:rPr>
            </w:pPr>
          </w:p>
        </w:tc>
      </w:tr>
      <w:tr w14:paraId="102D4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56DB8DF1">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w:t>
            </w:r>
          </w:p>
        </w:tc>
        <w:tc>
          <w:tcPr>
            <w:tcW w:w="971" w:type="dxa"/>
            <w:tcBorders>
              <w:right w:val="single" w:color="auto" w:sz="4" w:space="0"/>
            </w:tcBorders>
            <w:noWrap w:val="0"/>
            <w:vAlign w:val="center"/>
          </w:tcPr>
          <w:p w14:paraId="07EC52B3">
            <w:pPr>
              <w:pStyle w:val="8"/>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0083B0BE">
            <w:pPr>
              <w:pStyle w:val="8"/>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6404C95E">
            <w:pPr>
              <w:pStyle w:val="8"/>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70503424">
            <w:pPr>
              <w:pStyle w:val="8"/>
              <w:spacing w:line="360" w:lineRule="auto"/>
              <w:ind w:firstLine="0" w:firstLineChars="0"/>
              <w:jc w:val="center"/>
              <w:rPr>
                <w:rFonts w:hint="eastAsia" w:ascii="宋体" w:hAnsi="宋体" w:eastAsia="宋体" w:cs="仿宋_GB2312"/>
                <w:sz w:val="24"/>
                <w:szCs w:val="24"/>
                <w:lang w:val="en-US" w:eastAsia="zh-CN"/>
              </w:rPr>
            </w:pPr>
          </w:p>
        </w:tc>
      </w:tr>
      <w:tr w14:paraId="3F1A7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3210215F">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3</w:t>
            </w:r>
          </w:p>
        </w:tc>
        <w:tc>
          <w:tcPr>
            <w:tcW w:w="971" w:type="dxa"/>
            <w:tcBorders>
              <w:right w:val="single" w:color="auto" w:sz="4" w:space="0"/>
            </w:tcBorders>
            <w:noWrap w:val="0"/>
            <w:vAlign w:val="center"/>
          </w:tcPr>
          <w:p w14:paraId="704AF3ED">
            <w:pPr>
              <w:pStyle w:val="8"/>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0C55B8F7">
            <w:pPr>
              <w:pStyle w:val="8"/>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3DAD02AB">
            <w:pPr>
              <w:pStyle w:val="8"/>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72BF0B86">
            <w:pPr>
              <w:pStyle w:val="8"/>
              <w:spacing w:line="360" w:lineRule="auto"/>
              <w:ind w:firstLine="0" w:firstLineChars="0"/>
              <w:jc w:val="center"/>
              <w:rPr>
                <w:rFonts w:hint="eastAsia" w:ascii="宋体" w:hAnsi="宋体" w:eastAsia="宋体" w:cs="仿宋_GB2312"/>
                <w:sz w:val="24"/>
                <w:szCs w:val="24"/>
                <w:lang w:val="en-US" w:eastAsia="zh-CN"/>
              </w:rPr>
            </w:pPr>
          </w:p>
        </w:tc>
      </w:tr>
      <w:tr w14:paraId="1853D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4288F783">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971" w:type="dxa"/>
            <w:tcBorders>
              <w:right w:val="single" w:color="auto" w:sz="4" w:space="0"/>
            </w:tcBorders>
            <w:noWrap w:val="0"/>
            <w:vAlign w:val="center"/>
          </w:tcPr>
          <w:p w14:paraId="1B4AAD89">
            <w:pPr>
              <w:pStyle w:val="8"/>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1913B067">
            <w:pPr>
              <w:pStyle w:val="8"/>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53EFD988">
            <w:pPr>
              <w:pStyle w:val="8"/>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4D02AA5F">
            <w:pPr>
              <w:pStyle w:val="8"/>
              <w:spacing w:line="360" w:lineRule="auto"/>
              <w:ind w:firstLine="0" w:firstLineChars="0"/>
              <w:jc w:val="center"/>
              <w:rPr>
                <w:rFonts w:hint="eastAsia" w:ascii="宋体" w:hAnsi="宋体" w:eastAsia="宋体" w:cs="仿宋_GB2312"/>
                <w:sz w:val="24"/>
                <w:szCs w:val="24"/>
                <w:lang w:val="en-US" w:eastAsia="zh-CN"/>
              </w:rPr>
            </w:pPr>
          </w:p>
        </w:tc>
      </w:tr>
      <w:tr w14:paraId="5CD71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013DCC04">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971" w:type="dxa"/>
            <w:tcBorders>
              <w:right w:val="single" w:color="auto" w:sz="4" w:space="0"/>
            </w:tcBorders>
            <w:noWrap w:val="0"/>
            <w:vAlign w:val="center"/>
          </w:tcPr>
          <w:p w14:paraId="1F526FD1">
            <w:pPr>
              <w:pStyle w:val="8"/>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568EBCB3">
            <w:pPr>
              <w:pStyle w:val="8"/>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1912DEB3">
            <w:pPr>
              <w:pStyle w:val="8"/>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1F983C65">
            <w:pPr>
              <w:pStyle w:val="8"/>
              <w:spacing w:line="360" w:lineRule="auto"/>
              <w:ind w:firstLine="0" w:firstLineChars="0"/>
              <w:jc w:val="center"/>
              <w:rPr>
                <w:rFonts w:hint="eastAsia" w:ascii="宋体" w:hAnsi="宋体" w:eastAsia="宋体" w:cs="仿宋_GB2312"/>
                <w:sz w:val="24"/>
                <w:szCs w:val="24"/>
                <w:lang w:val="en-US" w:eastAsia="zh-CN"/>
              </w:rPr>
            </w:pPr>
          </w:p>
        </w:tc>
      </w:tr>
      <w:tr w14:paraId="45C21C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0" w:type="dxa"/>
            <w:noWrap w:val="0"/>
            <w:vAlign w:val="center"/>
          </w:tcPr>
          <w:p w14:paraId="58AF3F3F">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w:t>
            </w:r>
          </w:p>
        </w:tc>
        <w:tc>
          <w:tcPr>
            <w:tcW w:w="971" w:type="dxa"/>
            <w:tcBorders>
              <w:right w:val="single" w:color="auto" w:sz="4" w:space="0"/>
            </w:tcBorders>
            <w:noWrap w:val="0"/>
            <w:vAlign w:val="center"/>
          </w:tcPr>
          <w:p w14:paraId="0F683991">
            <w:pPr>
              <w:pStyle w:val="8"/>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5146BF14">
            <w:pPr>
              <w:pStyle w:val="8"/>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23E987E7">
            <w:pPr>
              <w:pStyle w:val="8"/>
              <w:spacing w:line="360" w:lineRule="auto"/>
              <w:ind w:firstLine="0" w:firstLineChars="0"/>
              <w:jc w:val="center"/>
              <w:rPr>
                <w:rFonts w:hint="eastAsia" w:ascii="宋体" w:hAnsi="宋体" w:eastAsia="宋体" w:cs="仿宋_GB2312"/>
                <w:sz w:val="24"/>
                <w:szCs w:val="24"/>
                <w:lang w:val="en-US" w:eastAsia="zh-CN"/>
              </w:rPr>
            </w:pPr>
          </w:p>
        </w:tc>
        <w:tc>
          <w:tcPr>
            <w:tcW w:w="1577" w:type="dxa"/>
            <w:tcBorders>
              <w:right w:val="single" w:color="auto" w:sz="4" w:space="0"/>
            </w:tcBorders>
            <w:noWrap w:val="0"/>
            <w:vAlign w:val="center"/>
          </w:tcPr>
          <w:p w14:paraId="3FFBE5A6">
            <w:pPr>
              <w:pStyle w:val="8"/>
              <w:spacing w:line="360" w:lineRule="auto"/>
              <w:ind w:firstLine="0" w:firstLineChars="0"/>
              <w:jc w:val="center"/>
              <w:rPr>
                <w:rFonts w:hint="eastAsia" w:ascii="宋体" w:hAnsi="宋体" w:eastAsia="宋体" w:cs="仿宋_GB2312"/>
                <w:sz w:val="24"/>
                <w:szCs w:val="24"/>
                <w:lang w:val="en-US" w:eastAsia="zh-CN"/>
              </w:rPr>
            </w:pPr>
          </w:p>
        </w:tc>
      </w:tr>
    </w:tbl>
    <w:p w14:paraId="2728F53A">
      <w:pPr>
        <w:pStyle w:val="8"/>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76B75A1E">
      <w:pPr>
        <w:spacing w:line="360" w:lineRule="auto"/>
        <w:contextualSpacing/>
        <w:rPr>
          <w:rFonts w:hint="eastAsia" w:ascii="宋体" w:hAnsi="宋体" w:cs="仿宋_GB2312"/>
          <w:kern w:val="0"/>
          <w:sz w:val="24"/>
        </w:rPr>
      </w:pPr>
      <w:r>
        <w:rPr>
          <w:rFonts w:hint="eastAsia" w:ascii="宋体" w:hAnsi="宋体" w:cs="仿宋_GB2312"/>
          <w:kern w:val="0"/>
          <w:sz w:val="24"/>
        </w:rPr>
        <w:t>1. 说明：应对照谈判文件“第三章 采购需求”中的技术要求逐条实质性响应，并作出偏离说明。</w:t>
      </w:r>
    </w:p>
    <w:p w14:paraId="2116C218">
      <w:pPr>
        <w:spacing w:line="360" w:lineRule="auto"/>
        <w:contextualSpacing/>
        <w:rPr>
          <w:rFonts w:hint="eastAsia" w:ascii="宋体" w:hAnsi="宋体" w:cs="仿宋_GB2312"/>
          <w:kern w:val="0"/>
          <w:sz w:val="24"/>
        </w:rPr>
      </w:pPr>
      <w:r>
        <w:rPr>
          <w:rFonts w:hint="eastAsia" w:ascii="宋体" w:hAnsi="宋体" w:cs="仿宋_GB2312"/>
          <w:kern w:val="0"/>
          <w:sz w:val="24"/>
        </w:rPr>
        <w:t>2.供应商应根据竞标设备的性能指标，对照谈判文件要求，在“偏离说明”中注明“正偏离”、“负偏离”或者“无偏离”。既不属于“正偏离”也不属于“负偏离”即为“无偏离”。</w:t>
      </w:r>
    </w:p>
    <w:p w14:paraId="59B178CB">
      <w:pPr>
        <w:spacing w:line="360" w:lineRule="auto"/>
        <w:contextualSpacing/>
        <w:rPr>
          <w:rFonts w:ascii="宋体" w:hAnsi="宋体"/>
          <w:kern w:val="0"/>
          <w:sz w:val="24"/>
        </w:rPr>
      </w:pPr>
      <w:r>
        <w:rPr>
          <w:rFonts w:hint="eastAsia" w:ascii="宋体" w:hAnsi="宋体"/>
          <w:kern w:val="0"/>
          <w:sz w:val="24"/>
        </w:rPr>
        <w:t>3.供应商认为其竞标响应有正偏离的，请在技术要求偏离表中列明，且在响应文件中提供竞标产品的彩页或</w:t>
      </w:r>
      <w:r>
        <w:rPr>
          <w:rFonts w:ascii="宋体" w:hAnsi="宋体"/>
          <w:kern w:val="0"/>
          <w:sz w:val="24"/>
        </w:rPr>
        <w:t>国家认可有资质的第三方检测机构出具的检测报告复印件</w:t>
      </w:r>
      <w:r>
        <w:rPr>
          <w:rFonts w:hint="eastAsia" w:ascii="宋体" w:hAnsi="宋体"/>
          <w:kern w:val="0"/>
          <w:sz w:val="24"/>
        </w:rPr>
        <w:t>或产品生产厂家出具的技术参数说明证明作为佐证，以上佐证材料均需加盖生产厂家或代理商（附生产厂家授权资料）公章。</w:t>
      </w:r>
    </w:p>
    <w:p w14:paraId="37463226">
      <w:pPr>
        <w:spacing w:line="360" w:lineRule="auto"/>
        <w:contextualSpacing/>
        <w:rPr>
          <w:rFonts w:hint="eastAsia" w:ascii="宋体" w:hAnsi="宋体"/>
          <w:kern w:val="0"/>
          <w:sz w:val="24"/>
        </w:rPr>
      </w:pPr>
      <w:r>
        <w:rPr>
          <w:rFonts w:hint="eastAsia" w:ascii="宋体" w:hAnsi="宋体"/>
          <w:kern w:val="0"/>
          <w:sz w:val="24"/>
        </w:rPr>
        <w:t>4</w:t>
      </w:r>
      <w:r>
        <w:rPr>
          <w:rFonts w:ascii="宋体" w:hAnsi="宋体"/>
          <w:kern w:val="0"/>
          <w:sz w:val="24"/>
        </w:rPr>
        <w:t>.</w:t>
      </w:r>
      <w:r>
        <w:rPr>
          <w:rFonts w:hint="eastAsia" w:ascii="宋体" w:hAnsi="宋体"/>
          <w:kern w:val="0"/>
          <w:sz w:val="24"/>
        </w:rPr>
        <w:t xml:space="preserve"> 如技术要求偏离表中的竞标响应与佐证材料不一致的，以佐证材料为准。</w:t>
      </w:r>
    </w:p>
    <w:p w14:paraId="3116CF6C">
      <w:pPr>
        <w:pStyle w:val="8"/>
        <w:spacing w:line="360" w:lineRule="auto"/>
        <w:ind w:firstLine="0" w:firstLineChars="0"/>
        <w:contextualSpacing/>
        <w:rPr>
          <w:rFonts w:hint="eastAsia" w:ascii="宋体" w:hAnsi="宋体" w:eastAsia="宋体" w:cs="仿宋_GB2312"/>
          <w:sz w:val="24"/>
          <w:szCs w:val="24"/>
        </w:rPr>
      </w:pPr>
    </w:p>
    <w:p w14:paraId="38EBB3A8">
      <w:pPr>
        <w:spacing w:line="360" w:lineRule="auto"/>
        <w:ind w:right="-817" w:rightChars="-389"/>
        <w:contextualSpacing/>
        <w:rPr>
          <w:rFonts w:hint="eastAsia" w:ascii="宋体" w:hAnsi="宋体" w:cs="仿宋_GB2312"/>
          <w:sz w:val="24"/>
        </w:rPr>
      </w:pPr>
    </w:p>
    <w:p w14:paraId="7FFBFB23">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10D97396">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10466225">
      <w:pPr>
        <w:spacing w:line="360" w:lineRule="auto"/>
        <w:ind w:right="-817" w:rightChars="-389" w:firstLine="2880" w:firstLineChars="1200"/>
        <w:contextualSpacing/>
        <w:rPr>
          <w:rFonts w:ascii="仿宋_GB2312" w:hAnsi="仿宋_GB2312" w:eastAsia="仿宋_GB2312" w:cs="仿宋_GB2312"/>
          <w:sz w:val="32"/>
          <w:szCs w:val="32"/>
        </w:rPr>
      </w:pPr>
      <w:r>
        <w:rPr>
          <w:rFonts w:hint="eastAsia" w:ascii="宋体" w:hAnsi="宋体" w:cs="仿宋_GB2312"/>
          <w:sz w:val="24"/>
        </w:rPr>
        <w:t>日期：   年   月   日</w:t>
      </w:r>
    </w:p>
    <w:p w14:paraId="2ADCCB96">
      <w:pPr>
        <w:spacing w:line="360" w:lineRule="exact"/>
        <w:rPr>
          <w:rFonts w:hint="eastAsia" w:ascii="宋体" w:hAnsi="宋体" w:cs="宋体"/>
          <w:b/>
          <w:szCs w:val="21"/>
        </w:rPr>
      </w:pPr>
    </w:p>
    <w:p w14:paraId="526E1AF1">
      <w:pPr>
        <w:rPr>
          <w:rFonts w:hint="eastAsia" w:ascii="宋体" w:hAnsi="宋体" w:cs="仿宋_GB2312"/>
          <w:sz w:val="24"/>
        </w:rPr>
      </w:pPr>
      <w:r>
        <w:rPr>
          <w:rFonts w:hint="eastAsia" w:ascii="宋体" w:hAnsi="宋体" w:cs="仿宋_GB2312"/>
          <w:sz w:val="24"/>
        </w:rPr>
        <w:br w:type="page"/>
      </w:r>
    </w:p>
    <w:p w14:paraId="0A5683E4">
      <w:pPr>
        <w:spacing w:line="500" w:lineRule="exact"/>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物业服务管理方案</w:t>
      </w:r>
    </w:p>
    <w:p w14:paraId="7688FFBD">
      <w:pPr>
        <w:spacing w:line="360" w:lineRule="auto"/>
        <w:contextualSpacing/>
        <w:rPr>
          <w:rFonts w:hint="eastAsia" w:ascii="宋体" w:hAnsi="宋体"/>
          <w:b/>
          <w:bCs/>
          <w:kern w:val="0"/>
          <w:sz w:val="24"/>
          <w:lang w:val="en-US" w:eastAsia="zh-CN"/>
        </w:rPr>
      </w:pPr>
    </w:p>
    <w:p w14:paraId="57C0263A">
      <w:pPr>
        <w:spacing w:line="360" w:lineRule="auto"/>
        <w:contextualSpacing/>
        <w:jc w:val="center"/>
        <w:rPr>
          <w:rFonts w:hint="eastAsia" w:ascii="宋体" w:hAnsi="宋体"/>
          <w:b/>
          <w:bCs/>
          <w:kern w:val="0"/>
          <w:sz w:val="24"/>
        </w:rPr>
      </w:pPr>
      <w:r>
        <w:rPr>
          <w:rFonts w:hint="eastAsia" w:ascii="宋体" w:hAnsi="宋体"/>
          <w:b/>
          <w:bCs/>
          <w:kern w:val="0"/>
          <w:sz w:val="24"/>
          <w:lang w:val="en-US" w:eastAsia="zh-CN"/>
        </w:rPr>
        <w:t>【方案中包含企业的基本情况、管理制度、服务理念、服务内容和标准以及质量保证措施、人员费用、设备设施日常维护费用】</w:t>
      </w:r>
    </w:p>
    <w:p w14:paraId="6FF21860">
      <w:r>
        <w:rPr>
          <w:rFonts w:hint="eastAsia" w:ascii="宋体" w:hAnsi="宋体" w:cs="仿宋_GB2312"/>
          <w:sz w:val="24"/>
        </w:rPr>
        <w:br w:type="page"/>
      </w:r>
    </w:p>
    <w:p w14:paraId="7FF9534C">
      <w:pPr>
        <w:pStyle w:val="14"/>
        <w:ind w:firstLine="472" w:firstLineChars="147"/>
        <w:jc w:val="center"/>
        <w:outlineLvl w:val="4"/>
        <w:rPr>
          <w:rFonts w:ascii="Times New Roman" w:hAnsi="Times New Roman"/>
          <w:b/>
          <w:bCs/>
          <w:sz w:val="32"/>
          <w:szCs w:val="32"/>
        </w:rPr>
      </w:pPr>
      <w:r>
        <w:rPr>
          <w:rFonts w:ascii="Times New Roman" w:hAnsi="Times New Roman"/>
          <w:b/>
          <w:bCs/>
          <w:sz w:val="32"/>
          <w:szCs w:val="32"/>
        </w:rPr>
        <w:t>项目实施人员一览表（格式）</w:t>
      </w:r>
    </w:p>
    <w:tbl>
      <w:tblPr>
        <w:tblStyle w:val="23"/>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050"/>
        <w:gridCol w:w="3210"/>
        <w:gridCol w:w="1500"/>
        <w:gridCol w:w="1590"/>
        <w:gridCol w:w="1145"/>
      </w:tblGrid>
      <w:tr w14:paraId="6F50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shd w:val="clear" w:color="auto" w:fill="8DB3E2"/>
            <w:noWrap w:val="0"/>
            <w:vAlign w:val="center"/>
          </w:tcPr>
          <w:p w14:paraId="0B6B9820">
            <w:pPr>
              <w:spacing w:line="400" w:lineRule="exact"/>
              <w:jc w:val="center"/>
              <w:rPr>
                <w:rFonts w:ascii="宋体" w:hAnsi="宋体" w:cs="宋体"/>
                <w:b/>
                <w:bCs/>
                <w:szCs w:val="21"/>
              </w:rPr>
            </w:pPr>
            <w:r>
              <w:rPr>
                <w:rFonts w:hint="eastAsia" w:ascii="宋体" w:hAnsi="宋体" w:cs="宋体"/>
                <w:b/>
                <w:bCs/>
                <w:szCs w:val="21"/>
              </w:rPr>
              <w:t>姓 名</w:t>
            </w:r>
          </w:p>
        </w:tc>
        <w:tc>
          <w:tcPr>
            <w:tcW w:w="1050" w:type="dxa"/>
            <w:shd w:val="clear" w:color="auto" w:fill="8DB3E2"/>
            <w:noWrap w:val="0"/>
            <w:vAlign w:val="center"/>
          </w:tcPr>
          <w:p w14:paraId="1219B4E5">
            <w:pPr>
              <w:spacing w:line="400" w:lineRule="exact"/>
              <w:jc w:val="center"/>
              <w:rPr>
                <w:rFonts w:ascii="宋体" w:hAnsi="宋体" w:cs="宋体"/>
                <w:b/>
                <w:bCs/>
                <w:szCs w:val="21"/>
              </w:rPr>
            </w:pPr>
            <w:r>
              <w:rPr>
                <w:rFonts w:hint="eastAsia" w:ascii="宋体" w:hAnsi="宋体" w:cs="宋体"/>
                <w:b/>
                <w:bCs/>
                <w:szCs w:val="21"/>
              </w:rPr>
              <w:t>职务</w:t>
            </w:r>
          </w:p>
        </w:tc>
        <w:tc>
          <w:tcPr>
            <w:tcW w:w="3210" w:type="dxa"/>
            <w:shd w:val="clear" w:color="auto" w:fill="8DB3E2"/>
            <w:noWrap w:val="0"/>
            <w:vAlign w:val="center"/>
          </w:tcPr>
          <w:p w14:paraId="4A93C790">
            <w:pPr>
              <w:spacing w:line="400" w:lineRule="exact"/>
              <w:jc w:val="center"/>
              <w:rPr>
                <w:rFonts w:ascii="宋体" w:hAnsi="宋体" w:cs="宋体"/>
                <w:b/>
                <w:bCs/>
                <w:szCs w:val="21"/>
              </w:rPr>
            </w:pPr>
            <w:r>
              <w:rPr>
                <w:rFonts w:hint="eastAsia" w:ascii="宋体" w:hAnsi="宋体" w:cs="宋体"/>
                <w:b/>
                <w:bCs/>
                <w:szCs w:val="21"/>
              </w:rPr>
              <w:t>专业技术资格</w:t>
            </w:r>
          </w:p>
        </w:tc>
        <w:tc>
          <w:tcPr>
            <w:tcW w:w="1500" w:type="dxa"/>
            <w:shd w:val="clear" w:color="auto" w:fill="8DB3E2"/>
            <w:noWrap w:val="0"/>
            <w:vAlign w:val="center"/>
          </w:tcPr>
          <w:p w14:paraId="0DD37A7F">
            <w:pPr>
              <w:spacing w:line="400" w:lineRule="exact"/>
              <w:jc w:val="center"/>
              <w:rPr>
                <w:rFonts w:ascii="宋体" w:hAnsi="宋体" w:cs="宋体"/>
                <w:b/>
                <w:bCs/>
                <w:szCs w:val="21"/>
              </w:rPr>
            </w:pPr>
            <w:r>
              <w:rPr>
                <w:rFonts w:hint="eastAsia" w:ascii="宋体" w:hAnsi="宋体" w:cs="宋体"/>
                <w:b/>
                <w:bCs/>
                <w:szCs w:val="21"/>
              </w:rPr>
              <w:t>证书编号</w:t>
            </w:r>
          </w:p>
        </w:tc>
        <w:tc>
          <w:tcPr>
            <w:tcW w:w="1590" w:type="dxa"/>
            <w:shd w:val="clear" w:color="auto" w:fill="8DB3E2"/>
            <w:noWrap w:val="0"/>
            <w:vAlign w:val="center"/>
          </w:tcPr>
          <w:p w14:paraId="48BE6883">
            <w:pPr>
              <w:spacing w:line="400" w:lineRule="exact"/>
              <w:jc w:val="center"/>
              <w:rPr>
                <w:rFonts w:ascii="宋体" w:hAnsi="宋体" w:cs="宋体"/>
                <w:b/>
                <w:bCs/>
                <w:szCs w:val="21"/>
              </w:rPr>
            </w:pPr>
            <w:r>
              <w:rPr>
                <w:rFonts w:hint="eastAsia" w:ascii="宋体" w:hAnsi="宋体" w:cs="宋体"/>
                <w:b/>
                <w:bCs/>
                <w:szCs w:val="21"/>
              </w:rPr>
              <w:t>参加工作时间</w:t>
            </w:r>
          </w:p>
        </w:tc>
        <w:tc>
          <w:tcPr>
            <w:tcW w:w="1145" w:type="dxa"/>
            <w:shd w:val="clear" w:color="auto" w:fill="8DB3E2"/>
            <w:noWrap w:val="0"/>
            <w:vAlign w:val="center"/>
          </w:tcPr>
          <w:p w14:paraId="2B3F0077">
            <w:pPr>
              <w:spacing w:line="400" w:lineRule="exact"/>
              <w:jc w:val="center"/>
              <w:rPr>
                <w:rFonts w:ascii="宋体" w:hAnsi="宋体" w:cs="宋体"/>
                <w:b/>
                <w:bCs/>
                <w:szCs w:val="21"/>
              </w:rPr>
            </w:pPr>
            <w:r>
              <w:rPr>
                <w:rFonts w:hint="eastAsia" w:ascii="宋体" w:hAnsi="宋体" w:cs="宋体"/>
                <w:b/>
                <w:bCs/>
                <w:szCs w:val="21"/>
              </w:rPr>
              <w:t>备注</w:t>
            </w:r>
          </w:p>
        </w:tc>
      </w:tr>
      <w:tr w14:paraId="61BE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20C8AD30">
            <w:pPr>
              <w:spacing w:line="400" w:lineRule="exact"/>
              <w:rPr>
                <w:rFonts w:ascii="宋体" w:hAnsi="宋体" w:cs="宋体"/>
                <w:szCs w:val="21"/>
              </w:rPr>
            </w:pPr>
          </w:p>
        </w:tc>
        <w:tc>
          <w:tcPr>
            <w:tcW w:w="1050" w:type="dxa"/>
            <w:noWrap w:val="0"/>
            <w:vAlign w:val="top"/>
          </w:tcPr>
          <w:p w14:paraId="3C411DAE">
            <w:pPr>
              <w:spacing w:line="400" w:lineRule="exact"/>
              <w:rPr>
                <w:rFonts w:ascii="宋体" w:hAnsi="宋体" w:cs="宋体"/>
                <w:szCs w:val="21"/>
              </w:rPr>
            </w:pPr>
          </w:p>
        </w:tc>
        <w:tc>
          <w:tcPr>
            <w:tcW w:w="3210" w:type="dxa"/>
            <w:noWrap w:val="0"/>
            <w:vAlign w:val="top"/>
          </w:tcPr>
          <w:p w14:paraId="4383BE72">
            <w:pPr>
              <w:spacing w:line="400" w:lineRule="exact"/>
              <w:rPr>
                <w:rFonts w:ascii="宋体" w:hAnsi="宋体" w:cs="宋体"/>
                <w:szCs w:val="21"/>
              </w:rPr>
            </w:pPr>
          </w:p>
        </w:tc>
        <w:tc>
          <w:tcPr>
            <w:tcW w:w="1500" w:type="dxa"/>
            <w:noWrap w:val="0"/>
            <w:vAlign w:val="top"/>
          </w:tcPr>
          <w:p w14:paraId="58F9A716">
            <w:pPr>
              <w:spacing w:line="400" w:lineRule="exact"/>
              <w:rPr>
                <w:rFonts w:ascii="宋体" w:hAnsi="宋体" w:cs="宋体"/>
                <w:szCs w:val="21"/>
              </w:rPr>
            </w:pPr>
          </w:p>
        </w:tc>
        <w:tc>
          <w:tcPr>
            <w:tcW w:w="1590" w:type="dxa"/>
            <w:noWrap w:val="0"/>
            <w:vAlign w:val="top"/>
          </w:tcPr>
          <w:p w14:paraId="2A248084">
            <w:pPr>
              <w:spacing w:line="400" w:lineRule="exact"/>
              <w:rPr>
                <w:rFonts w:ascii="宋体" w:hAnsi="宋体" w:cs="宋体"/>
                <w:szCs w:val="21"/>
              </w:rPr>
            </w:pPr>
          </w:p>
        </w:tc>
        <w:tc>
          <w:tcPr>
            <w:tcW w:w="1145" w:type="dxa"/>
            <w:noWrap w:val="0"/>
            <w:vAlign w:val="top"/>
          </w:tcPr>
          <w:p w14:paraId="3C33CCD7">
            <w:pPr>
              <w:spacing w:line="400" w:lineRule="exact"/>
              <w:rPr>
                <w:rFonts w:ascii="宋体" w:hAnsi="宋体" w:cs="宋体"/>
                <w:szCs w:val="21"/>
              </w:rPr>
            </w:pPr>
          </w:p>
        </w:tc>
      </w:tr>
      <w:tr w14:paraId="573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4DE374D1">
            <w:pPr>
              <w:spacing w:line="400" w:lineRule="exact"/>
              <w:rPr>
                <w:rFonts w:ascii="宋体" w:hAnsi="宋体" w:cs="宋体"/>
                <w:szCs w:val="21"/>
              </w:rPr>
            </w:pPr>
          </w:p>
        </w:tc>
        <w:tc>
          <w:tcPr>
            <w:tcW w:w="1050" w:type="dxa"/>
            <w:noWrap w:val="0"/>
            <w:vAlign w:val="top"/>
          </w:tcPr>
          <w:p w14:paraId="1959EA89">
            <w:pPr>
              <w:spacing w:line="400" w:lineRule="exact"/>
              <w:rPr>
                <w:rFonts w:ascii="宋体" w:hAnsi="宋体" w:cs="宋体"/>
                <w:szCs w:val="21"/>
              </w:rPr>
            </w:pPr>
          </w:p>
        </w:tc>
        <w:tc>
          <w:tcPr>
            <w:tcW w:w="3210" w:type="dxa"/>
            <w:noWrap w:val="0"/>
            <w:vAlign w:val="top"/>
          </w:tcPr>
          <w:p w14:paraId="404113CB">
            <w:pPr>
              <w:spacing w:line="400" w:lineRule="exact"/>
              <w:rPr>
                <w:rFonts w:ascii="宋体" w:hAnsi="宋体" w:cs="宋体"/>
                <w:szCs w:val="21"/>
              </w:rPr>
            </w:pPr>
          </w:p>
        </w:tc>
        <w:tc>
          <w:tcPr>
            <w:tcW w:w="1500" w:type="dxa"/>
            <w:noWrap w:val="0"/>
            <w:vAlign w:val="top"/>
          </w:tcPr>
          <w:p w14:paraId="5E2B17F3">
            <w:pPr>
              <w:spacing w:line="400" w:lineRule="exact"/>
              <w:rPr>
                <w:rFonts w:ascii="宋体" w:hAnsi="宋体" w:cs="宋体"/>
                <w:szCs w:val="21"/>
              </w:rPr>
            </w:pPr>
          </w:p>
        </w:tc>
        <w:tc>
          <w:tcPr>
            <w:tcW w:w="1590" w:type="dxa"/>
            <w:noWrap w:val="0"/>
            <w:vAlign w:val="top"/>
          </w:tcPr>
          <w:p w14:paraId="7E420E46">
            <w:pPr>
              <w:spacing w:line="400" w:lineRule="exact"/>
              <w:rPr>
                <w:rFonts w:ascii="宋体" w:hAnsi="宋体" w:cs="宋体"/>
                <w:szCs w:val="21"/>
              </w:rPr>
            </w:pPr>
          </w:p>
        </w:tc>
        <w:tc>
          <w:tcPr>
            <w:tcW w:w="1145" w:type="dxa"/>
            <w:noWrap w:val="0"/>
            <w:vAlign w:val="top"/>
          </w:tcPr>
          <w:p w14:paraId="141420D6">
            <w:pPr>
              <w:spacing w:line="400" w:lineRule="exact"/>
              <w:rPr>
                <w:rFonts w:ascii="宋体" w:hAnsi="宋体" w:cs="宋体"/>
                <w:szCs w:val="21"/>
              </w:rPr>
            </w:pPr>
          </w:p>
        </w:tc>
      </w:tr>
      <w:tr w14:paraId="426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0ED4A104">
            <w:pPr>
              <w:spacing w:line="400" w:lineRule="exact"/>
              <w:rPr>
                <w:rFonts w:ascii="宋体" w:hAnsi="宋体" w:cs="宋体"/>
                <w:szCs w:val="21"/>
              </w:rPr>
            </w:pPr>
          </w:p>
        </w:tc>
        <w:tc>
          <w:tcPr>
            <w:tcW w:w="1050" w:type="dxa"/>
            <w:noWrap w:val="0"/>
            <w:vAlign w:val="top"/>
          </w:tcPr>
          <w:p w14:paraId="2E98E121">
            <w:pPr>
              <w:spacing w:line="400" w:lineRule="exact"/>
              <w:rPr>
                <w:rFonts w:ascii="宋体" w:hAnsi="宋体" w:cs="宋体"/>
                <w:szCs w:val="21"/>
              </w:rPr>
            </w:pPr>
          </w:p>
        </w:tc>
        <w:tc>
          <w:tcPr>
            <w:tcW w:w="3210" w:type="dxa"/>
            <w:noWrap w:val="0"/>
            <w:vAlign w:val="top"/>
          </w:tcPr>
          <w:p w14:paraId="7178A86A">
            <w:pPr>
              <w:spacing w:line="400" w:lineRule="exact"/>
              <w:rPr>
                <w:rFonts w:ascii="宋体" w:hAnsi="宋体" w:cs="宋体"/>
                <w:szCs w:val="21"/>
              </w:rPr>
            </w:pPr>
          </w:p>
        </w:tc>
        <w:tc>
          <w:tcPr>
            <w:tcW w:w="1500" w:type="dxa"/>
            <w:noWrap w:val="0"/>
            <w:vAlign w:val="top"/>
          </w:tcPr>
          <w:p w14:paraId="3A720FB4">
            <w:pPr>
              <w:spacing w:line="400" w:lineRule="exact"/>
              <w:rPr>
                <w:rFonts w:ascii="宋体" w:hAnsi="宋体" w:cs="宋体"/>
                <w:szCs w:val="21"/>
              </w:rPr>
            </w:pPr>
          </w:p>
        </w:tc>
        <w:tc>
          <w:tcPr>
            <w:tcW w:w="1590" w:type="dxa"/>
            <w:noWrap w:val="0"/>
            <w:vAlign w:val="top"/>
          </w:tcPr>
          <w:p w14:paraId="55954913">
            <w:pPr>
              <w:spacing w:line="400" w:lineRule="exact"/>
              <w:rPr>
                <w:rFonts w:ascii="宋体" w:hAnsi="宋体" w:cs="宋体"/>
                <w:szCs w:val="21"/>
              </w:rPr>
            </w:pPr>
          </w:p>
        </w:tc>
        <w:tc>
          <w:tcPr>
            <w:tcW w:w="1145" w:type="dxa"/>
            <w:noWrap w:val="0"/>
            <w:vAlign w:val="top"/>
          </w:tcPr>
          <w:p w14:paraId="04376E2B">
            <w:pPr>
              <w:spacing w:line="400" w:lineRule="exact"/>
              <w:rPr>
                <w:rFonts w:ascii="宋体" w:hAnsi="宋体" w:cs="宋体"/>
                <w:szCs w:val="21"/>
              </w:rPr>
            </w:pPr>
          </w:p>
        </w:tc>
      </w:tr>
      <w:tr w14:paraId="724C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70D384EE">
            <w:pPr>
              <w:spacing w:line="400" w:lineRule="exact"/>
              <w:rPr>
                <w:rFonts w:ascii="宋体" w:hAnsi="宋体" w:cs="宋体"/>
                <w:szCs w:val="21"/>
              </w:rPr>
            </w:pPr>
          </w:p>
        </w:tc>
        <w:tc>
          <w:tcPr>
            <w:tcW w:w="1050" w:type="dxa"/>
            <w:noWrap w:val="0"/>
            <w:vAlign w:val="top"/>
          </w:tcPr>
          <w:p w14:paraId="177F9B13">
            <w:pPr>
              <w:spacing w:line="400" w:lineRule="exact"/>
              <w:rPr>
                <w:rFonts w:ascii="宋体" w:hAnsi="宋体" w:cs="宋体"/>
                <w:szCs w:val="21"/>
              </w:rPr>
            </w:pPr>
          </w:p>
        </w:tc>
        <w:tc>
          <w:tcPr>
            <w:tcW w:w="3210" w:type="dxa"/>
            <w:noWrap w:val="0"/>
            <w:vAlign w:val="top"/>
          </w:tcPr>
          <w:p w14:paraId="523BE1AD">
            <w:pPr>
              <w:spacing w:line="400" w:lineRule="exact"/>
              <w:rPr>
                <w:rFonts w:ascii="宋体" w:hAnsi="宋体" w:cs="宋体"/>
                <w:szCs w:val="21"/>
              </w:rPr>
            </w:pPr>
          </w:p>
        </w:tc>
        <w:tc>
          <w:tcPr>
            <w:tcW w:w="1500" w:type="dxa"/>
            <w:noWrap w:val="0"/>
            <w:vAlign w:val="top"/>
          </w:tcPr>
          <w:p w14:paraId="2E73FD04">
            <w:pPr>
              <w:spacing w:line="400" w:lineRule="exact"/>
              <w:rPr>
                <w:rFonts w:ascii="宋体" w:hAnsi="宋体" w:cs="宋体"/>
                <w:szCs w:val="21"/>
              </w:rPr>
            </w:pPr>
          </w:p>
        </w:tc>
        <w:tc>
          <w:tcPr>
            <w:tcW w:w="1590" w:type="dxa"/>
            <w:noWrap w:val="0"/>
            <w:vAlign w:val="top"/>
          </w:tcPr>
          <w:p w14:paraId="18315218">
            <w:pPr>
              <w:spacing w:line="400" w:lineRule="exact"/>
              <w:rPr>
                <w:rFonts w:ascii="宋体" w:hAnsi="宋体" w:cs="宋体"/>
                <w:szCs w:val="21"/>
              </w:rPr>
            </w:pPr>
          </w:p>
        </w:tc>
        <w:tc>
          <w:tcPr>
            <w:tcW w:w="1145" w:type="dxa"/>
            <w:noWrap w:val="0"/>
            <w:vAlign w:val="top"/>
          </w:tcPr>
          <w:p w14:paraId="3AD8F48E">
            <w:pPr>
              <w:spacing w:line="400" w:lineRule="exact"/>
              <w:rPr>
                <w:rFonts w:ascii="宋体" w:hAnsi="宋体" w:cs="宋体"/>
                <w:szCs w:val="21"/>
              </w:rPr>
            </w:pPr>
          </w:p>
        </w:tc>
      </w:tr>
      <w:tr w14:paraId="1B5F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5A7AE0C4">
            <w:pPr>
              <w:spacing w:line="400" w:lineRule="exact"/>
              <w:rPr>
                <w:rFonts w:ascii="宋体" w:hAnsi="宋体" w:cs="宋体"/>
                <w:szCs w:val="21"/>
              </w:rPr>
            </w:pPr>
          </w:p>
        </w:tc>
        <w:tc>
          <w:tcPr>
            <w:tcW w:w="1050" w:type="dxa"/>
            <w:noWrap w:val="0"/>
            <w:vAlign w:val="top"/>
          </w:tcPr>
          <w:p w14:paraId="2B0FC105">
            <w:pPr>
              <w:spacing w:line="400" w:lineRule="exact"/>
              <w:rPr>
                <w:rFonts w:ascii="宋体" w:hAnsi="宋体" w:cs="宋体"/>
                <w:szCs w:val="21"/>
              </w:rPr>
            </w:pPr>
          </w:p>
        </w:tc>
        <w:tc>
          <w:tcPr>
            <w:tcW w:w="3210" w:type="dxa"/>
            <w:noWrap w:val="0"/>
            <w:vAlign w:val="top"/>
          </w:tcPr>
          <w:p w14:paraId="4B13162D">
            <w:pPr>
              <w:spacing w:line="400" w:lineRule="exact"/>
              <w:rPr>
                <w:rFonts w:ascii="宋体" w:hAnsi="宋体" w:cs="宋体"/>
                <w:szCs w:val="21"/>
              </w:rPr>
            </w:pPr>
          </w:p>
        </w:tc>
        <w:tc>
          <w:tcPr>
            <w:tcW w:w="1500" w:type="dxa"/>
            <w:noWrap w:val="0"/>
            <w:vAlign w:val="top"/>
          </w:tcPr>
          <w:p w14:paraId="3F25DD89">
            <w:pPr>
              <w:spacing w:line="400" w:lineRule="exact"/>
              <w:rPr>
                <w:rFonts w:ascii="宋体" w:hAnsi="宋体" w:cs="宋体"/>
                <w:szCs w:val="21"/>
              </w:rPr>
            </w:pPr>
          </w:p>
        </w:tc>
        <w:tc>
          <w:tcPr>
            <w:tcW w:w="1590" w:type="dxa"/>
            <w:noWrap w:val="0"/>
            <w:vAlign w:val="top"/>
          </w:tcPr>
          <w:p w14:paraId="2A03AAB0">
            <w:pPr>
              <w:spacing w:line="400" w:lineRule="exact"/>
              <w:rPr>
                <w:rFonts w:ascii="宋体" w:hAnsi="宋体" w:cs="宋体"/>
                <w:szCs w:val="21"/>
              </w:rPr>
            </w:pPr>
          </w:p>
        </w:tc>
        <w:tc>
          <w:tcPr>
            <w:tcW w:w="1145" w:type="dxa"/>
            <w:noWrap w:val="0"/>
            <w:vAlign w:val="top"/>
          </w:tcPr>
          <w:p w14:paraId="07033909">
            <w:pPr>
              <w:spacing w:line="400" w:lineRule="exact"/>
              <w:rPr>
                <w:rFonts w:ascii="宋体" w:hAnsi="宋体" w:cs="宋体"/>
                <w:szCs w:val="21"/>
              </w:rPr>
            </w:pPr>
          </w:p>
        </w:tc>
      </w:tr>
      <w:tr w14:paraId="505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2145BD40">
            <w:pPr>
              <w:spacing w:line="400" w:lineRule="exact"/>
              <w:rPr>
                <w:rFonts w:ascii="宋体" w:hAnsi="宋体" w:cs="宋体"/>
                <w:szCs w:val="21"/>
              </w:rPr>
            </w:pPr>
          </w:p>
        </w:tc>
        <w:tc>
          <w:tcPr>
            <w:tcW w:w="1050" w:type="dxa"/>
            <w:noWrap w:val="0"/>
            <w:vAlign w:val="top"/>
          </w:tcPr>
          <w:p w14:paraId="0C71F497">
            <w:pPr>
              <w:spacing w:line="400" w:lineRule="exact"/>
              <w:rPr>
                <w:rFonts w:ascii="宋体" w:hAnsi="宋体" w:cs="宋体"/>
                <w:szCs w:val="21"/>
              </w:rPr>
            </w:pPr>
          </w:p>
        </w:tc>
        <w:tc>
          <w:tcPr>
            <w:tcW w:w="3210" w:type="dxa"/>
            <w:noWrap w:val="0"/>
            <w:vAlign w:val="top"/>
          </w:tcPr>
          <w:p w14:paraId="0BE0857D">
            <w:pPr>
              <w:spacing w:line="400" w:lineRule="exact"/>
              <w:rPr>
                <w:rFonts w:ascii="宋体" w:hAnsi="宋体" w:cs="宋体"/>
                <w:szCs w:val="21"/>
              </w:rPr>
            </w:pPr>
          </w:p>
        </w:tc>
        <w:tc>
          <w:tcPr>
            <w:tcW w:w="1500" w:type="dxa"/>
            <w:noWrap w:val="0"/>
            <w:vAlign w:val="top"/>
          </w:tcPr>
          <w:p w14:paraId="32FED9BB">
            <w:pPr>
              <w:spacing w:line="400" w:lineRule="exact"/>
              <w:rPr>
                <w:rFonts w:ascii="宋体" w:hAnsi="宋体" w:cs="宋体"/>
                <w:szCs w:val="21"/>
              </w:rPr>
            </w:pPr>
          </w:p>
        </w:tc>
        <w:tc>
          <w:tcPr>
            <w:tcW w:w="1590" w:type="dxa"/>
            <w:noWrap w:val="0"/>
            <w:vAlign w:val="top"/>
          </w:tcPr>
          <w:p w14:paraId="742C5567">
            <w:pPr>
              <w:spacing w:line="400" w:lineRule="exact"/>
              <w:rPr>
                <w:rFonts w:ascii="宋体" w:hAnsi="宋体" w:cs="宋体"/>
                <w:szCs w:val="21"/>
              </w:rPr>
            </w:pPr>
          </w:p>
        </w:tc>
        <w:tc>
          <w:tcPr>
            <w:tcW w:w="1145" w:type="dxa"/>
            <w:noWrap w:val="0"/>
            <w:vAlign w:val="top"/>
          </w:tcPr>
          <w:p w14:paraId="251B84D2">
            <w:pPr>
              <w:spacing w:line="400" w:lineRule="exact"/>
              <w:rPr>
                <w:rFonts w:ascii="宋体" w:hAnsi="宋体" w:cs="宋体"/>
                <w:szCs w:val="21"/>
              </w:rPr>
            </w:pPr>
          </w:p>
        </w:tc>
      </w:tr>
    </w:tbl>
    <w:p w14:paraId="0064B062">
      <w:pPr>
        <w:spacing w:line="400" w:lineRule="exact"/>
        <w:rPr>
          <w:szCs w:val="21"/>
        </w:rPr>
      </w:pPr>
      <w:r>
        <w:rPr>
          <w:szCs w:val="21"/>
        </w:rPr>
        <w:t>注：1.在填写时，如本表格不适合供应商的实际情况，可根据本表格式自行制表填写。</w:t>
      </w:r>
    </w:p>
    <w:p w14:paraId="11FF18EA">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14:paraId="187EB32D">
      <w:pPr>
        <w:pStyle w:val="14"/>
        <w:spacing w:line="400" w:lineRule="exact"/>
        <w:rPr>
          <w:rFonts w:ascii="Times New Roman" w:hAnsi="Times New Roman"/>
        </w:rPr>
      </w:pPr>
    </w:p>
    <w:p w14:paraId="1205C0D2">
      <w:pPr>
        <w:snapToGrid w:val="0"/>
        <w:spacing w:line="400" w:lineRule="exact"/>
        <w:ind w:firstLine="3570" w:firstLineChars="1700"/>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14:paraId="715DFE38">
      <w:pPr>
        <w:pStyle w:val="14"/>
        <w:ind w:firstLine="3570" w:firstLineChars="1700"/>
        <w:rPr>
          <w:rFonts w:ascii="Times New Roman" w:hAnsi="Times New Roman"/>
        </w:rPr>
      </w:pPr>
    </w:p>
    <w:p w14:paraId="0BBD9E3D">
      <w:pPr>
        <w:pStyle w:val="14"/>
        <w:ind w:firstLine="357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14:paraId="22D419C3">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14:paraId="05D4128E">
      <w:pPr>
        <w:pStyle w:val="11"/>
        <w:rPr>
          <w:rFonts w:hint="eastAsia" w:ascii="宋体" w:cs="宋体"/>
          <w:b/>
          <w:bCs/>
          <w:sz w:val="28"/>
          <w:szCs w:val="28"/>
        </w:rPr>
      </w:pPr>
    </w:p>
    <w:p w14:paraId="43A1968D">
      <w:pPr>
        <w:pStyle w:val="12"/>
        <w:rPr>
          <w:rFonts w:hint="eastAsia"/>
        </w:rPr>
      </w:pPr>
    </w:p>
    <w:p w14:paraId="26FFD080">
      <w:pPr>
        <w:pStyle w:val="12"/>
        <w:rPr>
          <w:rFonts w:hint="eastAsia"/>
        </w:rPr>
      </w:pPr>
    </w:p>
    <w:p w14:paraId="08264DF8">
      <w:pPr>
        <w:pStyle w:val="12"/>
        <w:rPr>
          <w:rFonts w:hint="eastAsia"/>
        </w:rPr>
      </w:pPr>
    </w:p>
    <w:p w14:paraId="731B767A">
      <w:pPr>
        <w:pStyle w:val="12"/>
        <w:rPr>
          <w:rFonts w:hint="eastAsia"/>
        </w:rPr>
      </w:pPr>
    </w:p>
    <w:p w14:paraId="4E1F6EDA">
      <w:pPr>
        <w:rPr>
          <w:rFonts w:hint="eastAsia"/>
        </w:rPr>
      </w:pPr>
    </w:p>
    <w:p w14:paraId="33E605CA">
      <w:pPr>
        <w:pStyle w:val="3"/>
        <w:tabs>
          <w:tab w:val="left" w:pos="567"/>
        </w:tabs>
        <w:rPr>
          <w:rFonts w:hint="eastAsia"/>
        </w:rPr>
      </w:pPr>
    </w:p>
    <w:p w14:paraId="73DB6B77">
      <w:pPr>
        <w:spacing w:before="340" w:after="330" w:line="578" w:lineRule="auto"/>
        <w:rPr>
          <w:rFonts w:hint="eastAsia" w:ascii="宋体" w:hAnsi="宋体" w:cs="宋体"/>
          <w:bCs/>
          <w:szCs w:val="21"/>
        </w:rPr>
      </w:pPr>
    </w:p>
    <w:p w14:paraId="02D840E9">
      <w:pPr>
        <w:spacing w:before="340" w:after="330" w:line="578" w:lineRule="auto"/>
        <w:rPr>
          <w:rFonts w:hint="eastAsia" w:ascii="宋体" w:hAnsi="宋体" w:cs="宋体"/>
          <w:bCs/>
          <w:szCs w:val="21"/>
        </w:rPr>
      </w:pPr>
    </w:p>
    <w:p w14:paraId="0FC520E5">
      <w:pPr>
        <w:rPr>
          <w:rFonts w:hint="eastAsia" w:ascii="宋体" w:hAnsi="宋体"/>
          <w:b/>
          <w:bCs/>
          <w:sz w:val="24"/>
        </w:rPr>
      </w:pPr>
      <w:r>
        <w:rPr>
          <w:rFonts w:hint="eastAsia" w:ascii="宋体" w:hAnsi="宋体"/>
          <w:b/>
          <w:bCs/>
          <w:sz w:val="24"/>
        </w:rPr>
        <w:br w:type="page"/>
      </w:r>
    </w:p>
    <w:p w14:paraId="452D9327">
      <w:pPr>
        <w:spacing w:line="300" w:lineRule="auto"/>
        <w:rPr>
          <w:rFonts w:hint="eastAsia" w:ascii="方正小标宋简体" w:hAnsi="方正小标宋简体" w:eastAsia="方正小标宋简体" w:cs="方正小标宋简体"/>
          <w:sz w:val="44"/>
          <w:szCs w:val="44"/>
        </w:rPr>
      </w:pPr>
      <w:r>
        <w:rPr>
          <w:rFonts w:hint="eastAsia" w:ascii="宋体" w:hAnsi="宋体"/>
          <w:b/>
          <w:bCs/>
          <w:sz w:val="24"/>
        </w:rPr>
        <w:t>其他文书、文件格式</w:t>
      </w:r>
    </w:p>
    <w:p w14:paraId="4E72950A">
      <w:pPr>
        <w:spacing w:line="360" w:lineRule="auto"/>
        <w:jc w:val="center"/>
        <w:rPr>
          <w:rFonts w:hint="eastAsia" w:ascii="宋体" w:hAnsi="宋体"/>
          <w:b/>
          <w:bCs/>
          <w:sz w:val="32"/>
          <w:szCs w:val="32"/>
        </w:rPr>
      </w:pPr>
      <w:r>
        <w:rPr>
          <w:rFonts w:hint="eastAsia" w:ascii="方正小标宋简体" w:hAnsi="方正小标宋简体" w:eastAsia="方正小标宋简体" w:cs="方正小标宋简体"/>
          <w:sz w:val="44"/>
          <w:szCs w:val="44"/>
        </w:rPr>
        <w:t>质疑函（格式）</w:t>
      </w:r>
    </w:p>
    <w:p w14:paraId="1F1F1A5A">
      <w:pPr>
        <w:pStyle w:val="14"/>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36AF923C">
      <w:pPr>
        <w:pStyle w:val="14"/>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E145E72">
      <w:pPr>
        <w:pStyle w:val="14"/>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ED67C50">
      <w:pPr>
        <w:pStyle w:val="14"/>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558D0A5">
      <w:pPr>
        <w:pStyle w:val="14"/>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A0BC042">
      <w:pPr>
        <w:pStyle w:val="14"/>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2134571">
      <w:pPr>
        <w:pStyle w:val="14"/>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8BBAC1C">
      <w:pPr>
        <w:pStyle w:val="14"/>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1864ED9C">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67961C10">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850377D">
      <w:pPr>
        <w:pStyle w:val="14"/>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550D478">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449C93AB">
      <w:pPr>
        <w:pStyle w:val="14"/>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082EF0D">
      <w:pPr>
        <w:pStyle w:val="14"/>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5A9D8126">
      <w:pPr>
        <w:pStyle w:val="14"/>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A3E977C">
      <w:pPr>
        <w:pStyle w:val="14"/>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E68598C">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32A6D4AD">
      <w:pPr>
        <w:pStyle w:val="14"/>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BDC8961">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4ADA92A">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521A5986">
      <w:pPr>
        <w:pStyle w:val="14"/>
        <w:spacing w:line="360" w:lineRule="auto"/>
        <w:ind w:left="25" w:leftChars="12" w:firstLine="472" w:firstLineChars="197"/>
        <w:contextualSpacing/>
        <w:rPr>
          <w:rFonts w:hint="eastAsia" w:hAnsi="宋体"/>
          <w:sz w:val="24"/>
          <w:szCs w:val="24"/>
        </w:rPr>
      </w:pPr>
      <w:r>
        <w:rPr>
          <w:rFonts w:hAnsi="宋体"/>
          <w:sz w:val="24"/>
          <w:szCs w:val="24"/>
        </w:rPr>
        <w:t>……</w:t>
      </w:r>
    </w:p>
    <w:p w14:paraId="59EBEF86">
      <w:pPr>
        <w:pStyle w:val="14"/>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23837E15">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60479D">
      <w:pPr>
        <w:pStyle w:val="14"/>
        <w:spacing w:line="360" w:lineRule="auto"/>
        <w:ind w:left="25" w:leftChars="12" w:firstLine="352" w:firstLineChars="147"/>
        <w:contextualSpacing/>
        <w:rPr>
          <w:rFonts w:hint="eastAsia" w:hAnsi="宋体"/>
          <w:sz w:val="24"/>
          <w:szCs w:val="24"/>
        </w:rPr>
      </w:pPr>
    </w:p>
    <w:p w14:paraId="2EEB7EB8">
      <w:pPr>
        <w:pStyle w:val="14"/>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1DEB54FB">
      <w:pPr>
        <w:pStyle w:val="14"/>
        <w:spacing w:line="360" w:lineRule="auto"/>
        <w:ind w:left="25" w:leftChars="12" w:firstLine="352" w:firstLineChars="147"/>
        <w:contextualSpacing/>
        <w:rPr>
          <w:rFonts w:hint="eastAsia" w:hAnsi="宋体"/>
          <w:sz w:val="24"/>
          <w:szCs w:val="24"/>
        </w:rPr>
      </w:pPr>
    </w:p>
    <w:p w14:paraId="6187BEEF">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296E7DE">
      <w:pPr>
        <w:pStyle w:val="14"/>
        <w:spacing w:line="360" w:lineRule="auto"/>
        <w:contextualSpacing/>
        <w:rPr>
          <w:rFonts w:hint="eastAsia" w:hAnsi="宋体"/>
          <w:b/>
          <w:sz w:val="24"/>
          <w:szCs w:val="24"/>
        </w:rPr>
      </w:pPr>
    </w:p>
    <w:p w14:paraId="4F301081">
      <w:pPr>
        <w:pStyle w:val="14"/>
        <w:spacing w:line="360" w:lineRule="auto"/>
        <w:contextualSpacing/>
        <w:rPr>
          <w:rFonts w:hint="eastAsia" w:hAnsi="宋体"/>
          <w:b/>
          <w:sz w:val="24"/>
          <w:szCs w:val="24"/>
        </w:rPr>
      </w:pPr>
      <w:r>
        <w:rPr>
          <w:rFonts w:hint="eastAsia" w:hAnsi="宋体"/>
          <w:b/>
          <w:sz w:val="24"/>
          <w:szCs w:val="24"/>
        </w:rPr>
        <w:t>说明：</w:t>
      </w:r>
    </w:p>
    <w:p w14:paraId="64E4EC61">
      <w:pPr>
        <w:pStyle w:val="14"/>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96943D9">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3BEED0">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19F2ED2">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567E53FA">
      <w:pPr>
        <w:pStyle w:val="14"/>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BF36ECE">
      <w:pPr>
        <w:pStyle w:val="14"/>
        <w:snapToGrid w:val="0"/>
        <w:rPr>
          <w:rFonts w:hint="eastAsia"/>
          <w:b/>
          <w:sz w:val="24"/>
          <w:szCs w:val="24"/>
        </w:rPr>
      </w:pPr>
    </w:p>
    <w:p w14:paraId="1CEECFC4">
      <w:pPr>
        <w:rPr>
          <w:rFonts w:hint="eastAsia"/>
        </w:rPr>
      </w:pPr>
      <w:r>
        <w:br w:type="page"/>
      </w:r>
    </w:p>
    <w:p w14:paraId="786CEEAF">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569810B8">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A6E6D98">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10ED549">
      <w:pPr>
        <w:pStyle w:val="14"/>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D26A0A">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10E0A5D">
      <w:pPr>
        <w:pStyle w:val="14"/>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CF4FBCC">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38EDABD">
      <w:pPr>
        <w:pStyle w:val="14"/>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3DDB8DC4">
      <w:pPr>
        <w:pStyle w:val="14"/>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6AF74E">
      <w:pPr>
        <w:pStyle w:val="14"/>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3AD4B117">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CD8A7F5">
      <w:pPr>
        <w:pStyle w:val="14"/>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BA059FC">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01F19C6">
      <w:pPr>
        <w:pStyle w:val="14"/>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26BF6B0">
      <w:pPr>
        <w:pStyle w:val="14"/>
        <w:snapToGrid w:val="0"/>
        <w:spacing w:line="360" w:lineRule="auto"/>
        <w:ind w:firstLine="480" w:firstLineChars="200"/>
        <w:rPr>
          <w:rFonts w:hint="eastAsia" w:hAnsi="宋体"/>
          <w:bCs/>
          <w:sz w:val="24"/>
          <w:szCs w:val="24"/>
        </w:rPr>
      </w:pPr>
      <w:r>
        <w:rPr>
          <w:rFonts w:hAnsi="宋体"/>
          <w:bCs/>
          <w:sz w:val="24"/>
          <w:szCs w:val="24"/>
        </w:rPr>
        <w:t>……</w:t>
      </w:r>
    </w:p>
    <w:p w14:paraId="53FEE070">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2C55551">
      <w:pPr>
        <w:pStyle w:val="14"/>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B5340DA">
      <w:pPr>
        <w:pStyle w:val="14"/>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BD1D898">
      <w:pPr>
        <w:pStyle w:val="14"/>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ACD3F43">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7E96A50">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BEDA436">
      <w:pPr>
        <w:pStyle w:val="14"/>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5A906022">
      <w:pPr>
        <w:pStyle w:val="14"/>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1F3F6BD">
      <w:pPr>
        <w:pStyle w:val="14"/>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0F9FDB">
      <w:pPr>
        <w:pStyle w:val="14"/>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FEE5819">
      <w:pPr>
        <w:pStyle w:val="14"/>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8121400">
      <w:pPr>
        <w:pStyle w:val="14"/>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209D0BE">
      <w:pPr>
        <w:pStyle w:val="14"/>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5D4BBC7">
      <w:pPr>
        <w:pStyle w:val="14"/>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FBD35B">
      <w:pPr>
        <w:pStyle w:val="14"/>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FB286FF">
      <w:pPr>
        <w:pStyle w:val="14"/>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963CB26">
      <w:pPr>
        <w:pStyle w:val="14"/>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BF08519">
      <w:pPr>
        <w:pStyle w:val="14"/>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80BA6DE">
      <w:pPr>
        <w:pStyle w:val="14"/>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5C787292">
      <w:pPr>
        <w:pStyle w:val="14"/>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C0F91C0">
      <w:pPr>
        <w:pStyle w:val="14"/>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E3C5A3D">
      <w:pPr>
        <w:pStyle w:val="14"/>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1B0CE5E">
      <w:pPr>
        <w:pStyle w:val="14"/>
        <w:spacing w:line="360" w:lineRule="auto"/>
        <w:ind w:left="25" w:leftChars="12" w:firstLine="472" w:firstLineChars="197"/>
        <w:rPr>
          <w:rFonts w:hint="eastAsia" w:hAnsi="宋体"/>
          <w:bCs/>
          <w:sz w:val="24"/>
          <w:szCs w:val="24"/>
        </w:rPr>
      </w:pPr>
      <w:r>
        <w:rPr>
          <w:rFonts w:hAnsi="宋体"/>
          <w:bCs/>
          <w:sz w:val="24"/>
          <w:szCs w:val="24"/>
        </w:rPr>
        <w:t>……</w:t>
      </w:r>
    </w:p>
    <w:p w14:paraId="3A09AE1A">
      <w:pPr>
        <w:pStyle w:val="14"/>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79E7206">
      <w:pPr>
        <w:pStyle w:val="1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1741AFF">
      <w:pPr>
        <w:pStyle w:val="14"/>
        <w:spacing w:line="360" w:lineRule="auto"/>
        <w:ind w:left="25" w:leftChars="12" w:firstLine="352" w:firstLineChars="147"/>
        <w:rPr>
          <w:rFonts w:hint="eastAsia" w:hAnsi="宋体"/>
          <w:sz w:val="24"/>
          <w:szCs w:val="24"/>
        </w:rPr>
      </w:pPr>
    </w:p>
    <w:p w14:paraId="6F9B2AF1">
      <w:pPr>
        <w:pStyle w:val="14"/>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9708F65">
      <w:pPr>
        <w:pStyle w:val="14"/>
        <w:spacing w:line="360" w:lineRule="auto"/>
        <w:ind w:left="25" w:leftChars="12" w:firstLine="352" w:firstLineChars="147"/>
        <w:rPr>
          <w:rFonts w:hint="eastAsia" w:hAnsi="宋体"/>
          <w:sz w:val="24"/>
          <w:szCs w:val="24"/>
        </w:rPr>
      </w:pPr>
    </w:p>
    <w:p w14:paraId="54032D49">
      <w:pPr>
        <w:pStyle w:val="14"/>
        <w:spacing w:line="360" w:lineRule="auto"/>
        <w:ind w:left="25" w:leftChars="12" w:firstLine="472" w:firstLineChars="197"/>
        <w:rPr>
          <w:rFonts w:hint="eastAsia" w:hAnsi="宋体"/>
          <w:sz w:val="24"/>
          <w:szCs w:val="24"/>
        </w:rPr>
      </w:pPr>
      <w:r>
        <w:rPr>
          <w:rFonts w:hint="eastAsia" w:hAnsi="宋体"/>
          <w:sz w:val="24"/>
          <w:szCs w:val="24"/>
        </w:rPr>
        <w:t>日期：</w:t>
      </w:r>
    </w:p>
    <w:p w14:paraId="041A1CB7">
      <w:pPr>
        <w:pStyle w:val="14"/>
        <w:spacing w:line="360" w:lineRule="auto"/>
        <w:ind w:left="25" w:leftChars="12" w:firstLine="472" w:firstLineChars="197"/>
        <w:rPr>
          <w:rFonts w:hint="eastAsia" w:hAnsi="宋体"/>
          <w:b/>
          <w:sz w:val="24"/>
          <w:szCs w:val="24"/>
        </w:rPr>
      </w:pPr>
      <w:r>
        <w:rPr>
          <w:rFonts w:hint="eastAsia" w:hAnsi="宋体"/>
          <w:bCs/>
          <w:sz w:val="24"/>
          <w:szCs w:val="24"/>
        </w:rPr>
        <w:t xml:space="preserve">                                                                                 </w:t>
      </w:r>
    </w:p>
    <w:p w14:paraId="17A1CA49">
      <w:pPr>
        <w:pStyle w:val="14"/>
        <w:snapToGrid w:val="0"/>
        <w:spacing w:line="360" w:lineRule="auto"/>
        <w:rPr>
          <w:rFonts w:hint="eastAsia" w:hAnsi="宋体"/>
          <w:b/>
          <w:sz w:val="24"/>
          <w:szCs w:val="24"/>
        </w:rPr>
      </w:pPr>
      <w:r>
        <w:rPr>
          <w:rFonts w:hint="eastAsia" w:hAnsi="宋体"/>
          <w:b/>
          <w:sz w:val="24"/>
          <w:szCs w:val="24"/>
        </w:rPr>
        <w:t>说明：</w:t>
      </w:r>
    </w:p>
    <w:p w14:paraId="69129CCF">
      <w:pPr>
        <w:pStyle w:val="14"/>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C440E9E">
      <w:pPr>
        <w:pStyle w:val="14"/>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524553">
      <w:pPr>
        <w:pStyle w:val="14"/>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CC22A53">
      <w:pPr>
        <w:pStyle w:val="14"/>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27B2842">
      <w:pPr>
        <w:pStyle w:val="14"/>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3721F902">
      <w:pPr>
        <w:pStyle w:val="14"/>
        <w:spacing w:line="360" w:lineRule="auto"/>
        <w:ind w:left="25" w:leftChars="12" w:firstLine="354" w:firstLineChars="147"/>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D328E6C">
      <w:pPr>
        <w:pStyle w:val="2"/>
        <w:numPr>
          <w:ilvl w:val="0"/>
          <w:numId w:val="0"/>
        </w:numPr>
        <w:jc w:val="center"/>
        <w:rPr>
          <w:rFonts w:hint="eastAsia" w:ascii="宋体" w:hAnsi="宋体" w:cs="宋体"/>
          <w:b/>
          <w:kern w:val="0"/>
          <w:sz w:val="32"/>
          <w:szCs w:val="32"/>
        </w:rPr>
      </w:pPr>
      <w:bookmarkStart w:id="53" w:name="_Toc31454"/>
      <w:bookmarkStart w:id="54" w:name="_Toc3994507"/>
      <w:bookmarkStart w:id="55" w:name="_Toc11443"/>
      <w:bookmarkStart w:id="56" w:name="_Toc20713"/>
      <w:bookmarkStart w:id="57" w:name="_Toc17268"/>
      <w:bookmarkStart w:id="58" w:name="_Toc14468"/>
      <w:r>
        <w:rPr>
          <w:rFonts w:hint="eastAsia" w:ascii="Times New Roman" w:hAnsi="Times New Roman" w:eastAsia="宋体" w:cs="Times New Roman"/>
          <w:lang w:val="en-US" w:eastAsia="zh-CN"/>
        </w:rPr>
        <w:t>第六章 合同格式</w:t>
      </w:r>
      <w:bookmarkEnd w:id="53"/>
      <w:bookmarkEnd w:id="54"/>
      <w:bookmarkEnd w:id="55"/>
      <w:bookmarkEnd w:id="56"/>
      <w:bookmarkEnd w:id="57"/>
      <w:bookmarkEnd w:id="58"/>
    </w:p>
    <w:p w14:paraId="380953A7">
      <w:pPr>
        <w:pStyle w:val="2"/>
        <w:pageBreakBefore w:val="0"/>
        <w:kinsoku/>
        <w:overflowPunct/>
        <w:topLinePunct w:val="0"/>
        <w:bidi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59" w:name="_Toc15861"/>
      <w:bookmarkStart w:id="60" w:name="_Toc12316"/>
      <w:bookmarkStart w:id="61" w:name="_Toc20680"/>
      <w:bookmarkStart w:id="62" w:name="_Toc3136"/>
      <w:bookmarkStart w:id="63" w:name="_Toc19470"/>
      <w:bookmarkStart w:id="64" w:name="_Toc6256"/>
      <w:bookmarkStart w:id="65" w:name="_Toc2695"/>
      <w:bookmarkStart w:id="66" w:name="_Toc18478"/>
      <w:r>
        <w:rPr>
          <w:rFonts w:hint="eastAsia" w:ascii="宋体" w:hAnsi="宋体" w:eastAsia="宋体" w:cs="宋体"/>
          <w:color w:val="auto"/>
          <w:sz w:val="28"/>
          <w:szCs w:val="28"/>
          <w:highlight w:val="none"/>
        </w:rPr>
        <w:t>拟签订的合同文本</w:t>
      </w:r>
      <w:bookmarkEnd w:id="59"/>
      <w:bookmarkEnd w:id="60"/>
      <w:bookmarkEnd w:id="61"/>
      <w:bookmarkEnd w:id="62"/>
      <w:bookmarkEnd w:id="63"/>
      <w:bookmarkEnd w:id="64"/>
      <w:bookmarkEnd w:id="65"/>
      <w:bookmarkEnd w:id="66"/>
    </w:p>
    <w:p w14:paraId="3A51929F">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甲方（采购人）：                                      合同编号：</w:t>
      </w:r>
    </w:p>
    <w:p w14:paraId="23137B21">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乙方（中标人）：                                      签订地点：</w:t>
      </w:r>
    </w:p>
    <w:p w14:paraId="28044632">
      <w:pPr>
        <w:pStyle w:val="14"/>
        <w:pageBreakBefore w:val="0"/>
        <w:kinsoku/>
        <w:overflowPunct/>
        <w:topLinePunct w:val="0"/>
        <w:bidi w:val="0"/>
        <w:spacing w:line="240" w:lineRule="auto"/>
        <w:ind w:firstLine="420" w:firstLineChars="200"/>
        <w:rPr>
          <w:rFonts w:hAnsi="宋体"/>
          <w:bCs/>
          <w:sz w:val="21"/>
        </w:rPr>
      </w:pPr>
    </w:p>
    <w:p w14:paraId="7A2927BC">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根据《中华人民共和国政府采购法》、《中华人民共和国</w:t>
      </w:r>
      <w:r>
        <w:rPr>
          <w:rFonts w:hint="eastAsia" w:ascii="宋体" w:hAnsi="宋体"/>
          <w:szCs w:val="21"/>
          <w:lang w:val="en-US" w:eastAsia="zh-CN"/>
        </w:rPr>
        <w:t>民法典</w:t>
      </w:r>
      <w:r>
        <w:rPr>
          <w:rFonts w:hint="eastAsia" w:ascii="宋体" w:hAnsi="宋体"/>
          <w:szCs w:val="21"/>
        </w:rPr>
        <w:t>》</w:t>
      </w:r>
      <w:r>
        <w:rPr>
          <w:rFonts w:hint="eastAsia" w:ascii="宋体" w:hAnsi="宋体"/>
          <w:szCs w:val="21"/>
          <w:lang w:val="en-US" w:eastAsia="zh-CN"/>
        </w:rPr>
        <w:t>以及</w:t>
      </w:r>
      <w:r>
        <w:rPr>
          <w:rFonts w:hint="eastAsia" w:ascii="宋体" w:hAnsi="宋体" w:cs="宋体"/>
          <w:color w:val="auto"/>
          <w:kern w:val="0"/>
          <w:szCs w:val="21"/>
          <w:highlight w:val="none"/>
        </w:rPr>
        <w:t>国家和地方政府有关物业管理的法律、法规和政策规定</w:t>
      </w:r>
      <w:r>
        <w:rPr>
          <w:rFonts w:hint="eastAsia" w:ascii="宋体" w:hAnsi="宋体"/>
          <w:szCs w:val="21"/>
        </w:rPr>
        <w:t>，为保证所购的服务质量，明确双方的权利义务，甲乙双方在平等、自愿、协商一致的基础上，就有关事宜达成如下协议：</w:t>
      </w:r>
    </w:p>
    <w:p w14:paraId="7ACE99F7">
      <w:pPr>
        <w:pageBreakBefore w:val="0"/>
        <w:kinsoku/>
        <w:overflowPunct/>
        <w:topLinePunct w:val="0"/>
        <w:bidi w:val="0"/>
        <w:spacing w:line="240" w:lineRule="auto"/>
        <w:ind w:firstLine="422" w:firstLineChars="200"/>
        <w:rPr>
          <w:rFonts w:hint="default" w:ascii="宋体" w:hAnsi="宋体"/>
          <w:b/>
          <w:bCs/>
          <w:szCs w:val="21"/>
          <w:lang w:val="en-US" w:eastAsia="zh-CN"/>
        </w:rPr>
      </w:pPr>
      <w:r>
        <w:rPr>
          <w:rFonts w:hint="eastAsia" w:ascii="宋体" w:hAnsi="宋体"/>
          <w:b/>
          <w:bCs/>
          <w:szCs w:val="21"/>
          <w:lang w:val="en-US" w:eastAsia="zh-CN"/>
        </w:rPr>
        <w:t>一、合同内容</w:t>
      </w:r>
    </w:p>
    <w:p w14:paraId="6185697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依据采购文件（含补充、修改文件）和乙方的投标文件（含澄清、补充文件）</w:t>
      </w:r>
      <w:r>
        <w:rPr>
          <w:rFonts w:hint="eastAsia" w:ascii="宋体" w:hAnsi="宋体"/>
          <w:szCs w:val="21"/>
          <w:lang w:val="en-US" w:eastAsia="zh-CN"/>
        </w:rPr>
        <w:t>内容</w:t>
      </w:r>
      <w:r>
        <w:rPr>
          <w:rFonts w:hint="eastAsia" w:ascii="宋体" w:hAnsi="宋体"/>
          <w:szCs w:val="21"/>
        </w:rPr>
        <w:t>，乙方向甲方提供物业管理服务。</w:t>
      </w:r>
    </w:p>
    <w:p w14:paraId="561AD004">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二、</w:t>
      </w:r>
      <w:r>
        <w:rPr>
          <w:rFonts w:hint="eastAsia" w:hAnsi="宋体"/>
          <w:b/>
          <w:bCs/>
          <w:sz w:val="21"/>
        </w:rPr>
        <w:t>物业基本情况</w:t>
      </w:r>
    </w:p>
    <w:p w14:paraId="0F57CFA6">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 xml:space="preserve">1、物业名称：             </w:t>
      </w:r>
    </w:p>
    <w:p w14:paraId="721757FF">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 xml:space="preserve">2、座落位置：                                     </w:t>
      </w:r>
    </w:p>
    <w:p w14:paraId="1733D3F5">
      <w:pPr>
        <w:pageBreakBefore w:val="0"/>
        <w:kinsoku/>
        <w:overflowPunct/>
        <w:topLinePunct w:val="0"/>
        <w:bidi w:val="0"/>
        <w:spacing w:line="240" w:lineRule="auto"/>
        <w:ind w:firstLine="420" w:firstLineChars="200"/>
        <w:rPr>
          <w:rFonts w:ascii="宋体" w:hAnsi="宋体"/>
          <w:bCs/>
          <w:szCs w:val="21"/>
        </w:rPr>
      </w:pPr>
      <w:r>
        <w:rPr>
          <w:rFonts w:hint="eastAsia" w:ascii="宋体" w:hAnsi="宋体"/>
          <w:szCs w:val="21"/>
        </w:rPr>
        <w:t xml:space="preserve">3、物业管理范围：   </w:t>
      </w:r>
      <w:r>
        <w:rPr>
          <w:rFonts w:hint="eastAsia" w:ascii="宋体" w:hAnsi="宋体"/>
          <w:bCs/>
          <w:szCs w:val="21"/>
        </w:rPr>
        <w:t xml:space="preserve">      </w:t>
      </w:r>
      <w:r>
        <w:rPr>
          <w:rFonts w:hint="eastAsia" w:ascii="宋体" w:hAnsi="宋体"/>
          <w:bCs/>
          <w:szCs w:val="21"/>
          <w:lang w:eastAsia="zh-CN"/>
        </w:rPr>
        <w:t>（</w:t>
      </w:r>
      <w:r>
        <w:rPr>
          <w:rFonts w:hint="eastAsia" w:ascii="宋体" w:hAnsi="宋体"/>
          <w:bCs/>
          <w:szCs w:val="21"/>
        </w:rPr>
        <w:t>具体物业范围及构成</w:t>
      </w:r>
      <w:r>
        <w:rPr>
          <w:rFonts w:hint="eastAsia" w:ascii="宋体" w:hAnsi="宋体"/>
          <w:bCs/>
          <w:szCs w:val="21"/>
          <w:lang w:val="en-US" w:eastAsia="zh-CN"/>
        </w:rPr>
        <w:t>详</w:t>
      </w:r>
      <w:r>
        <w:rPr>
          <w:rFonts w:hint="eastAsia" w:ascii="宋体" w:hAnsi="宋体"/>
          <w:bCs/>
          <w:szCs w:val="21"/>
        </w:rPr>
        <w:t>见本项目招标文件中第二章《采购需求》的相关内容。</w:t>
      </w:r>
      <w:r>
        <w:rPr>
          <w:rFonts w:hint="eastAsia" w:ascii="宋体" w:hAnsi="宋体"/>
          <w:bCs/>
          <w:szCs w:val="21"/>
          <w:lang w:eastAsia="zh-CN"/>
        </w:rPr>
        <w:t>）</w:t>
      </w:r>
      <w:r>
        <w:rPr>
          <w:rFonts w:hint="eastAsia" w:ascii="宋体" w:hAnsi="宋体"/>
          <w:bCs/>
          <w:szCs w:val="21"/>
        </w:rPr>
        <w:t xml:space="preserve">                                      </w:t>
      </w:r>
    </w:p>
    <w:p w14:paraId="149B7A20">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三</w:t>
      </w:r>
      <w:r>
        <w:rPr>
          <w:rFonts w:hint="eastAsia" w:hAnsi="宋体"/>
          <w:b/>
          <w:bCs/>
          <w:sz w:val="21"/>
        </w:rPr>
        <w:t>、</w:t>
      </w:r>
      <w:r>
        <w:rPr>
          <w:rFonts w:hint="eastAsia" w:hAnsi="宋体"/>
          <w:b/>
          <w:bCs/>
          <w:sz w:val="21"/>
          <w:lang w:val="en-US" w:eastAsia="zh-CN"/>
        </w:rPr>
        <w:t>物业</w:t>
      </w:r>
      <w:r>
        <w:rPr>
          <w:rFonts w:hint="eastAsia" w:hAnsi="宋体"/>
          <w:b/>
          <w:bCs/>
          <w:sz w:val="21"/>
        </w:rPr>
        <w:t>管理</w:t>
      </w:r>
      <w:r>
        <w:rPr>
          <w:rFonts w:hint="eastAsia" w:hAnsi="宋体"/>
          <w:b/>
          <w:bCs/>
          <w:sz w:val="21"/>
          <w:lang w:val="en-US" w:eastAsia="zh-CN"/>
        </w:rPr>
        <w:t>服务内容</w:t>
      </w:r>
    </w:p>
    <w:p w14:paraId="05DEE80D">
      <w:pPr>
        <w:pageBreakBefore w:val="0"/>
        <w:kinsoku/>
        <w:overflowPunct/>
        <w:topLinePunct w:val="0"/>
        <w:bidi w:val="0"/>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1、            ；</w:t>
      </w:r>
    </w:p>
    <w:p w14:paraId="049E07E2">
      <w:pPr>
        <w:pageBreakBefore w:val="0"/>
        <w:numPr>
          <w:ilvl w:val="0"/>
          <w:numId w:val="5"/>
        </w:numPr>
        <w:kinsoku/>
        <w:overflowPunct/>
        <w:topLinePunct w:val="0"/>
        <w:bidi w:val="0"/>
        <w:spacing w:line="240" w:lineRule="auto"/>
        <w:ind w:firstLine="420" w:firstLineChars="200"/>
        <w:rPr>
          <w:rFonts w:ascii="宋体" w:hAnsi="宋体"/>
          <w:szCs w:val="21"/>
        </w:rPr>
      </w:pPr>
      <w:r>
        <w:rPr>
          <w:rFonts w:hint="eastAsia" w:ascii="宋体" w:hAnsi="宋体"/>
          <w:szCs w:val="21"/>
          <w:lang w:val="en-US" w:eastAsia="zh-CN"/>
        </w:rPr>
        <w:t xml:space="preserve">           ；</w:t>
      </w:r>
      <w:r>
        <w:rPr>
          <w:rFonts w:hint="eastAsia" w:ascii="宋体" w:hAnsi="宋体"/>
          <w:szCs w:val="21"/>
        </w:rPr>
        <w:t xml:space="preserve">  </w:t>
      </w:r>
    </w:p>
    <w:p w14:paraId="4DD2ECDE">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szCs w:val="21"/>
          <w:lang w:val="en-US" w:eastAsia="zh-CN"/>
        </w:rPr>
        <w:t>3、</w:t>
      </w:r>
      <w:r>
        <w:rPr>
          <w:rFonts w:hint="eastAsia" w:ascii="宋体" w:hAnsi="宋体" w:cs="宋体"/>
          <w:color w:val="auto"/>
          <w:kern w:val="0"/>
          <w:szCs w:val="21"/>
          <w:highlight w:val="none"/>
        </w:rPr>
        <w:t>具体服务内容包含招标文件的《采购需求》、投标文件的《服务方案》和乙方的所有承诺服务内容；</w:t>
      </w:r>
    </w:p>
    <w:p w14:paraId="77F10E72">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四</w:t>
      </w:r>
      <w:r>
        <w:rPr>
          <w:rFonts w:hint="eastAsia" w:hAnsi="宋体"/>
          <w:b/>
          <w:bCs/>
          <w:sz w:val="21"/>
        </w:rPr>
        <w:t>、物业管理质量</w:t>
      </w:r>
    </w:p>
    <w:p w14:paraId="5E137A6B">
      <w:pPr>
        <w:pStyle w:val="14"/>
        <w:pageBreakBefore w:val="0"/>
        <w:kinsoku/>
        <w:overflowPunct/>
        <w:topLinePunct w:val="0"/>
        <w:bidi w:val="0"/>
        <w:spacing w:line="240" w:lineRule="auto"/>
        <w:ind w:firstLine="420" w:firstLineChars="200"/>
        <w:rPr>
          <w:rFonts w:hint="eastAsia" w:hAnsi="宋体"/>
          <w:b/>
          <w:bCs/>
          <w:sz w:val="21"/>
        </w:rPr>
      </w:pPr>
      <w:r>
        <w:rPr>
          <w:rFonts w:hint="eastAsia" w:hAnsi="宋体"/>
          <w:sz w:val="21"/>
        </w:rPr>
        <w:t>乙方提供的服务质量标准按国家和地方政府的规定和本合同约定的物业服务质量要求及乙方在投标文件中的承诺执行。</w:t>
      </w:r>
    </w:p>
    <w:p w14:paraId="350E29A2">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五</w:t>
      </w:r>
      <w:r>
        <w:rPr>
          <w:rFonts w:hint="eastAsia" w:hAnsi="宋体"/>
          <w:b/>
          <w:bCs/>
          <w:sz w:val="21"/>
        </w:rPr>
        <w:t>、</w:t>
      </w:r>
      <w:r>
        <w:rPr>
          <w:rFonts w:hint="eastAsia" w:hAnsi="宋体"/>
          <w:b/>
          <w:bCs/>
          <w:sz w:val="21"/>
          <w:lang w:val="en-US" w:eastAsia="zh-CN"/>
        </w:rPr>
        <w:t>物业</w:t>
      </w:r>
      <w:r>
        <w:rPr>
          <w:rFonts w:hint="eastAsia" w:hAnsi="宋体"/>
          <w:b/>
          <w:bCs/>
          <w:sz w:val="21"/>
        </w:rPr>
        <w:t>管理</w:t>
      </w:r>
      <w:r>
        <w:rPr>
          <w:rFonts w:hint="eastAsia" w:hAnsi="宋体"/>
          <w:b/>
          <w:bCs/>
          <w:sz w:val="21"/>
          <w:lang w:val="en-US" w:eastAsia="zh-CN"/>
        </w:rPr>
        <w:t>服务</w:t>
      </w:r>
      <w:r>
        <w:rPr>
          <w:rFonts w:hint="eastAsia" w:hAnsi="宋体"/>
          <w:b/>
          <w:bCs/>
          <w:sz w:val="21"/>
        </w:rPr>
        <w:t>期限</w:t>
      </w:r>
    </w:p>
    <w:p w14:paraId="1C0977BA">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lang w:val="en-US" w:eastAsia="zh-CN"/>
        </w:rPr>
        <w:t>乙方提供物业</w:t>
      </w:r>
      <w:r>
        <w:rPr>
          <w:rFonts w:hint="eastAsia" w:ascii="宋体" w:hAnsi="宋体"/>
          <w:szCs w:val="21"/>
        </w:rPr>
        <w:t>管理</w:t>
      </w:r>
      <w:r>
        <w:rPr>
          <w:rFonts w:hint="eastAsia" w:ascii="宋体" w:hAnsi="宋体"/>
          <w:szCs w:val="21"/>
          <w:lang w:val="en-US" w:eastAsia="zh-CN"/>
        </w:rPr>
        <w:t>服务的</w:t>
      </w:r>
      <w:r>
        <w:rPr>
          <w:rFonts w:hint="eastAsia" w:ascii="宋体" w:hAnsi="宋体"/>
          <w:szCs w:val="21"/>
        </w:rPr>
        <w:t>期限为</w:t>
      </w:r>
      <w:r>
        <w:rPr>
          <w:rFonts w:hint="eastAsia" w:ascii="宋体" w:hAnsi="宋体"/>
          <w:szCs w:val="21"/>
          <w:lang w:val="en-US" w:eastAsia="zh-CN"/>
        </w:rPr>
        <w:t>3年，即</w:t>
      </w:r>
      <w:r>
        <w:rPr>
          <w:rFonts w:hint="eastAsia" w:ascii="宋体" w:hAnsi="宋体"/>
          <w:szCs w:val="21"/>
        </w:rPr>
        <w:t>自    年  月  日至   年  月  日止。在此期间未履行合同，不遵守承诺或达不到甲方要求，甲方有权解除合同，其一切责任由乙方负责，乙方不得以任何理由向甲方提出任何索赔要求。</w:t>
      </w:r>
    </w:p>
    <w:p w14:paraId="236B5E9F">
      <w:pPr>
        <w:pageBreakBefore w:val="0"/>
        <w:numPr>
          <w:ilvl w:val="0"/>
          <w:numId w:val="0"/>
        </w:numPr>
        <w:kinsoku/>
        <w:overflowPunct/>
        <w:topLinePunct w:val="0"/>
        <w:bidi w:val="0"/>
        <w:spacing w:line="240" w:lineRule="auto"/>
        <w:ind w:firstLine="422" w:firstLineChars="200"/>
        <w:rPr>
          <w:rFonts w:hint="eastAsia" w:ascii="宋体" w:hAnsi="宋体"/>
          <w:color w:val="auto"/>
          <w:szCs w:val="21"/>
        </w:rPr>
      </w:pPr>
      <w:r>
        <w:rPr>
          <w:rFonts w:hint="eastAsia" w:ascii="宋体" w:hAnsi="宋体" w:cs="Times New Roman"/>
          <w:b/>
          <w:bCs/>
          <w:color w:val="auto"/>
          <w:kern w:val="2"/>
          <w:sz w:val="21"/>
          <w:szCs w:val="21"/>
          <w:lang w:val="en-US" w:eastAsia="zh-CN" w:bidi="ar-SA"/>
        </w:rPr>
        <w:t>六</w:t>
      </w:r>
      <w:r>
        <w:rPr>
          <w:rFonts w:hint="eastAsia" w:ascii="宋体" w:hAnsi="宋体" w:eastAsia="宋体" w:cs="Times New Roman"/>
          <w:b/>
          <w:bCs/>
          <w:color w:val="auto"/>
          <w:kern w:val="2"/>
          <w:sz w:val="21"/>
          <w:szCs w:val="21"/>
          <w:lang w:val="en-US" w:eastAsia="zh-CN" w:bidi="ar-SA"/>
        </w:rPr>
        <w:t>、</w:t>
      </w:r>
      <w:r>
        <w:rPr>
          <w:rFonts w:hint="eastAsia" w:ascii="宋体" w:hAnsi="宋体"/>
          <w:b/>
          <w:bCs/>
          <w:color w:val="auto"/>
          <w:szCs w:val="21"/>
        </w:rPr>
        <w:t>支付</w:t>
      </w:r>
      <w:r>
        <w:rPr>
          <w:rFonts w:hint="eastAsia" w:ascii="宋体" w:hAnsi="宋体"/>
          <w:b/>
          <w:bCs/>
          <w:color w:val="auto"/>
          <w:szCs w:val="21"/>
          <w:lang w:val="en-US" w:eastAsia="zh-CN"/>
        </w:rPr>
        <w:t>时间</w:t>
      </w:r>
      <w:r>
        <w:rPr>
          <w:rFonts w:hint="eastAsia" w:ascii="宋体" w:hAnsi="宋体"/>
          <w:b/>
          <w:bCs/>
          <w:color w:val="auto"/>
          <w:szCs w:val="21"/>
        </w:rPr>
        <w:t>及付款方式</w:t>
      </w:r>
      <w:r>
        <w:rPr>
          <w:rFonts w:hint="eastAsia" w:ascii="宋体" w:hAnsi="宋体"/>
          <w:color w:val="auto"/>
          <w:szCs w:val="21"/>
        </w:rPr>
        <w:t>：</w:t>
      </w:r>
    </w:p>
    <w:p w14:paraId="0B5BF2A5">
      <w:pPr>
        <w:pageBreakBefore w:val="0"/>
        <w:numPr>
          <w:ilvl w:val="0"/>
          <w:numId w:val="0"/>
        </w:numPr>
        <w:kinsoku/>
        <w:overflowPunct/>
        <w:topLinePunct w:val="0"/>
        <w:bidi w:val="0"/>
        <w:spacing w:line="240" w:lineRule="auto"/>
        <w:ind w:firstLine="420" w:firstLineChars="200"/>
        <w:rPr>
          <w:rFonts w:hint="default" w:ascii="宋体" w:hAnsi="宋体" w:eastAsia="宋体" w:cs="Times New Roman"/>
          <w:color w:val="auto"/>
          <w:sz w:val="21"/>
          <w:szCs w:val="21"/>
          <w:lang w:val="en-US" w:bidi="zh-CN"/>
        </w:rPr>
      </w:pPr>
      <w:r>
        <w:rPr>
          <w:rFonts w:hint="eastAsia"/>
          <w:color w:val="auto"/>
          <w:lang w:val="en-US" w:eastAsia="zh-CN"/>
        </w:rPr>
        <w:t>乙方圆满完成上月服务内容后，结合考核实际和工作情况，次月15日前按月以银行转账方式支付服务费用，乙方应当向甲方开具合法有效的增值税发票。</w:t>
      </w:r>
    </w:p>
    <w:p w14:paraId="1C1379DF">
      <w:pPr>
        <w:pStyle w:val="14"/>
        <w:pageBreakBefore w:val="0"/>
        <w:kinsoku/>
        <w:overflowPunct/>
        <w:topLinePunct w:val="0"/>
        <w:bidi w:val="0"/>
        <w:spacing w:line="240" w:lineRule="auto"/>
        <w:ind w:firstLine="422" w:firstLineChars="200"/>
        <w:rPr>
          <w:rFonts w:hAnsi="宋体"/>
          <w:b/>
          <w:bCs/>
          <w:color w:val="000000" w:themeColor="text1"/>
          <w:sz w:val="21"/>
          <w14:textFill>
            <w14:solidFill>
              <w14:schemeClr w14:val="tx1"/>
            </w14:solidFill>
          </w14:textFill>
        </w:rPr>
      </w:pPr>
      <w:r>
        <w:rPr>
          <w:rFonts w:hint="eastAsia" w:hAnsi="宋体"/>
          <w:b/>
          <w:bCs/>
          <w:color w:val="000000" w:themeColor="text1"/>
          <w:sz w:val="21"/>
          <w:lang w:val="en-US" w:eastAsia="zh-CN"/>
          <w14:textFill>
            <w14:solidFill>
              <w14:schemeClr w14:val="tx1"/>
            </w14:solidFill>
          </w14:textFill>
        </w:rPr>
        <w:t>七</w:t>
      </w:r>
      <w:r>
        <w:rPr>
          <w:rFonts w:hint="eastAsia" w:hAnsi="宋体"/>
          <w:b/>
          <w:bCs/>
          <w:color w:val="000000" w:themeColor="text1"/>
          <w:sz w:val="21"/>
          <w14:textFill>
            <w14:solidFill>
              <w14:schemeClr w14:val="tx1"/>
            </w14:solidFill>
          </w14:textFill>
        </w:rPr>
        <w:t>、履约保证金的支付</w:t>
      </w:r>
    </w:p>
    <w:p w14:paraId="5527F28C">
      <w:pPr>
        <w:pStyle w:val="14"/>
        <w:pageBreakBefore w:val="0"/>
        <w:kinsoku/>
        <w:overflowPunct/>
        <w:topLinePunct w:val="0"/>
        <w:bidi w:val="0"/>
        <w:spacing w:line="240" w:lineRule="auto"/>
        <w:ind w:firstLine="420" w:firstLineChars="200"/>
        <w:rPr>
          <w:rFonts w:hint="eastAsia" w:ascii="宋体" w:hAnsi="宋体" w:cs="Times New Roman" w:eastAsiaTheme="minorEastAsia"/>
          <w:color w:val="000000" w:themeColor="text1"/>
          <w:kern w:val="2"/>
          <w:sz w:val="21"/>
          <w:szCs w:val="21"/>
          <w:lang w:val="en-US" w:eastAsia="zh-CN" w:bidi="zh-CN"/>
          <w14:textFill>
            <w14:solidFill>
              <w14:schemeClr w14:val="tx1"/>
            </w14:solidFill>
          </w14:textFill>
        </w:rPr>
      </w:pPr>
      <w:r>
        <w:rPr>
          <w:rFonts w:hint="eastAsia" w:ascii="宋体" w:hAnsi="宋体" w:cs="Times New Roman" w:eastAsiaTheme="minorEastAsia"/>
          <w:color w:val="000000" w:themeColor="text1"/>
          <w:kern w:val="2"/>
          <w:sz w:val="21"/>
          <w:szCs w:val="21"/>
          <w:lang w:val="en-US" w:eastAsia="zh-CN" w:bidi="zh-CN"/>
          <w14:textFill>
            <w14:solidFill>
              <w14:schemeClr w14:val="tx1"/>
            </w14:solidFill>
          </w14:textFill>
        </w:rPr>
        <w:t>无履约保证金。</w:t>
      </w:r>
    </w:p>
    <w:p w14:paraId="02BA8B4A">
      <w:pPr>
        <w:pStyle w:val="14"/>
        <w:pageBreakBefore w:val="0"/>
        <w:kinsoku/>
        <w:overflowPunct/>
        <w:topLinePunct w:val="0"/>
        <w:bidi w:val="0"/>
        <w:spacing w:line="240" w:lineRule="auto"/>
        <w:ind w:firstLine="422" w:firstLineChars="200"/>
        <w:rPr>
          <w:rFonts w:hAnsi="宋体"/>
          <w:b/>
          <w:bCs/>
          <w:sz w:val="21"/>
        </w:rPr>
      </w:pPr>
      <w:r>
        <w:rPr>
          <w:rFonts w:hint="eastAsia" w:hAnsi="宋体"/>
          <w:b/>
          <w:bCs/>
          <w:color w:val="000000" w:themeColor="text1"/>
          <w:sz w:val="21"/>
          <w:lang w:val="en-US" w:eastAsia="zh-CN"/>
          <w14:textFill>
            <w14:solidFill>
              <w14:schemeClr w14:val="tx1"/>
            </w14:solidFill>
          </w14:textFill>
        </w:rPr>
        <w:t>八</w:t>
      </w:r>
      <w:r>
        <w:rPr>
          <w:rFonts w:hint="eastAsia" w:hAnsi="宋体"/>
          <w:b/>
          <w:bCs/>
          <w:sz w:val="21"/>
        </w:rPr>
        <w:t>、</w:t>
      </w:r>
      <w:r>
        <w:rPr>
          <w:rFonts w:hAnsi="宋体"/>
          <w:b/>
          <w:bCs/>
          <w:sz w:val="21"/>
        </w:rPr>
        <w:t>双方权利义务</w:t>
      </w:r>
    </w:p>
    <w:p w14:paraId="148E56D4">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rPr>
        <w:t>（一）甲方的权利和义务</w:t>
      </w:r>
    </w:p>
    <w:p w14:paraId="144A0E0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1、代表和维护产权人、使用人的合法权益。积极协助乙方做好物业管理工作。</w:t>
      </w:r>
    </w:p>
    <w:p w14:paraId="57A010B5">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2、审定乙方制定的物业管理制度及实施细则，并监督使用人遵守。</w:t>
      </w:r>
    </w:p>
    <w:p w14:paraId="0201A1D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3、审定乙方提出的物业管理年度计划、年度费用概预算、决算报告等。抽查物业管理经费的使用情况。</w:t>
      </w:r>
    </w:p>
    <w:p w14:paraId="243E8536">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4、对乙方的物业管理实施监督检查，每年进行</w:t>
      </w:r>
      <w:r>
        <w:rPr>
          <w:rFonts w:hint="eastAsia" w:ascii="宋体" w:hAnsi="宋体"/>
          <w:szCs w:val="21"/>
          <w:lang w:val="en-US" w:eastAsia="zh-CN"/>
        </w:rPr>
        <w:t>___</w:t>
      </w:r>
      <w:r>
        <w:rPr>
          <w:rFonts w:hint="eastAsia" w:ascii="宋体" w:hAnsi="宋体"/>
          <w:szCs w:val="21"/>
        </w:rPr>
        <w:t>次全面的考核评定，考核实施细则按照采购文件规定执行，甲乙双方可进一步协商完善。</w:t>
      </w:r>
    </w:p>
    <w:p w14:paraId="05EFED3C">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5、在合同生效之日起10日内向乙方提供</w:t>
      </w:r>
      <w:r>
        <w:rPr>
          <w:rFonts w:hint="eastAsia" w:ascii="宋体" w:hAnsi="宋体"/>
          <w:szCs w:val="21"/>
          <w:lang w:val="en-US" w:eastAsia="zh-CN"/>
        </w:rPr>
        <w:t>_____</w:t>
      </w:r>
      <w:r>
        <w:rPr>
          <w:rFonts w:hint="eastAsia" w:ascii="宋体" w:hAnsi="宋体"/>
          <w:szCs w:val="21"/>
        </w:rPr>
        <w:t>平方米建筑面积的办公用房，由乙方无偿使用，水、电、通讯等费用由</w:t>
      </w:r>
      <w:r>
        <w:rPr>
          <w:rFonts w:hint="eastAsia" w:ascii="宋体" w:hAnsi="宋体"/>
          <w:szCs w:val="21"/>
          <w:u w:val="single"/>
        </w:rPr>
        <w:t xml:space="preserve">    </w:t>
      </w:r>
      <w:r>
        <w:rPr>
          <w:rFonts w:hint="eastAsia" w:ascii="宋体" w:hAnsi="宋体"/>
          <w:szCs w:val="21"/>
        </w:rPr>
        <w:t>承担。</w:t>
      </w:r>
    </w:p>
    <w:p w14:paraId="46243A98">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6、负责对物业设施、设备进行清点、核查，在合同生效之日起20日内与乙方办理交接验收手续，移交相关的物业及其附属设施、设备、物业管理的原始资料和技术档案（工程建设竣工资料）等，并在乙方管理期满时予以收回。</w:t>
      </w:r>
    </w:p>
    <w:p w14:paraId="6C37E8B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7、依照本合同约定，按时支付物业管理费。</w:t>
      </w:r>
    </w:p>
    <w:p w14:paraId="7A080D14">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rPr>
        <w:t>（二）乙方的权利和义务</w:t>
      </w:r>
    </w:p>
    <w:p w14:paraId="07FC2131">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1、不得将物业管理项目转让给他人；未经甲方同意，也不得将项目分包给他人。</w:t>
      </w:r>
    </w:p>
    <w:p w14:paraId="180FF64A">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2、严格遵守有关法律法规和采购文件的规定，对物业实行专业规范、安全高质的管理。</w:t>
      </w:r>
    </w:p>
    <w:p w14:paraId="530C6A6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3、接受物业管理行政主管部门和甲方的监督、指导。</w:t>
      </w:r>
    </w:p>
    <w:p w14:paraId="6308FE9B">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4、制定物业管理的各项办法、规章制度及岗位责任。建立健全本项目的物业管理档案，及时记载有关变动情况。</w:t>
      </w:r>
    </w:p>
    <w:p w14:paraId="25883CA5">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5、拟定物业管理年度计划、费用概预算决算，每半年向甲方上报财务开支情况并作出说明。</w:t>
      </w:r>
    </w:p>
    <w:p w14:paraId="257CEE0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6、对管理范围内的物业和公用设施不得擅自占用或改变使用功能，如需在本物业内改扩建完善配套项目，须报甲方和有关部门批准后方可实施。</w:t>
      </w:r>
    </w:p>
    <w:p w14:paraId="39DDCE7F">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7、对业主和使用人违反制度的行为，针对具体行为并根据情节轻重，采取批评、规劝、警告、制止等措施。</w:t>
      </w:r>
    </w:p>
    <w:p w14:paraId="4EFBD9B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8、对其员工管理应符合当地政府的有关规定及甲方有关的要求。员工证件应齐全，包括身份证等，有关证件复印件乙方应送甲方备案。乙方员工食宿自行安排。</w:t>
      </w:r>
    </w:p>
    <w:p w14:paraId="720CF7EA">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9、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14:paraId="16AEA66B">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10、本合同终止时，乙方须向甲方移交原委托管理的全部物业及其各类管理档案、财务等资料；移交其管理范围内的全部公共财产，并接受甲方指定专业机构的移交审核。向甲方移交时，要确保各项设施的性能良好。</w:t>
      </w:r>
    </w:p>
    <w:p w14:paraId="668B6D65">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11、有权按时从甲方处支取物业管理费。</w:t>
      </w:r>
    </w:p>
    <w:p w14:paraId="1451284A">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九</w:t>
      </w:r>
      <w:r>
        <w:rPr>
          <w:rFonts w:hint="eastAsia" w:hAnsi="宋体"/>
          <w:b/>
          <w:bCs/>
          <w:sz w:val="21"/>
        </w:rPr>
        <w:t>、违约责任</w:t>
      </w:r>
    </w:p>
    <w:p w14:paraId="4E2DAFDC">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1、如因乙方管理不善，造成重大经济损失，经有关部门认定，甲方有权终止本合同，并追究乙方的经济责任。</w:t>
      </w:r>
    </w:p>
    <w:p w14:paraId="4EB4F5C1">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乙方未完成合同规定的各项管理目标，甲方可发出警告或整改通知，甲方连续二次或半年内三次发出警告或整改通知而又无彻底改善的，视为乙方无能力继续履行合同，甲方有权终止合同，并没收其履约保证金</w:t>
      </w:r>
      <w:r>
        <w:rPr>
          <w:rFonts w:hint="eastAsia" w:ascii="宋体" w:hAnsi="宋体"/>
          <w:szCs w:val="21"/>
          <w:lang w:eastAsia="zh-CN"/>
        </w:rPr>
        <w:t>，</w:t>
      </w:r>
      <w:r>
        <w:rPr>
          <w:rFonts w:hint="eastAsia" w:ascii="宋体" w:hAnsi="宋体" w:cs="宋体"/>
          <w:color w:val="auto"/>
          <w:kern w:val="0"/>
          <w:szCs w:val="21"/>
          <w:highlight w:val="none"/>
        </w:rPr>
        <w:t>且无需支付合同解除后的合同后续费用</w:t>
      </w:r>
      <w:r>
        <w:rPr>
          <w:rFonts w:hint="eastAsia" w:ascii="宋体" w:hAnsi="宋体"/>
          <w:szCs w:val="21"/>
        </w:rPr>
        <w:t>。</w:t>
      </w:r>
    </w:p>
    <w:p w14:paraId="6AE2202C">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3、乙方不能按时履行合同约定的，每延误一天应向甲方偿付不能按时履行部分款项</w:t>
      </w:r>
      <w:r>
        <w:rPr>
          <w:rFonts w:hint="eastAsia" w:ascii="宋体" w:hAnsi="宋体"/>
          <w:color w:val="000000" w:themeColor="text1"/>
          <w:szCs w:val="21"/>
          <w:u w:val="single"/>
          <w14:textFill>
            <w14:solidFill>
              <w14:schemeClr w14:val="tx1"/>
            </w14:solidFill>
          </w14:textFill>
        </w:rPr>
        <w:t>百分比</w:t>
      </w:r>
      <w:r>
        <w:rPr>
          <w:rFonts w:hint="eastAsia" w:ascii="宋体" w:hAnsi="宋体"/>
          <w:color w:val="000000" w:themeColor="text1"/>
          <w:szCs w:val="21"/>
          <w14:textFill>
            <w14:solidFill>
              <w14:schemeClr w14:val="tx1"/>
            </w14:solidFill>
          </w14:textFill>
        </w:rPr>
        <w:t>的违约金。</w:t>
      </w:r>
    </w:p>
    <w:p w14:paraId="498DB049">
      <w:pPr>
        <w:pageBreakBefore w:val="0"/>
        <w:kinsoku/>
        <w:overflowPunct/>
        <w:topLinePunct w:val="0"/>
        <w:bidi w:val="0"/>
        <w:spacing w:line="240" w:lineRule="auto"/>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4、甲方不能按照本合同约定的价款和支付方式如期支付，每逾期一天，应支付逾期部分总价款2‰</w:t>
      </w:r>
      <w:r>
        <w:rPr>
          <w:rFonts w:hint="eastAsia" w:ascii="宋体" w:hAnsi="宋体"/>
          <w:szCs w:val="21"/>
        </w:rPr>
        <w:t>的违约金。</w:t>
      </w:r>
    </w:p>
    <w:p w14:paraId="288F498C">
      <w:pPr>
        <w:pStyle w:val="28"/>
        <w:spacing w:line="400" w:lineRule="exact"/>
        <w:rPr>
          <w:rFonts w:hint="eastAsia" w:ascii="宋体" w:hAnsi="宋体" w:eastAsia="宋体"/>
          <w:szCs w:val="21"/>
          <w:lang w:val="en-US" w:eastAsia="zh-CN"/>
        </w:rPr>
      </w:pPr>
      <w:r>
        <w:rPr>
          <w:rFonts w:hint="eastAsia" w:ascii="宋体" w:hAnsi="宋体" w:eastAsia="宋体"/>
          <w:szCs w:val="21"/>
          <w:lang w:val="en-US" w:eastAsia="zh-CN"/>
        </w:rPr>
        <w:t>5、乙方不得将本合同项目转包或分包给第三方，否则甲方有权单方终止本合同，乙方应承担因此给甲方造成的经济损失，包括但不限于依法应重新招标产生的各项费用、甲方向乙方追偿而支出的律师费、诉讼费等。</w:t>
      </w:r>
    </w:p>
    <w:p w14:paraId="53B47459">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十</w:t>
      </w:r>
      <w:r>
        <w:rPr>
          <w:rFonts w:hint="eastAsia" w:hAnsi="宋体"/>
          <w:b/>
          <w:bCs/>
          <w:sz w:val="21"/>
        </w:rPr>
        <w:t>、其他事项</w:t>
      </w:r>
    </w:p>
    <w:p w14:paraId="13368581">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如遇突发或重大事件，乙方管理人员应在第一时间报告甲方有关部门，乙方项目负责人应在第一时间到达现场，适时处理或协助处理有关问题，甲方如认为情况危及到甲方的安定管理，乙方应无条件同意甲方直接调配乙方资源直至危机结束。</w:t>
      </w:r>
    </w:p>
    <w:p w14:paraId="515431D0">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2、委托管理楼宇内的设施，每年被盗率不得超过</w:t>
      </w:r>
      <w:r>
        <w:rPr>
          <w:rFonts w:hint="eastAsia" w:ascii="宋体" w:hAnsi="宋体"/>
          <w:color w:val="000000" w:themeColor="text1"/>
          <w:szCs w:val="21"/>
          <w14:textFill>
            <w14:solidFill>
              <w14:schemeClr w14:val="tx1"/>
            </w14:solidFill>
          </w14:textFill>
        </w:rPr>
        <w:t>1‰</w:t>
      </w:r>
      <w:r>
        <w:rPr>
          <w:rFonts w:hint="eastAsia" w:ascii="宋体" w:hAnsi="宋体"/>
          <w:szCs w:val="21"/>
        </w:rPr>
        <w:t>件，超过此比率的，由乙方全额赔偿。委托管理区域内发生人身伤害事故，按照物业管理有关的法律、法规、文件规定，乙方承担相应的管理责任。</w:t>
      </w:r>
    </w:p>
    <w:p w14:paraId="43527F0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3、乙方人员必须严格遵守操作规程，如因违反操作规程而造成甲方财物损失的，乙方应负全部赔偿责任。</w:t>
      </w:r>
      <w:r>
        <w:rPr>
          <w:rFonts w:ascii="宋体" w:hAnsi="宋体"/>
          <w:szCs w:val="21"/>
        </w:rPr>
        <w:t>因房屋建筑质量、设备设施质量或安装技术等原因，达不到使用功能，造成重大事故的，由甲方承担责任并作善后处理，产生质量事故的直接原因，以政府主管部门的鉴定为准。</w:t>
      </w:r>
    </w:p>
    <w:p w14:paraId="21B4BEFB">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4、由于乙方原因而损坏甲方财产的，由乙方负责赔偿。因甲方原因，造成乙方未完成规定管理目标或直接造成乙方经济损失的，甲方应给予乙方相应补偿。</w:t>
      </w:r>
    </w:p>
    <w:p w14:paraId="345F7E21">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一</w:t>
      </w:r>
      <w:r>
        <w:rPr>
          <w:rFonts w:hint="eastAsia" w:ascii="宋体" w:hAnsi="宋体"/>
          <w:b/>
          <w:color w:val="000000" w:themeColor="text1"/>
          <w:szCs w:val="21"/>
          <w14:textFill>
            <w14:solidFill>
              <w14:schemeClr w14:val="tx1"/>
            </w14:solidFill>
          </w14:textFill>
        </w:rPr>
        <w:t>、不可抗力</w:t>
      </w:r>
      <w:r>
        <w:rPr>
          <w:rFonts w:hint="eastAsia" w:ascii="宋体" w:hAnsi="宋体"/>
          <w:color w:val="000000" w:themeColor="text1"/>
          <w:szCs w:val="21"/>
          <w14:textFill>
            <w14:solidFill>
              <w14:schemeClr w14:val="tx1"/>
            </w14:solidFill>
          </w14:textFill>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7BE97524">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、本合同的其他组成文件：</w:t>
      </w:r>
    </w:p>
    <w:p w14:paraId="424CC2A6">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1、采购文件（含补充、修改文件）</w:t>
      </w:r>
    </w:p>
    <w:p w14:paraId="236FB01B">
      <w:pPr>
        <w:pageBreakBefore w:val="0"/>
        <w:kinsoku/>
        <w:overflowPunct/>
        <w:topLinePunct w:val="0"/>
        <w:bidi w:val="0"/>
        <w:spacing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2、乙方的投标文件（含澄清、补充文件）</w:t>
      </w:r>
    </w:p>
    <w:p w14:paraId="680A0A9A">
      <w:pPr>
        <w:spacing w:line="240" w:lineRule="auto"/>
        <w:ind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Times New Roman"/>
          <w:color w:val="000000" w:themeColor="text1"/>
          <w:kern w:val="2"/>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投标承诺书；</w:t>
      </w:r>
    </w:p>
    <w:p w14:paraId="51020EF5">
      <w:pPr>
        <w:spacing w:line="240" w:lineRule="auto"/>
        <w:ind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Times New Roman"/>
          <w:color w:val="000000" w:themeColor="text1"/>
          <w:kern w:val="2"/>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中标通知书。</w:t>
      </w:r>
    </w:p>
    <w:p w14:paraId="084E3F51">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三</w:t>
      </w:r>
      <w:r>
        <w:rPr>
          <w:rFonts w:hint="eastAsia" w:ascii="宋体" w:hAnsi="宋体"/>
          <w:b/>
          <w:color w:val="000000" w:themeColor="text1"/>
          <w:szCs w:val="21"/>
          <w14:textFill>
            <w14:solidFill>
              <w14:schemeClr w14:val="tx1"/>
            </w14:solidFill>
          </w14:textFill>
        </w:rPr>
        <w:t>、合同补充和修改</w:t>
      </w:r>
      <w:r>
        <w:rPr>
          <w:rFonts w:hint="eastAsia" w:ascii="宋体" w:hAnsi="宋体"/>
          <w:color w:val="000000" w:themeColor="text1"/>
          <w:szCs w:val="21"/>
          <w14:textFill>
            <w14:solidFill>
              <w14:schemeClr w14:val="tx1"/>
            </w14:solidFill>
          </w14:textFill>
        </w:rPr>
        <w:t>：对合同条款作任何改动或偏离，增加补充条款，均须由甲、乙双方签订书面的补充合同。</w:t>
      </w:r>
    </w:p>
    <w:p w14:paraId="7EB0A39B">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四</w:t>
      </w:r>
      <w:r>
        <w:rPr>
          <w:rFonts w:hint="eastAsia" w:ascii="宋体" w:hAnsi="宋体"/>
          <w:b/>
          <w:color w:val="000000" w:themeColor="text1"/>
          <w:szCs w:val="21"/>
          <w14:textFill>
            <w14:solidFill>
              <w14:schemeClr w14:val="tx1"/>
            </w14:solidFill>
          </w14:textFill>
        </w:rPr>
        <w:t>、违约终止合同</w:t>
      </w:r>
    </w:p>
    <w:p w14:paraId="36379321">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1、在乙方收到甲方发出的违约通知后</w:t>
      </w:r>
      <w:r>
        <w:rPr>
          <w:rFonts w:hint="eastAsia" w:ascii="宋体" w:hAnsi="宋体"/>
          <w:color w:val="000000" w:themeColor="text1"/>
          <w:szCs w:val="21"/>
          <w:u w:val="single"/>
          <w14:textFill>
            <w14:solidFill>
              <w14:schemeClr w14:val="tx1"/>
            </w14:solidFill>
          </w14:textFill>
        </w:rPr>
        <w:t>10</w:t>
      </w:r>
      <w:r>
        <w:rPr>
          <w:rFonts w:hint="eastAsia" w:ascii="宋体" w:hAnsi="宋体"/>
          <w:color w:val="000000" w:themeColor="text1"/>
          <w:szCs w:val="21"/>
          <w14:textFill>
            <w14:solidFill>
              <w14:schemeClr w14:val="tx1"/>
            </w14:solidFill>
          </w14:textFill>
        </w:rPr>
        <w:t>天内，乙方仍未纠正其下述任何一种违约行为，甲方可向乙方发出终止合同通知，终止部分或全部合同，由此带来的一切损失由乙方承担：</w:t>
      </w:r>
    </w:p>
    <w:p w14:paraId="7FF4CEBB">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（1）乙方未能在合同规定的期限内及时进场；</w:t>
      </w:r>
    </w:p>
    <w:p w14:paraId="2D86E0C9">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（2）乙方提供的服务质量不符合合同规定，且未及时纠正的；</w:t>
      </w:r>
    </w:p>
    <w:p w14:paraId="050662C6">
      <w:pPr>
        <w:pageBreakBefore w:val="0"/>
        <w:kinsoku/>
        <w:overflowPunct/>
        <w:topLinePunct w:val="0"/>
        <w:bidi w:val="0"/>
        <w:spacing w:line="24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乙方违法转包、分包的；</w:t>
      </w:r>
    </w:p>
    <w:p w14:paraId="7116DFB4">
      <w:pPr>
        <w:pageBreakBefore w:val="0"/>
        <w:kinsoku/>
        <w:overflowPunct/>
        <w:topLinePunct w:val="0"/>
        <w:bidi w:val="0"/>
        <w:spacing w:line="24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4）其他合同或招标文件约定的甲方有权单独解除合同的情形</w:t>
      </w:r>
      <w:r>
        <w:rPr>
          <w:rFonts w:hint="eastAsia" w:ascii="宋体" w:hAnsi="宋体"/>
          <w:color w:val="000000" w:themeColor="text1"/>
          <w:szCs w:val="21"/>
          <w:lang w:eastAsia="zh-CN"/>
          <w14:textFill>
            <w14:solidFill>
              <w14:schemeClr w14:val="tx1"/>
            </w14:solidFill>
          </w14:textFill>
        </w:rPr>
        <w:t>。</w:t>
      </w:r>
    </w:p>
    <w:p w14:paraId="54F2AFA6">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2、甲方终止部分合同，甲方可以按适当的条件和方式采购类似的由于乙方未交付部分的服务；乙方应承担甲方购买类似服务的额外费用并继续履行合同中未终止的部分。</w:t>
      </w:r>
    </w:p>
    <w:p w14:paraId="2C69AE2D">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五</w:t>
      </w:r>
      <w:r>
        <w:rPr>
          <w:rFonts w:hint="eastAsia" w:ascii="宋体" w:hAnsi="宋体"/>
          <w:b/>
          <w:color w:val="000000" w:themeColor="text1"/>
          <w:szCs w:val="21"/>
          <w14:textFill>
            <w14:solidFill>
              <w14:schemeClr w14:val="tx1"/>
            </w14:solidFill>
          </w14:textFill>
        </w:rPr>
        <w:t>、破产终止合同</w:t>
      </w:r>
    </w:p>
    <w:p w14:paraId="3562B24E">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1、当乙方破产或无清偿能力时，乙方应书面通知甲方终止合同，在甲方知情而未收到乙方终止合同书面通知时，甲方亦可书面通知乙方终止合同。</w:t>
      </w:r>
    </w:p>
    <w:p w14:paraId="42AD9D66">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2、因不可抗力的自然灾害原因造成自然终止合同时按破产终止合同办法终止合同。</w:t>
      </w:r>
    </w:p>
    <w:p w14:paraId="6441AA79">
      <w:pPr>
        <w:pageBreakBefore w:val="0"/>
        <w:kinsoku/>
        <w:overflowPunct/>
        <w:topLinePunct w:val="0"/>
        <w:bidi w:val="0"/>
        <w:spacing w:line="24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争议解决</w:t>
      </w:r>
      <w:r>
        <w:rPr>
          <w:rFonts w:hint="eastAsia" w:ascii="宋体" w:hAnsi="宋体"/>
          <w:color w:val="000000" w:themeColor="text1"/>
          <w:szCs w:val="21"/>
          <w14:textFill>
            <w14:solidFill>
              <w14:schemeClr w14:val="tx1"/>
            </w14:solidFill>
          </w14:textFill>
        </w:rPr>
        <w:t>：如发生合同纠纷，甲、乙双方协商解决；协商不成时，可提请政府采购管理部门调解；调解不成，双方约定向甲方所在地人民法院提起</w:t>
      </w:r>
      <w:r>
        <w:rPr>
          <w:rFonts w:hint="eastAsia" w:ascii="宋体" w:hAnsi="宋体"/>
          <w:color w:val="000000" w:themeColor="text1"/>
          <w:szCs w:val="21"/>
          <w:lang w:val="en-US" w:eastAsia="zh-CN"/>
          <w14:textFill>
            <w14:solidFill>
              <w14:schemeClr w14:val="tx1"/>
            </w14:solidFill>
          </w14:textFill>
        </w:rPr>
        <w:t>诉讼。</w:t>
      </w:r>
      <w:r>
        <w:rPr>
          <w:rFonts w:hint="eastAsia" w:ascii="宋体" w:hAnsi="宋体"/>
          <w:color w:val="000000" w:themeColor="text1"/>
          <w:szCs w:val="21"/>
          <w14:textFill>
            <w14:solidFill>
              <w14:schemeClr w14:val="tx1"/>
            </w14:solidFill>
          </w14:textFill>
        </w:rPr>
        <w:t xml:space="preserve">                    。</w:t>
      </w:r>
    </w:p>
    <w:p w14:paraId="5CEF2AA4">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、未尽事宜</w:t>
      </w:r>
      <w:r>
        <w:rPr>
          <w:rFonts w:hint="eastAsia" w:ascii="宋体" w:hAnsi="宋体"/>
          <w:color w:val="000000" w:themeColor="text1"/>
          <w:szCs w:val="21"/>
          <w14:textFill>
            <w14:solidFill>
              <w14:schemeClr w14:val="tx1"/>
            </w14:solidFill>
          </w14:textFill>
        </w:rPr>
        <w:t>：合同如有未尽事宜，须经甲、乙方双方共同协商，作出补充约定；补充约定与本合同具有同等效力。</w:t>
      </w:r>
    </w:p>
    <w:p w14:paraId="327A5083">
      <w:pPr>
        <w:pageBreakBefore w:val="0"/>
        <w:kinsoku/>
        <w:overflowPunct/>
        <w:topLinePunct w:val="0"/>
        <w:bidi w:val="0"/>
        <w:spacing w:line="24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八</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其他</w:t>
      </w:r>
      <w:r>
        <w:rPr>
          <w:rFonts w:hint="eastAsia" w:ascii="宋体" w:hAnsi="宋体"/>
          <w:b/>
          <w:color w:val="000000" w:themeColor="text1"/>
          <w:szCs w:val="21"/>
          <w14:textFill>
            <w14:solidFill>
              <w14:schemeClr w14:val="tx1"/>
            </w14:solidFill>
          </w14:textFill>
        </w:rPr>
        <w:t>：</w:t>
      </w:r>
    </w:p>
    <w:p w14:paraId="2B0C3EE2">
      <w:pPr>
        <w:pageBreakBefore w:val="0"/>
        <w:numPr>
          <w:ilvl w:val="0"/>
          <w:numId w:val="6"/>
        </w:numPr>
        <w:kinsoku/>
        <w:overflowPunct/>
        <w:topLinePunct w:val="0"/>
        <w:bidi w:val="0"/>
        <w:spacing w:line="400" w:lineRule="exact"/>
        <w:ind w:firstLine="420" w:firstLineChars="200"/>
        <w:rPr>
          <w:rFonts w:hint="eastAsia" w:ascii="宋体" w:hAnsi="宋体"/>
          <w:szCs w:val="21"/>
        </w:rPr>
      </w:pPr>
      <w:r>
        <w:rPr>
          <w:rFonts w:hint="eastAsia" w:ascii="宋体" w:hAnsi="宋体"/>
          <w:szCs w:val="21"/>
        </w:rPr>
        <w:t>本合同一式四份，甲方、乙方各一份，政府采购管理部门一份，采购代理机构一份。本合同经甲、乙双方</w:t>
      </w:r>
      <w:r>
        <w:rPr>
          <w:rFonts w:hint="eastAsia" w:ascii="宋体" w:hAnsi="宋体"/>
          <w:szCs w:val="21"/>
          <w:lang w:val="en-US" w:eastAsia="zh-CN"/>
        </w:rPr>
        <w:t>法定代表人或授权代表签字并加</w:t>
      </w:r>
      <w:r>
        <w:rPr>
          <w:rFonts w:hint="eastAsia" w:ascii="宋体" w:hAnsi="宋体"/>
          <w:szCs w:val="21"/>
        </w:rPr>
        <w:t>盖</w:t>
      </w:r>
      <w:r>
        <w:rPr>
          <w:rFonts w:hint="eastAsia" w:ascii="宋体" w:hAnsi="宋体"/>
          <w:szCs w:val="21"/>
          <w:lang w:val="en-US" w:eastAsia="zh-CN"/>
        </w:rPr>
        <w:t>双方公</w:t>
      </w:r>
      <w:r>
        <w:rPr>
          <w:rFonts w:hint="eastAsia" w:ascii="宋体" w:hAnsi="宋体"/>
          <w:szCs w:val="21"/>
        </w:rPr>
        <w:t>章后生效。</w:t>
      </w:r>
    </w:p>
    <w:p w14:paraId="7564882C">
      <w:pPr>
        <w:pStyle w:val="28"/>
        <w:numPr>
          <w:ilvl w:val="0"/>
          <w:numId w:val="6"/>
        </w:numPr>
        <w:spacing w:line="400" w:lineRule="exact"/>
        <w:rPr>
          <w:rFonts w:hint="eastAsia" w:ascii="宋体" w:hAnsi="宋体" w:eastAsia="宋体"/>
          <w:szCs w:val="21"/>
        </w:rPr>
      </w:pPr>
      <w:r>
        <w:rPr>
          <w:rFonts w:hint="eastAsia" w:ascii="宋体" w:hAnsi="宋体" w:eastAsia="宋体"/>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tbl>
      <w:tblPr>
        <w:tblStyle w:val="23"/>
        <w:tblW w:w="8573" w:type="dxa"/>
        <w:tblInd w:w="108" w:type="dxa"/>
        <w:tblLayout w:type="fixed"/>
        <w:tblCellMar>
          <w:top w:w="0" w:type="dxa"/>
          <w:left w:w="108" w:type="dxa"/>
          <w:bottom w:w="0" w:type="dxa"/>
          <w:right w:w="108" w:type="dxa"/>
        </w:tblCellMar>
      </w:tblPr>
      <w:tblGrid>
        <w:gridCol w:w="4664"/>
        <w:gridCol w:w="3909"/>
      </w:tblGrid>
      <w:tr w14:paraId="385763D1">
        <w:tblPrEx>
          <w:tblCellMar>
            <w:top w:w="0" w:type="dxa"/>
            <w:left w:w="108" w:type="dxa"/>
            <w:bottom w:w="0" w:type="dxa"/>
            <w:right w:w="108" w:type="dxa"/>
          </w:tblCellMar>
        </w:tblPrEx>
        <w:trPr>
          <w:cantSplit/>
          <w:trHeight w:val="2608" w:hRule="atLeast"/>
        </w:trPr>
        <w:tc>
          <w:tcPr>
            <w:tcW w:w="4664" w:type="dxa"/>
            <w:noWrap w:val="0"/>
            <w:vAlign w:val="top"/>
          </w:tcPr>
          <w:p w14:paraId="7C271C66">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甲方（盖章）</w:t>
            </w:r>
          </w:p>
          <w:p w14:paraId="213D88CC">
            <w:pPr>
              <w:pStyle w:val="14"/>
              <w:pageBreakBefore w:val="0"/>
              <w:kinsoku/>
              <w:overflowPunct/>
              <w:topLinePunct w:val="0"/>
              <w:bidi w:val="0"/>
              <w:spacing w:line="240" w:lineRule="auto"/>
              <w:ind w:firstLine="420" w:firstLineChars="200"/>
              <w:rPr>
                <w:rFonts w:hAnsi="宋体"/>
                <w:bCs/>
                <w:sz w:val="21"/>
              </w:rPr>
            </w:pPr>
          </w:p>
          <w:p w14:paraId="40ED6DAA">
            <w:pPr>
              <w:pStyle w:val="14"/>
              <w:pageBreakBefore w:val="0"/>
              <w:kinsoku/>
              <w:overflowPunct/>
              <w:topLinePunct w:val="0"/>
              <w:bidi w:val="0"/>
              <w:spacing w:line="240" w:lineRule="auto"/>
              <w:ind w:firstLine="420" w:firstLineChars="200"/>
              <w:rPr>
                <w:rFonts w:hAnsi="宋体"/>
                <w:bCs/>
                <w:sz w:val="21"/>
              </w:rPr>
            </w:pPr>
          </w:p>
          <w:p w14:paraId="10112CB5">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lang w:val="en-US" w:eastAsia="zh-CN"/>
              </w:rPr>
              <w:t>法定代表人/</w:t>
            </w:r>
            <w:r>
              <w:rPr>
                <w:rFonts w:hint="eastAsia" w:hAnsi="宋体"/>
                <w:bCs/>
                <w:sz w:val="21"/>
              </w:rPr>
              <w:t>授权代表（签字）：</w:t>
            </w:r>
          </w:p>
          <w:p w14:paraId="067B73B9">
            <w:pPr>
              <w:pStyle w:val="14"/>
              <w:pageBreakBefore w:val="0"/>
              <w:kinsoku/>
              <w:overflowPunct/>
              <w:topLinePunct w:val="0"/>
              <w:bidi w:val="0"/>
              <w:spacing w:line="240" w:lineRule="auto"/>
              <w:ind w:firstLine="420" w:firstLineChars="200"/>
              <w:rPr>
                <w:rFonts w:hAnsi="宋体"/>
                <w:bCs/>
                <w:sz w:val="21"/>
              </w:rPr>
            </w:pPr>
          </w:p>
          <w:p w14:paraId="13EC2CE2">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联系电话：</w:t>
            </w:r>
          </w:p>
          <w:p w14:paraId="10ED73D6">
            <w:pPr>
              <w:pStyle w:val="14"/>
              <w:pageBreakBefore w:val="0"/>
              <w:kinsoku/>
              <w:overflowPunct/>
              <w:topLinePunct w:val="0"/>
              <w:bidi w:val="0"/>
              <w:spacing w:line="240" w:lineRule="auto"/>
              <w:ind w:firstLine="420" w:firstLineChars="200"/>
              <w:rPr>
                <w:rFonts w:hAnsi="宋体"/>
                <w:bCs/>
                <w:sz w:val="21"/>
              </w:rPr>
            </w:pPr>
          </w:p>
          <w:p w14:paraId="219EC245">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单位地址：</w:t>
            </w:r>
          </w:p>
          <w:p w14:paraId="3DB6D992">
            <w:pPr>
              <w:pStyle w:val="14"/>
              <w:pageBreakBefore w:val="0"/>
              <w:kinsoku/>
              <w:overflowPunct/>
              <w:topLinePunct w:val="0"/>
              <w:bidi w:val="0"/>
              <w:spacing w:line="240" w:lineRule="auto"/>
              <w:ind w:firstLine="420" w:firstLineChars="200"/>
              <w:rPr>
                <w:rFonts w:hAnsi="宋体"/>
                <w:bCs/>
                <w:sz w:val="21"/>
              </w:rPr>
            </w:pPr>
          </w:p>
          <w:p w14:paraId="5B56E50E">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签订时间：</w:t>
            </w:r>
          </w:p>
        </w:tc>
        <w:tc>
          <w:tcPr>
            <w:tcW w:w="3909" w:type="dxa"/>
            <w:noWrap w:val="0"/>
            <w:vAlign w:val="top"/>
          </w:tcPr>
          <w:p w14:paraId="1BA27D51">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乙方（盖章）</w:t>
            </w:r>
          </w:p>
          <w:p w14:paraId="14484597">
            <w:pPr>
              <w:pStyle w:val="14"/>
              <w:pageBreakBefore w:val="0"/>
              <w:kinsoku/>
              <w:overflowPunct/>
              <w:topLinePunct w:val="0"/>
              <w:bidi w:val="0"/>
              <w:spacing w:line="240" w:lineRule="auto"/>
              <w:ind w:firstLine="420" w:firstLineChars="200"/>
              <w:rPr>
                <w:rFonts w:hAnsi="宋体"/>
                <w:bCs/>
                <w:sz w:val="21"/>
              </w:rPr>
            </w:pPr>
          </w:p>
          <w:p w14:paraId="1AF20BDD">
            <w:pPr>
              <w:pStyle w:val="14"/>
              <w:pageBreakBefore w:val="0"/>
              <w:kinsoku/>
              <w:overflowPunct/>
              <w:topLinePunct w:val="0"/>
              <w:bidi w:val="0"/>
              <w:spacing w:line="240" w:lineRule="auto"/>
              <w:ind w:firstLine="420" w:firstLineChars="200"/>
              <w:rPr>
                <w:rFonts w:hAnsi="宋体"/>
                <w:bCs/>
                <w:sz w:val="21"/>
              </w:rPr>
            </w:pPr>
          </w:p>
          <w:p w14:paraId="7170B95C">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lang w:val="en-US" w:eastAsia="zh-CN"/>
              </w:rPr>
              <w:t>法定代表人/</w:t>
            </w:r>
            <w:r>
              <w:rPr>
                <w:rFonts w:hint="eastAsia" w:hAnsi="宋体"/>
                <w:bCs/>
                <w:sz w:val="21"/>
              </w:rPr>
              <w:t>授权代表（签字）：</w:t>
            </w:r>
          </w:p>
          <w:p w14:paraId="77C4CC53">
            <w:pPr>
              <w:pStyle w:val="14"/>
              <w:pageBreakBefore w:val="0"/>
              <w:kinsoku/>
              <w:overflowPunct/>
              <w:topLinePunct w:val="0"/>
              <w:bidi w:val="0"/>
              <w:spacing w:line="240" w:lineRule="auto"/>
              <w:ind w:firstLine="420" w:firstLineChars="200"/>
              <w:rPr>
                <w:rFonts w:hAnsi="宋体"/>
                <w:bCs/>
                <w:sz w:val="21"/>
              </w:rPr>
            </w:pPr>
          </w:p>
          <w:p w14:paraId="07891816">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联系电话：</w:t>
            </w:r>
          </w:p>
          <w:p w14:paraId="02DA99D2">
            <w:pPr>
              <w:pStyle w:val="14"/>
              <w:pageBreakBefore w:val="0"/>
              <w:kinsoku/>
              <w:overflowPunct/>
              <w:topLinePunct w:val="0"/>
              <w:bidi w:val="0"/>
              <w:spacing w:line="240" w:lineRule="auto"/>
              <w:ind w:firstLine="420" w:firstLineChars="200"/>
              <w:rPr>
                <w:rFonts w:hAnsi="宋体"/>
                <w:bCs/>
                <w:sz w:val="21"/>
              </w:rPr>
            </w:pPr>
          </w:p>
          <w:p w14:paraId="28597D57">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单位地址：</w:t>
            </w:r>
          </w:p>
          <w:p w14:paraId="46AF4E83">
            <w:pPr>
              <w:pStyle w:val="14"/>
              <w:pageBreakBefore w:val="0"/>
              <w:kinsoku/>
              <w:overflowPunct/>
              <w:topLinePunct w:val="0"/>
              <w:bidi w:val="0"/>
              <w:spacing w:line="240" w:lineRule="auto"/>
              <w:ind w:firstLine="420" w:firstLineChars="200"/>
              <w:rPr>
                <w:rFonts w:hAnsi="宋体"/>
                <w:bCs/>
                <w:sz w:val="21"/>
              </w:rPr>
            </w:pPr>
          </w:p>
          <w:p w14:paraId="2CE249CE">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开户银行：</w:t>
            </w:r>
          </w:p>
          <w:p w14:paraId="233F21FE">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账    号：</w:t>
            </w:r>
          </w:p>
          <w:p w14:paraId="161BFB2B">
            <w:pPr>
              <w:pStyle w:val="14"/>
              <w:pageBreakBefore w:val="0"/>
              <w:kinsoku/>
              <w:overflowPunct/>
              <w:topLinePunct w:val="0"/>
              <w:bidi w:val="0"/>
              <w:spacing w:line="240" w:lineRule="auto"/>
              <w:ind w:firstLine="420" w:firstLineChars="200"/>
              <w:rPr>
                <w:rFonts w:hAnsi="宋体"/>
                <w:bCs/>
                <w:sz w:val="21"/>
              </w:rPr>
            </w:pPr>
          </w:p>
          <w:p w14:paraId="05B5CF72">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签订时间：</w:t>
            </w:r>
          </w:p>
          <w:p w14:paraId="52F398F2">
            <w:pPr>
              <w:pStyle w:val="14"/>
              <w:pageBreakBefore w:val="0"/>
              <w:kinsoku/>
              <w:overflowPunct/>
              <w:topLinePunct w:val="0"/>
              <w:bidi w:val="0"/>
              <w:spacing w:line="240" w:lineRule="auto"/>
              <w:ind w:firstLine="420" w:firstLineChars="200"/>
              <w:rPr>
                <w:rFonts w:hAnsi="宋体"/>
                <w:bCs/>
                <w:sz w:val="21"/>
              </w:rPr>
            </w:pPr>
          </w:p>
        </w:tc>
      </w:tr>
    </w:tbl>
    <w:p w14:paraId="52A724ED">
      <w:pPr>
        <w:rPr>
          <w:rFonts w:hint="eastAsia"/>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FE59">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9D27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BD9D27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AC6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F59A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AF59A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AA60">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EBF3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46EBF3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A373">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BDB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731BDB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ECC3">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8EBC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938EBC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C821">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F31E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2DF31E7">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F22F">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475F2">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61475F2">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3F127"/>
    <w:multiLevelType w:val="singleLevel"/>
    <w:tmpl w:val="BC83F127"/>
    <w:lvl w:ilvl="0" w:tentative="0">
      <w:start w:val="3"/>
      <w:numFmt w:val="chineseCounting"/>
      <w:suff w:val="space"/>
      <w:lvlText w:val="第%1章"/>
      <w:lvlJc w:val="left"/>
      <w:rPr>
        <w:rFonts w:hint="eastAsia"/>
      </w:rPr>
    </w:lvl>
  </w:abstractNum>
  <w:abstractNum w:abstractNumId="1">
    <w:nsid w:val="C359AE9B"/>
    <w:multiLevelType w:val="singleLevel"/>
    <w:tmpl w:val="C359AE9B"/>
    <w:lvl w:ilvl="0" w:tentative="0">
      <w:start w:val="2"/>
      <w:numFmt w:val="decimal"/>
      <w:suff w:val="nothing"/>
      <w:lvlText w:val="（%1）"/>
      <w:lvlJc w:val="left"/>
    </w:lvl>
  </w:abstractNum>
  <w:abstractNum w:abstractNumId="2">
    <w:nsid w:val="FDB17BBD"/>
    <w:multiLevelType w:val="singleLevel"/>
    <w:tmpl w:val="FDB17BBD"/>
    <w:lvl w:ilvl="0" w:tentative="0">
      <w:start w:val="2"/>
      <w:numFmt w:val="decimal"/>
      <w:suff w:val="space"/>
      <w:lvlText w:val="%1、"/>
      <w:lvlJc w:val="left"/>
    </w:lvl>
  </w:abstractNum>
  <w:abstractNum w:abstractNumId="3">
    <w:nsid w:val="FFBF38EA"/>
    <w:multiLevelType w:val="singleLevel"/>
    <w:tmpl w:val="FFBF38EA"/>
    <w:lvl w:ilvl="0" w:tentative="0">
      <w:start w:val="1"/>
      <w:numFmt w:val="decimal"/>
      <w:suff w:val="nothing"/>
      <w:lvlText w:val="%1、"/>
      <w:lvlJc w:val="left"/>
    </w:lvl>
  </w:abstractNum>
  <w:abstractNum w:abstractNumId="4">
    <w:nsid w:val="2F1B532F"/>
    <w:multiLevelType w:val="singleLevel"/>
    <w:tmpl w:val="2F1B532F"/>
    <w:lvl w:ilvl="0" w:tentative="0">
      <w:start w:val="1"/>
      <w:numFmt w:val="decimal"/>
      <w:pStyle w:val="6"/>
      <w:lvlText w:val="%1."/>
      <w:lvlJc w:val="left"/>
      <w:pPr>
        <w:tabs>
          <w:tab w:val="left" w:pos="360"/>
        </w:tabs>
        <w:ind w:left="360" w:hanging="360"/>
      </w:pPr>
    </w:lvl>
  </w:abstractNum>
  <w:abstractNum w:abstractNumId="5">
    <w:nsid w:val="34D090B1"/>
    <w:multiLevelType w:val="singleLevel"/>
    <w:tmpl w:val="34D090B1"/>
    <w:lvl w:ilvl="0" w:tentative="0">
      <w:start w:val="1"/>
      <w:numFmt w:val="chineseCounting"/>
      <w:suff w:val="nothing"/>
      <w:lvlText w:val="%1、"/>
      <w:lvlJc w:val="left"/>
      <w:pPr>
        <w:ind w:left="200"/>
      </w:pPr>
      <w:rPr>
        <w:rFonts w:hint="eastAsia"/>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81E9C"/>
    <w:rsid w:val="037F570B"/>
    <w:rsid w:val="0CC35C6E"/>
    <w:rsid w:val="12B75AFC"/>
    <w:rsid w:val="1D2655C9"/>
    <w:rsid w:val="1ED847FE"/>
    <w:rsid w:val="28564F07"/>
    <w:rsid w:val="2B407D03"/>
    <w:rsid w:val="3B5457AE"/>
    <w:rsid w:val="3ED92CF3"/>
    <w:rsid w:val="49DB0D34"/>
    <w:rsid w:val="575725B5"/>
    <w:rsid w:val="67C46194"/>
    <w:rsid w:val="69CC248F"/>
    <w:rsid w:val="6D127310"/>
    <w:rsid w:val="79C46792"/>
    <w:rsid w:val="79F8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outlineLvl w:val="2"/>
    </w:pPr>
    <w:rPr>
      <w:rFonts w:ascii="Calibri" w:hAnsi="Calibri"/>
      <w:b/>
      <w:sz w:val="32"/>
    </w:rPr>
  </w:style>
  <w:style w:type="paragraph" w:styleId="5">
    <w:name w:val="heading 4"/>
    <w:basedOn w:val="1"/>
    <w:next w:val="1"/>
    <w:qFormat/>
    <w:uiPriority w:val="0"/>
    <w:pPr>
      <w:keepNext/>
      <w:keepLines/>
      <w:spacing w:before="120" w:beforeLines="50" w:after="120" w:afterLines="50"/>
      <w:ind w:left="864" w:hanging="864"/>
      <w:jc w:val="left"/>
      <w:outlineLvl w:val="3"/>
    </w:pPr>
    <w:rPr>
      <w:rFonts w:ascii="黑体" w:hAnsi="黑体" w:eastAsia="黑体"/>
      <w:b/>
      <w:bCs/>
      <w:sz w:val="24"/>
    </w:rPr>
  </w:style>
  <w:style w:type="character" w:default="1" w:styleId="25">
    <w:name w:val="Default Paragraph Font"/>
    <w:semiHidden/>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firstLine="830" w:firstLineChars="352"/>
    </w:pPr>
    <w:rPr>
      <w:rFonts w:ascii="仿宋_GB2312" w:eastAsia="仿宋_GB2312"/>
      <w:sz w:val="32"/>
      <w:szCs w:val="20"/>
    </w:r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rFonts w:ascii="Times New Roman" w:hAnsi="Times New Roman" w:eastAsia="宋体" w:cs="Times New Roman"/>
      <w:b/>
      <w:bCs/>
      <w:sz w:val="24"/>
    </w:rPr>
  </w:style>
  <w:style w:type="paragraph" w:styleId="11">
    <w:name w:val="Body Text"/>
    <w:basedOn w:val="1"/>
    <w:next w:val="12"/>
    <w:qFormat/>
    <w:uiPriority w:val="0"/>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2"/>
    <w:basedOn w:val="1"/>
    <w:qFormat/>
    <w:uiPriority w:val="0"/>
    <w:pPr>
      <w:ind w:left="100" w:leftChars="200" w:hanging="200" w:hangingChars="200"/>
    </w:pPr>
    <w:rPr>
      <w:rFonts w:ascii="Times New Roman" w:hAnsi="Times New Roman" w:eastAsia="宋体" w:cs="Times New Roman"/>
      <w:sz w:val="28"/>
    </w:r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qFormat/>
    <w:uiPriority w:val="39"/>
    <w:pPr>
      <w:ind w:left="420" w:leftChars="200"/>
    </w:pPr>
    <w:rPr>
      <w:rFonts w:ascii="Times New Roman" w:hAnsi="Times New Roman" w:eastAsia="宋体" w:cs="Times New Roman"/>
    </w:rPr>
  </w:style>
  <w:style w:type="paragraph" w:styleId="2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1">
    <w:name w:val="Body Text First Indent"/>
    <w:basedOn w:val="11"/>
    <w:qFormat/>
    <w:uiPriority w:val="0"/>
    <w:pPr>
      <w:ind w:firstLine="420" w:firstLineChars="100"/>
    </w:pPr>
    <w:rPr>
      <w:rFonts w:ascii="华文中宋" w:hAnsi="华文中宋"/>
      <w:szCs w:val="24"/>
    </w:rPr>
  </w:style>
  <w:style w:type="paragraph" w:styleId="22">
    <w:name w:val="Body Text First Indent 2"/>
    <w:basedOn w:val="8"/>
    <w:next w:val="1"/>
    <w:qFormat/>
    <w:uiPriority w:val="0"/>
    <w:pPr>
      <w:spacing w:after="120"/>
      <w:ind w:left="420" w:leftChars="200" w:firstLine="420" w:firstLineChars="200"/>
    </w:pPr>
    <w:rPr>
      <w:sz w:val="21"/>
      <w:szCs w:val="24"/>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0"/>
    <w:rPr>
      <w:b/>
    </w:rPr>
  </w:style>
  <w:style w:type="paragraph" w:customStyle="1" w:styleId="27">
    <w:name w:val="1"/>
    <w:basedOn w:val="1"/>
    <w:next w:val="14"/>
    <w:qFormat/>
    <w:uiPriority w:val="0"/>
    <w:rPr>
      <w:rFonts w:ascii="宋体" w:hAnsi="Courier New" w:eastAsia="宋体" w:cs="Times New Roman"/>
      <w:szCs w:val="20"/>
    </w:rPr>
  </w:style>
  <w:style w:type="paragraph" w:customStyle="1" w:styleId="28">
    <w:name w:val="样式 0正文 + 首行缩进:  2 字符1"/>
    <w:basedOn w:val="1"/>
    <w:qFormat/>
    <w:uiPriority w:val="99"/>
    <w:pPr>
      <w:spacing w:line="360" w:lineRule="auto"/>
      <w:ind w:firstLine="200" w:firstLineChars="200"/>
    </w:pPr>
    <w:rPr>
      <w:szCs w:val="20"/>
    </w:rPr>
  </w:style>
  <w:style w:type="character" w:customStyle="1" w:styleId="29">
    <w:name w:val="标题 Char"/>
    <w:qFormat/>
    <w:uiPriority w:val="10"/>
    <w:rPr>
      <w:rFonts w:ascii="Calibri Light" w:hAnsi="Calibri Light" w:cs="Times New Roman"/>
      <w:b/>
      <w:bCs/>
      <w:kern w:val="2"/>
      <w:sz w:val="32"/>
      <w:szCs w:val="32"/>
    </w:rPr>
  </w:style>
  <w:style w:type="character" w:customStyle="1" w:styleId="30">
    <w:name w:val="NormalCharacter"/>
    <w:qFormat/>
    <w:uiPriority w:val="0"/>
  </w:style>
  <w:style w:type="paragraph" w:customStyle="1" w:styleId="31">
    <w:name w:val="TOC 标题2"/>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5211</Words>
  <Characters>5674</Characters>
  <Lines>0</Lines>
  <Paragraphs>0</Paragraphs>
  <TotalTime>1</TotalTime>
  <ScaleCrop>false</ScaleCrop>
  <LinksUpToDate>false</LinksUpToDate>
  <CharactersWithSpaces>5813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2026-01-07T01:57:00Z</dcterms:created>
  <dc:creator>admin</dc:creator>
  <cp:lastModifiedBy>Yunxiaoyoly</cp:lastModifiedBy>
  <cp:lastPrinted>2026-01-07T07:14:00Z</cp:lastPrinted>
  <dcterms:modified xsi:type="dcterms:W3CDTF">2026-01-12T08:50:11Z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5661572E242A440C85D66257FCF82931_13</vt:lpwstr>
  </property>
  <property fmtid="{D5CDD505-2E9C-101B-9397-08002B2CF9AE}" pid="4" name="KSOTemplateDocerSaveRecord">
    <vt:lpwstr>eyJoZGlkIjoiYTc2ZGZiNzZiNDVlOGViOWVmM2JhOTY0NGJkNjUyYzgifQ==</vt:lpwstr>
  </property>
</Properties>
</file>