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F9EE">
      <w:pPr>
        <w:jc w:val="center"/>
        <w:rPr>
          <w:rFonts w:hint="eastAsia" w:ascii="宋体" w:hAnsi="宋体" w:eastAsia="宋体" w:cs="宋体"/>
          <w:b/>
          <w:color w:val="000000" w:themeColor="text1"/>
          <w:sz w:val="52"/>
          <w:lang w:val="en-US" w:eastAsia="zh-CN"/>
          <w14:textFill>
            <w14:solidFill>
              <w14:schemeClr w14:val="tx1"/>
            </w14:solidFill>
          </w14:textFill>
        </w:rPr>
      </w:pPr>
      <w:r>
        <w:rPr>
          <w:rFonts w:hint="eastAsia" w:ascii="宋体" w:hAnsi="宋体" w:eastAsia="宋体" w:cs="宋体"/>
          <w:b/>
          <w:color w:val="000000" w:themeColor="text1"/>
          <w:sz w:val="52"/>
          <w:lang w:val="en-US" w:eastAsia="zh-CN"/>
          <w14:textFill>
            <w14:solidFill>
              <w14:schemeClr w14:val="tx1"/>
            </w14:solidFill>
          </w14:textFill>
        </w:rPr>
        <w:t>防 城 港 市 政 府 采 购 中 心</w:t>
      </w:r>
    </w:p>
    <w:p w14:paraId="024DDE3A">
      <w:pPr>
        <w:jc w:val="center"/>
        <w:rPr>
          <w:rFonts w:hint="eastAsia" w:ascii="宋体" w:hAnsi="宋体" w:eastAsia="宋体" w:cs="宋体"/>
          <w:b/>
          <w:color w:val="000000" w:themeColor="text1"/>
          <w:sz w:val="52"/>
          <w:lang w:val="en-US" w:eastAsia="zh-CN"/>
          <w14:textFill>
            <w14:solidFill>
              <w14:schemeClr w14:val="tx1"/>
            </w14:solidFill>
          </w14:textFill>
        </w:rPr>
      </w:pPr>
    </w:p>
    <w:p w14:paraId="580079C0">
      <w:pPr>
        <w:pStyle w:val="15"/>
        <w:rPr>
          <w:rFonts w:ascii="宋体" w:hAnsi="宋体" w:cs="宋体"/>
          <w:b/>
          <w:bCs/>
          <w:color w:val="000000" w:themeColor="text1"/>
          <w:sz w:val="52"/>
          <w:szCs w:val="52"/>
          <w14:textFill>
            <w14:solidFill>
              <w14:schemeClr w14:val="tx1"/>
            </w14:solidFill>
          </w14:textFill>
        </w:rPr>
      </w:pPr>
    </w:p>
    <w:p w14:paraId="6D34DA41">
      <w:pPr>
        <w:pStyle w:val="15"/>
        <w:rPr>
          <w:rFonts w:ascii="宋体" w:hAnsi="宋体" w:cs="宋体"/>
          <w:b/>
          <w:bCs/>
          <w:color w:val="000000" w:themeColor="text1"/>
          <w:sz w:val="52"/>
          <w:szCs w:val="52"/>
          <w14:textFill>
            <w14:solidFill>
              <w14:schemeClr w14:val="tx1"/>
            </w14:solidFill>
          </w14:textFill>
        </w:rPr>
      </w:pPr>
    </w:p>
    <w:p w14:paraId="2F5F1856">
      <w:pPr>
        <w:spacing w:beforeLines="100" w:afterLines="50"/>
        <w:jc w:val="center"/>
        <w:rPr>
          <w:rFonts w:hint="eastAsia" w:ascii="宋体" w:hAnsi="宋体" w:cs="宋体"/>
          <w:b/>
          <w:color w:val="000000" w:themeColor="text1"/>
          <w:spacing w:val="93"/>
          <w:sz w:val="72"/>
          <w:szCs w:val="72"/>
          <w14:textFill>
            <w14:solidFill>
              <w14:schemeClr w14:val="tx1"/>
            </w14:solidFill>
          </w14:textFill>
        </w:rPr>
      </w:pPr>
      <w:r>
        <w:rPr>
          <w:rFonts w:hint="eastAsia" w:ascii="宋体" w:hAnsi="宋体" w:cs="宋体"/>
          <w:b/>
          <w:color w:val="000000" w:themeColor="text1"/>
          <w:spacing w:val="93"/>
          <w:sz w:val="72"/>
          <w:szCs w:val="72"/>
          <w14:textFill>
            <w14:solidFill>
              <w14:schemeClr w14:val="tx1"/>
            </w14:solidFill>
          </w14:textFill>
        </w:rPr>
        <w:t>公开招标文件</w:t>
      </w:r>
    </w:p>
    <w:p w14:paraId="43EB5417">
      <w:pPr>
        <w:spacing w:beforeLines="100" w:afterLines="50"/>
        <w:jc w:val="center"/>
        <w:rPr>
          <w:rFonts w:ascii="宋体" w:hAnsi="宋体" w:cs="宋体"/>
          <w:sz w:val="40"/>
          <w:szCs w:val="40"/>
        </w:rPr>
      </w:pPr>
      <w:r>
        <w:rPr>
          <w:rFonts w:hint="eastAsia" w:ascii="宋体" w:hAnsi="宋体" w:cs="宋体"/>
          <w:sz w:val="40"/>
          <w:szCs w:val="40"/>
        </w:rPr>
        <w:t>（全流程电子化采购）</w:t>
      </w:r>
    </w:p>
    <w:p w14:paraId="2CAE4793">
      <w:pPr>
        <w:jc w:val="center"/>
        <w:rPr>
          <w:rFonts w:ascii="宋体" w:hAnsi="宋体" w:cs="宋体"/>
          <w:b/>
          <w:bCs/>
          <w:color w:val="000000" w:themeColor="text1"/>
          <w:sz w:val="52"/>
          <w:szCs w:val="52"/>
          <w14:textFill>
            <w14:solidFill>
              <w14:schemeClr w14:val="tx1"/>
            </w14:solidFill>
          </w14:textFill>
        </w:rPr>
      </w:pPr>
    </w:p>
    <w:p w14:paraId="782688DC">
      <w:pPr>
        <w:jc w:val="center"/>
        <w:rPr>
          <w:rFonts w:ascii="宋体" w:hAnsi="宋体" w:cs="宋体"/>
          <w:b/>
          <w:bCs/>
          <w:color w:val="000000" w:themeColor="text1"/>
          <w:sz w:val="52"/>
          <w:szCs w:val="52"/>
          <w14:textFill>
            <w14:solidFill>
              <w14:schemeClr w14:val="tx1"/>
            </w14:solidFill>
          </w14:textFill>
        </w:rPr>
      </w:pPr>
    </w:p>
    <w:p w14:paraId="0801E0C5">
      <w:pPr>
        <w:jc w:val="center"/>
        <w:rPr>
          <w:rFonts w:ascii="宋体" w:hAnsi="宋体" w:cs="宋体"/>
          <w:b/>
          <w:bCs/>
          <w:color w:val="000000" w:themeColor="text1"/>
          <w:sz w:val="52"/>
          <w:szCs w:val="52"/>
          <w14:textFill>
            <w14:solidFill>
              <w14:schemeClr w14:val="tx1"/>
            </w14:solidFill>
          </w14:textFill>
        </w:rPr>
      </w:pPr>
    </w:p>
    <w:p w14:paraId="620B2FD9">
      <w:pPr>
        <w:pStyle w:val="13"/>
        <w:adjustRightInd w:val="0"/>
        <w:snapToGrid w:val="0"/>
        <w:spacing w:line="360" w:lineRule="auto"/>
        <w:jc w:val="left"/>
        <w:rPr>
          <w:rFonts w:ascii="宋体" w:hAnsi="宋体" w:cs="宋体"/>
          <w:b/>
          <w:bCs/>
          <w:color w:val="000000" w:themeColor="text1"/>
          <w:sz w:val="32"/>
          <w:szCs w:val="32"/>
          <w:u w:val="single"/>
          <w14:textFill>
            <w14:solidFill>
              <w14:schemeClr w14:val="tx1"/>
            </w14:solidFill>
          </w14:textFill>
        </w:rPr>
      </w:pPr>
      <w:r>
        <w:rPr>
          <w:rFonts w:hint="eastAsia" w:hAnsi="宋体" w:eastAsia="宋体" w:cs="宋体"/>
          <w:b/>
          <w:sz w:val="32"/>
          <w:szCs w:val="32"/>
        </w:rPr>
        <w:t>项目名称：防城港市港口区人民医院电梯操作、秩序维护及保洁服务</w:t>
      </w:r>
    </w:p>
    <w:p w14:paraId="21F69114">
      <w:pPr>
        <w:pStyle w:val="13"/>
        <w:adjustRightInd w:val="0"/>
        <w:snapToGrid w:val="0"/>
        <w:spacing w:line="360" w:lineRule="auto"/>
        <w:jc w:val="left"/>
        <w:rPr>
          <w:rFonts w:hint="default" w:hAnsi="宋体" w:eastAsia="宋体" w:cs="宋体"/>
          <w:b/>
          <w:sz w:val="32"/>
          <w:szCs w:val="32"/>
          <w:lang w:val="en-US" w:eastAsia="zh-CN"/>
        </w:rPr>
      </w:pPr>
      <w:r>
        <w:rPr>
          <w:rFonts w:hint="eastAsia" w:hAnsi="宋体" w:eastAsia="宋体" w:cs="宋体"/>
          <w:b/>
          <w:sz w:val="32"/>
          <w:szCs w:val="32"/>
        </w:rPr>
        <w:t>项目编号：FCZC2026-G3-020006-FCGS</w:t>
      </w:r>
    </w:p>
    <w:p w14:paraId="412520D7">
      <w:pPr>
        <w:jc w:val="both"/>
        <w:rPr>
          <w:rFonts w:ascii="宋体" w:hAnsi="宋体" w:cs="宋体"/>
          <w:color w:val="000000" w:themeColor="text1"/>
          <w:sz w:val="32"/>
          <w:szCs w:val="32"/>
          <w14:textFill>
            <w14:solidFill>
              <w14:schemeClr w14:val="tx1"/>
            </w14:solidFill>
          </w14:textFill>
        </w:rPr>
      </w:pPr>
    </w:p>
    <w:p w14:paraId="27B21AFF">
      <w:pPr>
        <w:rPr>
          <w:rFonts w:ascii="宋体" w:hAnsi="宋体" w:cs="宋体"/>
          <w:color w:val="000000" w:themeColor="text1"/>
          <w:sz w:val="32"/>
          <w:szCs w:val="32"/>
          <w14:textFill>
            <w14:solidFill>
              <w14:schemeClr w14:val="tx1"/>
            </w14:solidFill>
          </w14:textFill>
        </w:rPr>
      </w:pPr>
    </w:p>
    <w:p w14:paraId="7A933762">
      <w:pPr>
        <w:pStyle w:val="15"/>
        <w:rPr>
          <w:rFonts w:hint="eastAsia" w:ascii="宋体" w:hAnsi="宋体" w:cs="宋体" w:eastAsiaTheme="minorEastAsia"/>
          <w:b/>
          <w:bCs/>
          <w:color w:val="000000" w:themeColor="text1"/>
          <w:kern w:val="2"/>
          <w:sz w:val="32"/>
          <w:szCs w:val="32"/>
          <w:u w:val="none"/>
          <w:lang w:val="en-US" w:eastAsia="zh-CN" w:bidi="ar-SA"/>
          <w14:textFill>
            <w14:solidFill>
              <w14:schemeClr w14:val="tx1"/>
            </w14:solidFill>
          </w14:textFill>
        </w:rPr>
      </w:pPr>
    </w:p>
    <w:p w14:paraId="0FEB565E">
      <w:pPr>
        <w:pStyle w:val="13"/>
        <w:adjustRightInd w:val="0"/>
        <w:snapToGrid w:val="0"/>
        <w:spacing w:line="360" w:lineRule="auto"/>
        <w:jc w:val="left"/>
        <w:rPr>
          <w:rFonts w:hint="eastAsia" w:hAnsi="宋体" w:eastAsia="宋体" w:cs="宋体"/>
          <w:b/>
          <w:sz w:val="32"/>
          <w:szCs w:val="32"/>
          <w:lang w:val="en-US" w:eastAsia="zh-CN"/>
        </w:rPr>
      </w:pPr>
      <w:r>
        <w:rPr>
          <w:rFonts w:hint="eastAsia" w:hAnsi="宋体" w:eastAsia="宋体" w:cs="宋体"/>
          <w:b/>
          <w:sz w:val="32"/>
          <w:szCs w:val="32"/>
          <w:lang w:val="en-US" w:eastAsia="zh-CN"/>
        </w:rPr>
        <w:t>采购单位：防城港市港口区人民医院</w:t>
      </w:r>
    </w:p>
    <w:p w14:paraId="67AB3B0E">
      <w:pPr>
        <w:pStyle w:val="13"/>
        <w:adjustRightInd w:val="0"/>
        <w:snapToGrid w:val="0"/>
        <w:spacing w:line="360" w:lineRule="auto"/>
        <w:jc w:val="left"/>
        <w:rPr>
          <w:rFonts w:hint="eastAsia" w:hAnsi="宋体" w:eastAsia="宋体" w:cs="宋体"/>
          <w:b/>
          <w:sz w:val="32"/>
          <w:szCs w:val="32"/>
          <w:lang w:val="en-US" w:eastAsia="zh-CN"/>
        </w:rPr>
      </w:pPr>
      <w:r>
        <w:rPr>
          <w:rFonts w:hint="eastAsia" w:hAnsi="宋体" w:eastAsia="宋体" w:cs="宋体"/>
          <w:b/>
          <w:sz w:val="32"/>
          <w:szCs w:val="32"/>
          <w:lang w:val="en-US" w:eastAsia="zh-CN"/>
        </w:rPr>
        <w:t>采购代理机构：防城港市政府采购中心</w:t>
      </w:r>
    </w:p>
    <w:p w14:paraId="7ED0A62D">
      <w:pPr>
        <w:rPr>
          <w:rFonts w:hint="eastAsia"/>
          <w:lang w:val="en-US" w:eastAsia="zh-CN"/>
        </w:rPr>
      </w:pPr>
    </w:p>
    <w:p w14:paraId="08748B17">
      <w:pPr>
        <w:pStyle w:val="15"/>
        <w:rPr>
          <w:rFonts w:hint="eastAsia"/>
          <w:color w:val="auto"/>
          <w:lang w:val="en-US" w:eastAsia="zh-CN"/>
        </w:rPr>
      </w:pPr>
    </w:p>
    <w:p w14:paraId="0CBA6986">
      <w:pPr>
        <w:pStyle w:val="15"/>
        <w:jc w:val="center"/>
        <w:rPr>
          <w:rFonts w:hint="eastAsia" w:ascii="宋体" w:hAnsi="宋体" w:cs="宋体" w:eastAsiaTheme="minorEastAsia"/>
          <w:b/>
          <w:bCs/>
          <w:color w:val="auto"/>
          <w:kern w:val="2"/>
          <w:sz w:val="32"/>
          <w:szCs w:val="32"/>
          <w:lang w:val="en-US" w:eastAsia="zh-CN" w:bidi="ar-SA"/>
        </w:rPr>
      </w:pPr>
      <w:r>
        <w:rPr>
          <w:rFonts w:hint="eastAsia" w:ascii="宋体" w:hAnsi="宋体" w:cs="宋体" w:eastAsiaTheme="minorEastAsia"/>
          <w:b/>
          <w:bCs/>
          <w:color w:val="auto"/>
          <w:kern w:val="2"/>
          <w:sz w:val="32"/>
          <w:szCs w:val="32"/>
          <w:lang w:val="en-US" w:eastAsia="zh-CN" w:bidi="ar-SA"/>
        </w:rPr>
        <w:t>202</w:t>
      </w:r>
      <w:r>
        <w:rPr>
          <w:rFonts w:hint="eastAsia" w:ascii="宋体" w:hAnsi="宋体" w:cs="宋体"/>
          <w:b/>
          <w:bCs/>
          <w:color w:val="auto"/>
          <w:kern w:val="2"/>
          <w:sz w:val="32"/>
          <w:szCs w:val="32"/>
          <w:lang w:val="en-US" w:eastAsia="zh-CN" w:bidi="ar-SA"/>
        </w:rPr>
        <w:t>6</w:t>
      </w:r>
      <w:r>
        <w:rPr>
          <w:rFonts w:hint="eastAsia" w:ascii="宋体" w:hAnsi="宋体" w:cs="宋体" w:eastAsiaTheme="minorEastAsia"/>
          <w:b/>
          <w:bCs/>
          <w:color w:val="auto"/>
          <w:kern w:val="2"/>
          <w:sz w:val="32"/>
          <w:szCs w:val="32"/>
          <w:lang w:val="en-US" w:eastAsia="zh-CN" w:bidi="ar-SA"/>
        </w:rPr>
        <w:t>年</w:t>
      </w:r>
      <w:r>
        <w:rPr>
          <w:rFonts w:hint="eastAsia" w:ascii="宋体" w:hAnsi="宋体" w:cs="宋体"/>
          <w:b/>
          <w:bCs/>
          <w:color w:val="auto"/>
          <w:kern w:val="2"/>
          <w:sz w:val="32"/>
          <w:szCs w:val="32"/>
          <w:lang w:val="en-US" w:eastAsia="zh-CN" w:bidi="ar-SA"/>
        </w:rPr>
        <w:t>1</w:t>
      </w:r>
      <w:r>
        <w:rPr>
          <w:rFonts w:hint="eastAsia" w:ascii="宋体" w:hAnsi="宋体" w:cs="宋体" w:eastAsiaTheme="minorEastAsia"/>
          <w:b/>
          <w:bCs/>
          <w:color w:val="auto"/>
          <w:kern w:val="2"/>
          <w:sz w:val="32"/>
          <w:szCs w:val="32"/>
          <w:lang w:val="en-US" w:eastAsia="zh-CN" w:bidi="ar-SA"/>
        </w:rPr>
        <w:t>月</w:t>
      </w:r>
      <w:r>
        <w:rPr>
          <w:rFonts w:hint="eastAsia" w:ascii="宋体" w:hAnsi="宋体" w:cs="宋体"/>
          <w:b/>
          <w:bCs/>
          <w:color w:val="auto"/>
          <w:kern w:val="2"/>
          <w:sz w:val="32"/>
          <w:szCs w:val="32"/>
          <w:lang w:val="en-US" w:eastAsia="zh-CN" w:bidi="ar-SA"/>
        </w:rPr>
        <w:t>27</w:t>
      </w:r>
      <w:r>
        <w:rPr>
          <w:rFonts w:hint="eastAsia" w:ascii="宋体" w:hAnsi="宋体" w:cs="宋体" w:eastAsiaTheme="minorEastAsia"/>
          <w:b/>
          <w:bCs/>
          <w:color w:val="auto"/>
          <w:kern w:val="2"/>
          <w:sz w:val="32"/>
          <w:szCs w:val="32"/>
          <w:lang w:val="en-US" w:eastAsia="zh-CN" w:bidi="ar-SA"/>
        </w:rPr>
        <w:t>日</w:t>
      </w:r>
    </w:p>
    <w:p w14:paraId="1A3E34AE">
      <w:pPr>
        <w:rPr>
          <w:rFonts w:hint="eastAsia"/>
          <w:lang w:val="en-US" w:eastAsia="zh-CN"/>
        </w:rPr>
        <w:sectPr>
          <w:headerReference r:id="rId3" w:type="default"/>
          <w:pgSz w:w="11910" w:h="16840"/>
          <w:pgMar w:top="1440" w:right="1080" w:bottom="1440" w:left="1080" w:header="698" w:footer="912" w:gutter="0"/>
          <w:pgNumType w:fmt="decimal" w:start="1"/>
          <w:cols w:space="720" w:num="1"/>
        </w:sectPr>
      </w:pPr>
    </w:p>
    <w:sdt>
      <w:sdtPr>
        <w:rPr>
          <w:rFonts w:ascii="宋体" w:hAnsi="宋体" w:eastAsia="宋体" w:cstheme="minorBidi"/>
          <w:kern w:val="2"/>
          <w:sz w:val="21"/>
          <w:szCs w:val="24"/>
          <w:lang w:val="en-US" w:eastAsia="zh-CN" w:bidi="ar-SA"/>
        </w:rPr>
        <w:id w:val="147478528"/>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04D630F">
          <w:pPr>
            <w:spacing w:before="0" w:beforeLines="0" w:after="0" w:afterLines="0" w:line="240" w:lineRule="auto"/>
            <w:ind w:left="0" w:leftChars="0" w:right="0" w:rightChars="0" w:firstLine="0" w:firstLineChars="0"/>
            <w:jc w:val="center"/>
          </w:pPr>
          <w:bookmarkStart w:id="153" w:name="_GoBack"/>
          <w:bookmarkEnd w:id="153"/>
          <w:r>
            <w:rPr>
              <w:rFonts w:hint="eastAsia" w:ascii="宋体" w:hAnsi="宋体" w:eastAsia="宋体" w:cs="宋体"/>
              <w:b/>
              <w:kern w:val="2"/>
              <w:sz w:val="44"/>
              <w:szCs w:val="44"/>
              <w:lang w:val="en-US" w:eastAsia="zh-CN" w:bidi="ar-SA"/>
            </w:rPr>
            <w:t>目录</w:t>
          </w:r>
        </w:p>
        <w:p w14:paraId="68270BE0">
          <w:pPr>
            <w:pStyle w:val="17"/>
            <w:keepNext w:val="0"/>
            <w:keepLines w:val="0"/>
            <w:pageBreakBefore w:val="0"/>
            <w:widowControl w:val="0"/>
            <w:tabs>
              <w:tab w:val="right" w:leader="dot" w:pos="975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_Toc3799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kern w:val="2"/>
              <w:sz w:val="24"/>
              <w:szCs w:val="24"/>
              <w:lang w:val="en-US" w:eastAsia="zh-CN" w:bidi="ar-SA"/>
            </w:rPr>
            <w:t>第一章 公开招标公告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_Toc3799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64F7857">
          <w:pPr>
            <w:pStyle w:val="17"/>
            <w:keepNext w:val="0"/>
            <w:keepLines w:val="0"/>
            <w:pageBreakBefore w:val="0"/>
            <w:widowControl w:val="0"/>
            <w:tabs>
              <w:tab w:val="right" w:leader="dot" w:pos="975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_Toc1034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 xml:space="preserve">第二章 </w:t>
          </w:r>
          <w:r>
            <w:rPr>
              <w:rFonts w:hint="eastAsia" w:ascii="宋体" w:hAnsi="宋体" w:eastAsia="宋体" w:cs="宋体"/>
              <w:sz w:val="24"/>
              <w:szCs w:val="24"/>
              <w:highlight w:val="none"/>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5D0051C">
          <w:pPr>
            <w:pStyle w:val="17"/>
            <w:keepNext w:val="0"/>
            <w:keepLines w:val="0"/>
            <w:pageBreakBefore w:val="0"/>
            <w:widowControl w:val="0"/>
            <w:tabs>
              <w:tab w:val="right" w:leader="dot" w:pos="975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_Toc32381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_Toc32381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33A9CC7">
          <w:pPr>
            <w:pStyle w:val="17"/>
            <w:keepNext w:val="0"/>
            <w:keepLines w:val="0"/>
            <w:pageBreakBefore w:val="0"/>
            <w:widowControl w:val="0"/>
            <w:tabs>
              <w:tab w:val="right" w:leader="dot" w:pos="975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_Toc2191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 xml:space="preserve">第四章 </w:t>
          </w:r>
          <w:r>
            <w:rPr>
              <w:rFonts w:hint="eastAsia" w:ascii="宋体" w:hAnsi="宋体" w:eastAsia="宋体" w:cs="宋体"/>
              <w:sz w:val="24"/>
              <w:szCs w:val="24"/>
              <w:highlight w:val="none"/>
              <w:lang w:val="en-US" w:eastAsia="zh-CN"/>
            </w:rPr>
            <w:t>评标方法及评标标准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_Toc2191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B2911F2">
          <w:pPr>
            <w:pStyle w:val="17"/>
            <w:keepNext w:val="0"/>
            <w:keepLines w:val="0"/>
            <w:pageBreakBefore w:val="0"/>
            <w:widowControl w:val="0"/>
            <w:tabs>
              <w:tab w:val="right" w:leader="dot" w:pos="975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_Toc971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 xml:space="preserve">第五章 </w:t>
          </w:r>
          <w:r>
            <w:rPr>
              <w:rFonts w:hint="eastAsia" w:ascii="宋体" w:hAnsi="宋体" w:eastAsia="宋体" w:cs="宋体"/>
              <w:sz w:val="24"/>
              <w:szCs w:val="24"/>
              <w:highlight w:val="none"/>
              <w:lang w:val="en-US" w:eastAsia="zh-CN"/>
            </w:rPr>
            <w:t>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_Toc971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D091D0D">
          <w:pPr>
            <w:pStyle w:val="17"/>
            <w:keepNext w:val="0"/>
            <w:keepLines w:val="0"/>
            <w:pageBreakBefore w:val="0"/>
            <w:widowControl w:val="0"/>
            <w:tabs>
              <w:tab w:val="right" w:leader="dot" w:pos="9750"/>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_Toc9058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 xml:space="preserve">第六章 </w:t>
          </w:r>
          <w:r>
            <w:rPr>
              <w:rFonts w:hint="eastAsia" w:ascii="宋体" w:hAnsi="宋体" w:eastAsia="宋体" w:cs="宋体"/>
              <w:sz w:val="24"/>
              <w:szCs w:val="24"/>
              <w:highlight w:val="none"/>
              <w:lang w:val="en-US" w:eastAsia="zh-CN"/>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_Toc9058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D9E89B6">
          <w:pPr>
            <w:rPr>
              <w:rFonts w:hint="eastAsia" w:asciiTheme="minorHAnsi" w:hAnsiTheme="minorHAnsi" w:eastAsiaTheme="minorEastAsia" w:cstheme="minorBidi"/>
              <w:kern w:val="2"/>
              <w:sz w:val="21"/>
              <w:szCs w:val="24"/>
              <w:lang w:val="en-US" w:eastAsia="zh-CN" w:bidi="ar-SA"/>
            </w:rPr>
            <w:sectPr>
              <w:footerReference r:id="rId4" w:type="default"/>
              <w:pgSz w:w="11910" w:h="16840"/>
              <w:pgMar w:top="1440" w:right="1080" w:bottom="1440" w:left="1080" w:header="698" w:footer="912" w:gutter="0"/>
              <w:pgNumType w:fmt="decimal" w:start="1"/>
              <w:cols w:space="720" w:num="1"/>
            </w:sectPr>
          </w:pPr>
          <w:r>
            <w:rPr>
              <w:rFonts w:hint="eastAsia"/>
              <w:lang w:val="en-US" w:eastAsia="zh-CN"/>
            </w:rPr>
            <w:fldChar w:fldCharType="end"/>
          </w:r>
        </w:p>
      </w:sdtContent>
    </w:sdt>
    <w:p w14:paraId="02F4C190">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b/>
          <w:bCs w:val="0"/>
          <w:kern w:val="2"/>
          <w:sz w:val="44"/>
          <w:szCs w:val="44"/>
          <w:lang w:val="en-US" w:eastAsia="zh-CN" w:bidi="ar-SA"/>
        </w:rPr>
      </w:pPr>
      <w:bookmarkStart w:id="0" w:name="_Toc28939"/>
      <w:bookmarkStart w:id="1" w:name="_Toc3799"/>
      <w:r>
        <w:rPr>
          <w:rFonts w:hint="eastAsia" w:ascii="宋体" w:hAnsi="宋体" w:eastAsia="宋体" w:cs="宋体"/>
          <w:b/>
          <w:bCs w:val="0"/>
          <w:kern w:val="2"/>
          <w:sz w:val="44"/>
          <w:szCs w:val="44"/>
          <w:lang w:val="en-US" w:eastAsia="zh-CN" w:bidi="ar-SA"/>
        </w:rPr>
        <w:t>第一章 公开招标公告</w:t>
      </w:r>
      <w:bookmarkEnd w:id="0"/>
      <w:bookmarkEnd w:id="1"/>
    </w:p>
    <w:p w14:paraId="23598CB4">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b/>
          <w:color w:val="EE822F" w:themeColor="accent2"/>
          <w:sz w:val="21"/>
          <w:szCs w:val="21"/>
          <w:highlight w:val="none"/>
          <w:lang w:val="en-US" w:eastAsia="zh-CN"/>
          <w14:textFill>
            <w14:solidFill>
              <w14:schemeClr w14:val="accent2"/>
            </w14:solidFill>
          </w14:textFill>
        </w:rPr>
      </w:pPr>
    </w:p>
    <w:p w14:paraId="0EBC7BCD">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防城港市港口区人民医院电梯操作、秩序维护及保洁服务项目的公开招标公告</w:t>
      </w:r>
      <w:r>
        <w:rPr>
          <w:rFonts w:hint="eastAsia" w:ascii="宋体" w:hAnsi="宋体" w:cs="宋体"/>
          <w:b/>
          <w:color w:val="auto"/>
          <w:sz w:val="21"/>
          <w:szCs w:val="21"/>
          <w:highlight w:val="none"/>
          <w:lang w:val="en-US" w:eastAsia="zh-CN"/>
        </w:rPr>
        <w:t>（远程异地评标）</w:t>
      </w:r>
    </w:p>
    <w:p w14:paraId="6DC11407">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62232155">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防城港市港口区人民医院电梯操作、秩序维护及保洁服务项目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获取招标文件，并于</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26</w:t>
      </w:r>
      <w:r>
        <w:rPr>
          <w:rFonts w:hint="eastAsia" w:ascii="宋体" w:hAnsi="宋体" w:eastAsia="宋体" w:cs="宋体"/>
          <w:bCs/>
          <w:color w:val="auto"/>
          <w:sz w:val="21"/>
          <w:szCs w:val="21"/>
          <w:highlight w:val="none"/>
          <w:lang w:val="en-US" w:eastAsia="zh-CN"/>
        </w:rPr>
        <w:t>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分（北京时间）前按要求提交投标文件</w:t>
      </w:r>
      <w:r>
        <w:rPr>
          <w:rFonts w:hint="eastAsia" w:ascii="宋体" w:hAnsi="宋体" w:eastAsia="宋体" w:cs="宋体"/>
          <w:color w:val="auto"/>
          <w:sz w:val="21"/>
          <w:szCs w:val="21"/>
          <w:highlight w:val="none"/>
        </w:rPr>
        <w:t>。</w:t>
      </w:r>
    </w:p>
    <w:p w14:paraId="149C0C30">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2" w:name="_Toc28359002"/>
      <w:bookmarkStart w:id="3" w:name="_Toc35393621"/>
      <w:bookmarkStart w:id="4" w:name="_Toc28359079"/>
      <w:bookmarkStart w:id="5" w:name="_Toc35393790"/>
      <w:bookmarkStart w:id="6" w:name="_Hlk24379207"/>
      <w:r>
        <w:rPr>
          <w:rFonts w:hint="eastAsia" w:ascii="宋体" w:hAnsi="宋体" w:eastAsia="宋体" w:cs="宋体"/>
          <w:b/>
          <w:bCs/>
          <w:color w:val="auto"/>
          <w:sz w:val="21"/>
          <w:szCs w:val="21"/>
          <w:highlight w:val="none"/>
        </w:rPr>
        <w:t>一、项目基本情况</w:t>
      </w:r>
      <w:bookmarkEnd w:id="2"/>
      <w:bookmarkEnd w:id="3"/>
      <w:bookmarkEnd w:id="4"/>
      <w:bookmarkEnd w:id="5"/>
    </w:p>
    <w:p w14:paraId="3A73E38E">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项目编号：FCZC2026-G3-020006-FCGS</w:t>
      </w:r>
    </w:p>
    <w:p w14:paraId="520685E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bookmarkEnd w:id="6"/>
      <w:r>
        <w:rPr>
          <w:rFonts w:hint="eastAsia" w:ascii="宋体" w:hAnsi="宋体" w:eastAsia="宋体" w:cs="宋体"/>
          <w:color w:val="auto"/>
          <w:sz w:val="21"/>
          <w:szCs w:val="21"/>
          <w:highlight w:val="none"/>
          <w:lang w:val="en-US" w:eastAsia="zh-CN"/>
        </w:rPr>
        <w:t>防城港市港口区人民医院电梯操作、秩序维护及保洁服务</w:t>
      </w:r>
    </w:p>
    <w:p w14:paraId="62319DF4">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w:t>
      </w:r>
      <w:r>
        <w:rPr>
          <w:rFonts w:hint="eastAsia" w:ascii="宋体" w:hAnsi="宋体" w:eastAsia="宋体" w:cs="宋体"/>
          <w:color w:val="auto"/>
          <w:sz w:val="21"/>
          <w:szCs w:val="21"/>
          <w:highlight w:val="none"/>
          <w:lang w:eastAsia="zh-CN"/>
        </w:rPr>
        <w:t>360万</w:t>
      </w:r>
      <w:r>
        <w:rPr>
          <w:rFonts w:hint="eastAsia" w:ascii="宋体" w:hAnsi="宋体" w:eastAsia="宋体" w:cs="宋体"/>
          <w:color w:val="auto"/>
          <w:sz w:val="21"/>
          <w:szCs w:val="21"/>
          <w:highlight w:val="none"/>
          <w:lang w:val="en-US" w:eastAsia="zh-CN"/>
        </w:rPr>
        <w:t>元</w:t>
      </w:r>
    </w:p>
    <w:p w14:paraId="2F6CD065">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lang w:val="en-US" w:eastAsia="zh-CN"/>
        </w:rPr>
        <w:t>同预算</w:t>
      </w:r>
    </w:p>
    <w:p w14:paraId="6D6A59D0">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：根据医院特点，服务深度和质量要求，按正规化、规范化管理和精简高效的原则合理设置机构和人员配备。具体内容详见《采购需求》。</w:t>
      </w:r>
    </w:p>
    <w:p w14:paraId="7C45BCA9">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项目所属行业：</w:t>
      </w:r>
      <w:r>
        <w:rPr>
          <w:rFonts w:hint="eastAsia" w:ascii="宋体" w:hAnsi="宋体" w:eastAsia="宋体" w:cs="宋体"/>
          <w:color w:val="auto"/>
          <w:kern w:val="0"/>
          <w:sz w:val="21"/>
          <w:szCs w:val="21"/>
          <w:highlight w:val="none"/>
        </w:rPr>
        <w:t>物业管理</w:t>
      </w:r>
    </w:p>
    <w:p w14:paraId="68DF86A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kern w:val="2"/>
          <w:sz w:val="21"/>
          <w:szCs w:val="21"/>
          <w:highlight w:val="none"/>
          <w:lang w:val="en-US" w:eastAsia="zh-CN" w:bidi="ar-SA"/>
        </w:rPr>
        <w:t>自合同签订之日起2年</w:t>
      </w:r>
      <w:r>
        <w:rPr>
          <w:rFonts w:hint="eastAsia" w:ascii="宋体" w:hAnsi="宋体" w:cs="宋体"/>
          <w:color w:val="auto"/>
          <w:kern w:val="2"/>
          <w:sz w:val="21"/>
          <w:szCs w:val="21"/>
          <w:highlight w:val="none"/>
          <w:u w:val="none"/>
          <w:lang w:val="en-US" w:eastAsia="zh-CN" w:bidi="ar-SA"/>
        </w:rPr>
        <w:t>。</w:t>
      </w:r>
    </w:p>
    <w:p w14:paraId="6556AD07">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w:t>
      </w:r>
    </w:p>
    <w:p w14:paraId="5F521DD1">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7" w:name="_Toc35393791"/>
      <w:bookmarkStart w:id="8" w:name="_Toc28359080"/>
      <w:bookmarkStart w:id="9" w:name="_Toc28359003"/>
      <w:bookmarkStart w:id="10" w:name="_Toc35393622"/>
      <w:r>
        <w:rPr>
          <w:rFonts w:hint="eastAsia" w:ascii="宋体" w:hAnsi="宋体" w:eastAsia="宋体" w:cs="宋体"/>
          <w:b/>
          <w:bCs/>
          <w:color w:val="000000" w:themeColor="text1"/>
          <w:sz w:val="21"/>
          <w:szCs w:val="21"/>
          <w:highlight w:val="none"/>
          <w14:textFill>
            <w14:solidFill>
              <w14:schemeClr w14:val="tx1"/>
            </w14:solidFill>
          </w14:textFill>
        </w:rPr>
        <w:t>二、申请人的资格要求：</w:t>
      </w:r>
      <w:bookmarkEnd w:id="7"/>
      <w:bookmarkEnd w:id="8"/>
      <w:bookmarkEnd w:id="9"/>
      <w:bookmarkEnd w:id="10"/>
    </w:p>
    <w:p w14:paraId="3E76B83C">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1" w:name="_Hlk51746371"/>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3755F1B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bookmarkStart w:id="12" w:name="_Toc28359004"/>
      <w:bookmarkStart w:id="13" w:name="_Toc28359081"/>
      <w:r>
        <w:rPr>
          <w:rFonts w:hint="eastAsia" w:ascii="宋体" w:hAnsi="宋体" w:eastAsia="宋体" w:cs="宋体"/>
          <w:color w:val="auto"/>
          <w:sz w:val="21"/>
          <w:szCs w:val="21"/>
          <w:highlight w:val="none"/>
        </w:rPr>
        <w:t>2.落实政府采购政策需满足的资格要求：</w:t>
      </w:r>
      <w:bookmarkEnd w:id="11"/>
      <w:bookmarkStart w:id="14" w:name="_Toc35393623"/>
      <w:bookmarkStart w:id="15" w:name="_Toc35393792"/>
      <w:r>
        <w:rPr>
          <w:rFonts w:hint="eastAsia" w:ascii="宋体" w:hAnsi="宋体" w:eastAsia="宋体" w:cs="宋体"/>
          <w:b/>
          <w:bCs/>
          <w:color w:val="auto"/>
          <w:sz w:val="21"/>
          <w:szCs w:val="21"/>
          <w:highlight w:val="none"/>
        </w:rPr>
        <w:t>本项目专门面向</w:t>
      </w:r>
      <w:r>
        <w:rPr>
          <w:rFonts w:hint="eastAsia" w:ascii="宋体" w:hAnsi="宋体" w:cs="宋体"/>
          <w:b/>
          <w:bCs/>
          <w:color w:val="auto"/>
          <w:sz w:val="21"/>
          <w:szCs w:val="21"/>
          <w:highlight w:val="none"/>
          <w:lang w:eastAsia="zh-CN"/>
        </w:rPr>
        <w:t>中小</w:t>
      </w:r>
      <w:r>
        <w:rPr>
          <w:rFonts w:hint="eastAsia" w:ascii="宋体" w:hAnsi="宋体" w:eastAsia="宋体" w:cs="宋体"/>
          <w:b/>
          <w:bCs/>
          <w:color w:val="auto"/>
          <w:sz w:val="21"/>
          <w:szCs w:val="21"/>
          <w:highlight w:val="none"/>
        </w:rPr>
        <w:t>企业采购</w:t>
      </w:r>
      <w:r>
        <w:rPr>
          <w:rFonts w:hint="eastAsia" w:ascii="宋体" w:hAnsi="宋体" w:eastAsia="宋体" w:cs="宋体"/>
          <w:color w:val="auto"/>
          <w:sz w:val="21"/>
          <w:szCs w:val="21"/>
          <w:highlight w:val="none"/>
        </w:rPr>
        <w:t>（投标人应符合《政府采购促进中小企业发展管理办法》（财库〔2020〕46号）中关于中</w:t>
      </w:r>
      <w:r>
        <w:rPr>
          <w:rFonts w:hint="eastAsia" w:ascii="宋体" w:hAnsi="宋体" w:cs="宋体"/>
          <w:color w:val="auto"/>
          <w:sz w:val="21"/>
          <w:szCs w:val="21"/>
          <w:highlight w:val="none"/>
          <w:lang w:eastAsia="zh-CN"/>
        </w:rPr>
        <w:t>小</w:t>
      </w:r>
      <w:r>
        <w:rPr>
          <w:rFonts w:hint="eastAsia" w:ascii="宋体" w:hAnsi="宋体" w:eastAsia="宋体" w:cs="宋体"/>
          <w:color w:val="auto"/>
          <w:sz w:val="21"/>
          <w:szCs w:val="21"/>
          <w:highlight w:val="none"/>
        </w:rPr>
        <w:t>企业的相关规定；监狱企业及残疾人福利性单位视同于小微企业）；</w:t>
      </w:r>
    </w:p>
    <w:p w14:paraId="396EDDFD">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iCs/>
          <w:color w:val="auto"/>
          <w:sz w:val="21"/>
          <w:szCs w:val="21"/>
          <w:highlight w:val="none"/>
        </w:rPr>
        <w:t>。</w:t>
      </w:r>
    </w:p>
    <w:p w14:paraId="30BF49E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bookmarkEnd w:id="12"/>
      <w:bookmarkEnd w:id="13"/>
      <w:bookmarkEnd w:id="14"/>
      <w:bookmarkEnd w:id="15"/>
    </w:p>
    <w:p w14:paraId="7E990E39">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27</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rPr>
        <w:t>每天</w:t>
      </w:r>
      <w:r>
        <w:rPr>
          <w:rFonts w:hint="eastAsia" w:ascii="宋体" w:hAnsi="宋体" w:eastAsia="宋体" w:cs="宋体"/>
          <w:color w:val="000000" w:themeColor="text1"/>
          <w:sz w:val="21"/>
          <w:szCs w:val="21"/>
          <w:highlight w:val="none"/>
          <w14:textFill>
            <w14:solidFill>
              <w14:schemeClr w14:val="tx1"/>
            </w14:solidFill>
          </w14:textFill>
        </w:rPr>
        <w:t>上午</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时00分至12时00分，下午</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时00分至</w:t>
      </w: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val="en-US" w:eastAsia="zh-CN"/>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t>分（北京时间，法定节假日除外）。</w:t>
      </w:r>
    </w:p>
    <w:p w14:paraId="6C2C8C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76" w:afterAutospacing="0" w:line="360" w:lineRule="exact"/>
        <w:ind w:left="0" w:right="0" w:firstLine="420" w:firstLineChars="200"/>
        <w:jc w:val="left"/>
        <w:textAlignment w:val="auto"/>
        <w:rPr>
          <w:rFonts w:hint="eastAsia" w:ascii="Times New Roman" w:hAnsi="Times New Roman" w:eastAsia="宋体" w:cs="Times New Roman"/>
          <w:color w:val="333333"/>
          <w:kern w:val="0"/>
          <w:sz w:val="21"/>
          <w:szCs w:val="21"/>
          <w:shd w:val="clear" w:fill="FFFFFF"/>
          <w:lang w:val="en-US" w:eastAsia="zh-CN" w:bidi="ar"/>
        </w:rPr>
      </w:pPr>
      <w:r>
        <w:rPr>
          <w:rFonts w:hint="eastAsia" w:ascii="宋体" w:hAnsi="宋体" w:eastAsia="宋体" w:cs="宋体"/>
          <w:bCs/>
          <w:color w:val="auto"/>
          <w:kern w:val="0"/>
          <w:sz w:val="21"/>
          <w:szCs w:val="21"/>
          <w:highlight w:val="none"/>
        </w:rPr>
        <w:t>地</w:t>
      </w:r>
      <w:r>
        <w:rPr>
          <w:rFonts w:hint="eastAsia" w:ascii="宋体" w:hAnsi="宋体" w:cs="宋体"/>
          <w:bCs/>
          <w:color w:val="auto"/>
          <w:kern w:val="0"/>
          <w:sz w:val="21"/>
          <w:szCs w:val="21"/>
          <w:highlight w:val="none"/>
          <w:lang w:val="en-US" w:eastAsia="zh-CN"/>
        </w:rPr>
        <w:t>址</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cs="宋体"/>
          <w:bCs/>
          <w:color w:val="auto"/>
          <w:kern w:val="0"/>
          <w:sz w:val="21"/>
          <w:szCs w:val="21"/>
          <w:highlight w:val="none"/>
          <w:lang w:eastAsia="zh-CN"/>
        </w:rPr>
        <w:t>（</w:t>
      </w:r>
      <w:r>
        <w:rPr>
          <w:rFonts w:hint="default" w:ascii="Times New Roman" w:hAnsi="Times New Roman" w:eastAsia="宋体" w:cs="Times New Roman"/>
          <w:color w:val="333333"/>
          <w:kern w:val="0"/>
          <w:sz w:val="21"/>
          <w:szCs w:val="21"/>
          <w:shd w:val="clear" w:fill="FFFFFF"/>
          <w:lang w:val="en-US" w:eastAsia="zh-CN" w:bidi="ar"/>
        </w:rPr>
        <w:t>https</w:t>
      </w:r>
      <w:r>
        <w:rPr>
          <w:rFonts w:hint="eastAsia" w:ascii="Times New Roman" w:hAnsi="Times New Roman" w:eastAsia="宋体" w:cs="Times New Roman"/>
          <w:color w:val="333333"/>
          <w:kern w:val="0"/>
          <w:sz w:val="21"/>
          <w:szCs w:val="21"/>
          <w:shd w:val="clear" w:fill="FFFFFF"/>
          <w:lang w:val="en-US" w:eastAsia="zh-CN" w:bidi="ar"/>
        </w:rPr>
        <w:t>：</w:t>
      </w:r>
      <w:r>
        <w:rPr>
          <w:rFonts w:hint="default" w:ascii="Times New Roman" w:hAnsi="Times New Roman" w:eastAsia="宋体" w:cs="Times New Roman"/>
          <w:color w:val="333333"/>
          <w:kern w:val="0"/>
          <w:sz w:val="21"/>
          <w:szCs w:val="21"/>
          <w:shd w:val="clear" w:fill="FFFFFF"/>
          <w:lang w:val="en-US" w:eastAsia="zh-CN" w:bidi="ar"/>
        </w:rPr>
        <w:t>//www.gcy.zfcg.gxzf.gov.cn/</w:t>
      </w:r>
      <w:r>
        <w:rPr>
          <w:rFonts w:hint="eastAsia" w:ascii="Times New Roman" w:hAnsi="Times New Roman" w:eastAsia="宋体" w:cs="Times New Roman"/>
          <w:color w:val="333333"/>
          <w:kern w:val="0"/>
          <w:sz w:val="21"/>
          <w:szCs w:val="21"/>
          <w:shd w:val="clear" w:fill="FFFFFF"/>
          <w:lang w:val="en-US" w:eastAsia="zh-CN" w:bidi="ar"/>
        </w:rPr>
        <w:t>）</w:t>
      </w:r>
    </w:p>
    <w:p w14:paraId="50DB7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76" w:afterAutospacing="0" w:line="360" w:lineRule="exact"/>
        <w:ind w:left="0" w:right="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w:t>
      </w:r>
      <w:r>
        <w:rPr>
          <w:rFonts w:hint="eastAsia" w:ascii="宋体" w:hAnsi="宋体" w:eastAsia="宋体" w:cs="宋体"/>
          <w:color w:val="auto"/>
          <w:sz w:val="21"/>
          <w:szCs w:val="21"/>
          <w:highlight w:val="none"/>
        </w:rPr>
        <w:t>网上下载。本项目不提供纸质文件，潜在供应商需使用账号登录或者使用CA登录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-进入“项目采购”应用，在获取采购文件菜单中选择项目，获取采购文件（或在“政采云电子投标客户端-获取采购文件”跳转到政采云系统获取）。电子响应文件制作需要基于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获取的采购文件编制，通过其他方式获取采购文件的，将有可能导致供应商无法在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编制及上传响应文件。未注册的供应商可登录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进行注册（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2EC6AEA8">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w:t>
      </w:r>
      <w:r>
        <w:rPr>
          <w:rFonts w:hint="eastAsia" w:ascii="宋体" w:hAnsi="宋体" w:eastAsia="宋体" w:cs="宋体"/>
          <w:color w:val="auto"/>
          <w:sz w:val="21"/>
          <w:szCs w:val="21"/>
          <w:highlight w:val="none"/>
        </w:rPr>
        <w:t>0元。</w:t>
      </w:r>
    </w:p>
    <w:p w14:paraId="27E6297A">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四、投标响应文件提交</w:t>
      </w:r>
    </w:p>
    <w:p w14:paraId="41DA9CE9">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26</w:t>
      </w:r>
      <w:r>
        <w:rPr>
          <w:rFonts w:hint="eastAsia" w:ascii="宋体" w:hAnsi="宋体" w:eastAsia="宋体" w:cs="宋体"/>
          <w:bCs/>
          <w:color w:val="auto"/>
          <w:sz w:val="21"/>
          <w:szCs w:val="21"/>
          <w:highlight w:val="none"/>
          <w:lang w:val="en-US" w:eastAsia="zh-CN"/>
        </w:rPr>
        <w:t>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kern w:val="0"/>
          <w:sz w:val="21"/>
          <w:szCs w:val="21"/>
          <w:highlight w:val="none"/>
        </w:rPr>
        <w:t>（北京时间）</w:t>
      </w:r>
    </w:p>
    <w:p w14:paraId="5F3EF30A">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地点：通过</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实行在线投标。</w:t>
      </w:r>
    </w:p>
    <w:p w14:paraId="004154DE">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4B409BC0">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月26日9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kern w:val="0"/>
          <w:sz w:val="21"/>
          <w:szCs w:val="21"/>
          <w:highlight w:val="none"/>
        </w:rPr>
        <w:t>（北京时间）</w:t>
      </w:r>
    </w:p>
    <w:p w14:paraId="042FFEFA">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广西壮族自治区防城港市开标室</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lang w:eastAsia="zh-CN"/>
        </w:rPr>
        <w:t>政府采购开标室</w:t>
      </w:r>
      <w:r>
        <w:rPr>
          <w:rFonts w:hint="eastAsia" w:ascii="宋体" w:hAnsi="宋体" w:eastAsia="宋体" w:cs="宋体"/>
          <w:bCs/>
          <w:color w:val="auto"/>
          <w:kern w:val="0"/>
          <w:sz w:val="21"/>
          <w:szCs w:val="21"/>
          <w:highlight w:val="none"/>
          <w:lang w:val="en-US" w:eastAsia="zh-CN"/>
        </w:rPr>
        <w:t>1</w:t>
      </w:r>
    </w:p>
    <w:p w14:paraId="3F1D5E6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1A62F2DA">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自本公告发布之日起5个工作日。</w:t>
      </w:r>
    </w:p>
    <w:p w14:paraId="609BDD99">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16" w:name="_Toc35393626"/>
      <w:bookmarkStart w:id="17" w:name="_Toc35393795"/>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bookmarkEnd w:id="16"/>
      <w:bookmarkEnd w:id="17"/>
    </w:p>
    <w:p w14:paraId="47F73A5A">
      <w:pPr>
        <w:pStyle w:val="25"/>
        <w:keepNext w:val="0"/>
        <w:keepLines w:val="0"/>
        <w:pageBreakBefore w:val="0"/>
        <w:kinsoku/>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bookmarkStart w:id="18" w:name="_Hlk37428740"/>
      <w:bookmarkStart w:id="19" w:name="_Toc35393627"/>
      <w:bookmarkStart w:id="20" w:name="_Toc35393796"/>
      <w:bookmarkStart w:id="21" w:name="_Toc28359085"/>
      <w:bookmarkStart w:id="22" w:name="_Toc28359008"/>
      <w:r>
        <w:rPr>
          <w:rFonts w:hint="eastAsia" w:ascii="宋体" w:hAnsi="宋体" w:eastAsia="宋体" w:cs="宋体"/>
          <w:color w:val="auto"/>
          <w:sz w:val="21"/>
          <w:szCs w:val="21"/>
          <w:highlight w:val="none"/>
        </w:rPr>
        <w:t>1.网上查询地址：中国政府采购网、广西壮族自治区政府采购网、全国公共资源交易平台（广西·防城港）。</w:t>
      </w:r>
    </w:p>
    <w:bookmarkEnd w:id="18"/>
    <w:p w14:paraId="01FBE543">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2.本项目政府采购落实政策：</w:t>
      </w:r>
    </w:p>
    <w:p w14:paraId="0B3D32DD">
      <w:pPr>
        <w:pStyle w:val="25"/>
        <w:keepNext w:val="0"/>
        <w:keepLines w:val="0"/>
        <w:pageBreakBefore w:val="0"/>
        <w:kinsoku/>
        <w:wordWrap w:val="0"/>
        <w:overflowPunct/>
        <w:topLinePunct w:val="0"/>
        <w:autoSpaceDE/>
        <w:autoSpaceDN/>
        <w:bidi w:val="0"/>
        <w:adjustRightInd/>
        <w:snapToGrid/>
        <w:spacing w:line="360" w:lineRule="exact"/>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（2）政府采购支持采用本国产品的政策。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（3）强制采购节能产品；优先采购节能产品、环境标志产品。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（4）政府采购促进残疾人就业政策。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（5）政府采购支持监狱企业发展。</w:t>
      </w:r>
    </w:p>
    <w:p w14:paraId="5774FA46">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3.投标保证金：不收取投标保证金。</w:t>
      </w:r>
    </w:p>
    <w:p w14:paraId="40E5F94C">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4.监督部门</w:t>
      </w:r>
    </w:p>
    <w:p w14:paraId="4BD3875F">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称：防城港市港口区财政局</w:t>
      </w:r>
    </w:p>
    <w:p w14:paraId="7E842A19">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话：0770-6106362</w:t>
      </w:r>
    </w:p>
    <w:p w14:paraId="40888396">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26FD266F">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6E7C817F">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7.在线投标响应（电子投标）说明及注意事项</w:t>
      </w:r>
    </w:p>
    <w:p w14:paraId="001D8A5E">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实行在线电子投标，投标人应先安装“政采云电子交易客户端”（请自行前往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的要求编制、加密后在投标响应文件递交截止时间前通过网络上传至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提交电子投标响应文件时，请填写参加远程开标活动经办人联系方式。投标人登录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，依次进入“服务中心-项目采购-操作流程-电子招投标-政府采购项目电子交易管理操作指南-供应商”查看电子投标具体操作流程。</w:t>
      </w:r>
    </w:p>
    <w:p w14:paraId="67950C38">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投标人将无法参与本项目政府采购活动，投标人应当在投标响应文件递交截止时间前，完成电子交易平台上的CA数字证书办理（投标人可登录“广西政府采购网”，依次进入“办事服务-下载专区”或者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，依次进入“服务中心-入驻与配置”中查看CA数字证书办理操作流程。如在操作过程中遇到问题或者需要技术支持，请致电政采云客服热线：95763）及响应文件的提交。</w:t>
      </w:r>
    </w:p>
    <w:p w14:paraId="64CF1B33">
      <w:pPr>
        <w:pStyle w:val="25"/>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（3）CA证书在线解密：投标人投标时，需携带制作投标响应文件时用来加密的有效数字证书（CA认证）登录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电子开标大厅现场按规定时间对加密的投标响应文件进行解密，否则后果自负。</w:t>
      </w:r>
    </w:p>
    <w:p w14:paraId="3EC56431">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远程开标大厅参与本次投标，否则后果自负。</w:t>
      </w:r>
    </w:p>
    <w:p w14:paraId="7ABD158E">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认为招标文件使自己的权益受到损害的，可以自获取招标文件之日或者招标文件公告期限届满之日（公告期限届满后获取招标文件的，以公告期限届满之日为准）起7个工作日内以书面形式一次性向采购人和采购代理机构提出同一环节的质疑。否则，逾期的质疑采购人及招标代理机构可不予接受。质疑投标人对采购人、采购代理机构的答复不满意或者采购人、采购代理机构未在规定的时间内作出答复的，可以在答复期满后十五个工作日内向同级政府采购监督管理部门投诉。</w:t>
      </w:r>
    </w:p>
    <w:p w14:paraId="37DE1CF8">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（6）本项目不接受未登陆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获取本项目招标文件的投标人投标。</w:t>
      </w:r>
    </w:p>
    <w:p w14:paraId="5DC8988D">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投标活动。2）投标人应当在投标响应文件提交截止时间前完成电子投标响应文件的上传、提交，投标响应文件提交截止时间前可以补充、修改或者撤回投标响应文件。补充或者修改投标响应文件的，应当先行撤回原投标响应文件，补充、修改后重新上传、提交，投标响应文件提交截止时间前未完成上传、提交的，视为撤回投标响应文件。投标响应文件提交截止时间以后上传递交的投标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p>
    <w:p w14:paraId="5C58E038">
      <w:pPr>
        <w:pStyle w:val="25"/>
        <w:keepNext w:val="0"/>
        <w:keepLines w:val="0"/>
        <w:pageBreakBefore w:val="0"/>
        <w:kinsoku/>
        <w:wordWrap w:val="0"/>
        <w:overflowPunct/>
        <w:topLinePunct w:val="0"/>
        <w:autoSpaceDE/>
        <w:autoSpaceDN/>
        <w:bidi w:val="0"/>
        <w:adjustRightInd/>
        <w:snapToGrid/>
        <w:spacing w:line="360" w:lineRule="exact"/>
        <w:ind w:firstLine="42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7</w:t>
      </w:r>
      <w:r>
        <w:rPr>
          <w:rFonts w:hint="eastAsia" w:cs="宋体"/>
          <w:color w:val="auto"/>
          <w:sz w:val="21"/>
          <w:szCs w:val="21"/>
          <w:highlight w:val="none"/>
          <w:lang w:eastAsia="zh-CN"/>
        </w:rPr>
        <w:t>）</w:t>
      </w:r>
      <w:r>
        <w:rPr>
          <w:rFonts w:hint="eastAsia" w:cs="宋体"/>
          <w:color w:val="auto"/>
          <w:sz w:val="21"/>
          <w:szCs w:val="21"/>
          <w:highlight w:val="none"/>
          <w:lang w:val="en-US" w:eastAsia="zh-CN"/>
        </w:rPr>
        <w:t>不同投标人的投标文件由同一单位或者个人编制，或不同投标人报名的</w:t>
      </w:r>
      <w:r>
        <w:rPr>
          <w:rFonts w:hint="default" w:ascii="Times New Roman" w:hAnsi="Times New Roman" w:cs="Times New Roman"/>
          <w:color w:val="auto"/>
          <w:sz w:val="21"/>
          <w:szCs w:val="21"/>
          <w:highlight w:val="none"/>
          <w:lang w:val="en-US" w:eastAsia="zh-CN"/>
        </w:rPr>
        <w:t>ip</w:t>
      </w:r>
      <w:r>
        <w:rPr>
          <w:rFonts w:hint="eastAsia" w:cs="宋体"/>
          <w:color w:val="auto"/>
          <w:sz w:val="21"/>
          <w:szCs w:val="21"/>
          <w:highlight w:val="none"/>
          <w:lang w:val="en-US" w:eastAsia="zh-CN"/>
        </w:rPr>
        <w:t>地址一致的，此类投标供应商将视为无效。</w:t>
      </w:r>
    </w:p>
    <w:p w14:paraId="0D8F496B">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、对本次招标提出询问，请按以下方式联系。</w:t>
      </w:r>
      <w:bookmarkEnd w:id="19"/>
      <w:bookmarkEnd w:id="20"/>
      <w:bookmarkEnd w:id="21"/>
      <w:bookmarkEnd w:id="22"/>
    </w:p>
    <w:p w14:paraId="5B1964AD">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1.</w:t>
      </w:r>
      <w:r>
        <w:rPr>
          <w:rFonts w:hint="eastAsia" w:hAnsi="宋体" w:cs="宋体"/>
          <w:color w:val="auto"/>
          <w:szCs w:val="21"/>
        </w:rPr>
        <w:t>采购人信息</w:t>
      </w:r>
    </w:p>
    <w:p w14:paraId="22EA63D2">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eastAsia="宋体" w:cs="宋体"/>
          <w:color w:val="auto"/>
          <w:szCs w:val="21"/>
          <w:lang w:val="en-US" w:eastAsia="zh-CN"/>
        </w:rPr>
      </w:pPr>
      <w:r>
        <w:rPr>
          <w:rFonts w:hint="eastAsia" w:hAnsi="宋体" w:cs="宋体"/>
          <w:color w:val="auto"/>
          <w:szCs w:val="21"/>
        </w:rPr>
        <w:t>名    称：防城港市港口区人民医院</w:t>
      </w:r>
    </w:p>
    <w:p w14:paraId="78B73186">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地    址：防城港市港口区光坡镇大龙村大板组</w:t>
      </w:r>
    </w:p>
    <w:p w14:paraId="6A39588E">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项目联系人：刘工</w:t>
      </w:r>
    </w:p>
    <w:p w14:paraId="14F82BDB">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项目联系方式：0770-2068618</w:t>
      </w:r>
    </w:p>
    <w:p w14:paraId="6CB56376">
      <w:pPr>
        <w:keepNext w:val="0"/>
        <w:keepLines w:val="0"/>
        <w:pageBreakBefore w:val="0"/>
        <w:numPr>
          <w:ilvl w:val="0"/>
          <w:numId w:val="0"/>
        </w:numPr>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2.</w:t>
      </w:r>
      <w:r>
        <w:rPr>
          <w:rFonts w:hint="eastAsia" w:hAnsi="宋体" w:cs="宋体"/>
          <w:color w:val="auto"/>
          <w:szCs w:val="21"/>
        </w:rPr>
        <w:t>采购代理机构信息</w:t>
      </w:r>
    </w:p>
    <w:p w14:paraId="64F19321">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名    称：防城港市政府采购中心</w:t>
      </w:r>
    </w:p>
    <w:p w14:paraId="2585F390">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地    址：防城港市红树林大厦东塔6楼</w:t>
      </w:r>
    </w:p>
    <w:p w14:paraId="105D0414">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color w:val="auto"/>
          <w:szCs w:val="21"/>
          <w:lang w:val="en-US"/>
        </w:rPr>
      </w:pPr>
      <w:r>
        <w:rPr>
          <w:rFonts w:hint="eastAsia" w:hAnsi="宋体" w:cs="宋体"/>
          <w:color w:val="auto"/>
          <w:szCs w:val="21"/>
        </w:rPr>
        <w:t>项目联系人：</w:t>
      </w:r>
      <w:r>
        <w:rPr>
          <w:rFonts w:hint="eastAsia" w:hAnsi="宋体" w:cs="宋体"/>
          <w:color w:val="auto"/>
          <w:szCs w:val="21"/>
          <w:lang w:val="en-US" w:eastAsia="zh-CN"/>
        </w:rPr>
        <w:t>肖秀艺、黄世蒋</w:t>
      </w:r>
    </w:p>
    <w:p w14:paraId="36855C27">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lang w:val="en-US" w:eastAsia="zh-CN"/>
        </w:rPr>
      </w:pPr>
      <w:r>
        <w:rPr>
          <w:rFonts w:hint="eastAsia" w:hAnsi="宋体" w:cs="宋体"/>
          <w:color w:val="auto"/>
          <w:szCs w:val="21"/>
        </w:rPr>
        <w:t>项目联系方式：</w:t>
      </w:r>
      <w:r>
        <w:rPr>
          <w:rFonts w:hint="eastAsia" w:hAnsi="宋体" w:cs="宋体"/>
          <w:color w:val="auto"/>
          <w:szCs w:val="21"/>
          <w:lang w:val="en-US" w:eastAsia="zh-CN"/>
        </w:rPr>
        <w:t>0770-6126192</w:t>
      </w:r>
    </w:p>
    <w:p w14:paraId="2E543827">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zh-CN"/>
        </w:rPr>
      </w:pPr>
    </w:p>
    <w:p w14:paraId="618FD25D">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采购人：</w:t>
      </w:r>
      <w:r>
        <w:rPr>
          <w:rFonts w:hint="eastAsia" w:ascii="宋体" w:hAnsi="宋体" w:eastAsia="宋体" w:cs="宋体"/>
          <w:color w:val="auto"/>
          <w:sz w:val="21"/>
          <w:szCs w:val="21"/>
          <w:highlight w:val="none"/>
          <w:lang w:eastAsia="zh-CN"/>
        </w:rPr>
        <w:t>防城港市港口区人民医院</w:t>
      </w:r>
      <w:r>
        <w:rPr>
          <w:rFonts w:hint="eastAsia" w:ascii="宋体" w:hAnsi="宋体" w:eastAsia="宋体" w:cs="宋体"/>
          <w:color w:val="auto"/>
          <w:sz w:val="21"/>
          <w:szCs w:val="21"/>
          <w:highlight w:val="none"/>
          <w:lang w:val="en-US" w:eastAsia="zh-CN"/>
        </w:rPr>
        <w:t xml:space="preserve">  </w:t>
      </w:r>
    </w:p>
    <w:p w14:paraId="08486B46">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kern w:val="0"/>
          <w:sz w:val="21"/>
          <w:szCs w:val="21"/>
          <w:highlight w:val="none"/>
          <w:lang w:val="en-US" w:eastAsia="zh-CN"/>
        </w:rPr>
        <w:t>防城港市政府采购中心</w:t>
      </w:r>
    </w:p>
    <w:p w14:paraId="1BF66B72">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 xml:space="preserve">        </w:t>
      </w:r>
    </w:p>
    <w:p w14:paraId="3E17581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0D36A5DF">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bookmarkStart w:id="23" w:name="_Toc1034"/>
      <w:bookmarkStart w:id="24" w:name="_Toc10553"/>
      <w:r>
        <w:rPr>
          <w:rFonts w:hint="eastAsia" w:ascii="宋体" w:hAnsi="宋体" w:eastAsia="宋体" w:cs="宋体"/>
          <w:b/>
          <w:bCs/>
          <w:color w:val="auto"/>
          <w:kern w:val="44"/>
          <w:sz w:val="44"/>
          <w:szCs w:val="44"/>
          <w:lang w:val="en-US" w:eastAsia="zh-CN" w:bidi="ar-SA"/>
        </w:rPr>
        <w:t xml:space="preserve">第二章 </w:t>
      </w:r>
      <w:r>
        <w:rPr>
          <w:rFonts w:hint="eastAsia" w:ascii="宋体" w:hAnsi="宋体" w:eastAsia="宋体" w:cs="宋体"/>
          <w:color w:val="auto"/>
          <w:sz w:val="44"/>
          <w:szCs w:val="44"/>
          <w:highlight w:val="none"/>
        </w:rPr>
        <w:t>采购需求</w:t>
      </w:r>
      <w:bookmarkEnd w:id="23"/>
      <w:bookmarkEnd w:id="24"/>
    </w:p>
    <w:p w14:paraId="60D47FF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rPr>
      </w:pPr>
      <w:r>
        <w:rPr>
          <w:rFonts w:hint="eastAsia"/>
        </w:rPr>
        <w:t>说明：</w:t>
      </w:r>
    </w:p>
    <w:p w14:paraId="4089E0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1.为落实政府采购政策需满足的要求。</w:t>
      </w:r>
    </w:p>
    <w:p w14:paraId="4BB985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rPr>
      </w:pPr>
      <w:r>
        <w:rPr>
          <w:rFonts w:hint="eastAsia" w:ascii="宋体" w:hAnsi="宋体" w:eastAsia="宋体" w:cs="宋体"/>
          <w:b/>
          <w:bCs/>
        </w:rPr>
        <w:t>2.“采购需求”中所有要求均为实质性要求，不允许负偏离，否则视为无效响应。</w:t>
      </w:r>
    </w:p>
    <w:p w14:paraId="5A41FE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14:paraId="376154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b/>
          <w:bCs/>
          <w:u w:val="single"/>
        </w:rPr>
      </w:pPr>
      <w:r>
        <w:rPr>
          <w:rFonts w:hint="eastAsia" w:ascii="宋体" w:hAnsi="宋体" w:eastAsia="宋体" w:cs="宋体"/>
        </w:rPr>
        <w:t>4.所属行业依照《中小企业划型标准规定》（工信部联企业〔2011〕300号）及《国民经济行业分类》（GB/T4754-2017）的</w:t>
      </w:r>
      <w:r>
        <w:rPr>
          <w:rFonts w:hint="eastAsia"/>
        </w:rPr>
        <w:t>有关规定执行。</w:t>
      </w:r>
      <w:r>
        <w:rPr>
          <w:rFonts w:hint="eastAsia"/>
          <w:b/>
          <w:bCs/>
          <w:u w:val="single"/>
        </w:rPr>
        <w:t>本采购项目所属行业为“物业管理”。</w:t>
      </w:r>
    </w:p>
    <w:p w14:paraId="1D93ACC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59C296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u w:val="single"/>
        </w:rPr>
      </w:pPr>
      <w:r>
        <w:rPr>
          <w:rFonts w:hint="eastAsia" w:ascii="宋体" w:hAnsi="宋体"/>
          <w:b/>
          <w:color w:val="auto"/>
          <w:szCs w:val="21"/>
          <w:highlight w:val="none"/>
        </w:rPr>
        <w:t>采购预算：</w:t>
      </w:r>
      <w:r>
        <w:rPr>
          <w:rFonts w:hint="eastAsia" w:ascii="宋体" w:hAnsi="宋体"/>
          <w:color w:val="auto"/>
          <w:szCs w:val="21"/>
          <w:highlight w:val="none"/>
        </w:rPr>
        <w:t>人民币</w:t>
      </w:r>
      <w:r>
        <w:rPr>
          <w:rFonts w:hint="eastAsia" w:ascii="宋体" w:hAnsi="宋体"/>
          <w:color w:val="auto"/>
          <w:szCs w:val="21"/>
          <w:highlight w:val="none"/>
          <w:lang w:val="en-US" w:eastAsia="zh-CN"/>
        </w:rPr>
        <w:t>叁</w:t>
      </w:r>
      <w:r>
        <w:rPr>
          <w:rFonts w:hint="eastAsia" w:ascii="宋体" w:hAnsi="宋体"/>
          <w:color w:val="auto"/>
          <w:szCs w:val="21"/>
          <w:highlight w:val="none"/>
        </w:rPr>
        <w:t>佰</w:t>
      </w:r>
      <w:r>
        <w:rPr>
          <w:rFonts w:hint="eastAsia" w:ascii="宋体" w:hAnsi="宋体"/>
          <w:color w:val="auto"/>
          <w:szCs w:val="21"/>
          <w:highlight w:val="none"/>
          <w:lang w:val="en-US" w:eastAsia="zh-CN"/>
        </w:rPr>
        <w:t>陆</w:t>
      </w:r>
      <w:r>
        <w:rPr>
          <w:rFonts w:hint="eastAsia" w:ascii="宋体" w:hAnsi="宋体"/>
          <w:color w:val="auto"/>
          <w:szCs w:val="21"/>
          <w:highlight w:val="none"/>
        </w:rPr>
        <w:t>拾万元整（</w:t>
      </w:r>
      <w:r>
        <w:rPr>
          <w:rFonts w:ascii="宋体" w:hAnsi="宋体" w:eastAsia="宋体" w:cs="宋体"/>
          <w:sz w:val="24"/>
          <w:szCs w:val="24"/>
        </w:rPr>
        <w:t>￥3,600,000.00</w:t>
      </w:r>
      <w:r>
        <w:rPr>
          <w:rFonts w:hint="eastAsia" w:ascii="宋体" w:hAnsi="宋体"/>
          <w:color w:val="auto"/>
          <w:szCs w:val="21"/>
          <w:highlight w:val="none"/>
        </w:rPr>
        <w:t>）</w:t>
      </w:r>
    </w:p>
    <w:p w14:paraId="7B115D90">
      <w:pPr>
        <w:keepNext w:val="0"/>
        <w:keepLines w:val="0"/>
        <w:pageBreakBefore w:val="0"/>
        <w:kinsoku/>
        <w:wordWrap w:val="0"/>
        <w:overflowPunct/>
        <w:topLinePunct w:val="0"/>
        <w:autoSpaceDE/>
        <w:autoSpaceDN/>
        <w:bidi w:val="0"/>
        <w:adjustRightInd/>
        <w:snapToGrid/>
        <w:spacing w:line="400" w:lineRule="exact"/>
        <w:jc w:val="both"/>
        <w:textAlignment w:val="auto"/>
        <w:rPr>
          <w:rFonts w:hint="default"/>
          <w:b/>
          <w:bCs/>
          <w:u w:val="single"/>
          <w:lang w:val="en-US" w:eastAsia="zh-CN"/>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280"/>
        <w:gridCol w:w="675"/>
        <w:gridCol w:w="780"/>
        <w:gridCol w:w="6805"/>
      </w:tblGrid>
      <w:tr w14:paraId="290D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jc w:val="center"/>
        </w:trPr>
        <w:tc>
          <w:tcPr>
            <w:tcW w:w="0" w:type="auto"/>
            <w:gridSpan w:val="5"/>
            <w:vAlign w:val="center"/>
          </w:tcPr>
          <w:p w14:paraId="25A94B25">
            <w:pPr>
              <w:tabs>
                <w:tab w:val="left" w:pos="180"/>
                <w:tab w:val="left" w:pos="1620"/>
              </w:tabs>
              <w:spacing w:line="360" w:lineRule="exact"/>
              <w:jc w:val="center"/>
              <w:rPr>
                <w:rFonts w:hint="eastAsia" w:ascii="宋体" w:hAnsi="宋体" w:cs="宋体"/>
                <w:szCs w:val="21"/>
              </w:rPr>
            </w:pPr>
            <w:r>
              <w:rPr>
                <w:rFonts w:hint="eastAsia"/>
                <w:b/>
                <w:bCs/>
                <w:sz w:val="24"/>
              </w:rPr>
              <w:t>一、采购需求一览表</w:t>
            </w:r>
          </w:p>
        </w:tc>
      </w:tr>
      <w:tr w14:paraId="6A2DA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0" w:type="auto"/>
            <w:shd w:val="clear" w:color="auto" w:fill="auto"/>
            <w:vAlign w:val="center"/>
          </w:tcPr>
          <w:p w14:paraId="1CD2F538">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序号</w:t>
            </w:r>
          </w:p>
        </w:tc>
        <w:tc>
          <w:tcPr>
            <w:tcW w:w="1280" w:type="dxa"/>
            <w:shd w:val="clear" w:color="auto" w:fill="auto"/>
            <w:vAlign w:val="center"/>
          </w:tcPr>
          <w:p w14:paraId="622E3055">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标的的名称</w:t>
            </w:r>
          </w:p>
        </w:tc>
        <w:tc>
          <w:tcPr>
            <w:tcW w:w="675" w:type="dxa"/>
            <w:shd w:val="clear" w:color="auto" w:fill="auto"/>
            <w:vAlign w:val="center"/>
          </w:tcPr>
          <w:p w14:paraId="206CA39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数量及单位</w:t>
            </w:r>
          </w:p>
        </w:tc>
        <w:tc>
          <w:tcPr>
            <w:tcW w:w="780" w:type="dxa"/>
            <w:shd w:val="clear" w:color="auto" w:fill="auto"/>
            <w:vAlign w:val="center"/>
          </w:tcPr>
          <w:p w14:paraId="3A16534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所属</w:t>
            </w:r>
          </w:p>
          <w:p w14:paraId="59493062">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行业</w:t>
            </w:r>
          </w:p>
        </w:tc>
        <w:tc>
          <w:tcPr>
            <w:tcW w:w="6805" w:type="dxa"/>
            <w:shd w:val="clear" w:color="auto" w:fill="auto"/>
            <w:vAlign w:val="center"/>
          </w:tcPr>
          <w:p w14:paraId="306CA4CE">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技术或服务要求</w:t>
            </w:r>
          </w:p>
        </w:tc>
      </w:tr>
      <w:tr w14:paraId="6869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0B6F0FA7">
            <w:pPr>
              <w:tabs>
                <w:tab w:val="left" w:pos="180"/>
                <w:tab w:val="left" w:pos="1620"/>
              </w:tabs>
              <w:spacing w:line="360" w:lineRule="exact"/>
              <w:jc w:val="center"/>
              <w:rPr>
                <w:rFonts w:hint="eastAsia" w:ascii="宋体" w:hAnsi="宋体" w:cs="宋体"/>
                <w:szCs w:val="21"/>
              </w:rPr>
            </w:pPr>
            <w:r>
              <w:rPr>
                <w:rFonts w:hint="eastAsia" w:ascii="宋体" w:hAnsi="宋体" w:cs="宋体"/>
                <w:szCs w:val="21"/>
              </w:rPr>
              <w:t>1</w:t>
            </w:r>
          </w:p>
        </w:tc>
        <w:tc>
          <w:tcPr>
            <w:tcW w:w="1280" w:type="dxa"/>
            <w:vAlign w:val="center"/>
          </w:tcPr>
          <w:p w14:paraId="56404888">
            <w:pPr>
              <w:widowControl/>
              <w:spacing w:line="360" w:lineRule="exact"/>
              <w:jc w:val="center"/>
              <w:rPr>
                <w:rFonts w:hint="eastAsia" w:ascii="宋体" w:hAnsi="宋体" w:cs="宋体"/>
                <w:kern w:val="0"/>
                <w:szCs w:val="21"/>
              </w:rPr>
            </w:pPr>
            <w:r>
              <w:rPr>
                <w:rFonts w:hint="eastAsia" w:asciiTheme="minorEastAsia" w:hAnsiTheme="minorEastAsia" w:eastAsiaTheme="minorEastAsia" w:cstheme="minorEastAsia"/>
                <w:sz w:val="21"/>
                <w:szCs w:val="21"/>
                <w:lang w:eastAsia="zh-CN"/>
              </w:rPr>
              <w:t>防城港市港口区人民医院电梯操作、秩序维护及保洁服务项目</w:t>
            </w:r>
          </w:p>
        </w:tc>
        <w:tc>
          <w:tcPr>
            <w:tcW w:w="675" w:type="dxa"/>
            <w:vAlign w:val="center"/>
          </w:tcPr>
          <w:p w14:paraId="4B0CA778">
            <w:pPr>
              <w:spacing w:line="360" w:lineRule="exact"/>
              <w:jc w:val="center"/>
              <w:rPr>
                <w:rFonts w:hint="eastAsia" w:ascii="宋体" w:hAnsi="宋体"/>
                <w:szCs w:val="21"/>
              </w:rPr>
            </w:pPr>
            <w:r>
              <w:rPr>
                <w:rFonts w:hint="eastAsia" w:ascii="宋体" w:hAnsi="宋体"/>
                <w:szCs w:val="21"/>
              </w:rPr>
              <w:t>1项</w:t>
            </w:r>
          </w:p>
        </w:tc>
        <w:tc>
          <w:tcPr>
            <w:tcW w:w="780" w:type="dxa"/>
            <w:vAlign w:val="center"/>
          </w:tcPr>
          <w:p w14:paraId="2E49F214">
            <w:pPr>
              <w:tabs>
                <w:tab w:val="left" w:pos="180"/>
                <w:tab w:val="left" w:pos="1620"/>
              </w:tabs>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物业服务</w:t>
            </w:r>
          </w:p>
        </w:tc>
        <w:tc>
          <w:tcPr>
            <w:tcW w:w="6805" w:type="dxa"/>
            <w:vAlign w:val="center"/>
          </w:tcPr>
          <w:p w14:paraId="402422EA">
            <w:pPr>
              <w:spacing w:line="240" w:lineRule="auto"/>
              <w:rPr>
                <w:rFonts w:hint="eastAsia" w:ascii="宋体" w:hAnsi="宋体" w:cs="仿宋"/>
                <w:color w:val="000000"/>
                <w:sz w:val="24"/>
              </w:rPr>
            </w:pPr>
            <w:r>
              <w:rPr>
                <w:rFonts w:hint="eastAsia" w:ascii="宋体" w:hAnsi="宋体" w:cs="仿宋"/>
                <w:b/>
                <w:color w:val="000000"/>
                <w:sz w:val="24"/>
              </w:rPr>
              <w:t>一、项目概况</w:t>
            </w:r>
          </w:p>
          <w:p w14:paraId="4AD27D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防城港市港口区人民医院（</w:t>
            </w:r>
            <w:r>
              <w:rPr>
                <w:rFonts w:hint="eastAsia" w:ascii="宋体" w:hAnsi="宋体" w:cs="宋体"/>
                <w:color w:val="000000" w:themeColor="text1"/>
                <w:szCs w:val="21"/>
                <w:lang w:val="en-US" w:eastAsia="zh-CN"/>
                <w14:textFill>
                  <w14:solidFill>
                    <w14:schemeClr w14:val="tx1"/>
                  </w14:solidFill>
                </w14:textFill>
              </w:rPr>
              <w:t>总院）</w:t>
            </w:r>
            <w:r>
              <w:rPr>
                <w:rFonts w:hint="eastAsia" w:ascii="宋体" w:hAnsi="宋体" w:cs="宋体"/>
                <w:color w:val="000000" w:themeColor="text1"/>
                <w:szCs w:val="21"/>
                <w14:textFill>
                  <w14:solidFill>
                    <w14:schemeClr w14:val="tx1"/>
                  </w14:solidFill>
                </w14:textFill>
              </w:rPr>
              <w:t>，室内总建筑面积为</w:t>
            </w:r>
            <w:r>
              <w:rPr>
                <w:rFonts w:hint="eastAsia" w:ascii="宋体" w:hAnsi="宋体" w:cs="宋体"/>
                <w:color w:val="000000" w:themeColor="text1"/>
                <w:szCs w:val="21"/>
                <w:lang w:val="en-US" w:eastAsia="zh-CN"/>
                <w14:textFill>
                  <w14:solidFill>
                    <w14:schemeClr w14:val="tx1"/>
                  </w14:solidFill>
                </w14:textFill>
              </w:rPr>
              <w:t>25000</w:t>
            </w:r>
            <w:r>
              <w:rPr>
                <w:rFonts w:hint="eastAsia" w:ascii="宋体" w:hAnsi="宋体" w:cs="宋体"/>
                <w:color w:val="000000" w:themeColor="text1"/>
                <w:szCs w:val="21"/>
                <w14:textFill>
                  <w14:solidFill>
                    <w14:schemeClr w14:val="tx1"/>
                  </w14:solidFill>
                </w14:textFill>
              </w:rPr>
              <w:t>㎡，室外面积</w:t>
            </w:r>
            <w:r>
              <w:rPr>
                <w:rFonts w:hint="eastAsia" w:ascii="宋体" w:hAnsi="宋体" w:cs="宋体"/>
                <w:color w:val="000000" w:themeColor="text1"/>
                <w:szCs w:val="21"/>
                <w:lang w:val="en-US" w:eastAsia="zh-CN"/>
                <w14:textFill>
                  <w14:solidFill>
                    <w14:schemeClr w14:val="tx1"/>
                  </w14:solidFill>
                </w14:textFill>
              </w:rPr>
              <w:t>21000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防城港市港口区人民医院（</w:t>
            </w:r>
            <w:r>
              <w:rPr>
                <w:rFonts w:hint="eastAsia"/>
                <w:color w:val="000000" w:themeColor="text1"/>
                <w:spacing w:val="-2"/>
                <w:lang w:val="en-US" w:eastAsia="zh-CN"/>
                <w14:textFill>
                  <w14:solidFill>
                    <w14:schemeClr w14:val="tx1"/>
                  </w14:solidFill>
                </w14:textFill>
              </w:rPr>
              <w:t>海港院区），</w:t>
            </w:r>
            <w:r>
              <w:rPr>
                <w:rFonts w:hint="eastAsia" w:ascii="宋体" w:hAnsi="宋体" w:cs="宋体"/>
                <w:color w:val="000000" w:themeColor="text1"/>
                <w:szCs w:val="21"/>
                <w14:textFill>
                  <w14:solidFill>
                    <w14:schemeClr w14:val="tx1"/>
                  </w14:solidFill>
                </w14:textFill>
              </w:rPr>
              <w:t>室内总建筑面积为</w:t>
            </w:r>
            <w:r>
              <w:rPr>
                <w:rFonts w:hint="eastAsia" w:ascii="宋体" w:hAnsi="宋体" w:cs="宋体"/>
                <w:color w:val="000000" w:themeColor="text1"/>
                <w:szCs w:val="21"/>
                <w:lang w:val="en-US" w:eastAsia="zh-CN"/>
                <w14:textFill>
                  <w14:solidFill>
                    <w14:schemeClr w14:val="tx1"/>
                  </w14:solidFill>
                </w14:textFill>
              </w:rPr>
              <w:t>10000</w:t>
            </w:r>
            <w:r>
              <w:rPr>
                <w:rFonts w:hint="eastAsia" w:ascii="宋体" w:hAnsi="宋体" w:cs="宋体"/>
                <w:color w:val="000000" w:themeColor="text1"/>
                <w:szCs w:val="21"/>
                <w14:textFill>
                  <w14:solidFill>
                    <w14:schemeClr w14:val="tx1"/>
                  </w14:solidFill>
                </w14:textFill>
              </w:rPr>
              <w:t>㎡，室外面积</w:t>
            </w:r>
            <w:r>
              <w:rPr>
                <w:rFonts w:hint="eastAsia" w:ascii="宋体" w:hAnsi="宋体" w:cs="宋体"/>
                <w:color w:val="000000" w:themeColor="text1"/>
                <w:szCs w:val="21"/>
                <w:lang w:val="en-US" w:eastAsia="zh-CN"/>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港口区金海港社区卫生服务中心，</w:t>
            </w:r>
            <w:r>
              <w:rPr>
                <w:rFonts w:hint="eastAsia" w:ascii="宋体" w:hAnsi="宋体" w:cs="宋体"/>
                <w:color w:val="000000" w:themeColor="text1"/>
                <w:szCs w:val="21"/>
                <w14:textFill>
                  <w14:solidFill>
                    <w14:schemeClr w14:val="tx1"/>
                  </w14:solidFill>
                </w14:textFill>
              </w:rPr>
              <w:t>室内总建筑面积为</w:t>
            </w:r>
            <w:r>
              <w:rPr>
                <w:rFonts w:hint="eastAsia" w:ascii="宋体" w:hAnsi="宋体" w:cs="宋体"/>
                <w:color w:val="000000" w:themeColor="text1"/>
                <w:szCs w:val="21"/>
                <w:lang w:val="en-US" w:eastAsia="zh-CN"/>
                <w14:textFill>
                  <w14:solidFill>
                    <w14:schemeClr w14:val="tx1"/>
                  </w14:solidFill>
                </w14:textFill>
              </w:rPr>
              <w:t>2600</w:t>
            </w:r>
            <w:r>
              <w:rPr>
                <w:rFonts w:hint="eastAsia" w:ascii="宋体" w:hAnsi="宋体" w:cs="宋体"/>
                <w:color w:val="000000" w:themeColor="text1"/>
                <w:szCs w:val="21"/>
                <w14:textFill>
                  <w14:solidFill>
                    <w14:schemeClr w14:val="tx1"/>
                  </w14:solidFill>
                </w14:textFill>
              </w:rPr>
              <w:t>㎡，室外面积</w:t>
            </w:r>
            <w:r>
              <w:rPr>
                <w:rFonts w:hint="eastAsia" w:ascii="宋体" w:hAnsi="宋体" w:cs="宋体"/>
                <w:color w:val="000000" w:themeColor="text1"/>
                <w:szCs w:val="21"/>
                <w:lang w:val="en-US" w:eastAsia="zh-CN"/>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hint="eastAsia"/>
                <w:color w:val="000000" w:themeColor="text1"/>
                <w:spacing w:val="-2"/>
                <w:lang w:val="en-US" w:eastAsia="zh-CN"/>
                <w14:textFill>
                  <w14:solidFill>
                    <w14:schemeClr w14:val="tx1"/>
                  </w14:solidFill>
                </w14:textFill>
              </w:rPr>
              <w:t>港口区桃花湾社区卫生服务中心，</w:t>
            </w:r>
            <w:r>
              <w:rPr>
                <w:rFonts w:hint="eastAsia" w:ascii="宋体" w:hAnsi="宋体" w:cs="宋体"/>
                <w:color w:val="000000" w:themeColor="text1"/>
                <w:szCs w:val="21"/>
                <w14:textFill>
                  <w14:solidFill>
                    <w14:schemeClr w14:val="tx1"/>
                  </w14:solidFill>
                </w14:textFill>
              </w:rPr>
              <w:t>室内总建筑面积为</w:t>
            </w:r>
            <w:r>
              <w:rPr>
                <w:rFonts w:hint="eastAsia" w:ascii="宋体" w:hAnsi="宋体" w:cs="宋体"/>
                <w:color w:val="000000" w:themeColor="text1"/>
                <w:szCs w:val="21"/>
                <w:lang w:val="en-US" w:eastAsia="zh-CN"/>
                <w14:textFill>
                  <w14:solidFill>
                    <w14:schemeClr w14:val="tx1"/>
                  </w14:solidFill>
                </w14:textFill>
              </w:rPr>
              <w:t>2600</w:t>
            </w:r>
            <w:r>
              <w:rPr>
                <w:rFonts w:hint="eastAsia" w:ascii="宋体" w:hAnsi="宋体" w:cs="宋体"/>
                <w:color w:val="000000" w:themeColor="text1"/>
                <w:szCs w:val="21"/>
                <w14:textFill>
                  <w14:solidFill>
                    <w14:schemeClr w14:val="tx1"/>
                  </w14:solidFill>
                </w14:textFill>
              </w:rPr>
              <w:t>㎡，室外面积</w:t>
            </w:r>
            <w:r>
              <w:rPr>
                <w:rFonts w:hint="eastAsia" w:ascii="宋体" w:hAnsi="宋体" w:cs="宋体"/>
                <w:color w:val="000000" w:themeColor="text1"/>
                <w:szCs w:val="21"/>
                <w:lang w:val="en-US" w:eastAsia="zh-CN"/>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hint="eastAsia"/>
                <w:color w:val="000000" w:themeColor="text1"/>
                <w:spacing w:val="-2"/>
                <w:lang w:val="en-US" w:eastAsia="zh-CN"/>
                <w14:textFill>
                  <w14:solidFill>
                    <w14:schemeClr w14:val="tx1"/>
                  </w14:solidFill>
                </w14:textFill>
              </w:rPr>
              <w:t>港口区防钢社区卫生服务中心，</w:t>
            </w:r>
            <w:r>
              <w:rPr>
                <w:rFonts w:hint="eastAsia" w:ascii="宋体" w:hAnsi="宋体" w:cs="宋体"/>
                <w:color w:val="000000" w:themeColor="text1"/>
                <w:szCs w:val="21"/>
                <w14:textFill>
                  <w14:solidFill>
                    <w14:schemeClr w14:val="tx1"/>
                  </w14:solidFill>
                </w14:textFill>
              </w:rPr>
              <w:t>室内总建筑面积为</w:t>
            </w:r>
            <w:r>
              <w:rPr>
                <w:rFonts w:hint="eastAsia" w:ascii="宋体" w:hAnsi="宋体" w:cs="宋体"/>
                <w:color w:val="000000" w:themeColor="text1"/>
                <w:szCs w:val="21"/>
                <w:lang w:val="en-US" w:eastAsia="zh-CN"/>
                <w14:textFill>
                  <w14:solidFill>
                    <w14:schemeClr w14:val="tx1"/>
                  </w14:solidFill>
                </w14:textFill>
              </w:rPr>
              <w:t>2050</w:t>
            </w:r>
            <w:r>
              <w:rPr>
                <w:rFonts w:hint="eastAsia" w:ascii="宋体" w:hAnsi="宋体" w:cs="宋体"/>
                <w:color w:val="000000" w:themeColor="text1"/>
                <w:szCs w:val="21"/>
                <w14:textFill>
                  <w14:solidFill>
                    <w14:schemeClr w14:val="tx1"/>
                  </w14:solidFill>
                </w14:textFill>
              </w:rPr>
              <w:t>㎡，室外面积</w:t>
            </w:r>
            <w:r>
              <w:rPr>
                <w:rFonts w:hint="eastAsia" w:ascii="宋体" w:hAnsi="宋体" w:cs="宋体"/>
                <w:color w:val="000000" w:themeColor="text1"/>
                <w:szCs w:val="21"/>
                <w:lang w:val="en-US" w:eastAsia="zh-CN"/>
                <w14:textFill>
                  <w14:solidFill>
                    <w14:schemeClr w14:val="tx1"/>
                  </w14:solidFill>
                </w14:textFill>
              </w:rPr>
              <w:t>800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p>
          <w:p w14:paraId="47493F9B">
            <w:pPr>
              <w:spacing w:line="240" w:lineRule="auto"/>
              <w:rPr>
                <w:rFonts w:hint="eastAsia" w:ascii="宋体" w:hAnsi="宋体" w:cs="仿宋"/>
                <w:b/>
                <w:color w:val="000000"/>
                <w:sz w:val="24"/>
              </w:rPr>
            </w:pPr>
            <w:r>
              <w:rPr>
                <w:rFonts w:hint="eastAsia" w:ascii="宋体" w:hAnsi="宋体" w:cs="仿宋"/>
                <w:b/>
                <w:color w:val="000000"/>
                <w:sz w:val="24"/>
              </w:rPr>
              <w:t>二、服务内容</w:t>
            </w:r>
          </w:p>
          <w:p w14:paraId="2AF7DEFB">
            <w:pPr>
              <w:pStyle w:val="26"/>
              <w:numPr>
                <w:ilvl w:val="0"/>
                <w:numId w:val="2"/>
              </w:numPr>
              <w:spacing w:before="127" w:line="240" w:lineRule="auto"/>
              <w:rPr>
                <w:rFonts w:hint="eastAsia"/>
                <w:b/>
                <w:bCs/>
                <w:spacing w:val="-2"/>
                <w:lang w:eastAsia="zh-CN"/>
              </w:rPr>
            </w:pPr>
            <w:r>
              <w:rPr>
                <w:b/>
                <w:bCs/>
                <w:spacing w:val="-2"/>
                <w:lang w:eastAsia="zh-CN"/>
              </w:rPr>
              <w:t>保洁服务</w:t>
            </w:r>
            <w:r>
              <w:rPr>
                <w:rFonts w:hint="eastAsia"/>
                <w:b/>
                <w:bCs/>
                <w:spacing w:val="-2"/>
                <w:lang w:eastAsia="zh-CN"/>
              </w:rPr>
              <w:t>、</w:t>
            </w:r>
            <w:r>
              <w:rPr>
                <w:rFonts w:hint="eastAsia"/>
                <w:b/>
                <w:bCs/>
                <w:spacing w:val="-2"/>
                <w:lang w:val="en-US" w:eastAsia="zh-CN"/>
              </w:rPr>
              <w:t>秩序维护服务、电梯操作服务</w:t>
            </w:r>
            <w:r>
              <w:rPr>
                <w:b/>
                <w:bCs/>
                <w:spacing w:val="-2"/>
                <w:lang w:eastAsia="zh-CN"/>
              </w:rPr>
              <w:t>人员要求</w:t>
            </w:r>
            <w:r>
              <w:rPr>
                <w:rFonts w:hint="eastAsia"/>
                <w:b/>
                <w:bCs/>
                <w:spacing w:val="-2"/>
                <w:lang w:eastAsia="zh-CN"/>
              </w:rPr>
              <w:t>及</w:t>
            </w:r>
            <w:r>
              <w:rPr>
                <w:b/>
                <w:bCs/>
                <w:spacing w:val="-2"/>
                <w:lang w:eastAsia="zh-CN"/>
              </w:rPr>
              <w:t>服务范围</w:t>
            </w:r>
          </w:p>
          <w:p w14:paraId="4E7A8650">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pacing w:val="-2"/>
                <w:lang w:val="en-US" w:eastAsia="zh-CN"/>
              </w:rPr>
            </w:pPr>
            <w:r>
              <w:rPr>
                <w:rFonts w:hint="eastAsia" w:ascii="宋体" w:hAnsi="宋体" w:eastAsia="宋体" w:cs="宋体"/>
                <w:spacing w:val="-2"/>
                <w:kern w:val="2"/>
                <w:sz w:val="21"/>
                <w:szCs w:val="21"/>
                <w:lang w:val="en-US" w:eastAsia="zh-CN" w:bidi="ar-SA"/>
              </w:rPr>
              <w:t>1.</w:t>
            </w:r>
            <w:r>
              <w:rPr>
                <w:spacing w:val="-2"/>
                <w:lang w:eastAsia="zh-CN"/>
              </w:rPr>
              <w:t>人员数量须满足工作需求</w:t>
            </w:r>
            <w:r>
              <w:rPr>
                <w:rFonts w:hint="eastAsia"/>
                <w:spacing w:val="-2"/>
                <w:lang w:eastAsia="zh-CN"/>
              </w:rPr>
              <w:t>：</w:t>
            </w:r>
            <w:r>
              <w:rPr>
                <w:rFonts w:hint="eastAsia"/>
                <w:spacing w:val="-2"/>
                <w:lang w:val="en-US" w:eastAsia="zh-CN"/>
              </w:rPr>
              <w:t>36人。</w:t>
            </w:r>
          </w:p>
          <w:p w14:paraId="5FAAEF65">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bCs/>
                <w:spacing w:val="-2"/>
                <w:lang w:eastAsia="zh-CN"/>
              </w:rPr>
            </w:pPr>
            <w:r>
              <w:rPr>
                <w:rFonts w:hint="eastAsia"/>
                <w:spacing w:val="-2"/>
                <w:lang w:eastAsia="zh-CN"/>
              </w:rPr>
              <w:t>2.服务范围：</w:t>
            </w:r>
            <w:r>
              <w:rPr>
                <w:rFonts w:hint="eastAsia"/>
                <w:spacing w:val="-2"/>
                <w:lang w:val="en-US" w:eastAsia="zh-CN"/>
              </w:rPr>
              <w:t>防城港市港口区人民医院、海港院区、港口区金海湾社区卫生服务中心、港口区桃花湾社区卫生服务中心、港口区防钢社区卫生服务中心</w:t>
            </w:r>
            <w:r>
              <w:rPr>
                <w:rFonts w:hint="eastAsia"/>
                <w:spacing w:val="-2"/>
                <w:lang w:eastAsia="zh-CN"/>
              </w:rPr>
              <w:t>。</w:t>
            </w:r>
          </w:p>
          <w:p w14:paraId="5CF1C3E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pacing w:val="-2"/>
                <w:lang w:eastAsia="zh-CN"/>
              </w:rPr>
            </w:pPr>
            <w:r>
              <w:rPr>
                <w:rFonts w:hint="eastAsia"/>
                <w:spacing w:val="-2"/>
                <w:lang w:eastAsia="zh-CN"/>
              </w:rPr>
              <w:t>3.人员规划及资金预算（</w:t>
            </w:r>
            <w:r>
              <w:rPr>
                <w:rFonts w:hint="eastAsia"/>
                <w:lang w:eastAsia="zh-CN"/>
              </w:rPr>
              <w:t>包括但不限于服务人员费用（含工资、社保费、劳保、意外伤害保险、福利、加班费、奖金等）、服务材料消耗品（清洁工具，清洁用品、生活垃圾袋、洗涤粉等洗涤用品）的补充、更换和维修维护、</w:t>
            </w:r>
            <w:r>
              <w:rPr>
                <w:rFonts w:hint="eastAsia"/>
                <w:color w:val="000000"/>
                <w:lang w:eastAsia="zh-CN"/>
              </w:rPr>
              <w:t>服装等费用、办公费用（含对讲机、通讯费、办公用品、培训费等）、人工费、管理费、利润、税费等</w:t>
            </w:r>
            <w:r>
              <w:rPr>
                <w:rFonts w:hint="eastAsia"/>
                <w:spacing w:val="-2"/>
                <w:lang w:eastAsia="zh-CN"/>
              </w:rPr>
              <w:t>）。</w:t>
            </w:r>
          </w:p>
          <w:p w14:paraId="34999A94">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pacing w:val="-2"/>
                <w:lang w:eastAsia="zh-CN"/>
              </w:rPr>
            </w:pPr>
            <w:r>
              <w:rPr>
                <w:rFonts w:hint="eastAsia"/>
                <w:spacing w:val="-2"/>
                <w:lang w:eastAsia="zh-CN"/>
              </w:rPr>
              <w:t>4.防城港市港口区人民医院、</w:t>
            </w:r>
            <w:r>
              <w:rPr>
                <w:rFonts w:hint="eastAsia"/>
                <w:spacing w:val="-2"/>
                <w:lang w:val="en-US" w:eastAsia="zh-CN"/>
              </w:rPr>
              <w:t>海港院区、港口区金海湾社区卫生服务中心、港口区桃花湾社区卫生服务中心、港口区防钢社区卫生服务中心</w:t>
            </w:r>
            <w:r>
              <w:rPr>
                <w:rFonts w:hint="eastAsia"/>
                <w:spacing w:val="-2"/>
                <w:lang w:eastAsia="zh-CN"/>
              </w:rPr>
              <w:t>人员安排要求：</w:t>
            </w:r>
          </w:p>
          <w:p w14:paraId="724F63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color w:val="auto"/>
                <w:kern w:val="0"/>
                <w:sz w:val="30"/>
                <w:szCs w:val="30"/>
                <w:lang w:val="en-US" w:eastAsia="zh-CN" w:bidi="ar"/>
              </w:rPr>
            </w:pPr>
            <w:r>
              <w:rPr>
                <w:rFonts w:hint="eastAsia" w:ascii="仿宋_GB2312" w:hAnsi="仿宋_GB2312" w:eastAsia="仿宋_GB2312" w:cs="仿宋_GB2312"/>
                <w:b/>
                <w:bCs/>
                <w:color w:val="auto"/>
                <w:kern w:val="0"/>
                <w:sz w:val="30"/>
                <w:szCs w:val="30"/>
                <w:lang w:val="en-US" w:eastAsia="zh-CN" w:bidi="ar"/>
              </w:rPr>
              <w:t>（一）总院院区人员配置21个</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15"/>
              <w:gridCol w:w="765"/>
              <w:gridCol w:w="3405"/>
            </w:tblGrid>
            <w:tr w14:paraId="0150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2" w:type="dxa"/>
                  <w:noWrap w:val="0"/>
                  <w:vAlign w:val="center"/>
                </w:tcPr>
                <w:p w14:paraId="62E30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0"/>
                      <w:sz w:val="21"/>
                      <w:szCs w:val="21"/>
                      <w:vertAlign w:val="baseline"/>
                      <w:lang w:val="en-US" w:eastAsia="zh-CN" w:bidi="ar"/>
                    </w:rPr>
                  </w:pPr>
                  <w:r>
                    <w:rPr>
                      <w:rFonts w:hint="eastAsia" w:ascii="仿宋_GB2312" w:hAnsi="仿宋_GB2312" w:eastAsia="仿宋_GB2312" w:cs="仿宋_GB2312"/>
                      <w:b/>
                      <w:bCs/>
                      <w:color w:val="auto"/>
                      <w:kern w:val="0"/>
                      <w:sz w:val="21"/>
                      <w:szCs w:val="21"/>
                      <w:vertAlign w:val="baseline"/>
                      <w:lang w:val="en-US" w:eastAsia="zh-CN" w:bidi="ar"/>
                    </w:rPr>
                    <w:t>序号</w:t>
                  </w:r>
                </w:p>
              </w:tc>
              <w:tc>
                <w:tcPr>
                  <w:tcW w:w="1515" w:type="dxa"/>
                  <w:noWrap w:val="0"/>
                  <w:vAlign w:val="center"/>
                </w:tcPr>
                <w:p w14:paraId="056C7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0"/>
                      <w:sz w:val="21"/>
                      <w:szCs w:val="21"/>
                      <w:vertAlign w:val="baseline"/>
                      <w:lang w:val="en-US" w:eastAsia="zh-CN" w:bidi="ar"/>
                    </w:rPr>
                  </w:pPr>
                  <w:r>
                    <w:rPr>
                      <w:rFonts w:hint="eastAsia" w:ascii="仿宋_GB2312" w:hAnsi="仿宋_GB2312" w:eastAsia="仿宋_GB2312" w:cs="仿宋_GB2312"/>
                      <w:b/>
                      <w:bCs/>
                      <w:color w:val="auto"/>
                      <w:kern w:val="0"/>
                      <w:sz w:val="21"/>
                      <w:szCs w:val="21"/>
                      <w:vertAlign w:val="baseline"/>
                      <w:lang w:val="en-US" w:eastAsia="zh-CN" w:bidi="ar"/>
                    </w:rPr>
                    <w:t>岗位</w:t>
                  </w:r>
                </w:p>
              </w:tc>
              <w:tc>
                <w:tcPr>
                  <w:tcW w:w="765" w:type="dxa"/>
                  <w:noWrap w:val="0"/>
                  <w:vAlign w:val="center"/>
                </w:tcPr>
                <w:p w14:paraId="3FFC5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0"/>
                      <w:sz w:val="21"/>
                      <w:szCs w:val="21"/>
                      <w:vertAlign w:val="baseline"/>
                      <w:lang w:val="en-US" w:eastAsia="zh-CN" w:bidi="ar"/>
                    </w:rPr>
                  </w:pPr>
                  <w:r>
                    <w:rPr>
                      <w:rFonts w:hint="eastAsia" w:ascii="仿宋_GB2312" w:hAnsi="仿宋_GB2312" w:eastAsia="仿宋_GB2312" w:cs="仿宋_GB2312"/>
                      <w:b/>
                      <w:bCs/>
                      <w:color w:val="auto"/>
                      <w:kern w:val="0"/>
                      <w:sz w:val="21"/>
                      <w:szCs w:val="21"/>
                      <w:vertAlign w:val="baseline"/>
                      <w:lang w:val="en-US" w:eastAsia="zh-CN" w:bidi="ar"/>
                    </w:rPr>
                    <w:t>人 员</w:t>
                  </w:r>
                </w:p>
              </w:tc>
              <w:tc>
                <w:tcPr>
                  <w:tcW w:w="3405" w:type="dxa"/>
                  <w:noWrap w:val="0"/>
                  <w:vAlign w:val="center"/>
                </w:tcPr>
                <w:p w14:paraId="28ADF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0"/>
                      <w:sz w:val="21"/>
                      <w:szCs w:val="21"/>
                      <w:vertAlign w:val="baseline"/>
                      <w:lang w:val="en-US" w:eastAsia="zh-CN" w:bidi="ar"/>
                    </w:rPr>
                  </w:pPr>
                  <w:r>
                    <w:rPr>
                      <w:rFonts w:hint="eastAsia" w:ascii="仿宋_GB2312" w:hAnsi="仿宋_GB2312" w:eastAsia="仿宋_GB2312" w:cs="仿宋_GB2312"/>
                      <w:b/>
                      <w:bCs/>
                      <w:color w:val="auto"/>
                      <w:kern w:val="0"/>
                      <w:sz w:val="21"/>
                      <w:szCs w:val="21"/>
                      <w:vertAlign w:val="baseline"/>
                      <w:lang w:val="en-US" w:eastAsia="zh-CN" w:bidi="ar"/>
                    </w:rPr>
                    <w:t>备  注</w:t>
                  </w:r>
                </w:p>
              </w:tc>
            </w:tr>
            <w:tr w14:paraId="59D3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2" w:type="dxa"/>
                  <w:noWrap w:val="0"/>
                  <w:vAlign w:val="center"/>
                </w:tcPr>
                <w:p w14:paraId="794B3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1</w:t>
                  </w:r>
                </w:p>
              </w:tc>
              <w:tc>
                <w:tcPr>
                  <w:tcW w:w="1515" w:type="dxa"/>
                  <w:noWrap w:val="0"/>
                  <w:vAlign w:val="center"/>
                </w:tcPr>
                <w:p w14:paraId="7A2814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保洁绿化部长（项目经理），一岗多职</w:t>
                  </w:r>
                </w:p>
              </w:tc>
              <w:tc>
                <w:tcPr>
                  <w:tcW w:w="765" w:type="dxa"/>
                  <w:noWrap w:val="0"/>
                  <w:vAlign w:val="center"/>
                </w:tcPr>
                <w:p w14:paraId="0EDD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1</w:t>
                  </w:r>
                </w:p>
              </w:tc>
              <w:tc>
                <w:tcPr>
                  <w:tcW w:w="3405" w:type="dxa"/>
                  <w:noWrap w:val="0"/>
                  <w:vAlign w:val="center"/>
                </w:tcPr>
                <w:p w14:paraId="026B39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年龄55岁以下，责任心强，身体健康，大专以上学历（须附相关学历证明复印件并加盖公章，否则响应文件按无效处理），无违法犯罪记录，能够掌控各项工作的执行，有较强的组织协调和管理能力。</w:t>
                  </w:r>
                </w:p>
              </w:tc>
            </w:tr>
            <w:tr w14:paraId="7D1D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38E03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2</w:t>
                  </w:r>
                </w:p>
              </w:tc>
              <w:tc>
                <w:tcPr>
                  <w:tcW w:w="1515" w:type="dxa"/>
                  <w:noWrap w:val="0"/>
                  <w:vAlign w:val="center"/>
                </w:tcPr>
                <w:p w14:paraId="0C339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秩序队长</w:t>
                  </w:r>
                </w:p>
              </w:tc>
              <w:tc>
                <w:tcPr>
                  <w:tcW w:w="765" w:type="dxa"/>
                  <w:noWrap w:val="0"/>
                  <w:vAlign w:val="center"/>
                </w:tcPr>
                <w:p w14:paraId="10BD0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1</w:t>
                  </w:r>
                </w:p>
              </w:tc>
              <w:tc>
                <w:tcPr>
                  <w:tcW w:w="3405" w:type="dxa"/>
                  <w:noWrap w:val="0"/>
                  <w:vAlign w:val="center"/>
                </w:tcPr>
                <w:p w14:paraId="4B67BC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年龄55岁以下，责任心强，身体健康，大专以上学历（须附相关学历证明复印件并加盖公章，否则响应文件按无效处理），无违法犯罪记录，熟悉治安管理法律法规知识，有较强的组织协调和管理能力。</w:t>
                  </w:r>
                </w:p>
              </w:tc>
            </w:tr>
            <w:tr w14:paraId="7728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7AF13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3</w:t>
                  </w:r>
                </w:p>
              </w:tc>
              <w:tc>
                <w:tcPr>
                  <w:tcW w:w="1515" w:type="dxa"/>
                  <w:noWrap w:val="0"/>
                  <w:vAlign w:val="center"/>
                </w:tcPr>
                <w:p w14:paraId="02F9E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保洁员</w:t>
                  </w:r>
                </w:p>
              </w:tc>
              <w:tc>
                <w:tcPr>
                  <w:tcW w:w="765" w:type="dxa"/>
                  <w:noWrap w:val="0"/>
                  <w:vAlign w:val="center"/>
                </w:tcPr>
                <w:p w14:paraId="76326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12</w:t>
                  </w:r>
                </w:p>
              </w:tc>
              <w:tc>
                <w:tcPr>
                  <w:tcW w:w="3405" w:type="dxa"/>
                  <w:noWrap w:val="0"/>
                  <w:vAlign w:val="center"/>
                </w:tcPr>
                <w:p w14:paraId="377E6F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年龄55岁以下，身体健康，品行良好，无违法犯罪记录。</w:t>
                  </w:r>
                </w:p>
              </w:tc>
            </w:tr>
            <w:tr w14:paraId="384E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19107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4</w:t>
                  </w:r>
                </w:p>
              </w:tc>
              <w:tc>
                <w:tcPr>
                  <w:tcW w:w="1515" w:type="dxa"/>
                  <w:noWrap w:val="0"/>
                  <w:vAlign w:val="center"/>
                </w:tcPr>
                <w:p w14:paraId="3784F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秩序员</w:t>
                  </w:r>
                </w:p>
              </w:tc>
              <w:tc>
                <w:tcPr>
                  <w:tcW w:w="765" w:type="dxa"/>
                  <w:noWrap w:val="0"/>
                  <w:vAlign w:val="center"/>
                </w:tcPr>
                <w:p w14:paraId="3E0A0B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5</w:t>
                  </w:r>
                </w:p>
              </w:tc>
              <w:tc>
                <w:tcPr>
                  <w:tcW w:w="3405" w:type="dxa"/>
                  <w:noWrap w:val="0"/>
                  <w:vAlign w:val="center"/>
                </w:tcPr>
                <w:p w14:paraId="6E2EBB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年龄55岁以下，身体健康，工作认真负责，能吃苦耐劳，无违法犯罪记录，需兼顾消防中控室人员职责，负责医院的消防工作。</w:t>
                  </w:r>
                </w:p>
              </w:tc>
            </w:tr>
            <w:tr w14:paraId="41DF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noWrap w:val="0"/>
                  <w:vAlign w:val="center"/>
                </w:tcPr>
                <w:p w14:paraId="3B698F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5</w:t>
                  </w:r>
                </w:p>
              </w:tc>
              <w:tc>
                <w:tcPr>
                  <w:tcW w:w="1515" w:type="dxa"/>
                  <w:noWrap w:val="0"/>
                  <w:vAlign w:val="center"/>
                </w:tcPr>
                <w:p w14:paraId="360BB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电梯操作员</w:t>
                  </w:r>
                </w:p>
              </w:tc>
              <w:tc>
                <w:tcPr>
                  <w:tcW w:w="765" w:type="dxa"/>
                  <w:noWrap w:val="0"/>
                  <w:vAlign w:val="center"/>
                </w:tcPr>
                <w:p w14:paraId="26865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2</w:t>
                  </w:r>
                </w:p>
              </w:tc>
              <w:tc>
                <w:tcPr>
                  <w:tcW w:w="3405" w:type="dxa"/>
                  <w:noWrap w:val="0"/>
                  <w:vAlign w:val="center"/>
                </w:tcPr>
                <w:p w14:paraId="4BDE99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年龄55岁以下，身体健康，品行良好，无违法犯罪记录，均持有&lt;&lt;特种设备安全管理和作业人员证&gt;&gt;（须提供证件复印件并加盖公章，否则响应文件按无效处理）。</w:t>
                  </w:r>
                </w:p>
              </w:tc>
            </w:tr>
            <w:tr w14:paraId="0A55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noWrap w:val="0"/>
                  <w:vAlign w:val="center"/>
                </w:tcPr>
                <w:p w14:paraId="24881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合计</w:t>
                  </w:r>
                </w:p>
              </w:tc>
              <w:tc>
                <w:tcPr>
                  <w:tcW w:w="5685" w:type="dxa"/>
                  <w:gridSpan w:val="3"/>
                  <w:noWrap w:val="0"/>
                  <w:vAlign w:val="center"/>
                </w:tcPr>
                <w:p w14:paraId="0F03E7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vertAlign w:val="baseline"/>
                      <w:lang w:val="en-US" w:eastAsia="zh-CN" w:bidi="ar"/>
                    </w:rPr>
                  </w:pPr>
                  <w:r>
                    <w:rPr>
                      <w:rFonts w:hint="eastAsia" w:ascii="仿宋_GB2312" w:hAnsi="仿宋_GB2312" w:eastAsia="仿宋_GB2312" w:cs="仿宋_GB2312"/>
                      <w:color w:val="auto"/>
                      <w:kern w:val="0"/>
                      <w:sz w:val="21"/>
                      <w:szCs w:val="21"/>
                      <w:vertAlign w:val="baseline"/>
                      <w:lang w:val="en-US" w:eastAsia="zh-CN" w:bidi="ar"/>
                    </w:rPr>
                    <w:t>21人</w:t>
                  </w:r>
                </w:p>
              </w:tc>
            </w:tr>
          </w:tbl>
          <w:p w14:paraId="32D4A9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color w:val="auto"/>
                <w:kern w:val="0"/>
                <w:sz w:val="30"/>
                <w:szCs w:val="30"/>
                <w:lang w:val="en-US" w:eastAsia="zh-CN" w:bidi="ar"/>
              </w:rPr>
            </w:pPr>
            <w:r>
              <w:rPr>
                <w:rFonts w:hint="eastAsia" w:ascii="仿宋_GB2312" w:hAnsi="仿宋_GB2312" w:eastAsia="仿宋_GB2312" w:cs="仿宋_GB2312"/>
                <w:b/>
                <w:bCs/>
                <w:color w:val="auto"/>
                <w:kern w:val="0"/>
                <w:sz w:val="30"/>
                <w:szCs w:val="30"/>
                <w:lang w:val="en-US" w:eastAsia="zh-CN" w:bidi="ar"/>
              </w:rPr>
              <w:t>（二）海港院区人员配置9个</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15"/>
              <w:gridCol w:w="765"/>
              <w:gridCol w:w="3405"/>
            </w:tblGrid>
            <w:tr w14:paraId="6FD5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415DF66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eastAsia="zh-CN"/>
                    </w:rPr>
                  </w:pPr>
                  <w:r>
                    <w:rPr>
                      <w:rFonts w:hint="eastAsia" w:ascii="仿宋_GB2312" w:hAnsi="仿宋_GB2312" w:eastAsia="仿宋_GB2312" w:cs="仿宋_GB2312"/>
                      <w:b/>
                      <w:bCs/>
                      <w:i w:val="0"/>
                      <w:iCs w:val="0"/>
                      <w:caps w:val="0"/>
                      <w:color w:val="auto"/>
                      <w:spacing w:val="0"/>
                      <w:sz w:val="21"/>
                      <w:szCs w:val="21"/>
                      <w:vertAlign w:val="baseline"/>
                      <w:lang w:eastAsia="zh-CN"/>
                    </w:rPr>
                    <w:t>序号</w:t>
                  </w:r>
                </w:p>
              </w:tc>
              <w:tc>
                <w:tcPr>
                  <w:tcW w:w="1515" w:type="dxa"/>
                  <w:noWrap w:val="0"/>
                  <w:vAlign w:val="center"/>
                </w:tcPr>
                <w:p w14:paraId="6002542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eastAsia="zh-CN"/>
                    </w:rPr>
                  </w:pPr>
                  <w:r>
                    <w:rPr>
                      <w:rFonts w:hint="eastAsia" w:ascii="仿宋_GB2312" w:hAnsi="仿宋_GB2312" w:eastAsia="仿宋_GB2312" w:cs="仿宋_GB2312"/>
                      <w:b/>
                      <w:bCs/>
                      <w:i w:val="0"/>
                      <w:iCs w:val="0"/>
                      <w:caps w:val="0"/>
                      <w:color w:val="auto"/>
                      <w:spacing w:val="0"/>
                      <w:sz w:val="21"/>
                      <w:szCs w:val="21"/>
                      <w:vertAlign w:val="baseline"/>
                      <w:lang w:eastAsia="zh-CN"/>
                    </w:rPr>
                    <w:t>岗位</w:t>
                  </w:r>
                </w:p>
              </w:tc>
              <w:tc>
                <w:tcPr>
                  <w:tcW w:w="765" w:type="dxa"/>
                  <w:noWrap w:val="0"/>
                  <w:vAlign w:val="center"/>
                </w:tcPr>
                <w:p w14:paraId="611C636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eastAsia="zh-CN"/>
                    </w:rPr>
                  </w:pPr>
                  <w:r>
                    <w:rPr>
                      <w:rFonts w:hint="eastAsia" w:ascii="仿宋_GB2312" w:hAnsi="仿宋_GB2312" w:eastAsia="仿宋_GB2312" w:cs="仿宋_GB2312"/>
                      <w:b/>
                      <w:bCs/>
                      <w:i w:val="0"/>
                      <w:iCs w:val="0"/>
                      <w:caps w:val="0"/>
                      <w:color w:val="auto"/>
                      <w:spacing w:val="0"/>
                      <w:sz w:val="21"/>
                      <w:szCs w:val="21"/>
                      <w:vertAlign w:val="baseline"/>
                      <w:lang w:eastAsia="zh-CN"/>
                    </w:rPr>
                    <w:t>人</w:t>
                  </w:r>
                  <w:r>
                    <w:rPr>
                      <w:rFonts w:hint="eastAsia" w:ascii="仿宋_GB2312" w:hAnsi="仿宋_GB2312" w:eastAsia="仿宋_GB2312" w:cs="仿宋_GB2312"/>
                      <w:b/>
                      <w:bCs/>
                      <w:i w:val="0"/>
                      <w:iCs w:val="0"/>
                      <w:caps w:val="0"/>
                      <w:color w:val="auto"/>
                      <w:spacing w:val="0"/>
                      <w:sz w:val="21"/>
                      <w:szCs w:val="21"/>
                      <w:vertAlign w:val="baseline"/>
                      <w:lang w:val="en-US" w:eastAsia="zh-CN"/>
                    </w:rPr>
                    <w:t xml:space="preserve"> </w:t>
                  </w:r>
                  <w:r>
                    <w:rPr>
                      <w:rFonts w:hint="eastAsia" w:ascii="仿宋_GB2312" w:hAnsi="仿宋_GB2312" w:eastAsia="仿宋_GB2312" w:cs="仿宋_GB2312"/>
                      <w:b/>
                      <w:bCs/>
                      <w:i w:val="0"/>
                      <w:iCs w:val="0"/>
                      <w:caps w:val="0"/>
                      <w:color w:val="auto"/>
                      <w:spacing w:val="0"/>
                      <w:sz w:val="21"/>
                      <w:szCs w:val="21"/>
                      <w:vertAlign w:val="baseline"/>
                      <w:lang w:eastAsia="zh-CN"/>
                    </w:rPr>
                    <w:t>员</w:t>
                  </w:r>
                </w:p>
              </w:tc>
              <w:tc>
                <w:tcPr>
                  <w:tcW w:w="3405" w:type="dxa"/>
                  <w:noWrap w:val="0"/>
                  <w:vAlign w:val="center"/>
                </w:tcPr>
                <w:p w14:paraId="3854D0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eastAsia="zh-CN"/>
                    </w:rPr>
                  </w:pPr>
                  <w:r>
                    <w:rPr>
                      <w:rFonts w:hint="eastAsia" w:ascii="仿宋_GB2312" w:hAnsi="仿宋_GB2312" w:eastAsia="仿宋_GB2312" w:cs="仿宋_GB2312"/>
                      <w:b/>
                      <w:bCs/>
                      <w:i w:val="0"/>
                      <w:iCs w:val="0"/>
                      <w:caps w:val="0"/>
                      <w:color w:val="auto"/>
                      <w:spacing w:val="0"/>
                      <w:sz w:val="21"/>
                      <w:szCs w:val="21"/>
                      <w:vertAlign w:val="baseline"/>
                      <w:lang w:eastAsia="zh-CN"/>
                    </w:rPr>
                    <w:t>备</w:t>
                  </w:r>
                  <w:r>
                    <w:rPr>
                      <w:rFonts w:hint="eastAsia" w:ascii="仿宋_GB2312" w:hAnsi="仿宋_GB2312" w:eastAsia="仿宋_GB2312" w:cs="仿宋_GB2312"/>
                      <w:b/>
                      <w:bCs/>
                      <w:i w:val="0"/>
                      <w:iCs w:val="0"/>
                      <w:caps w:val="0"/>
                      <w:color w:val="auto"/>
                      <w:spacing w:val="0"/>
                      <w:sz w:val="21"/>
                      <w:szCs w:val="21"/>
                      <w:vertAlign w:val="baseline"/>
                      <w:lang w:val="en-US" w:eastAsia="zh-CN"/>
                    </w:rPr>
                    <w:t xml:space="preserve">  </w:t>
                  </w:r>
                  <w:r>
                    <w:rPr>
                      <w:rFonts w:hint="eastAsia" w:ascii="仿宋_GB2312" w:hAnsi="仿宋_GB2312" w:eastAsia="仿宋_GB2312" w:cs="仿宋_GB2312"/>
                      <w:b/>
                      <w:bCs/>
                      <w:i w:val="0"/>
                      <w:iCs w:val="0"/>
                      <w:caps w:val="0"/>
                      <w:color w:val="auto"/>
                      <w:spacing w:val="0"/>
                      <w:sz w:val="21"/>
                      <w:szCs w:val="21"/>
                      <w:vertAlign w:val="baseline"/>
                      <w:lang w:eastAsia="zh-CN"/>
                    </w:rPr>
                    <w:t>注</w:t>
                  </w:r>
                </w:p>
              </w:tc>
            </w:tr>
            <w:tr w14:paraId="0CD2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1B202A6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1</w:t>
                  </w:r>
                </w:p>
              </w:tc>
              <w:tc>
                <w:tcPr>
                  <w:tcW w:w="1515" w:type="dxa"/>
                  <w:noWrap w:val="0"/>
                  <w:vAlign w:val="center"/>
                </w:tcPr>
                <w:p w14:paraId="579D1A9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i w:val="0"/>
                      <w:iCs w:val="0"/>
                      <w:caps w:val="0"/>
                      <w:color w:val="auto"/>
                      <w:spacing w:val="0"/>
                      <w:sz w:val="21"/>
                      <w:szCs w:val="21"/>
                      <w:vertAlign w:val="baseline"/>
                      <w:lang w:eastAsia="zh-CN"/>
                    </w:rPr>
                    <w:t>保洁组长</w:t>
                  </w:r>
                </w:p>
              </w:tc>
              <w:tc>
                <w:tcPr>
                  <w:tcW w:w="765" w:type="dxa"/>
                  <w:noWrap w:val="0"/>
                  <w:vAlign w:val="center"/>
                </w:tcPr>
                <w:p w14:paraId="3B1D67D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1</w:t>
                  </w:r>
                </w:p>
              </w:tc>
              <w:tc>
                <w:tcPr>
                  <w:tcW w:w="3405" w:type="dxa"/>
                  <w:noWrap w:val="0"/>
                  <w:vAlign w:val="center"/>
                </w:tcPr>
                <w:p w14:paraId="7148F11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color w:val="auto"/>
                      <w:kern w:val="0"/>
                      <w:sz w:val="21"/>
                      <w:szCs w:val="21"/>
                      <w:vertAlign w:val="baseline"/>
                      <w:lang w:val="en-US" w:eastAsia="zh-CN" w:bidi="ar"/>
                    </w:rPr>
                    <w:t>年龄55岁以下，责任心强，身体健康，无违法犯罪记录，有较强的组织协调和管理能力。</w:t>
                  </w:r>
                </w:p>
              </w:tc>
            </w:tr>
            <w:tr w14:paraId="133D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4CA6070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2</w:t>
                  </w:r>
                </w:p>
              </w:tc>
              <w:tc>
                <w:tcPr>
                  <w:tcW w:w="1515" w:type="dxa"/>
                  <w:noWrap w:val="0"/>
                  <w:vAlign w:val="center"/>
                </w:tcPr>
                <w:p w14:paraId="3E9A66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i w:val="0"/>
                      <w:iCs w:val="0"/>
                      <w:caps w:val="0"/>
                      <w:color w:val="auto"/>
                      <w:spacing w:val="0"/>
                      <w:sz w:val="21"/>
                      <w:szCs w:val="21"/>
                      <w:vertAlign w:val="baseline"/>
                      <w:lang w:eastAsia="zh-CN"/>
                    </w:rPr>
                    <w:t>保洁员</w:t>
                  </w:r>
                </w:p>
              </w:tc>
              <w:tc>
                <w:tcPr>
                  <w:tcW w:w="765" w:type="dxa"/>
                  <w:noWrap w:val="0"/>
                  <w:vAlign w:val="center"/>
                </w:tcPr>
                <w:p w14:paraId="372BB3A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4</w:t>
                  </w:r>
                </w:p>
              </w:tc>
              <w:tc>
                <w:tcPr>
                  <w:tcW w:w="3405" w:type="dxa"/>
                  <w:noWrap w:val="0"/>
                  <w:vAlign w:val="center"/>
                </w:tcPr>
                <w:p w14:paraId="06578C8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color w:val="auto"/>
                      <w:kern w:val="0"/>
                      <w:sz w:val="21"/>
                      <w:szCs w:val="21"/>
                      <w:vertAlign w:val="baseline"/>
                      <w:lang w:val="en-US" w:eastAsia="zh-CN" w:bidi="ar"/>
                    </w:rPr>
                    <w:t>年龄55岁以下，身体健康，品行良好，无违法犯罪记录。</w:t>
                  </w:r>
                </w:p>
              </w:tc>
            </w:tr>
            <w:tr w14:paraId="0E70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2" w:type="dxa"/>
                  <w:noWrap w:val="0"/>
                  <w:vAlign w:val="center"/>
                </w:tcPr>
                <w:p w14:paraId="0BCE02E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3</w:t>
                  </w:r>
                </w:p>
              </w:tc>
              <w:tc>
                <w:tcPr>
                  <w:tcW w:w="1515" w:type="dxa"/>
                  <w:noWrap w:val="0"/>
                  <w:vAlign w:val="center"/>
                </w:tcPr>
                <w:p w14:paraId="36DA1B1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color w:val="auto"/>
                      <w:kern w:val="0"/>
                      <w:sz w:val="21"/>
                      <w:szCs w:val="21"/>
                      <w:vertAlign w:val="baseline"/>
                      <w:lang w:val="en-US" w:eastAsia="zh-CN" w:bidi="ar"/>
                    </w:rPr>
                    <w:t>秩序员</w:t>
                  </w:r>
                </w:p>
              </w:tc>
              <w:tc>
                <w:tcPr>
                  <w:tcW w:w="765" w:type="dxa"/>
                  <w:noWrap w:val="0"/>
                  <w:vAlign w:val="center"/>
                </w:tcPr>
                <w:p w14:paraId="4BBEEED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3</w:t>
                  </w:r>
                </w:p>
              </w:tc>
              <w:tc>
                <w:tcPr>
                  <w:tcW w:w="3405" w:type="dxa"/>
                  <w:noWrap w:val="0"/>
                  <w:vAlign w:val="center"/>
                </w:tcPr>
                <w:p w14:paraId="0A7A80E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color w:val="auto"/>
                      <w:kern w:val="0"/>
                      <w:sz w:val="21"/>
                      <w:szCs w:val="21"/>
                      <w:vertAlign w:val="baseline"/>
                      <w:lang w:val="en-US" w:eastAsia="zh-CN" w:bidi="ar"/>
                    </w:rPr>
                    <w:t>年龄55岁以下，身体健康，工作认真负责，能吃苦耐劳，无违法犯罪记录，需兼顾消防中控室人员职责，负责医院的消防工作。</w:t>
                  </w:r>
                </w:p>
              </w:tc>
            </w:tr>
            <w:tr w14:paraId="51DC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802" w:type="dxa"/>
                  <w:noWrap w:val="0"/>
                  <w:vAlign w:val="center"/>
                </w:tcPr>
                <w:p w14:paraId="763AD2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4</w:t>
                  </w:r>
                </w:p>
              </w:tc>
              <w:tc>
                <w:tcPr>
                  <w:tcW w:w="1515" w:type="dxa"/>
                  <w:noWrap w:val="0"/>
                  <w:vAlign w:val="center"/>
                </w:tcPr>
                <w:p w14:paraId="65B7ED9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i w:val="0"/>
                      <w:iCs w:val="0"/>
                      <w:caps w:val="0"/>
                      <w:color w:val="auto"/>
                      <w:spacing w:val="0"/>
                      <w:sz w:val="21"/>
                      <w:szCs w:val="21"/>
                      <w:vertAlign w:val="baseline"/>
                      <w:lang w:eastAsia="zh-CN"/>
                    </w:rPr>
                    <w:t>电梯操作员</w:t>
                  </w:r>
                </w:p>
              </w:tc>
              <w:tc>
                <w:tcPr>
                  <w:tcW w:w="765" w:type="dxa"/>
                  <w:noWrap w:val="0"/>
                  <w:vAlign w:val="center"/>
                </w:tcPr>
                <w:p w14:paraId="189DDE5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1</w:t>
                  </w:r>
                </w:p>
              </w:tc>
              <w:tc>
                <w:tcPr>
                  <w:tcW w:w="3405" w:type="dxa"/>
                  <w:noWrap w:val="0"/>
                  <w:vAlign w:val="center"/>
                </w:tcPr>
                <w:p w14:paraId="6844749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color w:val="auto"/>
                      <w:kern w:val="0"/>
                      <w:sz w:val="21"/>
                      <w:szCs w:val="21"/>
                      <w:vertAlign w:val="baseline"/>
                      <w:lang w:val="en-US" w:eastAsia="zh-CN" w:bidi="ar"/>
                    </w:rPr>
                    <w:t>年龄55岁以下，身体健康，品行良好，无违法犯罪记录，持有&lt;&lt;特种设备安全管理和作业人员证&gt;&gt;（须提供证件复印件并加盖公章，否则响应文件按无效处理）。</w:t>
                  </w:r>
                </w:p>
              </w:tc>
            </w:tr>
            <w:tr w14:paraId="1FDE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noWrap w:val="0"/>
                  <w:vAlign w:val="center"/>
                </w:tcPr>
                <w:p w14:paraId="13C70DE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eastAsia="zh-CN"/>
                    </w:rPr>
                  </w:pPr>
                  <w:r>
                    <w:rPr>
                      <w:rFonts w:hint="eastAsia" w:ascii="仿宋_GB2312" w:hAnsi="仿宋_GB2312" w:eastAsia="仿宋_GB2312" w:cs="仿宋_GB2312"/>
                      <w:i w:val="0"/>
                      <w:iCs w:val="0"/>
                      <w:caps w:val="0"/>
                      <w:color w:val="auto"/>
                      <w:spacing w:val="0"/>
                      <w:sz w:val="21"/>
                      <w:szCs w:val="21"/>
                      <w:vertAlign w:val="baseline"/>
                      <w:lang w:eastAsia="zh-CN"/>
                    </w:rPr>
                    <w:t>合计</w:t>
                  </w:r>
                </w:p>
              </w:tc>
              <w:tc>
                <w:tcPr>
                  <w:tcW w:w="5685" w:type="dxa"/>
                  <w:gridSpan w:val="3"/>
                  <w:noWrap w:val="0"/>
                  <w:vAlign w:val="center"/>
                </w:tcPr>
                <w:p w14:paraId="4A55502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9人</w:t>
                  </w:r>
                </w:p>
              </w:tc>
            </w:tr>
          </w:tbl>
          <w:p w14:paraId="72A0DDC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（三）金海湾、桃花湾、防钢社区卫生服务中心人员配置6个</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30"/>
              <w:gridCol w:w="765"/>
              <w:gridCol w:w="3390"/>
            </w:tblGrid>
            <w:tr w14:paraId="1B26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9AF860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val="en-US" w:eastAsia="zh-CN"/>
                    </w:rPr>
                  </w:pPr>
                  <w:r>
                    <w:rPr>
                      <w:rFonts w:hint="eastAsia" w:ascii="仿宋_GB2312" w:hAnsi="仿宋_GB2312" w:eastAsia="仿宋_GB2312" w:cs="仿宋_GB2312"/>
                      <w:b/>
                      <w:bCs/>
                      <w:i w:val="0"/>
                      <w:iCs w:val="0"/>
                      <w:caps w:val="0"/>
                      <w:color w:val="auto"/>
                      <w:spacing w:val="0"/>
                      <w:sz w:val="21"/>
                      <w:szCs w:val="21"/>
                      <w:vertAlign w:val="baseline"/>
                      <w:lang w:val="en-US" w:eastAsia="zh-CN"/>
                    </w:rPr>
                    <w:t>序号</w:t>
                  </w:r>
                </w:p>
              </w:tc>
              <w:tc>
                <w:tcPr>
                  <w:tcW w:w="1530" w:type="dxa"/>
                  <w:noWrap w:val="0"/>
                  <w:vAlign w:val="center"/>
                </w:tcPr>
                <w:p w14:paraId="66C8390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val="en-US" w:eastAsia="zh-CN"/>
                    </w:rPr>
                  </w:pPr>
                  <w:r>
                    <w:rPr>
                      <w:rFonts w:hint="eastAsia" w:ascii="仿宋_GB2312" w:hAnsi="仿宋_GB2312" w:eastAsia="仿宋_GB2312" w:cs="仿宋_GB2312"/>
                      <w:b/>
                      <w:bCs/>
                      <w:i w:val="0"/>
                      <w:iCs w:val="0"/>
                      <w:caps w:val="0"/>
                      <w:color w:val="auto"/>
                      <w:spacing w:val="0"/>
                      <w:sz w:val="21"/>
                      <w:szCs w:val="21"/>
                      <w:vertAlign w:val="baseline"/>
                      <w:lang w:val="en-US" w:eastAsia="zh-CN"/>
                    </w:rPr>
                    <w:t>岗位</w:t>
                  </w:r>
                </w:p>
              </w:tc>
              <w:tc>
                <w:tcPr>
                  <w:tcW w:w="765" w:type="dxa"/>
                  <w:noWrap w:val="0"/>
                  <w:vAlign w:val="center"/>
                </w:tcPr>
                <w:p w14:paraId="2FCFAE7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val="en-US" w:eastAsia="zh-CN"/>
                    </w:rPr>
                  </w:pPr>
                  <w:r>
                    <w:rPr>
                      <w:rFonts w:hint="eastAsia" w:ascii="仿宋_GB2312" w:hAnsi="仿宋_GB2312" w:eastAsia="仿宋_GB2312" w:cs="仿宋_GB2312"/>
                      <w:b/>
                      <w:bCs/>
                      <w:i w:val="0"/>
                      <w:iCs w:val="0"/>
                      <w:caps w:val="0"/>
                      <w:color w:val="auto"/>
                      <w:spacing w:val="0"/>
                      <w:sz w:val="21"/>
                      <w:szCs w:val="21"/>
                      <w:vertAlign w:val="baseline"/>
                      <w:lang w:val="en-US" w:eastAsia="zh-CN"/>
                    </w:rPr>
                    <w:t>人 员</w:t>
                  </w:r>
                </w:p>
              </w:tc>
              <w:tc>
                <w:tcPr>
                  <w:tcW w:w="3390" w:type="dxa"/>
                  <w:noWrap w:val="0"/>
                  <w:vAlign w:val="center"/>
                </w:tcPr>
                <w:p w14:paraId="43A3931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i w:val="0"/>
                      <w:iCs w:val="0"/>
                      <w:caps w:val="0"/>
                      <w:color w:val="auto"/>
                      <w:spacing w:val="0"/>
                      <w:sz w:val="21"/>
                      <w:szCs w:val="21"/>
                      <w:vertAlign w:val="baseline"/>
                      <w:lang w:val="en-US" w:eastAsia="zh-CN"/>
                    </w:rPr>
                  </w:pPr>
                  <w:r>
                    <w:rPr>
                      <w:rFonts w:hint="eastAsia" w:ascii="仿宋_GB2312" w:hAnsi="仿宋_GB2312" w:eastAsia="仿宋_GB2312" w:cs="仿宋_GB2312"/>
                      <w:b/>
                      <w:bCs/>
                      <w:i w:val="0"/>
                      <w:iCs w:val="0"/>
                      <w:caps w:val="0"/>
                      <w:color w:val="auto"/>
                      <w:spacing w:val="0"/>
                      <w:sz w:val="21"/>
                      <w:szCs w:val="21"/>
                      <w:vertAlign w:val="baseline"/>
                      <w:lang w:val="en-US" w:eastAsia="zh-CN"/>
                    </w:rPr>
                    <w:t>备  注</w:t>
                  </w:r>
                </w:p>
              </w:tc>
            </w:tr>
            <w:tr w14:paraId="7425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4C3A6A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1</w:t>
                  </w:r>
                </w:p>
              </w:tc>
              <w:tc>
                <w:tcPr>
                  <w:tcW w:w="1530" w:type="dxa"/>
                  <w:noWrap w:val="0"/>
                  <w:vAlign w:val="center"/>
                </w:tcPr>
                <w:p w14:paraId="1876FBA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电梯操作员</w:t>
                  </w:r>
                </w:p>
              </w:tc>
              <w:tc>
                <w:tcPr>
                  <w:tcW w:w="765" w:type="dxa"/>
                  <w:noWrap w:val="0"/>
                  <w:vAlign w:val="center"/>
                </w:tcPr>
                <w:p w14:paraId="350BC8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3</w:t>
                  </w:r>
                </w:p>
              </w:tc>
              <w:tc>
                <w:tcPr>
                  <w:tcW w:w="3390" w:type="dxa"/>
                  <w:noWrap w:val="0"/>
                  <w:vAlign w:val="center"/>
                </w:tcPr>
                <w:p w14:paraId="7267280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color w:val="auto"/>
                      <w:kern w:val="0"/>
                      <w:sz w:val="21"/>
                      <w:szCs w:val="21"/>
                      <w:vertAlign w:val="baseline"/>
                      <w:lang w:val="en-US" w:eastAsia="zh-CN" w:bidi="ar"/>
                    </w:rPr>
                    <w:t>年龄55岁以下，身体健康，品行良好，无违法犯罪记录，均持有&lt;&lt;特种设备安全管理和作业人员证&gt;&gt;（须提供证件复印件并加盖公章，否则响应文件按无效处理）。</w:t>
                  </w:r>
                </w:p>
              </w:tc>
            </w:tr>
            <w:tr w14:paraId="53BE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D1019E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2</w:t>
                  </w:r>
                </w:p>
              </w:tc>
              <w:tc>
                <w:tcPr>
                  <w:tcW w:w="1530" w:type="dxa"/>
                  <w:noWrap w:val="0"/>
                  <w:vAlign w:val="center"/>
                </w:tcPr>
                <w:p w14:paraId="0EFBFB4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i w:val="0"/>
                      <w:iCs w:val="0"/>
                      <w:caps w:val="0"/>
                      <w:color w:val="auto"/>
                      <w:spacing w:val="0"/>
                      <w:kern w:val="2"/>
                      <w:sz w:val="21"/>
                      <w:szCs w:val="21"/>
                      <w:vertAlign w:val="baseline"/>
                      <w:lang w:val="en-US" w:eastAsia="zh-CN" w:bidi="ar-SA"/>
                    </w:rPr>
                  </w:pPr>
                  <w:r>
                    <w:rPr>
                      <w:rFonts w:hint="eastAsia" w:ascii="仿宋_GB2312" w:hAnsi="仿宋_GB2312" w:eastAsia="仿宋_GB2312" w:cs="仿宋_GB2312"/>
                      <w:i w:val="0"/>
                      <w:iCs w:val="0"/>
                      <w:caps w:val="0"/>
                      <w:color w:val="auto"/>
                      <w:spacing w:val="0"/>
                      <w:sz w:val="21"/>
                      <w:szCs w:val="21"/>
                      <w:vertAlign w:val="baseline"/>
                      <w:lang w:eastAsia="zh-CN"/>
                    </w:rPr>
                    <w:t>保洁员</w:t>
                  </w:r>
                </w:p>
              </w:tc>
              <w:tc>
                <w:tcPr>
                  <w:tcW w:w="765" w:type="dxa"/>
                  <w:noWrap w:val="0"/>
                  <w:vAlign w:val="center"/>
                </w:tcPr>
                <w:p w14:paraId="3B58540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i w:val="0"/>
                      <w:iCs w:val="0"/>
                      <w:caps w:val="0"/>
                      <w:color w:val="auto"/>
                      <w:spacing w:val="0"/>
                      <w:kern w:val="2"/>
                      <w:sz w:val="21"/>
                      <w:szCs w:val="21"/>
                      <w:vertAlign w:val="baseline"/>
                      <w:lang w:val="en-US" w:eastAsia="zh-CN" w:bidi="ar-SA"/>
                    </w:rPr>
                  </w:pPr>
                  <w:r>
                    <w:rPr>
                      <w:rFonts w:hint="eastAsia" w:ascii="仿宋_GB2312" w:hAnsi="仿宋_GB2312" w:eastAsia="仿宋_GB2312" w:cs="仿宋_GB2312"/>
                      <w:i w:val="0"/>
                      <w:iCs w:val="0"/>
                      <w:caps w:val="0"/>
                      <w:color w:val="auto"/>
                      <w:spacing w:val="0"/>
                      <w:sz w:val="21"/>
                      <w:szCs w:val="21"/>
                      <w:vertAlign w:val="baseline"/>
                      <w:lang w:val="en-US" w:eastAsia="zh-CN"/>
                    </w:rPr>
                    <w:t>3</w:t>
                  </w:r>
                </w:p>
              </w:tc>
              <w:tc>
                <w:tcPr>
                  <w:tcW w:w="3390" w:type="dxa"/>
                  <w:noWrap w:val="0"/>
                  <w:vAlign w:val="center"/>
                </w:tcPr>
                <w:p w14:paraId="2074572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color w:val="auto"/>
                      <w:kern w:val="0"/>
                      <w:sz w:val="21"/>
                      <w:szCs w:val="21"/>
                      <w:vertAlign w:val="baseline"/>
                      <w:lang w:val="en-US" w:eastAsia="zh-CN" w:bidi="ar"/>
                    </w:rPr>
                    <w:t>年龄55岁以下，身体健康，品行良好，无违法犯罪记录。</w:t>
                  </w:r>
                </w:p>
              </w:tc>
            </w:tr>
            <w:tr w14:paraId="3F10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noWrap w:val="0"/>
                  <w:vAlign w:val="center"/>
                </w:tcPr>
                <w:p w14:paraId="1C74FCD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合计</w:t>
                  </w:r>
                </w:p>
              </w:tc>
              <w:tc>
                <w:tcPr>
                  <w:tcW w:w="5685" w:type="dxa"/>
                  <w:gridSpan w:val="3"/>
                  <w:noWrap w:val="0"/>
                  <w:vAlign w:val="center"/>
                </w:tcPr>
                <w:p w14:paraId="7C24E81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iCs w:val="0"/>
                      <w:caps w:val="0"/>
                      <w:color w:val="auto"/>
                      <w:spacing w:val="0"/>
                      <w:sz w:val="21"/>
                      <w:szCs w:val="21"/>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val="en-US" w:eastAsia="zh-CN"/>
                    </w:rPr>
                    <w:t>6人</w:t>
                  </w:r>
                </w:p>
              </w:tc>
            </w:tr>
          </w:tbl>
          <w:p w14:paraId="20D6E2E6">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000000"/>
                <w:spacing w:val="0"/>
                <w:sz w:val="30"/>
                <w:szCs w:val="30"/>
                <w:lang w:val="en-US" w:eastAsia="zh-CN"/>
              </w:rPr>
            </w:pPr>
            <w:r>
              <w:rPr>
                <w:rFonts w:hint="eastAsia" w:ascii="仿宋_GB2312" w:hAnsi="仿宋_GB2312" w:eastAsia="仿宋_GB2312" w:cs="仿宋_GB2312"/>
                <w:b/>
                <w:bCs/>
                <w:i w:val="0"/>
                <w:iCs w:val="0"/>
                <w:caps w:val="0"/>
                <w:color w:val="000000"/>
                <w:spacing w:val="0"/>
                <w:sz w:val="30"/>
                <w:szCs w:val="30"/>
                <w:lang w:val="en-US" w:eastAsia="zh-CN"/>
              </w:rPr>
              <w:t>岗位职责</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4333"/>
            </w:tblGrid>
            <w:tr w14:paraId="5BA7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93" w:type="dxa"/>
                  <w:shd w:val="clear" w:color="auto" w:fill="auto"/>
                  <w:vAlign w:val="center"/>
                </w:tcPr>
                <w:p w14:paraId="58691B14">
                  <w:pPr>
                    <w:jc w:val="center"/>
                    <w:rPr>
                      <w:rFonts w:hint="default" w:asciiTheme="minorHAnsi" w:hAnsiTheme="minorHAnsi" w:eastAsiaTheme="minorEastAsia" w:cstheme="minorBidi"/>
                      <w:b/>
                      <w:bCs/>
                      <w:color w:val="auto"/>
                      <w:kern w:val="2"/>
                      <w:sz w:val="21"/>
                      <w:szCs w:val="24"/>
                      <w:highlight w:val="none"/>
                      <w:lang w:val="en-US" w:eastAsia="zh-CN" w:bidi="ar-SA"/>
                    </w:rPr>
                  </w:pPr>
                  <w:r>
                    <w:rPr>
                      <w:rFonts w:hint="eastAsia"/>
                      <w:b/>
                      <w:bCs/>
                      <w:color w:val="auto"/>
                      <w:highlight w:val="none"/>
                    </w:rPr>
                    <w:t>岗位</w:t>
                  </w:r>
                </w:p>
              </w:tc>
              <w:tc>
                <w:tcPr>
                  <w:tcW w:w="4333" w:type="dxa"/>
                  <w:shd w:val="clear" w:color="auto" w:fill="auto"/>
                  <w:vAlign w:val="center"/>
                </w:tcPr>
                <w:p w14:paraId="39329DEE">
                  <w:pPr>
                    <w:jc w:val="center"/>
                    <w:rPr>
                      <w:rFonts w:hint="default" w:asciiTheme="minorHAnsi" w:hAnsiTheme="minorHAnsi" w:eastAsiaTheme="minorEastAsia" w:cstheme="minorBidi"/>
                      <w:b/>
                      <w:bCs/>
                      <w:color w:val="auto"/>
                      <w:kern w:val="2"/>
                      <w:sz w:val="21"/>
                      <w:szCs w:val="24"/>
                      <w:highlight w:val="none"/>
                      <w:lang w:val="en-US" w:eastAsia="zh-CN" w:bidi="ar-SA"/>
                    </w:rPr>
                  </w:pPr>
                  <w:r>
                    <w:rPr>
                      <w:rFonts w:hint="eastAsia"/>
                      <w:b/>
                      <w:bCs/>
                      <w:color w:val="auto"/>
                      <w:highlight w:val="none"/>
                    </w:rPr>
                    <w:t>职责范围</w:t>
                  </w:r>
                </w:p>
              </w:tc>
            </w:tr>
            <w:tr w14:paraId="6379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vAlign w:val="top"/>
                </w:tcPr>
                <w:p w14:paraId="2D3CC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bCs/>
                      <w:i w:val="0"/>
                      <w:iCs w:val="0"/>
                      <w:caps w:val="0"/>
                      <w:color w:val="000000"/>
                      <w:spacing w:val="0"/>
                      <w:kern w:val="2"/>
                      <w:sz w:val="30"/>
                      <w:szCs w:val="30"/>
                      <w:vertAlign w:val="baseline"/>
                      <w:lang w:val="en-US" w:eastAsia="zh-CN" w:bidi="ar-SA"/>
                    </w:rPr>
                  </w:pPr>
                  <w:r>
                    <w:rPr>
                      <w:rFonts w:hint="eastAsia" w:ascii="仿宋_GB2312" w:hAnsi="仿宋_GB2312" w:eastAsia="仿宋_GB2312" w:cs="仿宋_GB2312"/>
                      <w:color w:val="auto"/>
                      <w:kern w:val="0"/>
                      <w:sz w:val="21"/>
                      <w:szCs w:val="21"/>
                      <w:vertAlign w:val="baseline"/>
                      <w:lang w:val="en-US" w:eastAsia="zh-CN" w:bidi="ar"/>
                    </w:rPr>
                    <w:t>保洁绿化部长     （项目经理）</w:t>
                  </w:r>
                </w:p>
              </w:tc>
              <w:tc>
                <w:tcPr>
                  <w:tcW w:w="4333" w:type="dxa"/>
                </w:tcPr>
                <w:p w14:paraId="70873FE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宋体" w:cs="仿宋_GB2312"/>
                      <w:b/>
                      <w:bCs/>
                      <w:i w:val="0"/>
                      <w:iCs w:val="0"/>
                      <w:caps w:val="0"/>
                      <w:color w:val="000000"/>
                      <w:spacing w:val="0"/>
                      <w:sz w:val="30"/>
                      <w:szCs w:val="30"/>
                      <w:vertAlign w:val="baseline"/>
                      <w:lang w:val="en-US" w:eastAsia="zh-CN"/>
                    </w:rPr>
                  </w:pPr>
                  <w:r>
                    <w:rPr>
                      <w:rFonts w:ascii="宋体" w:hAnsi="宋体" w:eastAsia="宋体" w:cs="宋体"/>
                      <w:sz w:val="21"/>
                      <w:szCs w:val="21"/>
                    </w:rPr>
                    <w:t>统筹医院保洁绿化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秩序维护、电梯服务</w:t>
                  </w:r>
                  <w:r>
                    <w:rPr>
                      <w:rFonts w:ascii="宋体" w:hAnsi="宋体" w:eastAsia="宋体" w:cs="宋体"/>
                      <w:sz w:val="21"/>
                      <w:szCs w:val="21"/>
                    </w:rPr>
                    <w:t>团队，落实服务标准，管控作业质量与安全，协调多方沟通，优化成本，保障院区环境整洁美观、绿化养护达标</w:t>
                  </w:r>
                  <w:r>
                    <w:rPr>
                      <w:rFonts w:hint="eastAsia" w:ascii="宋体" w:hAnsi="宋体" w:eastAsia="宋体" w:cs="宋体"/>
                      <w:sz w:val="21"/>
                      <w:szCs w:val="21"/>
                      <w:lang w:eastAsia="zh-CN"/>
                    </w:rPr>
                    <w:t>、</w:t>
                  </w:r>
                  <w:r>
                    <w:rPr>
                      <w:rFonts w:ascii="宋体" w:hAnsi="宋体" w:eastAsia="宋体" w:cs="宋体"/>
                      <w:color w:val="auto"/>
                      <w:sz w:val="21"/>
                      <w:szCs w:val="21"/>
                    </w:rPr>
                    <w:t>院区安全有序</w:t>
                  </w:r>
                  <w:r>
                    <w:rPr>
                      <w:rFonts w:hint="eastAsia" w:ascii="宋体" w:hAnsi="宋体" w:eastAsia="宋体" w:cs="宋体"/>
                      <w:color w:val="auto"/>
                      <w:sz w:val="21"/>
                      <w:szCs w:val="21"/>
                      <w:lang w:eastAsia="zh-CN"/>
                    </w:rPr>
                    <w:t>。</w:t>
                  </w:r>
                </w:p>
              </w:tc>
            </w:tr>
            <w:tr w14:paraId="70A6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vAlign w:val="top"/>
                </w:tcPr>
                <w:p w14:paraId="4B8E8F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bCs/>
                      <w:i w:val="0"/>
                      <w:iCs w:val="0"/>
                      <w:caps w:val="0"/>
                      <w:color w:val="000000"/>
                      <w:spacing w:val="0"/>
                      <w:kern w:val="2"/>
                      <w:sz w:val="30"/>
                      <w:szCs w:val="30"/>
                      <w:vertAlign w:val="baseline"/>
                      <w:lang w:val="en-US" w:eastAsia="zh-CN" w:bidi="ar-SA"/>
                    </w:rPr>
                  </w:pPr>
                  <w:r>
                    <w:rPr>
                      <w:rFonts w:hint="eastAsia" w:ascii="仿宋_GB2312" w:hAnsi="仿宋_GB2312" w:eastAsia="仿宋_GB2312" w:cs="仿宋_GB2312"/>
                      <w:color w:val="auto"/>
                      <w:kern w:val="0"/>
                      <w:sz w:val="21"/>
                      <w:szCs w:val="21"/>
                      <w:vertAlign w:val="baseline"/>
                      <w:lang w:val="en-US" w:eastAsia="zh-CN" w:bidi="ar"/>
                    </w:rPr>
                    <w:t>秩序队长</w:t>
                  </w:r>
                </w:p>
              </w:tc>
              <w:tc>
                <w:tcPr>
                  <w:tcW w:w="4333" w:type="dxa"/>
                </w:tcPr>
                <w:p w14:paraId="70B8AF1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b/>
                      <w:bCs/>
                      <w:i w:val="0"/>
                      <w:iCs w:val="0"/>
                      <w:caps w:val="0"/>
                      <w:color w:val="000000"/>
                      <w:spacing w:val="0"/>
                      <w:sz w:val="30"/>
                      <w:szCs w:val="30"/>
                      <w:vertAlign w:val="baseline"/>
                      <w:lang w:val="en-US" w:eastAsia="zh-CN"/>
                    </w:rPr>
                  </w:pPr>
                  <w:r>
                    <w:rPr>
                      <w:rFonts w:ascii="宋体" w:hAnsi="宋体" w:eastAsia="宋体" w:cs="宋体"/>
                      <w:sz w:val="21"/>
                      <w:szCs w:val="21"/>
                    </w:rPr>
                    <w:t>统筹医院安保队伍，开展院区秩序巡查、应急处置，落实安全管理标准，协调多方沟通，保障院区人财物安全有序。</w:t>
                  </w:r>
                </w:p>
              </w:tc>
            </w:tr>
            <w:tr w14:paraId="5DA8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14:paraId="170089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i w:val="0"/>
                      <w:iCs w:val="0"/>
                      <w:caps w:val="0"/>
                      <w:color w:val="000000"/>
                      <w:spacing w:val="0"/>
                      <w:sz w:val="30"/>
                      <w:szCs w:val="30"/>
                      <w:vertAlign w:val="baseline"/>
                      <w:lang w:val="en-US" w:eastAsia="zh-CN"/>
                    </w:rPr>
                  </w:pPr>
                  <w:r>
                    <w:rPr>
                      <w:rFonts w:hint="eastAsia" w:ascii="仿宋_GB2312" w:hAnsi="仿宋_GB2312" w:eastAsia="仿宋_GB2312" w:cs="仿宋_GB2312"/>
                      <w:i w:val="0"/>
                      <w:iCs w:val="0"/>
                      <w:caps w:val="0"/>
                      <w:color w:val="auto"/>
                      <w:spacing w:val="0"/>
                      <w:sz w:val="21"/>
                      <w:szCs w:val="21"/>
                      <w:vertAlign w:val="baseline"/>
                      <w:lang w:eastAsia="zh-CN"/>
                    </w:rPr>
                    <w:t>保洁组长</w:t>
                  </w:r>
                </w:p>
              </w:tc>
              <w:tc>
                <w:tcPr>
                  <w:tcW w:w="4333" w:type="dxa"/>
                </w:tcPr>
                <w:p w14:paraId="06F8262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b/>
                      <w:bCs/>
                      <w:i w:val="0"/>
                      <w:iCs w:val="0"/>
                      <w:caps w:val="0"/>
                      <w:color w:val="000000"/>
                      <w:spacing w:val="0"/>
                      <w:sz w:val="30"/>
                      <w:szCs w:val="30"/>
                      <w:vertAlign w:val="baseline"/>
                      <w:lang w:val="en-US" w:eastAsia="zh-CN"/>
                    </w:rPr>
                  </w:pPr>
                  <w:r>
                    <w:rPr>
                      <w:rFonts w:ascii="宋体" w:hAnsi="宋体" w:eastAsia="宋体" w:cs="宋体"/>
                      <w:sz w:val="21"/>
                      <w:szCs w:val="21"/>
                    </w:rPr>
                    <w:t>带领医院保洁班组落实区域清洁消毒，巡查作业质量，处理突发问题，上报工作情况，保障院区环境达标及院感防控。</w:t>
                  </w:r>
                </w:p>
              </w:tc>
            </w:tr>
          </w:tbl>
          <w:p w14:paraId="53E6FF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i w:val="0"/>
                <w:iCs w:val="0"/>
                <w:caps w:val="0"/>
                <w:color w:val="000000"/>
                <w:spacing w:val="0"/>
                <w:sz w:val="30"/>
                <w:szCs w:val="30"/>
                <w:lang w:val="en-US" w:eastAsia="zh-CN"/>
              </w:rPr>
            </w:pPr>
          </w:p>
          <w:tbl>
            <w:tblPr>
              <w:tblStyle w:val="22"/>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4267"/>
            </w:tblGrid>
            <w:tr w14:paraId="7CAC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33BBEFEE">
                  <w:pPr>
                    <w:jc w:val="center"/>
                    <w:rPr>
                      <w:rFonts w:hint="eastAsia" w:asciiTheme="minorHAnsi" w:hAnsiTheme="minorHAnsi" w:eastAsiaTheme="minorEastAsia" w:cstheme="minorBidi"/>
                      <w:b/>
                      <w:bCs/>
                      <w:color w:val="auto"/>
                      <w:kern w:val="2"/>
                      <w:sz w:val="21"/>
                      <w:szCs w:val="24"/>
                      <w:highlight w:val="none"/>
                      <w:lang w:val="en-US" w:eastAsia="zh-CN" w:bidi="ar-SA"/>
                    </w:rPr>
                  </w:pPr>
                  <w:r>
                    <w:rPr>
                      <w:rFonts w:hint="eastAsia"/>
                      <w:b/>
                      <w:bCs/>
                      <w:color w:val="auto"/>
                      <w:highlight w:val="none"/>
                      <w:lang w:val="en-US" w:eastAsia="zh-CN"/>
                    </w:rPr>
                    <w:t>保洁</w:t>
                  </w:r>
                  <w:r>
                    <w:rPr>
                      <w:rFonts w:hint="eastAsia"/>
                      <w:b/>
                      <w:bCs/>
                      <w:color w:val="auto"/>
                      <w:highlight w:val="none"/>
                    </w:rPr>
                    <w:t>岗位</w:t>
                  </w:r>
                </w:p>
              </w:tc>
              <w:tc>
                <w:tcPr>
                  <w:tcW w:w="3288" w:type="pct"/>
                  <w:shd w:val="clear" w:color="auto" w:fill="auto"/>
                  <w:vAlign w:val="center"/>
                </w:tcPr>
                <w:p w14:paraId="0F1EB7B2">
                  <w:pPr>
                    <w:jc w:val="center"/>
                    <w:rPr>
                      <w:rFonts w:hint="eastAsia" w:asciiTheme="minorHAnsi" w:hAnsiTheme="minorHAnsi" w:eastAsiaTheme="minorEastAsia" w:cstheme="minorBidi"/>
                      <w:b/>
                      <w:bCs/>
                      <w:color w:val="auto"/>
                      <w:kern w:val="2"/>
                      <w:sz w:val="21"/>
                      <w:szCs w:val="24"/>
                      <w:highlight w:val="none"/>
                      <w:lang w:val="en-US" w:eastAsia="zh-CN" w:bidi="ar-SA"/>
                    </w:rPr>
                  </w:pPr>
                  <w:r>
                    <w:rPr>
                      <w:rFonts w:hint="eastAsia"/>
                      <w:b/>
                      <w:bCs/>
                      <w:color w:val="auto"/>
                      <w:highlight w:val="none"/>
                    </w:rPr>
                    <w:t>职责范围</w:t>
                  </w:r>
                </w:p>
              </w:tc>
            </w:tr>
            <w:tr w14:paraId="02C8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61DA4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生活垃圾和</w:t>
                  </w:r>
                  <w:r>
                    <w:rPr>
                      <w:color w:val="auto"/>
                      <w:highlight w:val="none"/>
                    </w:rPr>
                    <w:t>医疗垃圾运输</w:t>
                  </w:r>
                </w:p>
              </w:tc>
              <w:tc>
                <w:tcPr>
                  <w:tcW w:w="3288" w:type="pct"/>
                  <w:shd w:val="clear" w:color="auto" w:fill="auto"/>
                  <w:vAlign w:val="center"/>
                </w:tcPr>
                <w:p w14:paraId="195759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负责生活垃圾、</w:t>
                  </w:r>
                  <w:r>
                    <w:rPr>
                      <w:color w:val="auto"/>
                      <w:highlight w:val="none"/>
                    </w:rPr>
                    <w:t>医疗垃圾</w:t>
                  </w:r>
                  <w:r>
                    <w:rPr>
                      <w:rFonts w:hint="eastAsia"/>
                      <w:color w:val="auto"/>
                      <w:highlight w:val="none"/>
                    </w:rPr>
                    <w:t>的院内</w:t>
                  </w:r>
                  <w:r>
                    <w:rPr>
                      <w:color w:val="auto"/>
                      <w:highlight w:val="none"/>
                    </w:rPr>
                    <w:t>收集、暂存</w:t>
                  </w:r>
                  <w:r>
                    <w:rPr>
                      <w:rFonts w:hint="eastAsia"/>
                      <w:color w:val="auto"/>
                      <w:highlight w:val="none"/>
                    </w:rPr>
                    <w:t>；与环卫站和医废中心转运交接；生活垃圾和医疗垃圾暂存区域及转运车辆的卫生、消毒等工作</w:t>
                  </w:r>
                  <w:r>
                    <w:rPr>
                      <w:rFonts w:hint="eastAsia"/>
                      <w:color w:val="auto"/>
                      <w:highlight w:val="none"/>
                      <w:lang w:eastAsia="zh-CN"/>
                    </w:rPr>
                    <w:t>。</w:t>
                  </w:r>
                </w:p>
              </w:tc>
            </w:tr>
            <w:tr w14:paraId="0070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5B84D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color w:val="auto"/>
                      <w:kern w:val="2"/>
                      <w:sz w:val="21"/>
                      <w:szCs w:val="24"/>
                      <w:highlight w:val="none"/>
                      <w:lang w:val="en-US" w:eastAsia="zh-CN" w:bidi="ar-SA"/>
                    </w:rPr>
                  </w:pPr>
                  <w:r>
                    <w:rPr>
                      <w:rFonts w:hint="eastAsia" w:cstheme="minorBidi"/>
                      <w:color w:val="auto"/>
                      <w:kern w:val="2"/>
                      <w:sz w:val="21"/>
                      <w:szCs w:val="24"/>
                      <w:highlight w:val="none"/>
                      <w:lang w:val="en-US" w:eastAsia="zh-CN" w:bidi="ar-SA"/>
                    </w:rPr>
                    <w:t>公共区域、病房及办公室</w:t>
                  </w:r>
                </w:p>
              </w:tc>
              <w:tc>
                <w:tcPr>
                  <w:tcW w:w="3288" w:type="pct"/>
                  <w:shd w:val="clear" w:color="auto" w:fill="auto"/>
                  <w:vAlign w:val="center"/>
                </w:tcPr>
                <w:p w14:paraId="7474CC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EastAsia" w:hAnsiTheme="minorEastAsia" w:eastAsiaTheme="minorEastAsia" w:cstheme="minorEastAsia"/>
                      <w:color w:val="auto"/>
                      <w:sz w:val="21"/>
                      <w:szCs w:val="21"/>
                      <w:highlight w:val="none"/>
                    </w:rPr>
                    <w:t>负责</w:t>
                  </w:r>
                  <w:r>
                    <w:rPr>
                      <w:rFonts w:hint="eastAsia" w:asciiTheme="minorEastAsia" w:hAnsiTheme="minorEastAsia" w:eastAsiaTheme="minorEastAsia" w:cstheme="minorEastAsia"/>
                      <w:sz w:val="21"/>
                      <w:szCs w:val="21"/>
                    </w:rPr>
                    <w:t>病房保洁需每日清扫地面、擦拭</w:t>
                  </w:r>
                  <w:r>
                    <w:rPr>
                      <w:rFonts w:hint="eastAsia" w:asciiTheme="minorEastAsia" w:hAnsiTheme="minorEastAsia" w:cstheme="minorEastAsia"/>
                      <w:sz w:val="21"/>
                      <w:szCs w:val="21"/>
                      <w:lang w:val="en-US" w:eastAsia="zh-CN"/>
                    </w:rPr>
                    <w:t>病</w:t>
                  </w:r>
                  <w:r>
                    <w:rPr>
                      <w:rFonts w:hint="eastAsia" w:asciiTheme="minorEastAsia" w:hAnsiTheme="minorEastAsia" w:eastAsiaTheme="minorEastAsia" w:cstheme="minorEastAsia"/>
                      <w:sz w:val="21"/>
                      <w:szCs w:val="21"/>
                    </w:rPr>
                    <w:t>床及</w:t>
                  </w:r>
                  <w:r>
                    <w:rPr>
                      <w:rFonts w:hint="eastAsia" w:asciiTheme="minorEastAsia" w:hAnsiTheme="minorEastAsia" w:cstheme="minorEastAsia"/>
                      <w:sz w:val="21"/>
                      <w:szCs w:val="21"/>
                      <w:lang w:val="en-US" w:eastAsia="zh-CN"/>
                    </w:rPr>
                    <w:t>病房</w:t>
                  </w:r>
                  <w:r>
                    <w:rPr>
                      <w:rFonts w:hint="eastAsia" w:asciiTheme="minorEastAsia" w:hAnsiTheme="minorEastAsia" w:eastAsiaTheme="minorEastAsia" w:cstheme="minorEastAsia"/>
                      <w:sz w:val="21"/>
                      <w:szCs w:val="21"/>
                    </w:rPr>
                    <w:t>设施，清运医疗与生活垃圾，按规范消毒高频接触点；办公室要整理桌面、清洁门窗桌椅，维护卫生间洁净，及时清理废弃物，落实分区保洁与消毒要求，保障诊疗办公环境整洁卫生。</w:t>
                  </w:r>
                </w:p>
              </w:tc>
            </w:tr>
            <w:tr w14:paraId="1CFB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1" w:type="pct"/>
                  <w:shd w:val="clear" w:color="auto" w:fill="auto"/>
                  <w:vAlign w:val="center"/>
                </w:tcPr>
                <w:p w14:paraId="30D59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color w:val="auto"/>
                      <w:highlight w:val="none"/>
                    </w:rPr>
                    <w:t>医院露天外围</w:t>
                  </w:r>
                  <w:r>
                    <w:rPr>
                      <w:rFonts w:hint="eastAsia"/>
                      <w:color w:val="auto"/>
                      <w:highlight w:val="none"/>
                    </w:rPr>
                    <w:t>卫生服务</w:t>
                  </w:r>
                </w:p>
              </w:tc>
              <w:tc>
                <w:tcPr>
                  <w:tcW w:w="3288" w:type="pct"/>
                  <w:shd w:val="clear" w:color="auto" w:fill="auto"/>
                  <w:vAlign w:val="center"/>
                </w:tcPr>
                <w:p w14:paraId="6954BB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建筑物以外的公共区域（含</w:t>
                  </w:r>
                  <w:r>
                    <w:rPr>
                      <w:rFonts w:hint="eastAsia"/>
                      <w:color w:val="auto"/>
                      <w:highlight w:val="none"/>
                      <w:lang w:val="en-US" w:eastAsia="zh-CN"/>
                    </w:rPr>
                    <w:t>各分院</w:t>
                  </w:r>
                  <w:r>
                    <w:rPr>
                      <w:rFonts w:hint="eastAsia"/>
                      <w:color w:val="auto"/>
                      <w:highlight w:val="none"/>
                    </w:rPr>
                    <w:t>生活区外围卫生）、院外责任区域和门前三包区域的清洁、垃圾清运等工作</w:t>
                  </w:r>
                  <w:r>
                    <w:rPr>
                      <w:rFonts w:hint="eastAsia"/>
                      <w:color w:val="auto"/>
                      <w:highlight w:val="none"/>
                      <w:lang w:eastAsia="zh-CN"/>
                    </w:rPr>
                    <w:t>。</w:t>
                  </w:r>
                </w:p>
              </w:tc>
            </w:tr>
            <w:tr w14:paraId="325C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77131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绿化及太平间管理</w:t>
                  </w:r>
                </w:p>
              </w:tc>
              <w:tc>
                <w:tcPr>
                  <w:tcW w:w="3288" w:type="pct"/>
                  <w:shd w:val="clear" w:color="auto" w:fill="auto"/>
                  <w:vAlign w:val="center"/>
                </w:tcPr>
                <w:p w14:paraId="67C10FDF">
                  <w:pPr>
                    <w:pStyle w:val="2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lang w:eastAsia="zh-CN"/>
                    </w:rPr>
                    <w:t>全院绿化和太平间 24 小时管理（包括从病房转运尸体到停尸房暂存、管理并做好交接）。</w:t>
                  </w:r>
                </w:p>
              </w:tc>
            </w:tr>
            <w:tr w14:paraId="7375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3BC38098">
                  <w:pPr>
                    <w:pStyle w:val="26"/>
                    <w:keepNext w:val="0"/>
                    <w:keepLines w:val="0"/>
                    <w:pageBreakBefore w:val="0"/>
                    <w:widowControl w:val="0"/>
                    <w:kinsoku/>
                    <w:wordWrap/>
                    <w:overflowPunct/>
                    <w:topLinePunct w:val="0"/>
                    <w:autoSpaceDE/>
                    <w:autoSpaceDN/>
                    <w:bidi w:val="0"/>
                    <w:adjustRightInd/>
                    <w:snapToGrid/>
                    <w:spacing w:before="168" w:line="240" w:lineRule="auto"/>
                    <w:jc w:val="center"/>
                    <w:textAlignment w:val="auto"/>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szCs w:val="24"/>
                      <w:highlight w:val="none"/>
                      <w:lang w:eastAsia="zh-CN"/>
                    </w:rPr>
                    <w:t>洗涤服务</w:t>
                  </w:r>
                </w:p>
              </w:tc>
              <w:tc>
                <w:tcPr>
                  <w:tcW w:w="3288" w:type="pct"/>
                  <w:shd w:val="clear" w:color="auto" w:fill="auto"/>
                  <w:vAlign w:val="center"/>
                </w:tcPr>
                <w:p w14:paraId="0ED6D78E">
                  <w:pPr>
                    <w:pStyle w:val="2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szCs w:val="24"/>
                      <w:highlight w:val="none"/>
                      <w:lang w:eastAsia="zh-CN"/>
                    </w:rPr>
                    <w:t>提供</w:t>
                  </w:r>
                  <w:r>
                    <w:rPr>
                      <w:rFonts w:ascii="Times New Roman" w:hAnsi="Times New Roman" w:cs="Times New Roman"/>
                      <w:color w:val="auto"/>
                      <w:szCs w:val="24"/>
                      <w:highlight w:val="none"/>
                      <w:lang w:eastAsia="zh-CN"/>
                    </w:rPr>
                    <w:t>后勤的被服、手术包布等洗涤、消毒、晾晒和下收、</w:t>
                  </w:r>
                  <w:r>
                    <w:rPr>
                      <w:rFonts w:hint="eastAsia" w:ascii="Times New Roman" w:hAnsi="Times New Roman" w:cs="Times New Roman"/>
                      <w:color w:val="auto"/>
                      <w:szCs w:val="24"/>
                      <w:highlight w:val="none"/>
                      <w:lang w:eastAsia="zh-CN"/>
                    </w:rPr>
                    <w:t>上</w:t>
                  </w:r>
                  <w:r>
                    <w:rPr>
                      <w:rFonts w:ascii="Times New Roman" w:hAnsi="Times New Roman" w:cs="Times New Roman"/>
                      <w:color w:val="auto"/>
                      <w:szCs w:val="24"/>
                      <w:highlight w:val="none"/>
                      <w:lang w:eastAsia="zh-CN"/>
                    </w:rPr>
                    <w:t>送</w:t>
                  </w:r>
                  <w:r>
                    <w:rPr>
                      <w:rFonts w:hint="eastAsia" w:ascii="Times New Roman" w:hAnsi="Times New Roman" w:cs="Times New Roman"/>
                      <w:color w:val="auto"/>
                      <w:szCs w:val="24"/>
                      <w:highlight w:val="none"/>
                      <w:lang w:eastAsia="zh-CN"/>
                    </w:rPr>
                    <w:t>服务。</w:t>
                  </w:r>
                </w:p>
              </w:tc>
            </w:tr>
            <w:tr w14:paraId="278A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58F99E59">
                  <w:pPr>
                    <w:pStyle w:val="26"/>
                    <w:keepNext w:val="0"/>
                    <w:keepLines w:val="0"/>
                    <w:pageBreakBefore w:val="0"/>
                    <w:widowControl w:val="0"/>
                    <w:kinsoku/>
                    <w:wordWrap/>
                    <w:overflowPunct/>
                    <w:topLinePunct w:val="0"/>
                    <w:autoSpaceDE/>
                    <w:autoSpaceDN/>
                    <w:bidi w:val="0"/>
                    <w:adjustRightInd/>
                    <w:snapToGrid/>
                    <w:spacing w:line="240" w:lineRule="auto"/>
                    <w:ind w:left="116"/>
                    <w:jc w:val="center"/>
                    <w:textAlignment w:val="auto"/>
                    <w:rPr>
                      <w:rFonts w:hint="eastAsia" w:cs="仿宋_GB2312"/>
                      <w:color w:val="auto"/>
                      <w:kern w:val="0"/>
                      <w:highlight w:val="none"/>
                      <w:lang w:eastAsia="zh-CN"/>
                    </w:rPr>
                  </w:pPr>
                  <w:r>
                    <w:rPr>
                      <w:rFonts w:hint="eastAsia" w:cs="仿宋_GB2312"/>
                      <w:color w:val="auto"/>
                      <w:kern w:val="0"/>
                      <w:highlight w:val="none"/>
                      <w:lang w:eastAsia="zh-CN"/>
                    </w:rPr>
                    <w:t>医学检验科</w:t>
                  </w:r>
                </w:p>
                <w:p w14:paraId="7E40C84D">
                  <w:pPr>
                    <w:pStyle w:val="26"/>
                    <w:keepNext w:val="0"/>
                    <w:keepLines w:val="0"/>
                    <w:pageBreakBefore w:val="0"/>
                    <w:widowControl w:val="0"/>
                    <w:kinsoku/>
                    <w:wordWrap/>
                    <w:overflowPunct/>
                    <w:topLinePunct w:val="0"/>
                    <w:autoSpaceDE/>
                    <w:autoSpaceDN/>
                    <w:bidi w:val="0"/>
                    <w:adjustRightInd/>
                    <w:snapToGrid/>
                    <w:spacing w:line="240" w:lineRule="auto"/>
                    <w:ind w:left="116" w:leftChars="0"/>
                    <w:jc w:val="center"/>
                    <w:textAlignment w:val="auto"/>
                    <w:rPr>
                      <w:rFonts w:hint="eastAsia" w:ascii="宋体" w:hAnsi="宋体" w:cs="仿宋_GB2312" w:eastAsiaTheme="minorEastAsia"/>
                      <w:color w:val="auto"/>
                      <w:kern w:val="0"/>
                      <w:sz w:val="21"/>
                      <w:szCs w:val="21"/>
                      <w:highlight w:val="none"/>
                      <w:lang w:val="en-US" w:eastAsia="zh-CN" w:bidi="ar-SA"/>
                    </w:rPr>
                  </w:pPr>
                  <w:r>
                    <w:rPr>
                      <w:rFonts w:hint="eastAsia" w:cs="仿宋_GB2312"/>
                      <w:color w:val="auto"/>
                      <w:kern w:val="0"/>
                      <w:highlight w:val="none"/>
                      <w:lang w:eastAsia="zh-CN"/>
                    </w:rPr>
                    <w:t>卫生服务</w:t>
                  </w:r>
                </w:p>
              </w:tc>
              <w:tc>
                <w:tcPr>
                  <w:tcW w:w="3288" w:type="pct"/>
                  <w:shd w:val="clear" w:color="auto" w:fill="auto"/>
                  <w:vAlign w:val="center"/>
                </w:tcPr>
                <w:p w14:paraId="7C2007EC">
                  <w:pPr>
                    <w:pStyle w:val="2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color w:val="auto"/>
                      <w:kern w:val="0"/>
                      <w:sz w:val="21"/>
                      <w:szCs w:val="21"/>
                      <w:highlight w:val="none"/>
                      <w:lang w:val="en-US" w:eastAsia="zh-CN" w:bidi="ar-SA"/>
                    </w:rPr>
                  </w:pPr>
                  <w:r>
                    <w:rPr>
                      <w:rFonts w:hint="eastAsia" w:cs="仿宋_GB2312"/>
                      <w:color w:val="auto"/>
                      <w:kern w:val="0"/>
                      <w:highlight w:val="none"/>
                      <w:lang w:eastAsia="zh-CN"/>
                    </w:rPr>
                    <w:t>卫生清洁工作和接收标本。</w:t>
                  </w:r>
                </w:p>
              </w:tc>
            </w:tr>
            <w:tr w14:paraId="3329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1" w:type="pct"/>
                  <w:shd w:val="clear" w:color="auto" w:fill="auto"/>
                  <w:vAlign w:val="center"/>
                </w:tcPr>
                <w:p w14:paraId="5F771692">
                  <w:pPr>
                    <w:pStyle w:val="26"/>
                    <w:keepNext w:val="0"/>
                    <w:keepLines w:val="0"/>
                    <w:pageBreakBefore w:val="0"/>
                    <w:widowControl w:val="0"/>
                    <w:kinsoku/>
                    <w:wordWrap/>
                    <w:overflowPunct/>
                    <w:topLinePunct w:val="0"/>
                    <w:autoSpaceDE/>
                    <w:autoSpaceDN/>
                    <w:bidi w:val="0"/>
                    <w:adjustRightInd/>
                    <w:snapToGrid/>
                    <w:spacing w:line="240" w:lineRule="auto"/>
                    <w:ind w:left="116"/>
                    <w:jc w:val="center"/>
                    <w:textAlignment w:val="auto"/>
                    <w:rPr>
                      <w:rFonts w:hint="eastAsia" w:cs="仿宋_GB2312"/>
                      <w:color w:val="auto"/>
                      <w:kern w:val="0"/>
                      <w:highlight w:val="none"/>
                      <w:lang w:eastAsia="zh-CN"/>
                    </w:rPr>
                  </w:pPr>
                  <w:r>
                    <w:rPr>
                      <w:rFonts w:hint="eastAsia" w:cs="仿宋_GB2312"/>
                      <w:color w:val="auto"/>
                      <w:kern w:val="0"/>
                      <w:highlight w:val="none"/>
                      <w:lang w:eastAsia="zh-CN"/>
                    </w:rPr>
                    <w:t>消毒供应室</w:t>
                  </w:r>
                </w:p>
                <w:p w14:paraId="4DC21FBB">
                  <w:pPr>
                    <w:pStyle w:val="26"/>
                    <w:keepNext w:val="0"/>
                    <w:keepLines w:val="0"/>
                    <w:pageBreakBefore w:val="0"/>
                    <w:widowControl w:val="0"/>
                    <w:kinsoku/>
                    <w:wordWrap/>
                    <w:overflowPunct/>
                    <w:topLinePunct w:val="0"/>
                    <w:autoSpaceDE/>
                    <w:autoSpaceDN/>
                    <w:bidi w:val="0"/>
                    <w:adjustRightInd/>
                    <w:snapToGrid/>
                    <w:spacing w:line="240" w:lineRule="auto"/>
                    <w:ind w:left="116" w:leftChars="0"/>
                    <w:jc w:val="center"/>
                    <w:textAlignment w:val="auto"/>
                    <w:rPr>
                      <w:rFonts w:hint="eastAsia" w:ascii="宋体" w:hAnsi="宋体" w:cs="仿宋_GB2312" w:eastAsiaTheme="minorEastAsia"/>
                      <w:color w:val="auto"/>
                      <w:kern w:val="0"/>
                      <w:sz w:val="21"/>
                      <w:szCs w:val="21"/>
                      <w:highlight w:val="none"/>
                      <w:lang w:val="en-US" w:eastAsia="zh-CN" w:bidi="ar-SA"/>
                    </w:rPr>
                  </w:pPr>
                  <w:r>
                    <w:rPr>
                      <w:rFonts w:hint="eastAsia" w:cs="仿宋_GB2312"/>
                      <w:color w:val="auto"/>
                      <w:kern w:val="0"/>
                      <w:highlight w:val="none"/>
                      <w:lang w:eastAsia="zh-CN"/>
                    </w:rPr>
                    <w:t>卫生服务</w:t>
                  </w:r>
                </w:p>
              </w:tc>
              <w:tc>
                <w:tcPr>
                  <w:tcW w:w="3288" w:type="pct"/>
                  <w:shd w:val="clear" w:color="auto" w:fill="auto"/>
                  <w:vAlign w:val="center"/>
                </w:tcPr>
                <w:p w14:paraId="6692FCDF">
                  <w:pPr>
                    <w:pStyle w:val="2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_GB2312" w:eastAsiaTheme="minorEastAsia"/>
                      <w:color w:val="auto"/>
                      <w:kern w:val="0"/>
                      <w:sz w:val="21"/>
                      <w:szCs w:val="21"/>
                      <w:highlight w:val="none"/>
                      <w:lang w:val="en-US" w:eastAsia="zh-CN" w:bidi="ar-SA"/>
                    </w:rPr>
                  </w:pPr>
                  <w:r>
                    <w:rPr>
                      <w:rFonts w:hint="eastAsia" w:cs="仿宋_GB2312"/>
                      <w:color w:val="auto"/>
                      <w:kern w:val="0"/>
                      <w:highlight w:val="none"/>
                      <w:lang w:eastAsia="zh-CN"/>
                    </w:rPr>
                    <w:t>卫生清洁工作和收送消毒清洗器械。</w:t>
                  </w:r>
                </w:p>
              </w:tc>
            </w:tr>
          </w:tbl>
          <w:p w14:paraId="2D440C7A">
            <w:pPr>
              <w:spacing w:line="240" w:lineRule="auto"/>
              <w:rPr>
                <w:rFonts w:hint="eastAsia" w:ascii="宋体" w:hAnsi="宋体" w:cs="仿宋"/>
                <w:b/>
                <w:color w:val="000000"/>
                <w:sz w:val="24"/>
              </w:rPr>
            </w:pPr>
          </w:p>
          <w:tbl>
            <w:tblPr>
              <w:tblStyle w:val="22"/>
              <w:tblW w:w="6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4232"/>
            </w:tblGrid>
            <w:tr w14:paraId="7A98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center"/>
                </w:tcPr>
                <w:p w14:paraId="2365EDF9">
                  <w:pPr>
                    <w:spacing w:line="240" w:lineRule="auto"/>
                    <w:jc w:val="center"/>
                    <w:rPr>
                      <w:rFonts w:hint="eastAsia" w:ascii="宋体" w:hAnsi="宋体" w:cs="宋体" w:eastAsiaTheme="minorEastAsia"/>
                      <w:b/>
                      <w:bCs/>
                      <w:color w:val="auto"/>
                      <w:kern w:val="2"/>
                      <w:sz w:val="21"/>
                      <w:szCs w:val="21"/>
                      <w:highlight w:val="none"/>
                      <w:lang w:val="en-US" w:eastAsia="zh-CN" w:bidi="ar-SA"/>
                    </w:rPr>
                  </w:pPr>
                  <w:r>
                    <w:rPr>
                      <w:rFonts w:hint="eastAsia"/>
                      <w:b/>
                      <w:bCs/>
                      <w:color w:val="auto"/>
                      <w:highlight w:val="none"/>
                      <w:lang w:val="en-US" w:eastAsia="zh-CN"/>
                    </w:rPr>
                    <w:t>电梯操作员</w:t>
                  </w:r>
                  <w:r>
                    <w:rPr>
                      <w:rFonts w:hint="eastAsia"/>
                      <w:b/>
                      <w:bCs/>
                      <w:color w:val="auto"/>
                      <w:highlight w:val="none"/>
                    </w:rPr>
                    <w:t>岗位</w:t>
                  </w:r>
                </w:p>
              </w:tc>
              <w:tc>
                <w:tcPr>
                  <w:tcW w:w="4232" w:type="dxa"/>
                  <w:shd w:val="clear" w:color="auto" w:fill="auto"/>
                  <w:vAlign w:val="center"/>
                </w:tcPr>
                <w:p w14:paraId="2BCDEBCD">
                  <w:pPr>
                    <w:spacing w:line="240" w:lineRule="auto"/>
                    <w:jc w:val="center"/>
                    <w:rPr>
                      <w:rFonts w:hint="eastAsia" w:ascii="宋体" w:hAnsi="宋体" w:cs="宋体" w:eastAsiaTheme="minorEastAsia"/>
                      <w:b/>
                      <w:bCs/>
                      <w:color w:val="auto"/>
                      <w:kern w:val="2"/>
                      <w:sz w:val="21"/>
                      <w:szCs w:val="21"/>
                      <w:highlight w:val="none"/>
                      <w:lang w:val="en-US" w:eastAsia="zh-CN" w:bidi="ar-SA"/>
                    </w:rPr>
                  </w:pPr>
                  <w:r>
                    <w:rPr>
                      <w:rFonts w:hint="eastAsia"/>
                      <w:b/>
                      <w:bCs/>
                      <w:color w:val="auto"/>
                      <w:highlight w:val="none"/>
                    </w:rPr>
                    <w:t>职责范围</w:t>
                  </w:r>
                </w:p>
              </w:tc>
            </w:tr>
            <w:tr w14:paraId="6CEE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227" w:type="dxa"/>
                  <w:shd w:val="clear" w:color="auto" w:fill="auto"/>
                  <w:vAlign w:val="center"/>
                </w:tcPr>
                <w:p w14:paraId="014215DD">
                  <w:pPr>
                    <w:pStyle w:val="26"/>
                    <w:spacing w:before="68" w:line="240" w:lineRule="auto"/>
                    <w:jc w:val="center"/>
                    <w:rPr>
                      <w:rFonts w:hint="eastAsia" w:ascii="宋体" w:hAnsi="宋体" w:cs="仿宋_GB2312" w:eastAsiaTheme="minorEastAsia"/>
                      <w:color w:val="auto"/>
                      <w:kern w:val="0"/>
                      <w:sz w:val="21"/>
                      <w:szCs w:val="21"/>
                      <w:highlight w:val="none"/>
                      <w:lang w:val="en-US" w:eastAsia="zh-CN" w:bidi="ar-SA"/>
                    </w:rPr>
                  </w:pPr>
                  <w:r>
                    <w:rPr>
                      <w:rFonts w:hint="eastAsia" w:cs="仿宋_GB2312"/>
                      <w:color w:val="auto"/>
                      <w:kern w:val="0"/>
                      <w:highlight w:val="none"/>
                      <w:lang w:eastAsia="zh-CN"/>
                    </w:rPr>
                    <w:t>电梯服务</w:t>
                  </w:r>
                </w:p>
              </w:tc>
              <w:tc>
                <w:tcPr>
                  <w:tcW w:w="4232" w:type="dxa"/>
                  <w:shd w:val="clear" w:color="auto" w:fill="auto"/>
                  <w:vAlign w:val="center"/>
                </w:tcPr>
                <w:p w14:paraId="00FACB5B">
                  <w:pPr>
                    <w:pStyle w:val="26"/>
                    <w:spacing w:before="68" w:line="240" w:lineRule="auto"/>
                    <w:jc w:val="left"/>
                    <w:rPr>
                      <w:rFonts w:hint="eastAsia" w:ascii="宋体" w:hAnsi="宋体" w:cs="仿宋_GB2312" w:eastAsiaTheme="minorEastAsia"/>
                      <w:color w:val="auto"/>
                      <w:kern w:val="0"/>
                      <w:sz w:val="21"/>
                      <w:szCs w:val="21"/>
                      <w:highlight w:val="none"/>
                      <w:lang w:val="en-US" w:eastAsia="zh-CN" w:bidi="ar-SA"/>
                    </w:rPr>
                  </w:pPr>
                  <w:r>
                    <w:rPr>
                      <w:rFonts w:hint="eastAsia" w:cs="仿宋_GB2312"/>
                      <w:color w:val="auto"/>
                      <w:kern w:val="0"/>
                      <w:highlight w:val="none"/>
                      <w:lang w:val="en-US" w:eastAsia="zh-CN"/>
                    </w:rPr>
                    <w:t>电梯操作员负责总院、</w:t>
                  </w:r>
                  <w:r>
                    <w:rPr>
                      <w:rFonts w:hint="eastAsia"/>
                      <w:spacing w:val="-2"/>
                      <w:lang w:val="en-US" w:eastAsia="zh-CN"/>
                    </w:rPr>
                    <w:t>海港院区、金海湾分院、桃花湾分院、防钢分院</w:t>
                  </w:r>
                  <w:r>
                    <w:rPr>
                      <w:rFonts w:hint="eastAsia" w:cs="仿宋_GB2312"/>
                      <w:color w:val="auto"/>
                      <w:kern w:val="0"/>
                      <w:highlight w:val="none"/>
                      <w:lang w:eastAsia="zh-CN"/>
                    </w:rPr>
                    <w:t>操作专用电梯为病人服务，</w:t>
                  </w:r>
                  <w:r>
                    <w:rPr>
                      <w:rFonts w:hint="eastAsia" w:cs="仿宋_GB2312"/>
                      <w:color w:val="auto"/>
                      <w:kern w:val="0"/>
                      <w:highlight w:val="none"/>
                      <w:lang w:val="en-US" w:eastAsia="zh-CN"/>
                    </w:rPr>
                    <w:t>轿厢卫生、消毒等工作，</w:t>
                  </w:r>
                  <w:r>
                    <w:rPr>
                      <w:rFonts w:hint="eastAsia" w:cs="仿宋_GB2312"/>
                      <w:color w:val="auto"/>
                      <w:kern w:val="0"/>
                      <w:highlight w:val="none"/>
                      <w:lang w:eastAsia="zh-CN"/>
                    </w:rPr>
                    <w:t>电梯操作人员须有</w:t>
                  </w:r>
                  <w:r>
                    <w:rPr>
                      <w:rFonts w:hint="eastAsia" w:cs="仿宋_GB2312"/>
                      <w:color w:val="auto"/>
                      <w:kern w:val="0"/>
                      <w:highlight w:val="none"/>
                      <w:lang w:val="en-US" w:eastAsia="zh-CN"/>
                    </w:rPr>
                    <w:t>培训记录</w:t>
                  </w:r>
                  <w:r>
                    <w:rPr>
                      <w:rFonts w:hint="eastAsia" w:cs="仿宋_GB2312"/>
                      <w:color w:val="auto"/>
                      <w:kern w:val="0"/>
                      <w:highlight w:val="none"/>
                      <w:lang w:eastAsia="zh-CN"/>
                    </w:rPr>
                    <w:t>后上岗。</w:t>
                  </w:r>
                </w:p>
              </w:tc>
            </w:tr>
          </w:tbl>
          <w:p w14:paraId="6405FB2A">
            <w:pPr>
              <w:spacing w:line="240" w:lineRule="auto"/>
              <w:rPr>
                <w:rFonts w:hint="eastAsia" w:ascii="宋体" w:hAnsi="宋体" w:cs="仿宋"/>
                <w:b/>
                <w:color w:val="000000"/>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4233"/>
            </w:tblGrid>
            <w:tr w14:paraId="4B39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26" w:type="dxa"/>
                  <w:vAlign w:val="top"/>
                </w:tcPr>
                <w:p w14:paraId="6CE4D41D">
                  <w:pPr>
                    <w:spacing w:line="240" w:lineRule="auto"/>
                    <w:jc w:val="center"/>
                    <w:rPr>
                      <w:rFonts w:hint="default" w:ascii="宋体" w:hAnsi="宋体" w:cs="仿宋" w:eastAsiaTheme="minorEastAsia"/>
                      <w:b/>
                      <w:color w:val="000000"/>
                      <w:sz w:val="24"/>
                      <w:vertAlign w:val="baseline"/>
                      <w:lang w:val="en-US" w:eastAsia="zh-CN"/>
                    </w:rPr>
                  </w:pPr>
                  <w:r>
                    <w:rPr>
                      <w:rFonts w:hint="eastAsia" w:ascii="宋体" w:hAnsi="宋体" w:cs="仿宋"/>
                      <w:b/>
                      <w:color w:val="000000"/>
                      <w:sz w:val="24"/>
                      <w:vertAlign w:val="baseline"/>
                      <w:lang w:val="en-US" w:eastAsia="zh-CN"/>
                    </w:rPr>
                    <w:t>秩序员岗位</w:t>
                  </w:r>
                </w:p>
              </w:tc>
              <w:tc>
                <w:tcPr>
                  <w:tcW w:w="4233" w:type="dxa"/>
                  <w:vAlign w:val="top"/>
                </w:tcPr>
                <w:p w14:paraId="767CA1B5">
                  <w:pPr>
                    <w:spacing w:line="240" w:lineRule="auto"/>
                    <w:jc w:val="center"/>
                    <w:rPr>
                      <w:rFonts w:hint="default" w:ascii="宋体" w:hAnsi="宋体" w:cs="仿宋" w:eastAsiaTheme="minorEastAsia"/>
                      <w:b/>
                      <w:color w:val="000000"/>
                      <w:sz w:val="24"/>
                      <w:vertAlign w:val="baseline"/>
                      <w:lang w:val="en-US" w:eastAsia="zh-CN"/>
                    </w:rPr>
                  </w:pPr>
                  <w:r>
                    <w:rPr>
                      <w:rFonts w:hint="eastAsia" w:ascii="宋体" w:hAnsi="宋体" w:cs="仿宋"/>
                      <w:b/>
                      <w:color w:val="000000"/>
                      <w:sz w:val="24"/>
                      <w:vertAlign w:val="baseline"/>
                      <w:lang w:val="en-US" w:eastAsia="zh-CN"/>
                    </w:rPr>
                    <w:t>职责范围</w:t>
                  </w:r>
                </w:p>
              </w:tc>
            </w:tr>
            <w:tr w14:paraId="5D8F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26" w:type="dxa"/>
                  <w:vAlign w:val="top"/>
                </w:tcPr>
                <w:p w14:paraId="722C6346">
                  <w:pPr>
                    <w:spacing w:line="240" w:lineRule="auto"/>
                    <w:jc w:val="center"/>
                    <w:rPr>
                      <w:rFonts w:hint="eastAsia" w:ascii="宋体" w:hAnsi="宋体" w:cs="仿宋"/>
                      <w:b w:val="0"/>
                      <w:bCs/>
                      <w:color w:val="000000"/>
                      <w:sz w:val="24"/>
                      <w:vertAlign w:val="baseline"/>
                      <w:lang w:val="en-US" w:eastAsia="zh-CN"/>
                    </w:rPr>
                  </w:pPr>
                </w:p>
                <w:p w14:paraId="0D6AA0B2">
                  <w:pPr>
                    <w:spacing w:line="240" w:lineRule="auto"/>
                    <w:jc w:val="center"/>
                    <w:rPr>
                      <w:rFonts w:hint="eastAsia" w:ascii="宋体" w:hAnsi="宋体" w:cs="仿宋"/>
                      <w:b w:val="0"/>
                      <w:bCs/>
                      <w:color w:val="000000"/>
                      <w:sz w:val="24"/>
                      <w:vertAlign w:val="baseline"/>
                      <w:lang w:val="en-US" w:eastAsia="zh-CN"/>
                    </w:rPr>
                  </w:pPr>
                </w:p>
                <w:p w14:paraId="11303210">
                  <w:pPr>
                    <w:spacing w:line="240" w:lineRule="auto"/>
                    <w:jc w:val="center"/>
                    <w:rPr>
                      <w:rFonts w:hint="default" w:ascii="宋体" w:hAnsi="宋体" w:cs="仿宋" w:eastAsiaTheme="minorEastAsia"/>
                      <w:b/>
                      <w:color w:val="000000"/>
                      <w:sz w:val="24"/>
                      <w:vertAlign w:val="baseline"/>
                      <w:lang w:val="en-US" w:eastAsia="zh-CN"/>
                    </w:rPr>
                  </w:pPr>
                  <w:r>
                    <w:rPr>
                      <w:rFonts w:hint="eastAsia" w:ascii="宋体" w:hAnsi="宋体" w:cs="仿宋"/>
                      <w:b w:val="0"/>
                      <w:bCs/>
                      <w:color w:val="000000"/>
                      <w:sz w:val="21"/>
                      <w:szCs w:val="21"/>
                      <w:vertAlign w:val="baseline"/>
                      <w:lang w:val="en-US" w:eastAsia="zh-CN"/>
                    </w:rPr>
                    <w:t>秩序维护</w:t>
                  </w:r>
                </w:p>
              </w:tc>
              <w:tc>
                <w:tcPr>
                  <w:tcW w:w="4233" w:type="dxa"/>
                  <w:vAlign w:val="top"/>
                </w:tcPr>
                <w:p w14:paraId="55B2C564">
                  <w:pPr>
                    <w:spacing w:line="240" w:lineRule="auto"/>
                    <w:rPr>
                      <w:rFonts w:hint="eastAsia" w:ascii="宋体" w:hAnsi="宋体" w:cs="仿宋"/>
                      <w:b/>
                      <w:color w:val="000000"/>
                      <w:sz w:val="24"/>
                      <w:vertAlign w:val="baseline"/>
                    </w:rPr>
                  </w:pPr>
                  <w:r>
                    <w:rPr>
                      <w:rFonts w:ascii="宋体" w:hAnsi="宋体" w:eastAsia="宋体" w:cs="宋体"/>
                      <w:color w:val="auto"/>
                      <w:sz w:val="21"/>
                      <w:szCs w:val="21"/>
                    </w:rPr>
                    <w:t>秩序员负责</w:t>
                  </w:r>
                  <w:r>
                    <w:rPr>
                      <w:rFonts w:hint="eastAsia" w:ascii="宋体" w:hAnsi="宋体" w:eastAsia="宋体" w:cs="宋体"/>
                      <w:color w:val="auto"/>
                      <w:sz w:val="21"/>
                      <w:szCs w:val="21"/>
                      <w:lang w:val="en-US" w:eastAsia="zh-CN"/>
                    </w:rPr>
                    <w:t>消防中控室、</w:t>
                  </w:r>
                  <w:r>
                    <w:rPr>
                      <w:rFonts w:ascii="宋体" w:hAnsi="宋体" w:eastAsia="宋体" w:cs="宋体"/>
                      <w:color w:val="auto"/>
                      <w:sz w:val="21"/>
                      <w:szCs w:val="21"/>
                    </w:rPr>
                    <w:t>门岗人员、车辆登记，巡查院区及重点区域排查安全隐患；维护就医排队秩序，保障救护车优先通行；处置突发冲突与安全事故；做好值班记录，保护患者隐私，维护院区安全有序。</w:t>
                  </w:r>
                </w:p>
              </w:tc>
            </w:tr>
          </w:tbl>
          <w:p w14:paraId="1D595F38">
            <w:pPr>
              <w:spacing w:line="240" w:lineRule="auto"/>
              <w:rPr>
                <w:rFonts w:hint="eastAsia" w:ascii="宋体" w:hAnsi="宋体" w:cs="仿宋"/>
                <w:b/>
                <w:color w:val="000000"/>
                <w:sz w:val="24"/>
              </w:rPr>
            </w:pPr>
          </w:p>
          <w:p w14:paraId="4A30F8D4">
            <w:pPr>
              <w:spacing w:line="240" w:lineRule="auto"/>
              <w:rPr>
                <w:rFonts w:hint="eastAsia" w:ascii="宋体" w:hAnsi="宋体" w:cs="仿宋"/>
                <w:b/>
                <w:color w:val="000000"/>
                <w:sz w:val="24"/>
              </w:rPr>
            </w:pPr>
            <w:r>
              <w:rPr>
                <w:rFonts w:hint="eastAsia" w:ascii="宋体" w:hAnsi="宋体" w:cs="仿宋"/>
                <w:b/>
                <w:color w:val="000000"/>
                <w:sz w:val="24"/>
              </w:rPr>
              <w:t>三、服务要求</w:t>
            </w:r>
          </w:p>
          <w:p w14:paraId="4CEF382E">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（一）保洁服务内容要求</w:t>
            </w:r>
          </w:p>
          <w:p w14:paraId="48C3052D">
            <w:pPr>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cs="仿宋"/>
                <w:b/>
                <w:bCs/>
                <w:color w:val="000000" w:themeColor="text1"/>
                <w:szCs w:val="21"/>
                <w14:textFill>
                  <w14:solidFill>
                    <w14:schemeClr w14:val="tx1"/>
                  </w14:solidFill>
                </w14:textFill>
              </w:rPr>
            </w:pPr>
            <w:bookmarkStart w:id="25" w:name="_Toc24338"/>
            <w:bookmarkStart w:id="26" w:name="_Toc32744"/>
            <w:bookmarkStart w:id="27" w:name="_Toc17284"/>
            <w:r>
              <w:rPr>
                <w:rFonts w:hint="eastAsia" w:ascii="宋体" w:hAnsi="宋体" w:cs="仿宋"/>
                <w:b/>
                <w:bCs/>
                <w:color w:val="000000" w:themeColor="text1"/>
                <w:szCs w:val="21"/>
                <w14:textFill>
                  <w14:solidFill>
                    <w14:schemeClr w14:val="tx1"/>
                  </w14:solidFill>
                </w14:textFill>
              </w:rPr>
              <w:t>1.公共区域、病房保洁</w:t>
            </w:r>
            <w:bookmarkEnd w:id="25"/>
            <w:bookmarkEnd w:id="26"/>
            <w:bookmarkEnd w:id="27"/>
          </w:p>
          <w:p w14:paraId="334CAAE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（1）地面：表面洁净、无尘土、污迹、烟头、纸屑、油迹、水迹及垃圾、间（边）隙角落无垃圾。</w:t>
            </w:r>
          </w:p>
          <w:p w14:paraId="4D80BA4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（2）墙面：无手印，无污渍、无张贴，乱画，天花板无蜘蛛网。</w:t>
            </w:r>
          </w:p>
          <w:p w14:paraId="70F6E9F8">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电梯（包括污物梯）：电梯门表面无划痕，无灰尘，无张贴，无乱画，光亮无手印；电梯内部沟槽无杂物，电梯壁内无张贴，无乱画，地面无纸屑，烟头，天花板光亮，内部灯亮，滑道通畅。电梯轨道无污渍、积尘、油渍。</w:t>
            </w:r>
          </w:p>
          <w:p w14:paraId="1982E905">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（4）按键面板、开关面板：无尘土、无印迹。</w:t>
            </w:r>
          </w:p>
          <w:p w14:paraId="406E9F5E">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（5）照明灯具：无厚积尘土。</w:t>
            </w:r>
          </w:p>
          <w:p w14:paraId="7F878F07">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（6）各房间门、通道门：无尘土、污迹、印迹。</w:t>
            </w:r>
          </w:p>
          <w:p w14:paraId="6BFA3B70">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（7）电梯厅顶部：无厚积尘土、蜘蛛网。</w:t>
            </w:r>
          </w:p>
          <w:p w14:paraId="3107DC2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（8）不锈钢面：无脏、污点。</w:t>
            </w:r>
          </w:p>
          <w:p w14:paraId="5625617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（9）装饰物：盆、座表面干净无尘土；装饰物（如塑料花卉、油画）等表面无尘。</w:t>
            </w:r>
          </w:p>
          <w:p w14:paraId="6A01B95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（10）公共饮水机：外表无脏、污点、无积水。</w:t>
            </w:r>
          </w:p>
          <w:p w14:paraId="72A2BA1C">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（11）天花板、出风口：无污迹、无蜘蛛网、无霉点、无积灰。</w:t>
            </w:r>
          </w:p>
          <w:p w14:paraId="2CDD20D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（12）玻璃（玻璃门）：清洁明亮，无手印，无张贴，无乱画现象，无污渍，胶渍，水渍，无记号笔印迹。</w:t>
            </w:r>
          </w:p>
          <w:p w14:paraId="455D18E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（13）垃圾桶：物表干净无污迹、灰尘、桶内无异味，无蚊蝇乱飞，周边无污水，无散落垃圾。如发现垃圾桶破漏请示院方更换。</w:t>
            </w:r>
          </w:p>
          <w:p w14:paraId="4C83E2F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（14）摆放物品、展示柜、架（物）、花盆、装饰品：表面无灰尘，污迹、明亮、物品完好。</w:t>
            </w:r>
          </w:p>
          <w:p w14:paraId="432F3F4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（15）消防箱：干净无灰尘，无积尘，无张贴，无乱画现象，消防栓干净无积尘。</w:t>
            </w:r>
          </w:p>
          <w:p w14:paraId="3A6BC30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（16）踢脚线：干净无污渍，无积尘，无脱落现象。</w:t>
            </w:r>
          </w:p>
          <w:p w14:paraId="16786C4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（17）开关类：干净无灰，无污渍，无手印，禁止使用湿布擦拭。</w:t>
            </w:r>
          </w:p>
          <w:p w14:paraId="41264245">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（18）报箱、衣柜、文件柜、置物柜、置物架：干净，无积尘，上方无杂物无灰尘，柜边角落无垃圾灰尘、无张贴，无乱画现象。</w:t>
            </w:r>
          </w:p>
          <w:p w14:paraId="774EF96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（19）监控探头：探头镜头干净无积灰、浮尘。</w:t>
            </w:r>
          </w:p>
          <w:p w14:paraId="550D0F5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（20）安全出口指示灯类：干净无污渍，无积尘，无破损，灯亮。</w:t>
            </w:r>
          </w:p>
          <w:p w14:paraId="26DD3B3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（21）不锈钢类：表面光亮，无灰尘，无划痕，无锈迹。</w:t>
            </w:r>
          </w:p>
          <w:p w14:paraId="040EA93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（22）候诊椅：表面无灰尘，无张贴，无污渍，无杂物，无蜘蛛网。</w:t>
            </w:r>
          </w:p>
          <w:p w14:paraId="7824C41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（23）指示牌、广告牌类：表面干净光亮，无灰尘，无张贴，无蜘蛛网。</w:t>
            </w:r>
          </w:p>
          <w:p w14:paraId="1DD02C41">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（24）窗户（纱窗、百叶窗）：窗台无灰尘，无脚印，烟头，纸屑；窗框槽内干净，无杂物，无积尘、虫网。</w:t>
            </w:r>
          </w:p>
          <w:p w14:paraId="23D9CBFC">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（25）床、床头柜、床架、沙发、氧气管：无尘土、无积灰、油迹、霉点。</w:t>
            </w:r>
          </w:p>
          <w:p w14:paraId="2DF34331">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（26）紫外线灯管：保持清洁，无积尘；灯具、窗帘（隔帘）：无厚积尘土。</w:t>
            </w:r>
          </w:p>
          <w:p w14:paraId="3B093C3C">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（27）各类医疗器具：按院感要求清洁、无尘土、霉点、污迹。</w:t>
            </w:r>
          </w:p>
          <w:p w14:paraId="4F65B5C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（28）被服用品、工作服、各种布类、各种保健按摩用品、拖鞋：干净、无破洞、污迹、掉线（纽扣）、开缝（拖鞋每周消毒清洁1次）。</w:t>
            </w:r>
          </w:p>
          <w:p w14:paraId="3527249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（29）污物间：物品分类摆放、整齐、干净、无异味、无杂物。</w:t>
            </w:r>
          </w:p>
          <w:p w14:paraId="3B358FE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30</w:t>
            </w:r>
            <w:r>
              <w:rPr>
                <w:rFonts w:hint="eastAsia" w:ascii="宋体" w:hAnsi="宋体" w:cs="仿宋"/>
                <w:color w:val="000000" w:themeColor="text1"/>
                <w:szCs w:val="21"/>
                <w:lang w:eastAsia="zh-CN"/>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 xml:space="preserve"> PVC地面：无灰尘、无水迹、无污迹，保持明亮干净。</w:t>
            </w:r>
          </w:p>
          <w:p w14:paraId="581BEAFF">
            <w:pPr>
              <w:pageBreakBefore w:val="0"/>
              <w:tabs>
                <w:tab w:val="left" w:pos="5670"/>
              </w:tabs>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（31）卫生间：无异味。</w:t>
            </w:r>
          </w:p>
          <w:p w14:paraId="40A4832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（32）洗手池：池壁无污垢，无痰迹及头发等不洁物。</w:t>
            </w:r>
          </w:p>
          <w:p w14:paraId="547A6DC5">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（33）水龙头：无印迹、污垢，光亮、洁净。</w:t>
            </w:r>
          </w:p>
          <w:p w14:paraId="0B2270F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（34）洗手池台面：无尘土、无污物、台面无长时间水渍、洗手液器具无灰尘、无污垢，内装洗手液不少于容积1/3。如少于则向院方申领加装。</w:t>
            </w:r>
          </w:p>
          <w:p w14:paraId="55556BD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（35）镜面：直视镜面无污迹、无污垢、无水迹。</w:t>
            </w:r>
          </w:p>
          <w:p w14:paraId="0D2D9E2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（36）大便器、小便器、马桶等洁具：无尿硷水锈印迹（黄迹）、无污、喷水嘴应洁净。直视马桶、大小便池内部无污垢、边上无污迹、尿迹、无锈迹上下水通畅，水箱无尘、污迹。</w:t>
            </w:r>
          </w:p>
          <w:p w14:paraId="4F9E172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（37）手纸架：无手印、光亮、洁净。</w:t>
            </w:r>
          </w:p>
          <w:p w14:paraId="443111A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（38）纸篓：污物量不超过桶体2/3，厕纸无缺漏、内外表干净。</w:t>
            </w:r>
          </w:p>
          <w:p w14:paraId="1725315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（39）楼梯：扶手无灰，无积尘，无装修漆点，栏杆无积尘，无蜘蛛网，楼层阶梯无烟头屑，无泥土，通道内墙面无蜘蛛网，楼道内无堆积杂物。</w:t>
            </w:r>
          </w:p>
          <w:p w14:paraId="5D2844F7">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（40）楼层内管道门：干净无积尘，无污渍，无张贴，无乱画。</w:t>
            </w:r>
          </w:p>
          <w:p w14:paraId="66888A0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（41）楼道：墙面、消防栓、消防管道、楼道门窗、楼道开关及灯具清洁，目视楼道达到无烟头、果皮、纸屑、广告纸、蜘蛛网、积尘、污痕等。</w:t>
            </w:r>
          </w:p>
          <w:p w14:paraId="02B62164">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bookmarkStart w:id="28" w:name="_Toc8537"/>
            <w:bookmarkStart w:id="29" w:name="_Toc15671"/>
            <w:bookmarkStart w:id="30" w:name="_Toc21938"/>
            <w:r>
              <w:rPr>
                <w:rFonts w:hint="eastAsia" w:ascii="宋体" w:hAnsi="宋体" w:cs="仿宋"/>
                <w:b/>
                <w:bCs/>
                <w:color w:val="000000" w:themeColor="text1"/>
                <w:kern w:val="0"/>
                <w:szCs w:val="21"/>
                <w14:textFill>
                  <w14:solidFill>
                    <w14:schemeClr w14:val="tx1"/>
                  </w14:solidFill>
                </w14:textFill>
              </w:rPr>
              <w:t>2.办公室保洁</w:t>
            </w:r>
            <w:bookmarkEnd w:id="28"/>
            <w:bookmarkEnd w:id="29"/>
            <w:bookmarkEnd w:id="30"/>
          </w:p>
          <w:p w14:paraId="2A69D6D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（1）地面、墙角边沿：无污渍、纸屑、水迹、尘土、垃圾、无虫网、积灰、东西摆放整齐。</w:t>
            </w:r>
          </w:p>
          <w:p w14:paraId="68D7A0D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（2）所有垃圾桶倾倒干净并保持外表干净。</w:t>
            </w:r>
          </w:p>
          <w:p w14:paraId="3C242170">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bookmarkStart w:id="31" w:name="_Toc11974"/>
            <w:bookmarkStart w:id="32" w:name="_Toc26783"/>
            <w:bookmarkStart w:id="33" w:name="_Toc24231"/>
            <w:r>
              <w:rPr>
                <w:rFonts w:hint="eastAsia" w:ascii="宋体" w:hAnsi="宋体" w:cs="仿宋"/>
                <w:b/>
                <w:bCs/>
                <w:color w:val="000000" w:themeColor="text1"/>
                <w:kern w:val="0"/>
                <w:szCs w:val="21"/>
                <w14:textFill>
                  <w14:solidFill>
                    <w14:schemeClr w14:val="tx1"/>
                  </w14:solidFill>
                </w14:textFill>
              </w:rPr>
              <w:t>3.外围环境保洁</w:t>
            </w:r>
            <w:bookmarkEnd w:id="31"/>
            <w:bookmarkEnd w:id="32"/>
            <w:bookmarkEnd w:id="33"/>
          </w:p>
          <w:p w14:paraId="7C08357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（1）路面：目视干净，无烟头，无落叶，无痰迹，无积水，无堆积杂物，无大块石头等杂物。</w:t>
            </w:r>
          </w:p>
          <w:p w14:paraId="51CEC02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（2）果皮箱、垃圾桶：无异味，无蚊蝇乱飞，周边无污水，无散落垃圾。</w:t>
            </w:r>
          </w:p>
          <w:p w14:paraId="7C42B528">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（3）绿化地：花丛内无瓜果皮壳、枯叶、饮料盒、纸屑、碎石，动物粪便等杂物。</w:t>
            </w:r>
          </w:p>
          <w:p w14:paraId="646808F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（4）灯杆：无张贴，无灰尘，无蜘蛛网。</w:t>
            </w:r>
          </w:p>
          <w:p w14:paraId="5774F758">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（5）天台（花园）：无堆积杂物，无石块，无落叶，无纸屑，无烟头，等杂物。</w:t>
            </w:r>
          </w:p>
          <w:p w14:paraId="0526A46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（6）楼顶天台和地下停车场管道、设施：表面干净，无污迹，无蜘蛛网，烟感器，出风口无灰尘，无污迹，无蜘蛛网</w:t>
            </w:r>
          </w:p>
          <w:p w14:paraId="300D0440">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（7）外墙玻璃：干净明亮，无污渍，无胶点，无漆点，无手印，水渍。</w:t>
            </w:r>
          </w:p>
          <w:p w14:paraId="5421D71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（8）休闲椅：表面无灰尘，无张贴，无污渍，无杂物，无蜘蛛网。</w:t>
            </w:r>
          </w:p>
          <w:p w14:paraId="35DC5C1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（9）排水沟：无杂物，无杂草，无纸屑烟头，积水、异味。</w:t>
            </w:r>
          </w:p>
          <w:p w14:paraId="164EC44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（10）公共走廊：无杂物，无烟头，无纸屑，泥土，无胶渍。无手印，无张贴，无乱画现象，无污渍，胶渍，水渍。</w:t>
            </w:r>
          </w:p>
          <w:p w14:paraId="396A3AB1">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（11）指示牌、宣传牌类：表面干净光亮，无灰尘，无张贴，无蜘蛛网。</w:t>
            </w:r>
          </w:p>
          <w:p w14:paraId="08DDCAD4">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auto"/>
                <w:kern w:val="0"/>
                <w:szCs w:val="21"/>
              </w:rPr>
            </w:pPr>
            <w:bookmarkStart w:id="34" w:name="_Toc10684"/>
            <w:bookmarkStart w:id="35" w:name="_Toc28008"/>
            <w:bookmarkStart w:id="36" w:name="_Toc3857"/>
            <w:r>
              <w:rPr>
                <w:rFonts w:hint="eastAsia" w:ascii="宋体" w:hAnsi="宋体" w:cs="仿宋"/>
                <w:b/>
                <w:bCs/>
                <w:color w:val="auto"/>
                <w:kern w:val="0"/>
                <w:szCs w:val="21"/>
              </w:rPr>
              <w:t>4.卫生消毒要求</w:t>
            </w:r>
            <w:bookmarkEnd w:id="34"/>
            <w:bookmarkEnd w:id="35"/>
            <w:bookmarkEnd w:id="36"/>
          </w:p>
          <w:p w14:paraId="38C4F4B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按照医院院感标准进行各项卫生消毒工作。每天对医院各区域进行消毒，特别对医院病房、床、桌、病人用拖鞋、地面、传染病人大小便器、痰盂、清洁用具等按消毒标准进行消毒。</w:t>
            </w:r>
          </w:p>
          <w:p w14:paraId="2D6BB8D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（1）对清洁人员进行培训考核，合格方允许上岗；</w:t>
            </w:r>
          </w:p>
          <w:p w14:paraId="7EA0C7A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（2）办公室、病房区域刷洗及消毒每天1次；</w:t>
            </w:r>
          </w:p>
          <w:p w14:paraId="1D2E69D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（3）公共卫生间的消毒，每天2次；</w:t>
            </w:r>
          </w:p>
          <w:p w14:paraId="2BAA74F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（4）电梯及电梯厅检查及消毒，每天2次；</w:t>
            </w:r>
          </w:p>
          <w:p w14:paraId="7A765B9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（5）垃圾、医疗废物中转站或垃圾桶消毒每天1次；</w:t>
            </w:r>
          </w:p>
          <w:p w14:paraId="3C8AD43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（6）其他公共部位消毒（根据实际情况及时处理）；</w:t>
            </w:r>
          </w:p>
          <w:p w14:paraId="5C0A9718">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（7）卫生清洁施行1床1巾、1柜1巾、1房1污拖；</w:t>
            </w:r>
          </w:p>
          <w:p w14:paraId="1A6615B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（8）全院拖把实行集中消毒、清洗配送制，使用后的拖把在未集中消毒、清洗时不得重复使用。</w:t>
            </w:r>
          </w:p>
          <w:p w14:paraId="26162AF5">
            <w:pPr>
              <w:keepNext/>
              <w:keepLines/>
              <w:pageBreakBefore w:val="0"/>
              <w:kinsoku/>
              <w:wordWrap/>
              <w:overflowPunct/>
              <w:topLinePunct w:val="0"/>
              <w:autoSpaceDE/>
              <w:autoSpaceDN/>
              <w:bidi w:val="0"/>
              <w:adjustRightInd/>
              <w:spacing w:line="360" w:lineRule="exact"/>
              <w:ind w:firstLine="420" w:firstLineChars="200"/>
              <w:textAlignment w:val="auto"/>
              <w:outlineLvl w:val="2"/>
              <w:rPr>
                <w:rFonts w:hint="eastAsia" w:ascii="宋体" w:hAnsi="宋体" w:cs="仿宋"/>
                <w:color w:val="auto"/>
                <w:kern w:val="0"/>
                <w:szCs w:val="21"/>
              </w:rPr>
            </w:pPr>
            <w:bookmarkStart w:id="37" w:name="_Toc26958"/>
            <w:bookmarkStart w:id="38" w:name="_Toc110"/>
            <w:bookmarkStart w:id="39" w:name="_Toc31482"/>
            <w:r>
              <w:rPr>
                <w:rFonts w:hint="eastAsia" w:ascii="宋体" w:hAnsi="宋体" w:cs="仿宋"/>
                <w:color w:val="auto"/>
                <w:kern w:val="0"/>
                <w:szCs w:val="21"/>
              </w:rPr>
              <w:t>5.垃圾处理</w:t>
            </w:r>
            <w:bookmarkEnd w:id="37"/>
            <w:bookmarkEnd w:id="38"/>
            <w:bookmarkEnd w:id="39"/>
          </w:p>
          <w:p w14:paraId="69B243E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（1）每天按时到各科室收医疗（含输液瓶收集）和生活垃圾，运送至指定的地点，与医疗垃圾处理公司做好交接工作并做好相关记录。</w:t>
            </w:r>
          </w:p>
          <w:p w14:paraId="36FFDAA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auto"/>
                <w:szCs w:val="21"/>
              </w:rPr>
            </w:pPr>
            <w:r>
              <w:rPr>
                <w:rFonts w:hint="eastAsia" w:ascii="宋体" w:hAnsi="宋体" w:cs="仿宋"/>
                <w:color w:val="auto"/>
                <w:szCs w:val="21"/>
              </w:rPr>
              <w:t>（2）医疗垃圾、生活垃圾严格分类管理、日产日清，按院感要求分别运送至指定区域存放，暂存时间不得超过2天。</w:t>
            </w:r>
          </w:p>
          <w:p w14:paraId="74C8B34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FF0000"/>
                <w:szCs w:val="21"/>
              </w:rPr>
            </w:pPr>
            <w:r>
              <w:rPr>
                <w:rFonts w:hint="eastAsia" w:ascii="宋体" w:hAnsi="宋体" w:cs="仿宋"/>
                <w:color w:val="auto"/>
                <w:szCs w:val="21"/>
              </w:rPr>
              <w:t>（3）垃圾房、垃圾池、垃圾桶每天清洁，保持洁净，做好消毒。</w:t>
            </w:r>
          </w:p>
          <w:p w14:paraId="774AAB94">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bookmarkStart w:id="40" w:name="_Toc19921"/>
            <w:r>
              <w:rPr>
                <w:rFonts w:hint="eastAsia" w:ascii="宋体" w:hAnsi="宋体" w:cs="仿宋"/>
                <w:b/>
                <w:bCs/>
                <w:color w:val="000000" w:themeColor="text1"/>
                <w:kern w:val="0"/>
                <w:szCs w:val="21"/>
                <w14:textFill>
                  <w14:solidFill>
                    <w14:schemeClr w14:val="tx1"/>
                  </w14:solidFill>
                </w14:textFill>
              </w:rPr>
              <w:t>（二）保洁服务质量标准</w:t>
            </w:r>
            <w:bookmarkEnd w:id="40"/>
          </w:p>
          <w:p w14:paraId="796BC075">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总体要求</w:t>
            </w:r>
            <w:r>
              <w:rPr>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做到各个区域24小时动态保洁，并符合《医疗机构消毒技术规范》相关要求，防止交叉感染发生。</w:t>
            </w:r>
          </w:p>
          <w:p w14:paraId="432067A1">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w:t>
            </w:r>
            <w:r>
              <w:rPr>
                <w:rFonts w:ascii="宋体" w:hAnsi="宋体" w:cs="仿宋"/>
                <w:color w:val="000000" w:themeColor="text1"/>
                <w:sz w:val="21"/>
                <w:szCs w:val="21"/>
                <w14:textFill>
                  <w14:solidFill>
                    <w14:schemeClr w14:val="tx1"/>
                  </w14:solidFill>
                </w14:textFill>
              </w:rPr>
              <w:t>1</w:t>
            </w:r>
            <w:r>
              <w:rPr>
                <w:rFonts w:ascii="宋体" w:hAnsi="宋体" w:cs="仿宋"/>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负责服务范围内环境清洁卫生，以不影响医护人员工作、患者治疗及休息为前提，合理设计各项工作流程；</w:t>
            </w:r>
          </w:p>
          <w:p w14:paraId="4C394297">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（2）</w:t>
            </w:r>
            <w:r>
              <w:rPr>
                <w:color w:val="000000" w:themeColor="text1"/>
                <w:sz w:val="21"/>
                <w:szCs w:val="21"/>
                <w14:textFill>
                  <w14:solidFill>
                    <w14:schemeClr w14:val="tx1"/>
                  </w14:solidFill>
                </w14:textFill>
              </w:rPr>
              <w:t>实时收集生活垃圾和医疗垃圾，并送到指定地点；</w:t>
            </w:r>
          </w:p>
          <w:p w14:paraId="6451F45B">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（3）</w:t>
            </w:r>
            <w:r>
              <w:rPr>
                <w:color w:val="000000" w:themeColor="text1"/>
                <w:sz w:val="21"/>
                <w:szCs w:val="21"/>
                <w14:textFill>
                  <w14:solidFill>
                    <w14:schemeClr w14:val="tx1"/>
                  </w14:solidFill>
                </w14:textFill>
              </w:rPr>
              <w:t>实时收集处理纸皮箱、药箱、纸盒、废旧书报等（可回收废品）</w:t>
            </w:r>
          </w:p>
          <w:p w14:paraId="615A2F46">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（4）</w:t>
            </w:r>
            <w:r>
              <w:rPr>
                <w:color w:val="000000" w:themeColor="text1"/>
                <w:sz w:val="21"/>
                <w:szCs w:val="21"/>
                <w14:textFill>
                  <w14:solidFill>
                    <w14:schemeClr w14:val="tx1"/>
                  </w14:solidFill>
                </w14:textFill>
              </w:rPr>
              <w:t>保洁工具清洁完好，做到分色管理、分类使用及规范摆放，其中，拖布及毛巾应采用专用设备进行集中消毒、清洗；</w:t>
            </w:r>
          </w:p>
          <w:p w14:paraId="148DBD85">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（5）</w:t>
            </w:r>
            <w:r>
              <w:rPr>
                <w:color w:val="000000" w:themeColor="text1"/>
                <w:sz w:val="21"/>
                <w:szCs w:val="21"/>
                <w14:textFill>
                  <w14:solidFill>
                    <w14:schemeClr w14:val="tx1"/>
                  </w14:solidFill>
                </w14:textFill>
              </w:rPr>
              <w:t>为避免尘土飞扬，地面清洁达到地面无杂物，地面无大颗粒污物及较大面积的污渍的标准；</w:t>
            </w:r>
          </w:p>
          <w:p w14:paraId="676E16A5">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（6）</w:t>
            </w:r>
            <w:r>
              <w:rPr>
                <w:color w:val="000000" w:themeColor="text1"/>
                <w:sz w:val="21"/>
                <w:szCs w:val="21"/>
                <w14:textFill>
                  <w14:solidFill>
                    <w14:schemeClr w14:val="tx1"/>
                  </w14:solidFill>
                </w14:textFill>
              </w:rPr>
              <w:t>病人床单元的终末处理及门诊各诊室诊疗床处理实时，满足新病人入住及使用条件；</w:t>
            </w:r>
          </w:p>
          <w:p w14:paraId="370B475A">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（7）</w:t>
            </w:r>
            <w:r>
              <w:rPr>
                <w:color w:val="000000" w:themeColor="text1"/>
                <w:sz w:val="21"/>
                <w:szCs w:val="21"/>
                <w14:textFill>
                  <w14:solidFill>
                    <w14:schemeClr w14:val="tx1"/>
                  </w14:solidFill>
                </w14:textFill>
              </w:rPr>
              <w:t>防止交叉感染，对不同区域的清洁工具分区使用，不得混用，实行严格分类摆放和使用，用颜色、字标等方式进行区分；</w:t>
            </w:r>
          </w:p>
          <w:p w14:paraId="6A5D3C5E">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（8）</w:t>
            </w:r>
            <w:r>
              <w:rPr>
                <w:color w:val="000000" w:themeColor="text1"/>
                <w:sz w:val="21"/>
                <w:szCs w:val="21"/>
                <w14:textFill>
                  <w14:solidFill>
                    <w14:schemeClr w14:val="tx1"/>
                  </w14:solidFill>
                </w14:textFill>
              </w:rPr>
              <w:t>大</w:t>
            </w:r>
            <w:r>
              <w:rPr>
                <w:rFonts w:ascii="宋体" w:hAnsi="宋体" w:cs="宋体"/>
                <w:color w:val="000000" w:themeColor="text1"/>
                <w:sz w:val="21"/>
                <w:szCs w:val="21"/>
                <w14:textFill>
                  <w14:solidFill>
                    <w14:schemeClr w14:val="tx1"/>
                  </w14:solidFill>
                </w14:textFill>
              </w:rPr>
              <w:t>楼内PVC地面/橡胶</w:t>
            </w:r>
            <w:r>
              <w:rPr>
                <w:rFonts w:ascii="宋体" w:hAnsi="宋体" w:cs="宋体"/>
                <w:color w:val="000000" w:themeColor="text1"/>
                <w:sz w:val="21"/>
                <w:szCs w:val="21"/>
                <w:lang w:eastAsia="zh-CN"/>
                <w14:textFill>
                  <w14:solidFill>
                    <w14:schemeClr w14:val="tx1"/>
                  </w14:solidFill>
                </w14:textFill>
              </w:rPr>
              <w:t>以及其他各</w:t>
            </w:r>
            <w:r>
              <w:rPr>
                <w:color w:val="000000" w:themeColor="text1"/>
                <w:sz w:val="21"/>
                <w:szCs w:val="21"/>
                <w:lang w:eastAsia="zh-CN"/>
                <w14:textFill>
                  <w14:solidFill>
                    <w14:schemeClr w14:val="tx1"/>
                  </w14:solidFill>
                </w14:textFill>
              </w:rPr>
              <w:t>种</w:t>
            </w:r>
            <w:r>
              <w:rPr>
                <w:color w:val="000000" w:themeColor="text1"/>
                <w:sz w:val="21"/>
                <w:szCs w:val="21"/>
                <w14:textFill>
                  <w14:solidFill>
                    <w14:schemeClr w14:val="tx1"/>
                  </w14:solidFill>
                </w14:textFill>
              </w:rPr>
              <w:t>材质地板、墙面的清洁；</w:t>
            </w:r>
          </w:p>
          <w:p w14:paraId="05871787">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（9）</w:t>
            </w:r>
            <w:r>
              <w:rPr>
                <w:color w:val="000000" w:themeColor="text1"/>
                <w:sz w:val="21"/>
                <w:szCs w:val="21"/>
                <w:lang w:eastAsia="zh-CN"/>
                <w14:textFill>
                  <w14:solidFill>
                    <w14:schemeClr w14:val="tx1"/>
                  </w14:solidFill>
                </w14:textFill>
              </w:rPr>
              <w:t>成交</w:t>
            </w:r>
            <w:r>
              <w:rPr>
                <w:color w:val="000000" w:themeColor="text1"/>
                <w:sz w:val="21"/>
                <w:szCs w:val="21"/>
                <w14:textFill>
                  <w14:solidFill>
                    <w14:schemeClr w14:val="tx1"/>
                  </w14:solidFill>
                </w14:textFill>
              </w:rPr>
              <w:t>人对人员的日常培训到位，保洁人员必须熟悉院感流程，消防灭火器使用等。</w:t>
            </w:r>
          </w:p>
          <w:p w14:paraId="131598AC">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（10）</w:t>
            </w:r>
            <w:r>
              <w:rPr>
                <w:color w:val="000000" w:themeColor="text1"/>
                <w:sz w:val="21"/>
                <w:szCs w:val="21"/>
                <w:lang w:eastAsia="zh-CN"/>
                <w14:textFill>
                  <w14:solidFill>
                    <w14:schemeClr w14:val="tx1"/>
                  </w14:solidFill>
                </w14:textFill>
              </w:rPr>
              <w:t>成交</w:t>
            </w:r>
            <w:r>
              <w:rPr>
                <w:color w:val="000000" w:themeColor="text1"/>
                <w:sz w:val="21"/>
                <w:szCs w:val="21"/>
                <w14:textFill>
                  <w14:solidFill>
                    <w14:schemeClr w14:val="tx1"/>
                  </w14:solidFill>
                </w14:textFill>
              </w:rPr>
              <w:t>人提供保洁用的毛巾，清扫工具，院内垃圾运输车、清洁剂、洗涤剂、地面保护材料等，要求提供优质的产品，所有的清洁剂、洗涤剂材料以不损伤釉面为宜；</w:t>
            </w:r>
          </w:p>
          <w:p w14:paraId="316AAB01">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（11）</w:t>
            </w:r>
            <w:r>
              <w:rPr>
                <w:color w:val="000000" w:themeColor="text1"/>
                <w:sz w:val="21"/>
                <w:szCs w:val="21"/>
                <w:lang w:eastAsia="zh-CN"/>
                <w14:textFill>
                  <w14:solidFill>
                    <w14:schemeClr w14:val="tx1"/>
                  </w14:solidFill>
                </w14:textFill>
              </w:rPr>
              <w:t>成交</w:t>
            </w:r>
            <w:r>
              <w:rPr>
                <w:color w:val="000000" w:themeColor="text1"/>
                <w:sz w:val="21"/>
                <w:szCs w:val="21"/>
                <w14:textFill>
                  <w14:solidFill>
                    <w14:schemeClr w14:val="tx1"/>
                  </w14:solidFill>
                </w14:textFill>
              </w:rPr>
              <w:t>人提供的清洁车辆必须是先进的全方位清洁手推车，要求手推车不能发出刺耳声音，尽可能降低声响；</w:t>
            </w:r>
          </w:p>
          <w:p w14:paraId="7B27D5EE">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（12）</w:t>
            </w:r>
            <w:r>
              <w:rPr>
                <w:color w:val="000000" w:themeColor="text1"/>
                <w:sz w:val="21"/>
                <w:szCs w:val="21"/>
                <w:lang w:eastAsia="zh-CN"/>
                <w14:textFill>
                  <w14:solidFill>
                    <w14:schemeClr w14:val="tx1"/>
                  </w14:solidFill>
                </w14:textFill>
              </w:rPr>
              <w:t>成交</w:t>
            </w:r>
            <w:r>
              <w:rPr>
                <w:color w:val="000000" w:themeColor="text1"/>
                <w:sz w:val="21"/>
                <w:szCs w:val="21"/>
                <w14:textFill>
                  <w14:solidFill>
                    <w14:schemeClr w14:val="tx1"/>
                  </w14:solidFill>
                </w14:textFill>
              </w:rPr>
              <w:t>人不得拖欠员工工资，如出现员工集体事件影响采购人运作，将取消合同并赔偿采购人损失；</w:t>
            </w:r>
          </w:p>
          <w:p w14:paraId="5F190CAD">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（13）</w:t>
            </w:r>
            <w:r>
              <w:rPr>
                <w:color w:val="000000" w:themeColor="text1"/>
                <w:sz w:val="21"/>
                <w:szCs w:val="21"/>
                <w14:textFill>
                  <w14:solidFill>
                    <w14:schemeClr w14:val="tx1"/>
                  </w14:solidFill>
                </w14:textFill>
              </w:rPr>
              <w:t>环境保洁进行科学</w:t>
            </w:r>
            <w:r>
              <w:rPr>
                <w:color w:val="000000" w:themeColor="text1"/>
                <w:sz w:val="21"/>
                <w:szCs w:val="21"/>
                <w:lang w:eastAsia="zh-CN"/>
                <w14:textFill>
                  <w14:solidFill>
                    <w14:schemeClr w14:val="tx1"/>
                  </w14:solidFill>
                </w14:textFill>
              </w:rPr>
              <w:t>地</w:t>
            </w:r>
            <w:r>
              <w:rPr>
                <w:color w:val="000000" w:themeColor="text1"/>
                <w:sz w:val="21"/>
                <w:szCs w:val="21"/>
                <w14:textFill>
                  <w14:solidFill>
                    <w14:schemeClr w14:val="tx1"/>
                  </w14:solidFill>
                </w14:textFill>
              </w:rPr>
              <w:t>划分，并且强调计划性；</w:t>
            </w:r>
          </w:p>
          <w:p w14:paraId="1D48743D">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（14）</w:t>
            </w:r>
            <w:r>
              <w:rPr>
                <w:color w:val="000000" w:themeColor="text1"/>
                <w:sz w:val="21"/>
                <w:szCs w:val="21"/>
                <w14:textFill>
                  <w14:solidFill>
                    <w14:schemeClr w14:val="tx1"/>
                  </w14:solidFill>
                </w14:textFill>
              </w:rPr>
              <w:t>围墙内的道路、停车场和门前“三包”及所有公共区域的地面，无有形垃圾和建筑垃圾、无堆积杂物、无积灰、无积水和淤泥、无阻塞等。做到每日清扫两次，巡回保洁；</w:t>
            </w:r>
          </w:p>
          <w:p w14:paraId="37DB0F86">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（15）</w:t>
            </w:r>
            <w:r>
              <w:rPr>
                <w:color w:val="000000" w:themeColor="text1"/>
                <w:sz w:val="21"/>
                <w:szCs w:val="21"/>
                <w14:textFill>
                  <w14:solidFill>
                    <w14:schemeClr w14:val="tx1"/>
                  </w14:solidFill>
                </w14:textFill>
              </w:rPr>
              <w:t>所有上岗员工培训通过率100%，培训资料可查；</w:t>
            </w:r>
          </w:p>
          <w:p w14:paraId="2BD3C8C2">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（16）</w:t>
            </w:r>
            <w:r>
              <w:rPr>
                <w:color w:val="000000" w:themeColor="text1"/>
                <w:sz w:val="21"/>
                <w:szCs w:val="21"/>
                <w14:textFill>
                  <w14:solidFill>
                    <w14:schemeClr w14:val="tx1"/>
                  </w14:solidFill>
                </w14:textFill>
              </w:rPr>
              <w:t>日常巡视如发现设施设备故障或安全隐患时须立即上报；</w:t>
            </w:r>
          </w:p>
          <w:p w14:paraId="1A21C6E3">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（17）</w:t>
            </w:r>
            <w:r>
              <w:rPr>
                <w:color w:val="000000" w:themeColor="text1"/>
                <w:sz w:val="21"/>
                <w:szCs w:val="21"/>
                <w14:textFill>
                  <w14:solidFill>
                    <w14:schemeClr w14:val="tx1"/>
                  </w14:solidFill>
                </w14:textFill>
              </w:rPr>
              <w:t>制定完善的安全作业流程及措施，作业时保证医护人员及患者的安全；</w:t>
            </w:r>
          </w:p>
          <w:p w14:paraId="4939344B">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（18）</w:t>
            </w:r>
            <w:r>
              <w:rPr>
                <w:color w:val="000000" w:themeColor="text1"/>
                <w:sz w:val="21"/>
                <w:szCs w:val="21"/>
                <w14:textFill>
                  <w14:solidFill>
                    <w14:schemeClr w14:val="tx1"/>
                  </w14:solidFill>
                </w14:textFill>
              </w:rPr>
              <w:t>制订应急预案，应涵盖突发事件保洁、伤害、疫情、气体泄漏、自然灾害、医废遗失、火灾、爆水管等方面的应急处置措施和流程等，积极配合采购人处理突发事件；</w:t>
            </w:r>
          </w:p>
          <w:p w14:paraId="636216C0">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（19）</w:t>
            </w:r>
            <w:r>
              <w:rPr>
                <w:color w:val="000000" w:themeColor="text1"/>
                <w:sz w:val="21"/>
                <w:szCs w:val="21"/>
                <w14:textFill>
                  <w14:solidFill>
                    <w14:schemeClr w14:val="tx1"/>
                  </w14:solidFill>
                </w14:textFill>
              </w:rPr>
              <w:t>全员参与采购人开展控烟工作，主动劝阻禁烟区吸烟者；</w:t>
            </w:r>
          </w:p>
          <w:p w14:paraId="557B45F9">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（20）</w:t>
            </w:r>
            <w:r>
              <w:rPr>
                <w:color w:val="000000" w:themeColor="text1"/>
                <w:sz w:val="21"/>
                <w:szCs w:val="21"/>
                <w14:textFill>
                  <w14:solidFill>
                    <w14:schemeClr w14:val="tx1"/>
                  </w14:solidFill>
                </w14:textFill>
              </w:rPr>
              <w:t>制定合理流程和有效措施，做到节约用水用电，积极配合采购人开展节能工作；</w:t>
            </w:r>
          </w:p>
          <w:p w14:paraId="08512A69">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（21）</w:t>
            </w:r>
            <w:r>
              <w:rPr>
                <w:color w:val="000000" w:themeColor="text1"/>
                <w:sz w:val="21"/>
                <w:szCs w:val="21"/>
                <w14:textFill>
                  <w14:solidFill>
                    <w14:schemeClr w14:val="tx1"/>
                  </w14:solidFill>
                </w14:textFill>
              </w:rPr>
              <w:t>主动维护职责区域的财物安全，发现设备、设施损坏或异常，主动报告相关部门；</w:t>
            </w:r>
          </w:p>
          <w:p w14:paraId="0BC12D3F">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（22）</w:t>
            </w:r>
            <w:r>
              <w:rPr>
                <w:color w:val="000000" w:themeColor="text1"/>
                <w:sz w:val="21"/>
                <w:szCs w:val="21"/>
                <w14:textFill>
                  <w14:solidFill>
                    <w14:schemeClr w14:val="tx1"/>
                  </w14:solidFill>
                </w14:textFill>
              </w:rPr>
              <w:t>保洁从业人员符合岗位要求，遵守采购人各项制度；严禁谈论患者病情及隐私，严禁在工作时间及工作场合聚众聊天、大声喧哗、发牢骚、与患者及家属发生争吵，每月收集采购人科室反馈意见，纳入绩效考核；</w:t>
            </w:r>
          </w:p>
          <w:p w14:paraId="75397DFC">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（23）</w:t>
            </w:r>
            <w:r>
              <w:rPr>
                <w:color w:val="000000" w:themeColor="text1"/>
                <w:sz w:val="21"/>
                <w:szCs w:val="21"/>
                <w14:textFill>
                  <w14:solidFill>
                    <w14:schemeClr w14:val="tx1"/>
                  </w14:solidFill>
                </w14:textFill>
              </w:rPr>
              <w:t>配合采购人迎接各项检查，做好保洁所需的各项资料。</w:t>
            </w:r>
          </w:p>
          <w:p w14:paraId="39D3D346">
            <w:pPr>
              <w:pStyle w:val="27"/>
              <w:pageBreakBefore w:val="0"/>
              <w:kinsoku/>
              <w:wordWrap/>
              <w:overflowPunct/>
              <w:topLinePunct w:val="0"/>
              <w:autoSpaceDE/>
              <w:autoSpaceDN/>
              <w:bidi w:val="0"/>
              <w:adjustRightInd/>
              <w:spacing w:line="360" w:lineRule="exact"/>
              <w:ind w:firstLine="420"/>
              <w:jc w:val="both"/>
              <w:textAlignment w:val="auto"/>
              <w:rPr>
                <w:rFonts w:hint="default"/>
                <w:color w:val="000000" w:themeColor="text1"/>
                <w:sz w:val="21"/>
                <w:szCs w:val="21"/>
                <w:lang w:eastAsia="zh-CN"/>
                <w14:textFill>
                  <w14:solidFill>
                    <w14:schemeClr w14:val="tx1"/>
                  </w14:solidFill>
                </w14:textFill>
              </w:rPr>
            </w:pPr>
            <w:r>
              <w:rPr>
                <w:rFonts w:ascii="宋体" w:hAnsi="宋体" w:cs="仿宋"/>
                <w:color w:val="000000" w:themeColor="text1"/>
                <w:sz w:val="21"/>
                <w:szCs w:val="21"/>
                <w:lang w:eastAsia="zh-CN"/>
                <w14:textFill>
                  <w14:solidFill>
                    <w14:schemeClr w14:val="tx1"/>
                  </w14:solidFill>
                </w14:textFill>
              </w:rPr>
              <w:t>（24）</w:t>
            </w:r>
            <w:r>
              <w:rPr>
                <w:color w:val="000000" w:themeColor="text1"/>
                <w:sz w:val="21"/>
                <w:szCs w:val="21"/>
                <w14:textFill>
                  <w14:solidFill>
                    <w14:schemeClr w14:val="tx1"/>
                  </w14:solidFill>
                </w14:textFill>
              </w:rPr>
              <w:t>服务范围及要求标准包含但不仅限于上述内容</w:t>
            </w:r>
            <w:r>
              <w:rPr>
                <w:color w:val="000000" w:themeColor="text1"/>
                <w:sz w:val="21"/>
                <w:szCs w:val="21"/>
                <w:lang w:eastAsia="zh-CN"/>
                <w14:textFill>
                  <w14:solidFill>
                    <w14:schemeClr w14:val="tx1"/>
                  </w14:solidFill>
                </w14:textFill>
              </w:rPr>
              <w:t>。</w:t>
            </w:r>
          </w:p>
          <w:p w14:paraId="754A51DA">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auto"/>
                <w:kern w:val="0"/>
                <w:szCs w:val="21"/>
              </w:rPr>
            </w:pPr>
            <w:bookmarkStart w:id="41" w:name="_Toc2004"/>
            <w:bookmarkStart w:id="42" w:name="_Toc9887"/>
            <w:bookmarkStart w:id="43" w:name="_Toc20892"/>
            <w:r>
              <w:rPr>
                <w:rFonts w:hint="eastAsia" w:ascii="宋体" w:hAnsi="宋体" w:cs="仿宋"/>
                <w:b/>
                <w:bCs/>
                <w:color w:val="auto"/>
                <w:kern w:val="0"/>
                <w:szCs w:val="21"/>
              </w:rPr>
              <w:t>（三）消毒标准及要求</w:t>
            </w:r>
            <w:bookmarkEnd w:id="41"/>
            <w:bookmarkEnd w:id="42"/>
            <w:bookmarkEnd w:id="43"/>
          </w:p>
          <w:p w14:paraId="47519FC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FF0000"/>
                <w:szCs w:val="21"/>
              </w:rPr>
            </w:pPr>
            <w:r>
              <w:rPr>
                <w:rFonts w:hint="eastAsia" w:ascii="宋体" w:hAnsi="宋体" w:cs="仿宋"/>
                <w:color w:val="auto"/>
                <w:szCs w:val="21"/>
              </w:rPr>
              <w:t>按医院感控科要求，做好消毒工作，达到感染控制质量标准要求。</w:t>
            </w:r>
          </w:p>
          <w:p w14:paraId="62B1C0FA">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bookmarkStart w:id="44" w:name="_Toc6022"/>
            <w:bookmarkStart w:id="45" w:name="_Toc28101"/>
            <w:bookmarkStart w:id="46" w:name="_Toc19083"/>
            <w:r>
              <w:rPr>
                <w:rFonts w:hint="eastAsia" w:ascii="宋体" w:hAnsi="宋体" w:cs="仿宋"/>
                <w:b/>
                <w:bCs/>
                <w:color w:val="000000" w:themeColor="text1"/>
                <w:kern w:val="0"/>
                <w:szCs w:val="21"/>
                <w14:textFill>
                  <w14:solidFill>
                    <w14:schemeClr w14:val="tx1"/>
                  </w14:solidFill>
                </w14:textFill>
              </w:rPr>
              <w:t>（四）生活垃圾、医疗废物垃圾管理标准和要求</w:t>
            </w:r>
            <w:bookmarkEnd w:id="44"/>
            <w:bookmarkEnd w:id="45"/>
            <w:bookmarkEnd w:id="46"/>
          </w:p>
          <w:p w14:paraId="43001B3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根据《医疗废物管理条例》《医疗卫生机构医疗废物管理办法》《防城港市生活垃圾分类工作实施方案》（2020）4号文件的精神，结合我院的实际情况，医疗废弃物的管理实行科主任、护士长负责制，监督检查本科室的垃圾分类放置情况，清洁员对各科室的医疗垃圾的回收情况进行登记，确保垃圾的分类收集并密闭运送至医疗垃圾停放处。后勤保障科、护理部、院感科共同检查监督垃圾的处理情况。</w:t>
            </w:r>
          </w:p>
          <w:p w14:paraId="3CB4A350">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1.工作质量标准</w:t>
            </w:r>
          </w:p>
          <w:p w14:paraId="59DFF1D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（1）生活垃圾、医疗废弃垃圾日产日清。</w:t>
            </w:r>
          </w:p>
          <w:p w14:paraId="376F245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（2）根据废物的成分和特性统一进行无害化、规范化处置；并在转移过程中采取防散落、防流失、防渗漏、防残留、防残液滴漏等防止污染环境的措施，确保规范收集。推动垃圾车时，门要关好，安全运送。</w:t>
            </w:r>
          </w:p>
          <w:p w14:paraId="0C723567">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（4）对需要初级消毒和销毁的医疗固体废物及时进行初级处理，分类包装放置周转箱内。</w:t>
            </w:r>
          </w:p>
          <w:p w14:paraId="6F85971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（5）交接有签名，统计无错误，表格材料无遗失。   </w:t>
            </w:r>
          </w:p>
          <w:p w14:paraId="1BBE53B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（6）可回收类医疗废弃物无私自截留、无流失。</w:t>
            </w:r>
          </w:p>
          <w:p w14:paraId="7648EE2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（7）每日医疗废弃物交接三联单由科室、垃圾处理场。</w:t>
            </w:r>
          </w:p>
          <w:p w14:paraId="51DC5478">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2.工作要求（生活垃圾、医疗垃圾管理制度）</w:t>
            </w:r>
          </w:p>
          <w:p w14:paraId="4C1BA2C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（1）认真贯彻执行《中华人民共和国固体废物污染环境防治法》《医疗废物管理条例》等法律法规，进一步做好全市医疗固体废物的规范集中处置工作，防止病原体扩散。</w:t>
            </w:r>
          </w:p>
          <w:p w14:paraId="25319645">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（2）必须规范建立医疗固体废物暂存室，暂存室要有醒目标识，并要求布局分隔合理、交通便利、防风雨、防渗漏。 </w:t>
            </w:r>
          </w:p>
          <w:p w14:paraId="0DEBC0BE">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（3）专项收集人员必须穿防护套装（包括口罩、手套、水鞋、围裙等），选择垃圾的运送路线，避开人流量多的地方。装垃圾的垃圾车要直接送往指定处理区。不要把车留在走廊里。</w:t>
            </w:r>
          </w:p>
          <w:p w14:paraId="7F1810E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（4）各类垃圾每天上、下午固定各收集一次。每月3日前收集上月各科室的“医疗、生活垃圾签收表”汇编成册交由服务中心统一管理。</w:t>
            </w:r>
          </w:p>
          <w:p w14:paraId="7E1CEF79">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（5）在运送中注意安全，转弯，进出电梯时要减慢速度以便看清楚过往的人，不能用车辆碰撞电梯门及其他物体，如有撞坏需要按采购人购买价赔偿。</w:t>
            </w:r>
          </w:p>
          <w:p w14:paraId="57970F9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（6）根据标签或不同颜色垃圾袋分辨垃圾的种类。使用黄色塑料袋收集医疗废弃物，使用黑色塑料袋收集病人生活垃圾。并将不同的废弃物和生活垃圾分类存放在垃圾回收桶内。</w:t>
            </w:r>
          </w:p>
          <w:p w14:paraId="1A04722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（7）必须安排生活垃圾、医疗固体废物垃圾专用车辆及专用人员定时去收集生活垃圾、医疗固体废物垃圾。如有其他特殊情况，不能按时收集，专人应及时通知客户，并做出应急预案。</w:t>
            </w:r>
          </w:p>
          <w:p w14:paraId="77A334DA">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8）对集运车每天冲洗二次。并按客户要求进行必要的消毒。医疗固体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14:paraId="6F452FBD">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9）到科室收集医疗固体废物垃圾时，应落实专人与科室医护人员办理交接手续，登记类别、数量、重量，交接人并签字；每日一次配合与院方指定医疗废物回收单位做好交接工作，各种交接单证要签字，内容须真实有效，妥善保管，以备核查、统计和上级有关部门检查。</w:t>
            </w:r>
          </w:p>
          <w:p w14:paraId="3733728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（10）不能在工作区域内收集垃圾、纸皮等杂物，一经发现每次</w:t>
            </w:r>
            <w:r>
              <w:rPr>
                <w:rFonts w:hint="eastAsia" w:ascii="宋体" w:hAnsi="宋体" w:cs="仿宋"/>
                <w:color w:val="000000" w:themeColor="text1"/>
                <w:szCs w:val="21"/>
                <w:lang w:eastAsia="zh-CN"/>
                <w14:textFill>
                  <w14:solidFill>
                    <w14:schemeClr w14:val="tx1"/>
                  </w14:solidFill>
                </w14:textFill>
              </w:rPr>
              <w:t>扣除当月服务费</w:t>
            </w:r>
            <w:r>
              <w:rPr>
                <w:rFonts w:hint="eastAsia" w:ascii="宋体" w:hAnsi="宋体" w:cs="仿宋"/>
                <w:color w:val="000000" w:themeColor="text1"/>
                <w:szCs w:val="21"/>
                <w14:textFill>
                  <w14:solidFill>
                    <w14:schemeClr w14:val="tx1"/>
                  </w14:solidFill>
                </w14:textFill>
              </w:rPr>
              <w:t>50元；禁止转让、买卖医疗废物，一经发现，每次</w:t>
            </w:r>
            <w:r>
              <w:rPr>
                <w:rFonts w:hint="eastAsia" w:ascii="宋体" w:hAnsi="宋体" w:cs="仿宋"/>
                <w:color w:val="000000" w:themeColor="text1"/>
                <w:szCs w:val="21"/>
                <w:lang w:eastAsia="zh-CN"/>
                <w14:textFill>
                  <w14:solidFill>
                    <w14:schemeClr w14:val="tx1"/>
                  </w14:solidFill>
                </w14:textFill>
              </w:rPr>
              <w:t>扣除当月服务费</w:t>
            </w:r>
            <w:r>
              <w:rPr>
                <w:rFonts w:hint="eastAsia" w:ascii="宋体" w:hAnsi="宋体" w:cs="仿宋"/>
                <w:color w:val="000000" w:themeColor="text1"/>
                <w:szCs w:val="21"/>
                <w:highlight w:val="none"/>
                <w14:textFill>
                  <w14:solidFill>
                    <w14:schemeClr w14:val="tx1"/>
                  </w14:solidFill>
                </w14:textFill>
              </w:rPr>
              <w:t>100-200元</w:t>
            </w:r>
            <w:r>
              <w:rPr>
                <w:rFonts w:hint="eastAsia" w:ascii="宋体" w:hAnsi="宋体" w:cs="仿宋"/>
                <w:color w:val="000000" w:themeColor="text1"/>
                <w:szCs w:val="21"/>
                <w14:textFill>
                  <w14:solidFill>
                    <w14:schemeClr w14:val="tx1"/>
                  </w14:solidFill>
                </w14:textFill>
              </w:rPr>
              <w:t>，并要求</w:t>
            </w:r>
            <w:r>
              <w:rPr>
                <w:rFonts w:hint="eastAsia"/>
                <w:color w:val="000000" w:themeColor="text1"/>
                <w:szCs w:val="21"/>
                <w14:textFill>
                  <w14:solidFill>
                    <w14:schemeClr w14:val="tx1"/>
                  </w14:solidFill>
                </w14:textFill>
              </w:rPr>
              <w:t>成交</w:t>
            </w:r>
            <w:r>
              <w:rPr>
                <w:rFonts w:hint="eastAsia" w:ascii="宋体" w:hAnsi="宋体" w:cs="仿宋"/>
                <w:color w:val="000000" w:themeColor="text1"/>
                <w:szCs w:val="21"/>
                <w14:textFill>
                  <w14:solidFill>
                    <w14:schemeClr w14:val="tx1"/>
                  </w14:solidFill>
                </w14:textFill>
              </w:rPr>
              <w:t>人辞退员工，所造成的后果由</w:t>
            </w:r>
            <w:r>
              <w:rPr>
                <w:rFonts w:hint="eastAsia"/>
                <w:color w:val="000000" w:themeColor="text1"/>
                <w:szCs w:val="21"/>
                <w14:textFill>
                  <w14:solidFill>
                    <w14:schemeClr w14:val="tx1"/>
                  </w14:solidFill>
                </w14:textFill>
              </w:rPr>
              <w:t>成交</w:t>
            </w:r>
            <w:r>
              <w:rPr>
                <w:rFonts w:hint="eastAsia" w:ascii="宋体" w:hAnsi="宋体" w:cs="仿宋"/>
                <w:color w:val="000000" w:themeColor="text1"/>
                <w:szCs w:val="21"/>
                <w14:textFill>
                  <w14:solidFill>
                    <w14:schemeClr w14:val="tx1"/>
                  </w14:solidFill>
                </w14:textFill>
              </w:rPr>
              <w:t>人全面负责。</w:t>
            </w:r>
          </w:p>
          <w:p w14:paraId="798C2861">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（11）离开医疗垃圾暂存室必须关灯、停水锁门，注意安全，如不关灯、停水或关门，造成的浪费、经济损失由</w:t>
            </w:r>
            <w:r>
              <w:rPr>
                <w:rFonts w:hint="eastAsia"/>
                <w:color w:val="000000" w:themeColor="text1"/>
                <w:szCs w:val="21"/>
                <w14:textFill>
                  <w14:solidFill>
                    <w14:schemeClr w14:val="tx1"/>
                  </w14:solidFill>
                </w14:textFill>
              </w:rPr>
              <w:t>成交</w:t>
            </w:r>
            <w:r>
              <w:rPr>
                <w:rFonts w:hint="eastAsia" w:ascii="宋体" w:hAnsi="宋体" w:cs="仿宋"/>
                <w:color w:val="000000" w:themeColor="text1"/>
                <w:szCs w:val="21"/>
                <w14:textFill>
                  <w14:solidFill>
                    <w14:schemeClr w14:val="tx1"/>
                  </w14:solidFill>
                </w14:textFill>
              </w:rPr>
              <w:t>人负责，除此还</w:t>
            </w:r>
            <w:r>
              <w:rPr>
                <w:rFonts w:hint="eastAsia" w:ascii="宋体" w:hAnsi="宋体" w:cs="仿宋"/>
                <w:color w:val="000000" w:themeColor="text1"/>
                <w:szCs w:val="21"/>
                <w:lang w:eastAsia="zh-CN"/>
                <w14:textFill>
                  <w14:solidFill>
                    <w14:schemeClr w14:val="tx1"/>
                  </w14:solidFill>
                </w14:textFill>
              </w:rPr>
              <w:t>扣除当月服务费</w:t>
            </w:r>
            <w:r>
              <w:rPr>
                <w:rFonts w:hint="eastAsia" w:ascii="宋体" w:hAnsi="宋体" w:cs="仿宋"/>
                <w:color w:val="000000" w:themeColor="text1"/>
                <w:szCs w:val="21"/>
                <w:highlight w:val="none"/>
                <w14:textFill>
                  <w14:solidFill>
                    <w14:schemeClr w14:val="tx1"/>
                  </w14:solidFill>
                </w14:textFill>
              </w:rPr>
              <w:t>100-500元</w:t>
            </w:r>
            <w:r>
              <w:rPr>
                <w:rFonts w:hint="eastAsia" w:ascii="宋体" w:hAnsi="宋体" w:cs="仿宋"/>
                <w:color w:val="000000" w:themeColor="text1"/>
                <w:szCs w:val="21"/>
                <w14:textFill>
                  <w14:solidFill>
                    <w14:schemeClr w14:val="tx1"/>
                  </w14:solidFill>
                </w14:textFill>
              </w:rPr>
              <w:t>。</w:t>
            </w:r>
          </w:p>
          <w:p w14:paraId="31FBF530">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（12）不能在未经医院的同意下私自让第三方单位存放、收集任何垃圾、设备、材料等物品，一经发现每次</w:t>
            </w:r>
            <w:r>
              <w:rPr>
                <w:rFonts w:hint="eastAsia" w:ascii="宋体" w:hAnsi="宋体" w:cs="仿宋"/>
                <w:color w:val="000000" w:themeColor="text1"/>
                <w:szCs w:val="21"/>
                <w:lang w:eastAsia="zh-CN"/>
                <w14:textFill>
                  <w14:solidFill>
                    <w14:schemeClr w14:val="tx1"/>
                  </w14:solidFill>
                </w14:textFill>
              </w:rPr>
              <w:t>扣除当月服务费</w:t>
            </w:r>
            <w:r>
              <w:rPr>
                <w:rFonts w:hint="eastAsia" w:ascii="宋体" w:hAnsi="宋体" w:cs="仿宋"/>
                <w:color w:val="000000" w:themeColor="text1"/>
                <w:szCs w:val="21"/>
                <w:highlight w:val="none"/>
                <w14:textFill>
                  <w14:solidFill>
                    <w14:schemeClr w14:val="tx1"/>
                  </w14:solidFill>
                </w14:textFill>
              </w:rPr>
              <w:t>100-500元</w:t>
            </w:r>
            <w:r>
              <w:rPr>
                <w:rFonts w:hint="eastAsia" w:ascii="宋体" w:hAnsi="宋体" w:cs="仿宋"/>
                <w:color w:val="000000" w:themeColor="text1"/>
                <w:szCs w:val="21"/>
                <w14:textFill>
                  <w14:solidFill>
                    <w14:schemeClr w14:val="tx1"/>
                  </w14:solidFill>
                </w14:textFill>
              </w:rPr>
              <w:t>。</w:t>
            </w:r>
          </w:p>
          <w:p w14:paraId="4754BD0E">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（13）医疗废物分五类：感染性废物/病理性废物/损伤性废物/药物性废物/化学性废物等；</w:t>
            </w:r>
          </w:p>
          <w:p w14:paraId="2363666E">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（14）医疗废物发生流失/泄漏/扩散等意外事故时，应当按照医院应急预案做好应急措施。</w:t>
            </w:r>
          </w:p>
          <w:p w14:paraId="321EF6D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成交</w:t>
            </w:r>
            <w:r>
              <w:rPr>
                <w:rFonts w:hint="eastAsia" w:ascii="宋体" w:hAnsi="宋体" w:cs="仿宋"/>
                <w:color w:val="000000" w:themeColor="text1"/>
                <w:szCs w:val="21"/>
                <w14:textFill>
                  <w14:solidFill>
                    <w14:schemeClr w14:val="tx1"/>
                  </w14:solidFill>
                </w14:textFill>
              </w:rPr>
              <w:t>人对从业人员应做到严格要求、规范管理，并制定切实可行的工作制度，加强相关法律和专业技术、安全防护以及紧急处理等知识培训，熟悉本岗位工作流程和规范要求，做到规范收集、处置。</w:t>
            </w:r>
          </w:p>
          <w:p w14:paraId="4A8592B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14:textFill>
                  <w14:solidFill>
                    <w14:schemeClr w14:val="tx1"/>
                  </w14:solidFill>
                </w14:textFill>
              </w:rPr>
              <w:t>（16）当发现医疗废物遗失时，应及时汇报，程序如下：发现人 → 项目经理→采购人主管科室。</w:t>
            </w:r>
          </w:p>
          <w:p w14:paraId="5ABF742F">
            <w:pPr>
              <w:keepNext/>
              <w:keepLines/>
              <w:pageBreakBefore w:val="0"/>
              <w:kinsoku/>
              <w:wordWrap/>
              <w:overflowPunct/>
              <w:topLinePunct w:val="0"/>
              <w:autoSpaceDE/>
              <w:autoSpaceDN/>
              <w:bidi w:val="0"/>
              <w:adjustRightIn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（五）绿化养护管理标准及要求</w:t>
            </w:r>
          </w:p>
          <w:p w14:paraId="5744CBF9">
            <w:pPr>
              <w:pageBreakBefore w:val="0"/>
              <w:kinsoku/>
              <w:wordWrap/>
              <w:overflowPunct/>
              <w:topLinePunct w:val="0"/>
              <w:autoSpaceDE/>
              <w:autoSpaceDN/>
              <w:bidi w:val="0"/>
              <w:adjustRightInd/>
              <w:spacing w:line="360" w:lineRule="exact"/>
              <w:ind w:firstLine="420" w:firstLineChars="200"/>
              <w:textAlignment w:val="auto"/>
              <w:rPr>
                <w:rFonts w:hint="default" w:ascii="宋体" w:hAnsi="宋体" w:cs="仿宋" w:eastAsiaTheme="minorEastAsia"/>
                <w:color w:val="000000" w:themeColor="text1"/>
                <w:szCs w:val="21"/>
                <w:lang w:val="en-US" w:eastAsia="zh-CN"/>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负责所有绿化的修剪造型、施肥、防病虫害、日常养护。要求绿植修剪、养护及时，保证各种绿植的正常生长</w:t>
            </w:r>
            <w:r>
              <w:rPr>
                <w:rFonts w:hint="eastAsia" w:ascii="宋体" w:hAnsi="宋体" w:cs="仿宋"/>
                <w:color w:val="000000" w:themeColor="text1"/>
                <w:szCs w:val="21"/>
                <w:lang w:eastAsia="zh-CN"/>
                <w14:textFill>
                  <w14:solidFill>
                    <w14:schemeClr w14:val="tx1"/>
                  </w14:solidFill>
                </w14:textFill>
              </w:rPr>
              <w:t>，</w:t>
            </w:r>
            <w:r>
              <w:rPr>
                <w:rFonts w:hint="eastAsia" w:ascii="宋体" w:hAnsi="宋体" w:cs="仿宋"/>
                <w:color w:val="000000" w:themeColor="text1"/>
                <w:szCs w:val="21"/>
                <w:lang w:val="en-US" w:eastAsia="zh-CN"/>
                <w14:textFill>
                  <w14:solidFill>
                    <w14:schemeClr w14:val="tx1"/>
                  </w14:solidFill>
                </w14:textFill>
              </w:rPr>
              <w:t>具备有园林管理经验。</w:t>
            </w:r>
          </w:p>
          <w:p w14:paraId="2EF7DE52">
            <w:pPr>
              <w:keepNext/>
              <w:keepLines/>
              <w:spacing w:line="320" w:lineRule="exact"/>
              <w:ind w:firstLine="422" w:firstLineChars="200"/>
              <w:outlineLvl w:val="2"/>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（六）太平间管理标准及要求</w:t>
            </w:r>
          </w:p>
          <w:p w14:paraId="53DE441F">
            <w:pPr>
              <w:spacing w:line="36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负责从病房转运尸体到太平间暂存、做好核对交接登记、清洁卫生及安全管理等，所需转运工具由中标人负责。因管理不当出现纠纷或其他问题由中标人负责。</w:t>
            </w:r>
          </w:p>
          <w:p w14:paraId="00D4BE24">
            <w:pPr>
              <w:keepNext/>
              <w:keepLines/>
              <w:pageBreakBefore w:val="0"/>
              <w:widowControl w:val="0"/>
              <w:kinsoku/>
              <w:wordWrap/>
              <w:overflowPunct/>
              <w:topLinePunct w:val="0"/>
              <w:autoSpaceDE/>
              <w:autoSpaceDN/>
              <w:bidi w:val="0"/>
              <w:adjustRightInd/>
              <w:snapToGrid/>
              <w:spacing w:line="360" w:lineRule="exact"/>
              <w:ind w:firstLine="422" w:firstLineChars="200"/>
              <w:textAlignment w:val="auto"/>
              <w:outlineLvl w:val="2"/>
              <w:rPr>
                <w:rFonts w:hint="eastAsia"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lang w:eastAsia="zh-CN"/>
                <w14:textFill>
                  <w14:solidFill>
                    <w14:schemeClr w14:val="tx1"/>
                  </w14:solidFill>
                </w14:textFill>
              </w:rPr>
              <w:t>（</w:t>
            </w:r>
            <w:r>
              <w:rPr>
                <w:rFonts w:hint="eastAsia" w:ascii="宋体" w:hAnsi="宋体" w:cs="仿宋"/>
                <w:b/>
                <w:bCs/>
                <w:color w:val="000000" w:themeColor="text1"/>
                <w:kern w:val="0"/>
                <w:szCs w:val="21"/>
                <w:lang w:val="en-US" w:eastAsia="zh-CN"/>
                <w14:textFill>
                  <w14:solidFill>
                    <w14:schemeClr w14:val="tx1"/>
                  </w14:solidFill>
                </w14:textFill>
              </w:rPr>
              <w:t>七</w:t>
            </w:r>
            <w:r>
              <w:rPr>
                <w:rFonts w:hint="eastAsia" w:ascii="宋体" w:hAnsi="宋体" w:cs="仿宋"/>
                <w:b/>
                <w:bCs/>
                <w:color w:val="000000" w:themeColor="text1"/>
                <w:kern w:val="0"/>
                <w:szCs w:val="21"/>
                <w:lang w:eastAsia="zh-CN"/>
                <w14:textFill>
                  <w14:solidFill>
                    <w14:schemeClr w14:val="tx1"/>
                  </w14:solidFill>
                </w14:textFill>
              </w:rPr>
              <w:t>）</w:t>
            </w:r>
            <w:r>
              <w:rPr>
                <w:rFonts w:hint="eastAsia" w:ascii="宋体" w:hAnsi="宋体" w:cs="仿宋"/>
                <w:b/>
                <w:bCs/>
                <w:color w:val="000000" w:themeColor="text1"/>
                <w:kern w:val="0"/>
                <w:szCs w:val="21"/>
                <w14:textFill>
                  <w14:solidFill>
                    <w14:schemeClr w14:val="tx1"/>
                  </w14:solidFill>
                </w14:textFill>
              </w:rPr>
              <w:t>洗涤服务标准及要求</w:t>
            </w:r>
          </w:p>
          <w:p w14:paraId="1EB648CB">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1.负责医院病人衣服、被单和医护人员的一般工作服清洗消毒工作，但不负责手术衣等手术灭菌物品的灭菌处理。</w:t>
            </w:r>
          </w:p>
          <w:p w14:paraId="1C937DD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2.洗衣房划分为污染区（收集、分拣、清点、处理及清洗衣服、被单）及清洁区（供晾或烘干、缝补、 折叠、储存及发送洗净衣被）。污染衣被未经洗涤不得进入清洁通道及清洁区，各区受污染程度不同，消毒方法也不同。</w:t>
            </w:r>
          </w:p>
          <w:p w14:paraId="424BC76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3.衣被的洗涤消毒病人衣被和医护工作人员的工作服必须分机或分批洗涤。婴儿衣被应单独洗涤，不可与其他衣被混洗。根据衣被受污染程度可分别专机洗涤，特别是传染病人（肝炎、结核等），烧伤病人的衣服应专机洗涤，无条件时也应先洗工作人员的工作服，帽子和口罩；再洗一般病人衣被，最后洗传染性病人、烧伤病人的衣被。</w:t>
            </w:r>
          </w:p>
          <w:p w14:paraId="2B626ED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4.一般衣被的洗涤消毒：一般衣被指无明显污染及无传染性的衣被，将衣被收集袋打开，棉质衣被用 70℃以上温度（化纤衣被只宜 40℃-45℃） 在洗衣机内清洗，再用清水漂洗。</w:t>
            </w:r>
          </w:p>
          <w:p w14:paraId="6F7021F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5.传染病房和烧伤病房的衣被：必须用含有效氯 500mg/L 的消毒洗衣粉溶液浸泡 10 分钟后洗涤，然后 用清水漂净。</w:t>
            </w:r>
          </w:p>
          <w:p w14:paraId="5EF1675E">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6.有传染性的衣被：有明显血、脓、便污染的衣被，视为传染性的衣被。在用热水洗涤前，先用冷洗 涤液或 1%－2%冷碱水将血、脓、便等有机物洗净，将该洗液煮沸，再进行洗涤消毒。</w:t>
            </w:r>
          </w:p>
          <w:p w14:paraId="3690343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7.衣被储存：应晾（烘）干、熨烫、折叠、储存衣被。对工作人员和病人衣被；一般污染和有传染性 的衣被洗涤消毒后应分区或分批晾（烘）干、熨烫、折叠和储存，不宜混杂。熨烫时要特别注意承受或易受污染之处。新生儿、婴儿衣被应有专用烘干、熨烫、折叠。储存衣被处，不可与其他衣被混淆。</w:t>
            </w:r>
          </w:p>
          <w:p w14:paraId="3ADF9BD4">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仿宋"/>
                <w:snapToGrid w:val="0"/>
                <w:color w:val="000000" w:themeColor="text1"/>
                <w:kern w:val="0"/>
                <w:szCs w:val="21"/>
                <w14:textFill>
                  <w14:solidFill>
                    <w14:schemeClr w14:val="tx1"/>
                  </w14:solidFill>
                </w14:textFill>
              </w:rPr>
            </w:pPr>
            <w:r>
              <w:rPr>
                <w:rFonts w:hint="eastAsia" w:ascii="宋体" w:hAnsi="宋体" w:cs="仿宋"/>
                <w:snapToGrid w:val="0"/>
                <w:color w:val="000000" w:themeColor="text1"/>
                <w:kern w:val="0"/>
                <w:szCs w:val="21"/>
                <w14:textFill>
                  <w14:solidFill>
                    <w14:schemeClr w14:val="tx1"/>
                  </w14:solidFill>
                </w14:textFill>
              </w:rPr>
              <w:t>8.洗衣（池）机的消毒：洗衣（池）机洗衣后，特别是洗可能有传染性的衣被后，应用 90℃以上的热水或加消毒剂消毒。</w:t>
            </w:r>
          </w:p>
          <w:p w14:paraId="04A58298">
            <w:pPr>
              <w:pStyle w:val="8"/>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cs="宋体"/>
                <w:b/>
                <w:bCs/>
                <w:color w:val="000000" w:themeColor="text1"/>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w:t>
            </w:r>
            <w:r>
              <w:rPr>
                <w:rFonts w:hint="eastAsia" w:ascii="宋体" w:hAnsi="宋体" w:cs="仿宋"/>
                <w:b/>
                <w:bCs/>
                <w:color w:val="000000" w:themeColor="text1"/>
                <w:kern w:val="0"/>
                <w:szCs w:val="21"/>
                <w:lang w:val="en-US" w:eastAsia="zh-CN"/>
                <w14:textFill>
                  <w14:solidFill>
                    <w14:schemeClr w14:val="tx1"/>
                  </w14:solidFill>
                </w14:textFill>
              </w:rPr>
              <w:t>八</w:t>
            </w:r>
            <w:r>
              <w:rPr>
                <w:rFonts w:hint="eastAsia" w:ascii="宋体" w:hAnsi="宋体" w:cs="仿宋"/>
                <w:b/>
                <w:bCs/>
                <w:color w:val="000000" w:themeColor="text1"/>
                <w:kern w:val="0"/>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秩序员</w:t>
            </w:r>
          </w:p>
          <w:p w14:paraId="0931BFED">
            <w:pPr>
              <w:pStyle w:val="8"/>
              <w:keepNext w:val="0"/>
              <w:keepLines w:val="0"/>
              <w:pageBreakBefore w:val="0"/>
              <w:widowControl w:val="0"/>
              <w:kinsoku/>
              <w:wordWrap/>
              <w:overflowPunct/>
              <w:topLinePunct w:val="0"/>
              <w:autoSpaceDE/>
              <w:autoSpaceDN/>
              <w:bidi w:val="0"/>
              <w:adjustRightInd/>
              <w:snapToGrid/>
              <w:spacing w:after="0" w:line="360" w:lineRule="exact"/>
              <w:ind w:firstLine="632" w:firstLineChars="300"/>
              <w:textAlignment w:val="auto"/>
              <w:rPr>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1.工作要求</w:t>
            </w:r>
          </w:p>
          <w:p w14:paraId="78271F5F">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秩序员</w:t>
            </w:r>
            <w:r>
              <w:rPr>
                <w:rFonts w:hint="eastAsia" w:ascii="宋体" w:hAnsi="宋体" w:cs="宋体"/>
                <w:color w:val="000000" w:themeColor="text1"/>
                <w:szCs w:val="21"/>
                <w14:textFill>
                  <w14:solidFill>
                    <w14:schemeClr w14:val="tx1"/>
                  </w14:solidFill>
                </w14:textFill>
              </w:rPr>
              <w:t>要有良好的职业道德和服务态度，对医务人员和家属要以礼相待，着装统一，动作规范，文明礼貌，形象良好。</w:t>
            </w:r>
          </w:p>
          <w:p w14:paraId="37F865DB">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（2）服从医院领导的工作安排，接受医院的监督和检查，医院有权要求更换工作态度不好，工作能力差的</w:t>
            </w:r>
            <w:r>
              <w:rPr>
                <w:rFonts w:hint="eastAsia" w:ascii="宋体" w:hAnsi="宋体" w:cs="宋体"/>
                <w:color w:val="000000" w:themeColor="text1"/>
                <w:szCs w:val="21"/>
                <w:lang w:eastAsia="zh-CN"/>
                <w14:textFill>
                  <w14:solidFill>
                    <w14:schemeClr w14:val="tx1"/>
                  </w14:solidFill>
                </w14:textFill>
              </w:rPr>
              <w:t>秩序员</w:t>
            </w:r>
            <w:r>
              <w:rPr>
                <w:rFonts w:hint="eastAsia" w:ascii="宋体" w:hAnsi="宋体" w:cs="宋体"/>
                <w:color w:val="000000" w:themeColor="text1"/>
                <w:szCs w:val="21"/>
                <w14:textFill>
                  <w14:solidFill>
                    <w14:schemeClr w14:val="tx1"/>
                  </w14:solidFill>
                </w14:textFill>
              </w:rPr>
              <w:t>。</w:t>
            </w:r>
          </w:p>
          <w:p w14:paraId="59ECCA40">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秩序员</w:t>
            </w:r>
            <w:r>
              <w:rPr>
                <w:rFonts w:hint="eastAsia" w:ascii="宋体" w:hAnsi="宋体" w:cs="宋体"/>
                <w:color w:val="000000" w:themeColor="text1"/>
                <w:szCs w:val="21"/>
                <w14:textFill>
                  <w14:solidFill>
                    <w14:schemeClr w14:val="tx1"/>
                  </w14:solidFill>
                </w14:textFill>
              </w:rPr>
              <w:t>实行准军事化管理，要做到在院24小时值守制，不断提高人员素质，要求对</w:t>
            </w:r>
            <w:r>
              <w:rPr>
                <w:rFonts w:hint="eastAsia" w:ascii="宋体" w:hAnsi="宋体" w:cs="宋体"/>
                <w:color w:val="000000" w:themeColor="text1"/>
                <w:szCs w:val="21"/>
                <w:lang w:eastAsia="zh-CN"/>
                <w14:textFill>
                  <w14:solidFill>
                    <w14:schemeClr w14:val="tx1"/>
                  </w14:solidFill>
                </w14:textFill>
              </w:rPr>
              <w:t>秩序员</w:t>
            </w:r>
            <w:r>
              <w:rPr>
                <w:rFonts w:hint="eastAsia" w:ascii="宋体" w:hAnsi="宋体" w:cs="宋体"/>
                <w:color w:val="000000" w:themeColor="text1"/>
                <w:szCs w:val="21"/>
                <w14:textFill>
                  <w14:solidFill>
                    <w14:schemeClr w14:val="tx1"/>
                  </w14:solidFill>
                </w14:textFill>
              </w:rPr>
              <w:t>进行培训、检查和考核，提高工作质量。</w:t>
            </w:r>
          </w:p>
          <w:p w14:paraId="419A1F97">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秩序员</w:t>
            </w:r>
            <w:r>
              <w:rPr>
                <w:rFonts w:hint="eastAsia" w:ascii="宋体" w:hAnsi="宋体" w:cs="宋体"/>
                <w:color w:val="000000" w:themeColor="text1"/>
                <w:szCs w:val="21"/>
                <w14:textFill>
                  <w14:solidFill>
                    <w14:schemeClr w14:val="tx1"/>
                  </w14:solidFill>
                </w14:textFill>
              </w:rPr>
              <w:t>实行24小时值班制，并保证满员上岗，能合理安排机动人员，以应对节假日出现的人员不足问题，以保证不空岗。</w:t>
            </w:r>
          </w:p>
          <w:p w14:paraId="143D13FF">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（5）负责医院的消防，组织</w:t>
            </w:r>
            <w:r>
              <w:rPr>
                <w:rFonts w:hint="eastAsia" w:ascii="宋体" w:hAnsi="宋体" w:cs="宋体"/>
                <w:color w:val="000000" w:themeColor="text1"/>
                <w:szCs w:val="21"/>
                <w:lang w:eastAsia="zh-CN"/>
                <w14:textFill>
                  <w14:solidFill>
                    <w14:schemeClr w14:val="tx1"/>
                  </w14:solidFill>
                </w14:textFill>
              </w:rPr>
              <w:t>秩序员</w:t>
            </w:r>
            <w:r>
              <w:rPr>
                <w:rFonts w:hint="eastAsia" w:ascii="宋体" w:hAnsi="宋体" w:cs="宋体"/>
                <w:color w:val="000000" w:themeColor="text1"/>
                <w:szCs w:val="21"/>
                <w14:textFill>
                  <w14:solidFill>
                    <w14:schemeClr w14:val="tx1"/>
                  </w14:solidFill>
                </w14:textFill>
              </w:rPr>
              <w:t>经常参加消防知识培训及学习基本操作规程，不断提高对医院消防安全的认识和实际技能的操作，一旦出现火情，第一时间赶赴现场并能有效正确的实施灭火。</w:t>
            </w:r>
          </w:p>
          <w:p w14:paraId="3E8DDF6A">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（6）负责医院的治安安全，定时巡查（每2小时1次）全院区域，重点监控门急诊、挂号收费处、住院处、药房、病房、停车场及其他公共区域。</w:t>
            </w:r>
          </w:p>
          <w:p w14:paraId="7490E8E9">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医院医务人员工作时间的人身安全，一旦出现医患纠纷，保证第一时间赶赴现场维护秩序，独立并有效制止在工作区域烧纸、摆花圈、拉横幅、设灵堂等影响医院形象，干扰医疗秩序的行为，能积极配合、协助公安机关处理相关事件。在上述工作过程中，如出现法律纠纷或酿成治安事件，由成交单位独自承担相对应法律责任和后果，与采购单位无关。</w:t>
            </w:r>
          </w:p>
          <w:p w14:paraId="5D82A901">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（8）负责维护医院的正常秩序，协助公安机关打击违法犯罪分子，尤其是对反恐、伤医、医托、盗窃分子和个人暴力等行为。</w:t>
            </w:r>
          </w:p>
          <w:p w14:paraId="2549AC8D">
            <w:pPr>
              <w:pStyle w:val="8"/>
              <w:keepNext w:val="0"/>
              <w:keepLines w:val="0"/>
              <w:pageBreakBefore w:val="0"/>
              <w:widowControl w:val="0"/>
              <w:kinsoku/>
              <w:wordWrap/>
              <w:overflowPunct/>
              <w:topLinePunct w:val="0"/>
              <w:autoSpaceDE/>
              <w:autoSpaceDN/>
              <w:bidi w:val="0"/>
              <w:adjustRightInd/>
              <w:snapToGrid/>
              <w:spacing w:after="0" w:line="360" w:lineRule="exact"/>
              <w:ind w:firstLine="632" w:firstLineChars="300"/>
              <w:textAlignment w:val="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2.特别要求</w:t>
            </w:r>
          </w:p>
          <w:p w14:paraId="36BCD2E1">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（1）按要求查验相关人员和车辆的通行证；</w:t>
            </w:r>
          </w:p>
          <w:p w14:paraId="51F56F27">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（2）能按照规定接待来访人员；</w:t>
            </w:r>
          </w:p>
          <w:p w14:paraId="4B50129D">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（3）能指挥、疏导人员与车辆，确保院内通路畅通；</w:t>
            </w:r>
          </w:p>
          <w:p w14:paraId="79B1B451">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（4）能及时发现异常情况并及时报告；</w:t>
            </w:r>
          </w:p>
          <w:p w14:paraId="71929DF8">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（5）能识别报警信号，并使用对讲机、电话、有线和无线按钮、键盘等常用报警设备报警；</w:t>
            </w:r>
          </w:p>
          <w:p w14:paraId="01A56182">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（6）能清理目标区域内无关人员和可疑物品；</w:t>
            </w:r>
          </w:p>
          <w:p w14:paraId="637D4546">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（7）能发现火险、水电气泄漏、盗窃等安全隐患并及时报告；</w:t>
            </w:r>
          </w:p>
          <w:p w14:paraId="40022A9B">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（8）能徒手或使用常用保安器械进行防护；</w:t>
            </w:r>
          </w:p>
          <w:p w14:paraId="7884B8E6">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（9）能使用消火栓、灭火器等消防器材灭火；</w:t>
            </w:r>
          </w:p>
          <w:p w14:paraId="30F95CC0">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（10）能按规定设置隔离区保护案件、事故现场；</w:t>
            </w:r>
          </w:p>
          <w:p w14:paraId="53C1ED41">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（11）能按照预定方案巡逻；</w:t>
            </w:r>
          </w:p>
          <w:p w14:paraId="3B5FCC9C">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（12）能使用有线、无线等通讯器材进行联络；</w:t>
            </w:r>
          </w:p>
          <w:p w14:paraId="37E01F9E">
            <w:pPr>
              <w:pStyle w:val="8"/>
              <w:pageBreakBefore w:val="0"/>
              <w:kinsoku/>
              <w:wordWrap/>
              <w:overflowPunct/>
              <w:topLinePunct w:val="0"/>
              <w:autoSpaceDE/>
              <w:autoSpaceDN/>
              <w:bidi w:val="0"/>
              <w:adjustRightInd/>
              <w:spacing w:line="360" w:lineRule="exact"/>
              <w:ind w:firstLine="420" w:firstLineChars="200"/>
              <w:textAlignment w:val="auto"/>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（13）能按规定格式填写巡逻</w:t>
            </w:r>
            <w:r>
              <w:rPr>
                <w:rFonts w:hint="eastAsia" w:ascii="宋体" w:hAnsi="宋体" w:cs="宋体"/>
                <w:color w:val="000000" w:themeColor="text1"/>
                <w:szCs w:val="21"/>
                <w:lang w:val="en-US" w:eastAsia="zh-CN"/>
                <w14:textFill>
                  <w14:solidFill>
                    <w14:schemeClr w14:val="tx1"/>
                  </w14:solidFill>
                </w14:textFill>
              </w:rPr>
              <w:t>记</w:t>
            </w:r>
            <w:r>
              <w:rPr>
                <w:rFonts w:hint="eastAsia" w:ascii="宋体" w:hAnsi="宋体" w:cs="宋体"/>
                <w:color w:val="000000" w:themeColor="text1"/>
                <w:szCs w:val="21"/>
                <w14:textFill>
                  <w14:solidFill>
                    <w14:schemeClr w14:val="tx1"/>
                  </w14:solidFill>
                </w14:textFill>
              </w:rPr>
              <w:t>录并规范交接班。</w:t>
            </w:r>
          </w:p>
          <w:p w14:paraId="25249CD3">
            <w:pPr>
              <w:numPr>
                <w:ilvl w:val="0"/>
                <w:numId w:val="0"/>
              </w:numPr>
              <w:spacing w:line="240" w:lineRule="auto"/>
              <w:rPr>
                <w:rFonts w:hint="eastAsia" w:ascii="宋体" w:hAnsi="宋体" w:cs="仿宋"/>
                <w:b/>
                <w:bCs/>
                <w:color w:val="000000"/>
                <w:kern w:val="0"/>
                <w:sz w:val="24"/>
                <w:szCs w:val="24"/>
              </w:rPr>
            </w:pPr>
            <w:r>
              <w:rPr>
                <w:rFonts w:hint="eastAsia" w:ascii="宋体" w:hAnsi="宋体" w:cs="仿宋"/>
                <w:b/>
                <w:bCs/>
                <w:color w:val="000000"/>
                <w:kern w:val="0"/>
                <w:sz w:val="24"/>
                <w:szCs w:val="24"/>
                <w:lang w:val="en-US" w:eastAsia="zh-CN" w:bidi="ar-SA"/>
              </w:rPr>
              <w:t>四</w:t>
            </w:r>
            <w:r>
              <w:rPr>
                <w:rFonts w:hint="eastAsia" w:ascii="宋体" w:hAnsi="宋体" w:eastAsia="宋体" w:cs="仿宋"/>
                <w:b/>
                <w:bCs/>
                <w:color w:val="000000"/>
                <w:kern w:val="0"/>
                <w:sz w:val="24"/>
                <w:szCs w:val="24"/>
                <w:lang w:val="en-US" w:eastAsia="zh-CN" w:bidi="ar-SA"/>
              </w:rPr>
              <w:t>、</w:t>
            </w:r>
            <w:r>
              <w:rPr>
                <w:rFonts w:hint="eastAsia" w:ascii="宋体" w:hAnsi="宋体" w:cs="仿宋"/>
                <w:b/>
                <w:bCs/>
                <w:color w:val="000000"/>
                <w:kern w:val="0"/>
                <w:sz w:val="24"/>
                <w:szCs w:val="24"/>
              </w:rPr>
              <w:t>保障响应</w:t>
            </w:r>
          </w:p>
          <w:p w14:paraId="0D9856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（一）管理人员接到工作任务后，及时安排相关人员立即到位，满足临床服务需求。</w:t>
            </w:r>
          </w:p>
          <w:p w14:paraId="706C2C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（二）管理人员接到投诉后，立即赶到现场调查解决。应在一个工作日给予答复。</w:t>
            </w:r>
          </w:p>
          <w:p w14:paraId="7303BC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（三）采购人相关质控人员（包括便民服务回访）发现工作质量问题，收到反馈后及时整改，在一周内把整改结果反馈给对方。</w:t>
            </w:r>
          </w:p>
          <w:p w14:paraId="4238B5D9">
            <w:pPr>
              <w:numPr>
                <w:ilvl w:val="0"/>
                <w:numId w:val="0"/>
              </w:numPr>
              <w:spacing w:line="240" w:lineRule="auto"/>
              <w:rPr>
                <w:rFonts w:hint="eastAsia" w:ascii="宋体" w:hAnsi="宋体" w:cs="仿宋"/>
                <w:b/>
                <w:bCs/>
                <w:color w:val="000000"/>
                <w:kern w:val="0"/>
                <w:sz w:val="24"/>
                <w:szCs w:val="24"/>
              </w:rPr>
            </w:pPr>
            <w:r>
              <w:rPr>
                <w:rFonts w:hint="eastAsia" w:ascii="宋体" w:hAnsi="宋体" w:cs="仿宋"/>
                <w:b/>
                <w:bCs/>
                <w:color w:val="000000"/>
                <w:kern w:val="0"/>
                <w:sz w:val="24"/>
                <w:szCs w:val="24"/>
                <w:lang w:val="en-US" w:eastAsia="zh-CN" w:bidi="ar-SA"/>
              </w:rPr>
              <w:t>五</w:t>
            </w:r>
            <w:r>
              <w:rPr>
                <w:rFonts w:hint="eastAsia" w:ascii="宋体" w:hAnsi="宋体" w:eastAsia="宋体" w:cs="仿宋"/>
                <w:b/>
                <w:bCs/>
                <w:color w:val="000000"/>
                <w:kern w:val="0"/>
                <w:sz w:val="24"/>
                <w:szCs w:val="24"/>
                <w:lang w:val="en-US" w:eastAsia="zh-CN" w:bidi="ar-SA"/>
              </w:rPr>
              <w:t>、</w:t>
            </w:r>
            <w:r>
              <w:rPr>
                <w:rFonts w:hint="eastAsia" w:ascii="宋体" w:hAnsi="宋体" w:cs="仿宋"/>
                <w:b/>
                <w:bCs/>
                <w:color w:val="000000"/>
                <w:kern w:val="0"/>
                <w:sz w:val="24"/>
                <w:szCs w:val="24"/>
              </w:rPr>
              <w:t>专项管理要求</w:t>
            </w:r>
          </w:p>
          <w:p w14:paraId="7E2C95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（一）禁烟管理：根据“无烟医院”的要求，确保医院就诊环境的优良，保洁员须严格履行禁烟管理员的职责。保洁员须佩戴禁烟管理标识，对在院内吸烟的人员进行劝导。</w:t>
            </w:r>
          </w:p>
          <w:p w14:paraId="08B4FC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（二）重大活动应急保洁：如遇采购人有重大检查或节庆活动，</w:t>
            </w:r>
            <w:r>
              <w:rPr>
                <w:rFonts w:hint="eastAsia"/>
                <w:szCs w:val="21"/>
              </w:rPr>
              <w:t>成交</w:t>
            </w:r>
            <w:r>
              <w:rPr>
                <w:rFonts w:hint="eastAsia" w:ascii="宋体" w:hAnsi="宋体" w:cs="仿宋"/>
                <w:snapToGrid w:val="0"/>
                <w:color w:val="000000"/>
                <w:kern w:val="0"/>
                <w:szCs w:val="21"/>
              </w:rPr>
              <w:t>人必须全力以赴进行保洁人员调配，确保采购人的活动顺利进行；如</w:t>
            </w:r>
            <w:r>
              <w:rPr>
                <w:rFonts w:hint="eastAsia"/>
                <w:szCs w:val="21"/>
              </w:rPr>
              <w:t>成交</w:t>
            </w:r>
            <w:r>
              <w:rPr>
                <w:rFonts w:hint="eastAsia" w:ascii="宋体" w:hAnsi="宋体" w:cs="仿宋"/>
                <w:snapToGrid w:val="0"/>
                <w:color w:val="000000"/>
                <w:kern w:val="0"/>
                <w:szCs w:val="21"/>
              </w:rPr>
              <w:t>人在采购人应急保洁工作中不到位，导致检查不过关或采购人被通报批评的情况，则扣除</w:t>
            </w:r>
            <w:r>
              <w:rPr>
                <w:rFonts w:hint="eastAsia"/>
                <w:szCs w:val="21"/>
              </w:rPr>
              <w:t>成交</w:t>
            </w:r>
            <w:r>
              <w:rPr>
                <w:rFonts w:hint="eastAsia" w:ascii="宋体" w:hAnsi="宋体" w:cs="仿宋"/>
                <w:snapToGrid w:val="0"/>
                <w:color w:val="000000"/>
                <w:kern w:val="0"/>
                <w:szCs w:val="21"/>
              </w:rPr>
              <w:t>人</w:t>
            </w:r>
            <w:r>
              <w:rPr>
                <w:rFonts w:hint="eastAsia" w:ascii="宋体" w:hAnsi="宋体" w:cs="仿宋"/>
                <w:snapToGrid w:val="0"/>
                <w:color w:val="000000"/>
                <w:kern w:val="0"/>
                <w:szCs w:val="21"/>
                <w:lang w:val="en-US" w:eastAsia="zh-CN"/>
              </w:rPr>
              <w:t>当月服务费</w:t>
            </w:r>
            <w:r>
              <w:rPr>
                <w:rFonts w:hint="eastAsia" w:ascii="宋体" w:hAnsi="宋体" w:cs="仿宋"/>
                <w:snapToGrid w:val="0"/>
                <w:color w:val="000000"/>
                <w:kern w:val="0"/>
                <w:szCs w:val="21"/>
              </w:rPr>
              <w:t>1000-2000元/次。未尽事宜，双方协商解决。</w:t>
            </w:r>
          </w:p>
          <w:p w14:paraId="57A83E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三）院感防控措施：竞标人应根据项目特点，制定并实施针对各感染种类（包括但不限于多重耐药菌、各类传染病、职业暴露）以及采购人各特殊区域（包括但不限于手术室、ICU）的有效感控措施。发生职业暴露所要进行的血液追踪及预防用药费用由</w:t>
            </w:r>
            <w:r>
              <w:rPr>
                <w:rFonts w:hint="eastAsia"/>
                <w:szCs w:val="21"/>
              </w:rPr>
              <w:t>成交</w:t>
            </w:r>
            <w:r>
              <w:rPr>
                <w:rFonts w:hint="eastAsia" w:ascii="宋体" w:hAnsi="宋体" w:cs="仿宋"/>
                <w:snapToGrid w:val="0"/>
                <w:color w:val="000000"/>
                <w:kern w:val="0"/>
                <w:szCs w:val="21"/>
              </w:rPr>
              <w:t>人负责，采购人只负责咨询指导。</w:t>
            </w:r>
          </w:p>
          <w:p w14:paraId="727BEB85">
            <w:pPr>
              <w:spacing w:line="240" w:lineRule="auto"/>
              <w:rPr>
                <w:rFonts w:hint="eastAsia" w:ascii="宋体" w:hAnsi="宋体" w:cs="楷体_GB2312"/>
                <w:b/>
                <w:bCs/>
                <w:snapToGrid w:val="0"/>
                <w:color w:val="000000"/>
                <w:kern w:val="0"/>
                <w:sz w:val="24"/>
                <w:szCs w:val="24"/>
              </w:rPr>
            </w:pPr>
            <w:r>
              <w:rPr>
                <w:rFonts w:hint="eastAsia" w:ascii="宋体" w:hAnsi="宋体" w:cs="楷体_GB2312"/>
                <w:b/>
                <w:bCs/>
                <w:snapToGrid w:val="0"/>
                <w:color w:val="000000"/>
                <w:kern w:val="0"/>
                <w:sz w:val="24"/>
                <w:szCs w:val="24"/>
              </w:rPr>
              <w:t>六、其他管理要求</w:t>
            </w:r>
          </w:p>
          <w:p w14:paraId="712737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kern w:val="0"/>
                <w:szCs w:val="21"/>
              </w:rPr>
            </w:pPr>
            <w:r>
              <w:rPr>
                <w:rFonts w:hint="eastAsia" w:ascii="宋体" w:hAnsi="宋体" w:cs="仿宋"/>
                <w:snapToGrid w:val="0"/>
                <w:color w:val="000000"/>
                <w:kern w:val="0"/>
                <w:szCs w:val="21"/>
              </w:rPr>
              <w:t>（一）进场时由采购人按采购需求和成交人响应文件对所有服务人员的相关证明材料原件（如工作证明材料、身份证等）进行验证，达不到要求的将不予验</w:t>
            </w:r>
            <w:r>
              <w:rPr>
                <w:rFonts w:hint="eastAsia" w:ascii="宋体" w:hAnsi="宋体" w:cs="仿宋"/>
                <w:snapToGrid w:val="0"/>
                <w:kern w:val="0"/>
                <w:szCs w:val="21"/>
              </w:rPr>
              <w:t>收。成交人派驻的服务人员，必须符合采购人要求的服务人数和年龄规定，岗前培训合格。否则，视为合同违约，采购人有权予以拒绝，情节严重的采购人可以</w:t>
            </w:r>
            <w:r>
              <w:rPr>
                <w:rFonts w:hint="eastAsia" w:ascii="宋体" w:hAnsi="宋体" w:cs="仿宋"/>
                <w:szCs w:val="21"/>
              </w:rPr>
              <w:t>依法</w:t>
            </w:r>
            <w:r>
              <w:rPr>
                <w:rFonts w:hint="eastAsia" w:ascii="宋体" w:hAnsi="宋体" w:cs="仿宋"/>
                <w:snapToGrid w:val="0"/>
                <w:kern w:val="0"/>
                <w:szCs w:val="21"/>
              </w:rPr>
              <w:t>解除合同。</w:t>
            </w:r>
          </w:p>
          <w:p w14:paraId="4AB1CC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kern w:val="0"/>
                <w:szCs w:val="21"/>
              </w:rPr>
              <w:t>（二）上岗人员工资待遇标准应当符合防城港市当地规定的最低工资标准，社会保险应当符合《中华人民共和国社会保险法》及防城港市的现行标准，否则采购人</w:t>
            </w:r>
            <w:r>
              <w:rPr>
                <w:rFonts w:hint="eastAsia" w:ascii="宋体" w:hAnsi="宋体" w:cs="仿宋"/>
                <w:snapToGrid w:val="0"/>
                <w:color w:val="000000"/>
                <w:kern w:val="0"/>
                <w:szCs w:val="21"/>
              </w:rPr>
              <w:t>有权依法解除合同。</w:t>
            </w:r>
          </w:p>
          <w:p w14:paraId="7C6779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（三）成交人必须按照国家相关规定为该项目所有上岗未退休人员购买五险，否则采购人有权依法解除合同。</w:t>
            </w:r>
          </w:p>
          <w:p w14:paraId="651FA1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四）管理人员及所投入的服务人员在岗履行工作职责期间，发生自身的人身伤害、伤亡，均由成交人负责处理并承担经济和道义上的责任，采购人不承担任何责任，且不得影响采购人正常工作；一旦影响采购人正常运转，采购人有权追究法律责任并依法解除合同。</w:t>
            </w:r>
          </w:p>
          <w:p w14:paraId="39DD1C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（五）合同期内成交人根据采购人工作管理要求所做的培训、考核等资料交采购人留存。</w:t>
            </w:r>
          </w:p>
          <w:p w14:paraId="3CDA43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
                <w:snapToGrid w:val="0"/>
                <w:color w:val="000000"/>
                <w:kern w:val="0"/>
                <w:szCs w:val="21"/>
              </w:rPr>
            </w:pPr>
            <w:r>
              <w:rPr>
                <w:rFonts w:hint="eastAsia" w:ascii="宋体" w:hAnsi="宋体" w:cs="仿宋"/>
                <w:snapToGrid w:val="0"/>
                <w:color w:val="000000"/>
                <w:kern w:val="0"/>
                <w:szCs w:val="21"/>
              </w:rPr>
              <w:t>（六）成交人招聘、使用员工应遵守《中华人民共和国劳动法》《中华人民共和国劳动合同法》等法律法规的规定，成交人的员工因为劳动合同纠纷或工作时间发生安全责任事件、侵害自身或他人权利等问题，由</w:t>
            </w:r>
            <w:r>
              <w:rPr>
                <w:rFonts w:hint="eastAsia"/>
                <w:szCs w:val="21"/>
              </w:rPr>
              <w:t>成交</w:t>
            </w:r>
            <w:r>
              <w:rPr>
                <w:rFonts w:hint="eastAsia" w:ascii="宋体" w:hAnsi="宋体" w:cs="仿宋"/>
                <w:snapToGrid w:val="0"/>
                <w:color w:val="000000"/>
                <w:kern w:val="0"/>
                <w:szCs w:val="21"/>
              </w:rPr>
              <w:t>人自行承担责任；导致采购人损害的，成交人承担赔偿责任。</w:t>
            </w:r>
          </w:p>
          <w:p w14:paraId="09FB4987">
            <w:pPr>
              <w:spacing w:line="240" w:lineRule="auto"/>
              <w:rPr>
                <w:rFonts w:hint="default"/>
                <w:b/>
                <w:bCs/>
                <w:spacing w:val="-2"/>
                <w:sz w:val="24"/>
                <w:szCs w:val="24"/>
                <w:lang w:val="en-US" w:eastAsia="zh-CN"/>
              </w:rPr>
            </w:pPr>
            <w:r>
              <w:rPr>
                <w:rFonts w:hint="eastAsia"/>
                <w:b/>
                <w:bCs/>
                <w:spacing w:val="-2"/>
                <w:sz w:val="24"/>
                <w:szCs w:val="24"/>
                <w:lang w:val="en-US" w:eastAsia="zh-CN"/>
              </w:rPr>
              <w:t>七、电梯操作服务标准及要求</w:t>
            </w:r>
          </w:p>
          <w:p w14:paraId="45516EC8">
            <w:pPr>
              <w:keepNext w:val="0"/>
              <w:keepLines w:val="0"/>
              <w:pageBreakBefore w:val="0"/>
              <w:widowControl w:val="0"/>
              <w:kinsoku/>
              <w:wordWrap/>
              <w:overflowPunct/>
              <w:topLinePunct w:val="0"/>
              <w:autoSpaceDE/>
              <w:autoSpaceDN/>
              <w:bidi w:val="0"/>
              <w:adjustRightInd/>
              <w:snapToGrid/>
              <w:spacing w:line="360" w:lineRule="exact"/>
              <w:ind w:firstLine="411" w:firstLineChars="196"/>
              <w:textAlignment w:val="auto"/>
              <w:rPr>
                <w:rFonts w:hint="eastAsia"/>
                <w:b/>
                <w:bCs/>
                <w:spacing w:val="-2"/>
                <w:lang w:val="en-US" w:eastAsia="zh-CN"/>
              </w:rPr>
            </w:pPr>
            <w:r>
              <w:rPr>
                <w:rFonts w:hint="eastAsia" w:ascii="宋体" w:hAnsi="宋体" w:cs="仿宋"/>
                <w:snapToGrid w:val="0"/>
                <w:color w:val="auto"/>
                <w:kern w:val="0"/>
                <w:szCs w:val="21"/>
                <w:highlight w:val="none"/>
              </w:rPr>
              <w:t>看护电梯，维护电梯乘坐秩序及协助轮椅安全出入电梯；保持电梯轿厢干净卫生；熟悉电梯操作程序，掌握电梯常见故障的应急处置方法；记录运行情况，有故障及时报修。</w:t>
            </w:r>
          </w:p>
          <w:p w14:paraId="59212D50">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仿宋"/>
                <w:b/>
                <w:bCs/>
                <w:color w:val="000000"/>
                <w:kern w:val="0"/>
                <w:sz w:val="24"/>
                <w:szCs w:val="24"/>
                <w:lang w:val="en-US" w:eastAsia="zh-CN"/>
              </w:rPr>
              <w:t>八、电梯操作</w:t>
            </w:r>
            <w:r>
              <w:rPr>
                <w:rFonts w:hint="eastAsia" w:ascii="宋体" w:hAnsi="宋体" w:cs="仿宋"/>
                <w:b/>
                <w:bCs/>
                <w:color w:val="000000"/>
                <w:kern w:val="0"/>
                <w:sz w:val="24"/>
                <w:szCs w:val="24"/>
              </w:rPr>
              <w:t>注意事项</w:t>
            </w:r>
            <w:r>
              <w:rPr>
                <w:rFonts w:hint="eastAsia" w:ascii="宋体" w:hAnsi="宋体" w:cs="仿宋"/>
                <w:b/>
                <w:bCs/>
                <w:color w:val="000000"/>
                <w:kern w:val="0"/>
                <w:sz w:val="24"/>
                <w:szCs w:val="24"/>
                <w:lang w:eastAsia="zh-CN"/>
              </w:rPr>
              <w:t>：</w:t>
            </w:r>
          </w:p>
          <w:p w14:paraId="32D10338">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1. 普通梯（患者 / 访客用）：</w:t>
            </w:r>
          </w:p>
          <w:p w14:paraId="742C55E0">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 运行前检查：每日上岗前检查门机、应急按钮、通风、消毒记录，检查合格率 100%；</w:t>
            </w:r>
          </w:p>
          <w:p w14:paraId="69A050AE">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载重控制：超载运行率 0%，主动协助行动不便患者（如推轮椅、病床），避免碰撞； </w:t>
            </w:r>
          </w:p>
          <w:p w14:paraId="78E8363D">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文明服务：使用医用规范用语，不随意交谈患者病情，投诉率≤0.3 次 / 月 / 梯；</w:t>
            </w:r>
          </w:p>
          <w:p w14:paraId="11CC89AB">
            <w:pPr>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r>
              <w:rPr>
                <w:rFonts w:ascii="宋体" w:hAnsi="宋体" w:eastAsia="宋体" w:cs="宋体"/>
                <w:kern w:val="0"/>
                <w:sz w:val="21"/>
                <w:szCs w:val="21"/>
                <w:lang w:val="en-US" w:eastAsia="zh-CN" w:bidi="ar"/>
              </w:rPr>
              <w:t>医护梯（医护 / 物资用）：</w:t>
            </w:r>
          </w:p>
          <w:p w14:paraId="4BA75076">
            <w:pPr>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 优先通行：急救人员、危重患者转运优先使用，响应时间≤1 分钟；</w:t>
            </w:r>
          </w:p>
          <w:p w14:paraId="7852FB5C">
            <w:pPr>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物资运输：协助医疗物资（药品、器械）转运，避免与生活垃圾混装； </w:t>
            </w:r>
          </w:p>
          <w:p w14:paraId="718AB836">
            <w:pPr>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r>
              <w:rPr>
                <w:rFonts w:ascii="宋体" w:hAnsi="宋体" w:eastAsia="宋体" w:cs="宋体"/>
                <w:kern w:val="0"/>
                <w:sz w:val="21"/>
                <w:szCs w:val="21"/>
                <w:lang w:val="en-US" w:eastAsia="zh-CN" w:bidi="ar"/>
              </w:rPr>
              <w:t>污物梯（医疗废物 / 污水用）：</w:t>
            </w:r>
          </w:p>
          <w:p w14:paraId="5611131F">
            <w:pPr>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 专用管理：仅用于医疗废物、污水转运，严禁载人或混装其他物资； </w:t>
            </w:r>
          </w:p>
          <w:p w14:paraId="333CD5D1">
            <w:pPr>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消毒要求：每次使用后立即消毒轿厢及按钮，每日终末消毒 1 次，消毒记录完整率 100%。</w:t>
            </w:r>
          </w:p>
          <w:p w14:paraId="500F4CC4">
            <w:pPr>
              <w:spacing w:line="240" w:lineRule="auto"/>
              <w:rPr>
                <w:rFonts w:hint="eastAsia" w:ascii="宋体" w:hAnsi="宋体" w:cs="楷体_GB2312"/>
                <w:b/>
                <w:bCs/>
                <w:snapToGrid w:val="0"/>
                <w:color w:val="000000"/>
                <w:kern w:val="0"/>
                <w:sz w:val="24"/>
                <w:szCs w:val="24"/>
              </w:rPr>
            </w:pPr>
            <w:r>
              <w:rPr>
                <w:rFonts w:hint="eastAsia" w:ascii="宋体" w:hAnsi="宋体" w:cs="楷体_GB2312"/>
                <w:b/>
                <w:bCs/>
                <w:snapToGrid w:val="0"/>
                <w:color w:val="000000"/>
                <w:kern w:val="0"/>
                <w:sz w:val="24"/>
                <w:szCs w:val="24"/>
                <w:lang w:val="en-US" w:eastAsia="zh-CN"/>
              </w:rPr>
              <w:t>九</w:t>
            </w:r>
            <w:r>
              <w:rPr>
                <w:rFonts w:hint="eastAsia" w:ascii="宋体" w:hAnsi="宋体" w:cs="楷体_GB2312"/>
                <w:b/>
                <w:bCs/>
                <w:snapToGrid w:val="0"/>
                <w:color w:val="000000"/>
                <w:kern w:val="0"/>
                <w:sz w:val="24"/>
                <w:szCs w:val="24"/>
              </w:rPr>
              <w:t>、注意事项及应急预案</w:t>
            </w:r>
          </w:p>
          <w:p w14:paraId="2B73DCA1">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cs="仿宋"/>
                <w:b/>
                <w:bCs/>
                <w:color w:val="000000"/>
                <w:kern w:val="0"/>
                <w:szCs w:val="21"/>
              </w:rPr>
            </w:pPr>
            <w:r>
              <w:rPr>
                <w:rFonts w:hint="eastAsia" w:ascii="宋体" w:hAnsi="宋体" w:cs="仿宋"/>
                <w:b/>
                <w:bCs/>
                <w:color w:val="000000"/>
                <w:kern w:val="0"/>
                <w:szCs w:val="21"/>
              </w:rPr>
              <w:t>（一）保洁作业注意事项</w:t>
            </w:r>
          </w:p>
          <w:p w14:paraId="1B11A0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1.保洁作业注意事项</w:t>
            </w:r>
          </w:p>
          <w:p w14:paraId="414E18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保洁作业时，保洁工具及用水等应分类使用，不得混用，预防交叉污染。保洁时要认真按正确的操作规范进行作业。</w:t>
            </w:r>
          </w:p>
          <w:p w14:paraId="2DE9AD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2.无菌区作业</w:t>
            </w:r>
          </w:p>
          <w:p w14:paraId="391883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进入无菌区作业时，要严格遵守医院消毒隔离原则及无菌操作程序，按要求着装，按区域归类物品摆放，医生在时，不能进行清洁，待医生操作完毕同意后，方可进行保洁作业。</w:t>
            </w:r>
          </w:p>
          <w:p w14:paraId="59E3A8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3.划区分工作业</w:t>
            </w:r>
          </w:p>
          <w:p w14:paraId="7AF292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无菌区和污染区的保洁服务员，应进行严格分工，责任明确，不得在无菌区和污染区交叉作业。不能将污染区的物品带入无菌区，或将无菌区的物品带入污染区。</w:t>
            </w:r>
          </w:p>
          <w:p w14:paraId="40E067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4.手术室作业</w:t>
            </w:r>
          </w:p>
          <w:p w14:paraId="2F3557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经严格培训的保洁员进入手术室作业，使用清洁剂或消毒剂经护士长同意，在护士长、护士指导下按工具分类规范进行保洁。按照有关规程操作。手术室在进行手术时，切记不得进入或干扰手术的正常运行。</w:t>
            </w:r>
          </w:p>
          <w:p w14:paraId="152BE6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5.医院办公室作业</w:t>
            </w:r>
          </w:p>
          <w:p w14:paraId="62B836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办公室保洁作业一般安排在班前或班后进行，特殊情况下，应先敲门并征得同意后方可进入。使用文明用语，如：“对不起，我可以进来保洁吗？”如果医生在会诊时或开会时，不得打扰或擅自进行保洁作业。</w:t>
            </w:r>
          </w:p>
          <w:p w14:paraId="69C9F3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6.病房作业</w:t>
            </w:r>
          </w:p>
          <w:p w14:paraId="194640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进入病房，应尽量集中作业，避免病人休息和用餐时进行清洁。清洁时动作轻，不得碰坏病人用品，也要避免发出大的响声，轻拿轻放。</w:t>
            </w:r>
          </w:p>
          <w:p w14:paraId="215E3B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7.垃圾桶作业</w:t>
            </w:r>
          </w:p>
          <w:p w14:paraId="1448C6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病区及公共区域的垃圾桶由专人检查，垃圾量超过2/3应及时清倒，套装垃圾袋时，应检查垃圾是否有破口，不得使用破口或易损的垃圾袋，否则病人倒入的垃圾就会溢出，导致污染。清运或整理垃圾时，应使用封闭垃圾桶。更换垃圾桶应检查垃圾桶并保持垃圾桶定期清洗、消毒、内外壁面洁净，干燥无异味。</w:t>
            </w:r>
          </w:p>
          <w:p w14:paraId="74ADFF6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8.洗手间作业</w:t>
            </w:r>
          </w:p>
          <w:p w14:paraId="13DBA7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洗手间的墙面、地面及大小便池、马桶等每天必须彻底冲刷，除掉一切污渍，并进行有效消毒处理。平时应循环保洁，洗净污物，保持洗手间空气无异味。保洁洗手间工具材料应专用，不得混用，清洁工具洗净之后定位位置，不得随处乱放。</w:t>
            </w:r>
          </w:p>
          <w:p w14:paraId="055C08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9.其他注意事项</w:t>
            </w:r>
          </w:p>
          <w:p w14:paraId="729F3E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10.保洁作业时，办公室及病房台面物品不得随意移动，保洁后应物归原位。不得随意翻阅资料及随意打开容器盖、各种无菌包等。保洁员在办公区、病区作业时应保持安静，不得大声喧哗，工作性交谈也必须小声进行，不可干扰医护人员工作和病人休息。</w:t>
            </w:r>
          </w:p>
          <w:p w14:paraId="6671C42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仿宋_GB2312"/>
                <w:b/>
                <w:color w:val="000000"/>
                <w:kern w:val="0"/>
                <w:szCs w:val="21"/>
              </w:rPr>
            </w:pPr>
            <w:r>
              <w:rPr>
                <w:rFonts w:hint="eastAsia" w:ascii="宋体" w:hAnsi="宋体" w:cs="仿宋_GB2312"/>
                <w:b/>
                <w:color w:val="000000"/>
                <w:kern w:val="0"/>
                <w:szCs w:val="21"/>
              </w:rPr>
              <w:t>（二）保洁安全注意事项</w:t>
            </w:r>
          </w:p>
          <w:p w14:paraId="6D24425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1.擦抹灯具时安全注意事项</w:t>
            </w:r>
          </w:p>
          <w:p w14:paraId="5848AFA4">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（1）擦抹配电箱时，不得将配电箱门打开以防触电造成意外。</w:t>
            </w:r>
          </w:p>
          <w:p w14:paraId="394A2F2F">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（2）擦拭电器开关、灯具要用干毛巾以防触电，清洁前首先关闭灯具电源，以防触电。</w:t>
            </w:r>
          </w:p>
          <w:p w14:paraId="3437CED7">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（3）人在梯子作业时，应注意防止灯具和工具掉下碰伤行人。</w:t>
            </w:r>
          </w:p>
          <w:p w14:paraId="14CE5D5A">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（4）用螺丝刀拧紧螺钉，固定灯罩时，应将螺钉固定到位，但不要用力过大，防止损坏灯罩。</w:t>
            </w:r>
          </w:p>
          <w:p w14:paraId="7EC872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2.带水作业时安全注意事项</w:t>
            </w:r>
          </w:p>
          <w:p w14:paraId="3144C45E">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（1）冲刷路面墙面时不得使用消防水。</w:t>
            </w:r>
          </w:p>
          <w:p w14:paraId="41BE860A">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（2）洗刷楼道时，防止水流入电梯门和轿厢内。</w:t>
            </w:r>
          </w:p>
          <w:p w14:paraId="4AB5A0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3.登高作业时安全注意事项</w:t>
            </w:r>
          </w:p>
          <w:p w14:paraId="786AB6DC">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（1）梯子作业放稳，清洁人员上下时应注意安全。</w:t>
            </w:r>
          </w:p>
          <w:p w14:paraId="673BCE1C">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（2）杂物、垃圾袋和工具不要往下丢，以免砸伤行人，损坏工具。</w:t>
            </w:r>
          </w:p>
          <w:p w14:paraId="00C559AE">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（3）清洁完天台将天台门锁好，防止发生其他事故。</w:t>
            </w:r>
          </w:p>
          <w:p w14:paraId="318E25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4.清洁电梯时安全注意事项</w:t>
            </w:r>
          </w:p>
          <w:p w14:paraId="0720B32F">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（1）在清洁电梯外厅门时应防止门开关造成的意外。</w:t>
            </w:r>
          </w:p>
          <w:p w14:paraId="23AA4DC7">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（2）拖地时不要弄湿电梯厅门，以免腐蚀。</w:t>
            </w:r>
          </w:p>
          <w:p w14:paraId="45E096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5.清洁特殊制品时安全注意事项</w:t>
            </w:r>
          </w:p>
          <w:p w14:paraId="73A88A2F">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（1）用洁厕水时，应戴胶手套防止损伤皮肤。</w:t>
            </w:r>
          </w:p>
          <w:p w14:paraId="79A27A55">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（2）上不锈钢油时不宜太多，防止玷污他人衣物，要使用干净的干毛巾，防止砂粒划伤不锈钢表面。</w:t>
            </w:r>
          </w:p>
          <w:p w14:paraId="654A3059">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（3）清洁玻璃时，注意防止玻璃刮到金属部分刮花玻璃。</w:t>
            </w:r>
          </w:p>
          <w:p w14:paraId="2063057F">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（4）清洁宣传栏玻璃时，小心划伤手，清洁工具不要损伤被清洁物。</w:t>
            </w:r>
          </w:p>
          <w:p w14:paraId="490C38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6.特殊天气安全注意事项</w:t>
            </w:r>
          </w:p>
          <w:p w14:paraId="5F06DE8E">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（1）大风天气注意高空坠物。</w:t>
            </w:r>
          </w:p>
          <w:p w14:paraId="36A164A4">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（2）下雨天有管理人员视具体情况安排工作。</w:t>
            </w:r>
          </w:p>
          <w:p w14:paraId="18BB3F5A">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（3）高温天气需注意防暑。</w:t>
            </w:r>
          </w:p>
          <w:p w14:paraId="333238C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仿宋_GB2312"/>
                <w:b/>
                <w:color w:val="000000"/>
                <w:kern w:val="0"/>
                <w:szCs w:val="21"/>
              </w:rPr>
            </w:pPr>
            <w:r>
              <w:rPr>
                <w:rFonts w:hint="eastAsia" w:ascii="宋体" w:hAnsi="宋体" w:cs="仿宋_GB2312"/>
                <w:b/>
                <w:color w:val="000000"/>
                <w:kern w:val="0"/>
                <w:szCs w:val="21"/>
              </w:rPr>
              <w:t>（三）突发事件应急预案</w:t>
            </w:r>
          </w:p>
          <w:p w14:paraId="1B406E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w:t>
            </w:r>
            <w:r>
              <w:rPr>
                <w:rFonts w:ascii="宋体" w:hAnsi="宋体" w:cs="仿宋_GB2312"/>
                <w:color w:val="000000"/>
                <w:kern w:val="0"/>
                <w:szCs w:val="21"/>
              </w:rPr>
              <w:t>雨天的处理办法：</w:t>
            </w:r>
          </w:p>
          <w:p w14:paraId="7BE4612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w:t>
            </w:r>
            <w:r>
              <w:rPr>
                <w:rFonts w:ascii="宋体" w:hAnsi="宋体" w:cs="仿宋_GB2312"/>
                <w:color w:val="000000"/>
                <w:kern w:val="0"/>
                <w:szCs w:val="21"/>
              </w:rPr>
              <w:t>在大堂等人员出入频繁的地方</w:t>
            </w:r>
            <w:r>
              <w:rPr>
                <w:rFonts w:hint="eastAsia" w:ascii="宋体" w:hAnsi="宋体" w:cs="仿宋_GB2312"/>
                <w:color w:val="000000"/>
                <w:kern w:val="0"/>
                <w:szCs w:val="21"/>
              </w:rPr>
              <w:t>放置</w:t>
            </w:r>
            <w:r>
              <w:rPr>
                <w:rFonts w:ascii="宋体" w:hAnsi="宋体" w:cs="仿宋_GB2312"/>
                <w:color w:val="000000"/>
                <w:kern w:val="0"/>
                <w:szCs w:val="21"/>
              </w:rPr>
              <w:t>指示牌，提醒患者及家属“小心路滑”；</w:t>
            </w:r>
          </w:p>
          <w:p w14:paraId="55BC0D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w:t>
            </w:r>
            <w:r>
              <w:rPr>
                <w:rFonts w:ascii="宋体" w:hAnsi="宋体" w:cs="仿宋_GB2312"/>
                <w:color w:val="000000"/>
                <w:kern w:val="0"/>
                <w:szCs w:val="21"/>
              </w:rPr>
              <w:t>增派人员，及时清干地面、墙面水迹；</w:t>
            </w:r>
          </w:p>
          <w:p w14:paraId="137B71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w:t>
            </w:r>
            <w:r>
              <w:rPr>
                <w:rFonts w:ascii="宋体" w:hAnsi="宋体" w:cs="仿宋_GB2312"/>
                <w:color w:val="000000"/>
                <w:kern w:val="0"/>
                <w:szCs w:val="21"/>
              </w:rPr>
              <w:t>如返潮现象比较严重，应在大堂铺设一条防滑地毡，并用大块的海绵吸干地面、墙面电梯门上的积水；</w:t>
            </w:r>
          </w:p>
          <w:p w14:paraId="1A4E0F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（4）</w:t>
            </w:r>
            <w:r>
              <w:rPr>
                <w:rFonts w:ascii="宋体" w:hAnsi="宋体" w:cs="仿宋_GB2312"/>
                <w:color w:val="000000"/>
                <w:kern w:val="0"/>
                <w:szCs w:val="21"/>
              </w:rPr>
              <w:t>仓库内配好干拖把、海绵、地毯、毛巾等防潮用品。</w:t>
            </w:r>
          </w:p>
          <w:p w14:paraId="62797C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w:t>
            </w:r>
            <w:r>
              <w:rPr>
                <w:rFonts w:ascii="宋体" w:hAnsi="宋体" w:cs="仿宋_GB2312"/>
                <w:color w:val="000000"/>
                <w:kern w:val="0"/>
                <w:szCs w:val="21"/>
              </w:rPr>
              <w:t>暴风雨天气的处理办法：</w:t>
            </w:r>
          </w:p>
          <w:p w14:paraId="787D61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（1）</w:t>
            </w:r>
            <w:r>
              <w:rPr>
                <w:rFonts w:ascii="宋体" w:hAnsi="宋体" w:cs="仿宋_GB2312"/>
                <w:color w:val="000000"/>
                <w:kern w:val="0"/>
                <w:szCs w:val="21"/>
              </w:rPr>
              <w:t>加强各岗位巡查，对天台、裙楼平台的阴暗沟渠、地漏，要派人专人检查，如有堵塞及时疏通；</w:t>
            </w:r>
          </w:p>
          <w:p w14:paraId="016AF1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（2）</w:t>
            </w:r>
            <w:r>
              <w:rPr>
                <w:rFonts w:ascii="宋体" w:hAnsi="宋体" w:cs="仿宋_GB2312"/>
                <w:color w:val="000000"/>
                <w:kern w:val="0"/>
                <w:szCs w:val="21"/>
              </w:rPr>
              <w:t>检查雨污水井，增加清理次数，确保通畅无阻；</w:t>
            </w:r>
          </w:p>
          <w:p w14:paraId="085BEE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仿宋_GB2312"/>
                <w:color w:val="000000"/>
                <w:kern w:val="0"/>
                <w:szCs w:val="21"/>
              </w:rPr>
            </w:pPr>
            <w:r>
              <w:rPr>
                <w:rFonts w:hint="eastAsia" w:ascii="宋体" w:hAnsi="宋体" w:cs="仿宋_GB2312"/>
                <w:color w:val="000000"/>
                <w:kern w:val="0"/>
                <w:szCs w:val="21"/>
              </w:rPr>
              <w:t>（3）</w:t>
            </w:r>
            <w:r>
              <w:rPr>
                <w:rFonts w:ascii="宋体" w:hAnsi="宋体" w:cs="仿宋_GB2312"/>
                <w:color w:val="000000"/>
                <w:kern w:val="0"/>
                <w:szCs w:val="21"/>
              </w:rPr>
              <w:t>各岗位保洁员要配合</w:t>
            </w:r>
            <w:r>
              <w:rPr>
                <w:rFonts w:hint="eastAsia" w:ascii="宋体" w:hAnsi="宋体" w:cs="仿宋_GB2312"/>
                <w:color w:val="000000"/>
                <w:kern w:val="0"/>
                <w:szCs w:val="21"/>
                <w:lang w:val="en-US" w:eastAsia="zh-CN"/>
              </w:rPr>
              <w:t>秩序员</w:t>
            </w:r>
            <w:r>
              <w:rPr>
                <w:rFonts w:ascii="宋体" w:hAnsi="宋体" w:cs="仿宋_GB2312"/>
                <w:color w:val="000000"/>
                <w:kern w:val="0"/>
                <w:szCs w:val="21"/>
              </w:rPr>
              <w:t>全关好各楼层的门窗，防止风雨刮进楼内，淋湿墙面地面及打碎玻璃；</w:t>
            </w:r>
          </w:p>
          <w:p w14:paraId="7BC012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仿宋_GB2312"/>
                <w:color w:val="000000"/>
                <w:kern w:val="0"/>
                <w:szCs w:val="21"/>
              </w:rPr>
              <w:t>（4）</w:t>
            </w:r>
            <w:r>
              <w:rPr>
                <w:rFonts w:ascii="宋体" w:hAnsi="宋体" w:cs="仿宋_GB2312"/>
                <w:color w:val="000000"/>
                <w:kern w:val="0"/>
                <w:szCs w:val="21"/>
              </w:rPr>
              <w:t>仓库内备好雨具、铁钩、足片、手电筒，做到有备无患。</w:t>
            </w:r>
          </w:p>
        </w:tc>
      </w:tr>
      <w:tr w14:paraId="6545E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0" w:type="auto"/>
            <w:gridSpan w:val="5"/>
            <w:tcBorders>
              <w:top w:val="single" w:color="auto" w:sz="4" w:space="0"/>
              <w:left w:val="single" w:color="auto" w:sz="4" w:space="0"/>
              <w:bottom w:val="single" w:color="auto" w:sz="4" w:space="0"/>
              <w:right w:val="single" w:color="auto" w:sz="4" w:space="0"/>
            </w:tcBorders>
            <w:vAlign w:val="center"/>
          </w:tcPr>
          <w:p w14:paraId="765E227B">
            <w:pPr>
              <w:spacing w:line="360" w:lineRule="exact"/>
              <w:rPr>
                <w:rFonts w:hint="eastAsia" w:ascii="宋体" w:hAnsi="宋体"/>
                <w:szCs w:val="21"/>
              </w:rPr>
            </w:pPr>
            <w:r>
              <w:rPr>
                <w:rFonts w:hint="eastAsia" w:ascii="宋体" w:hAnsi="宋体"/>
                <w:b/>
                <w:sz w:val="24"/>
              </w:rPr>
              <w:t>二、商务要求</w:t>
            </w:r>
          </w:p>
        </w:tc>
      </w:tr>
      <w:tr w14:paraId="4755E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6C823">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szCs w:val="21"/>
              </w:rPr>
            </w:pPr>
            <w:r>
              <w:rPr>
                <w:rFonts w:hint="eastAsia" w:ascii="宋体" w:hAnsi="宋体"/>
                <w:szCs w:val="21"/>
              </w:rPr>
              <w:t>服务期限和地点</w:t>
            </w:r>
          </w:p>
        </w:tc>
        <w:tc>
          <w:tcPr>
            <w:tcW w:w="8260" w:type="dxa"/>
            <w:gridSpan w:val="3"/>
            <w:tcBorders>
              <w:top w:val="single" w:color="auto" w:sz="4" w:space="0"/>
              <w:left w:val="single" w:color="auto" w:sz="4" w:space="0"/>
              <w:bottom w:val="single" w:color="auto" w:sz="4" w:space="0"/>
              <w:right w:val="single" w:color="auto" w:sz="4" w:space="0"/>
            </w:tcBorders>
            <w:vAlign w:val="center"/>
          </w:tcPr>
          <w:p w14:paraId="4589E535">
            <w:pPr>
              <w:keepNext w:val="0"/>
              <w:keepLines w:val="0"/>
              <w:pageBreakBefore w:val="0"/>
              <w:widowControl w:val="0"/>
              <w:kinsoku/>
              <w:wordWrap/>
              <w:overflowPunct/>
              <w:topLinePunct w:val="0"/>
              <w:bidi w:val="0"/>
              <w:snapToGrid/>
              <w:spacing w:line="360" w:lineRule="exact"/>
              <w:jc w:val="both"/>
              <w:textAlignment w:val="auto"/>
              <w:rPr>
                <w:rFonts w:hint="eastAsia" w:ascii="宋体" w:hAnsi="宋体" w:cs="宋体"/>
                <w:szCs w:val="21"/>
              </w:rPr>
            </w:pPr>
            <w:r>
              <w:rPr>
                <w:rFonts w:hint="eastAsia" w:ascii="宋体" w:hAnsi="宋体" w:cs="宋体"/>
                <w:szCs w:val="21"/>
              </w:rPr>
              <w:t>1.服务期限：</w:t>
            </w:r>
            <w:r>
              <w:rPr>
                <w:rFonts w:ascii="宋体" w:hAnsi="宋体" w:cs="Arial"/>
                <w:bCs/>
                <w:iCs/>
                <w:szCs w:val="21"/>
              </w:rPr>
              <w:t>自合同签订之日起</w:t>
            </w:r>
            <w:r>
              <w:rPr>
                <w:rFonts w:hint="eastAsia" w:ascii="宋体" w:hAnsi="宋体" w:cs="Arial"/>
                <w:bCs/>
                <w:iCs/>
                <w:szCs w:val="21"/>
              </w:rPr>
              <w:t>2</w:t>
            </w:r>
            <w:r>
              <w:rPr>
                <w:rFonts w:ascii="宋体" w:hAnsi="宋体" w:cs="Arial"/>
                <w:bCs/>
                <w:iCs/>
                <w:szCs w:val="21"/>
              </w:rPr>
              <w:t>年</w:t>
            </w:r>
            <w:r>
              <w:rPr>
                <w:rFonts w:hint="eastAsia" w:ascii="宋体" w:hAnsi="宋体" w:cs="Arial"/>
                <w:bCs/>
                <w:iCs/>
                <w:szCs w:val="21"/>
              </w:rPr>
              <w:t>。</w:t>
            </w:r>
          </w:p>
          <w:p w14:paraId="5B6AE605">
            <w:pPr>
              <w:keepNext w:val="0"/>
              <w:keepLines w:val="0"/>
              <w:pageBreakBefore w:val="0"/>
              <w:widowControl w:val="0"/>
              <w:kinsoku/>
              <w:wordWrap/>
              <w:overflowPunct/>
              <w:topLinePunct w:val="0"/>
              <w:bidi w:val="0"/>
              <w:snapToGrid/>
              <w:spacing w:line="360" w:lineRule="exact"/>
              <w:jc w:val="both"/>
              <w:textAlignment w:val="auto"/>
              <w:rPr>
                <w:rFonts w:hint="eastAsia" w:ascii="宋体" w:hAnsi="宋体"/>
                <w:szCs w:val="21"/>
              </w:rPr>
            </w:pPr>
            <w:r>
              <w:rPr>
                <w:rFonts w:hint="eastAsia" w:ascii="宋体" w:hAnsi="宋体" w:cs="宋体"/>
                <w:szCs w:val="21"/>
              </w:rPr>
              <w:t>2.服务的地点：</w:t>
            </w:r>
            <w:r>
              <w:rPr>
                <w:rFonts w:hint="eastAsia" w:ascii="宋体" w:hAnsi="宋体"/>
                <w:szCs w:val="21"/>
              </w:rPr>
              <w:t>广西</w:t>
            </w:r>
            <w:r>
              <w:rPr>
                <w:rFonts w:hint="eastAsia" w:ascii="宋体" w:hAnsi="宋体"/>
                <w:szCs w:val="21"/>
                <w:u w:val="single"/>
              </w:rPr>
              <w:t>防城港</w:t>
            </w:r>
            <w:r>
              <w:rPr>
                <w:rFonts w:hint="eastAsia" w:ascii="宋体" w:hAnsi="宋体"/>
                <w:szCs w:val="21"/>
              </w:rPr>
              <w:t>市采购人指定地点。</w:t>
            </w:r>
          </w:p>
        </w:tc>
      </w:tr>
      <w:tr w14:paraId="1B10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7B4BF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szCs w:val="21"/>
              </w:rPr>
            </w:pPr>
            <w:r>
              <w:rPr>
                <w:rFonts w:hint="eastAsia" w:ascii="宋体" w:hAnsi="宋体"/>
                <w:szCs w:val="21"/>
              </w:rPr>
              <w:t>合同签订时间</w:t>
            </w:r>
          </w:p>
        </w:tc>
        <w:tc>
          <w:tcPr>
            <w:tcW w:w="8260" w:type="dxa"/>
            <w:gridSpan w:val="3"/>
            <w:tcBorders>
              <w:top w:val="single" w:color="auto" w:sz="4" w:space="0"/>
              <w:left w:val="single" w:color="auto" w:sz="4" w:space="0"/>
              <w:bottom w:val="single" w:color="auto" w:sz="4" w:space="0"/>
              <w:right w:val="single" w:color="auto" w:sz="4" w:space="0"/>
            </w:tcBorders>
            <w:vAlign w:val="center"/>
          </w:tcPr>
          <w:p w14:paraId="5B192D63">
            <w:pPr>
              <w:keepNext w:val="0"/>
              <w:keepLines w:val="0"/>
              <w:pageBreakBefore w:val="0"/>
              <w:widowControl w:val="0"/>
              <w:kinsoku/>
              <w:wordWrap/>
              <w:overflowPunct/>
              <w:topLinePunct w:val="0"/>
              <w:bidi w:val="0"/>
              <w:snapToGrid/>
              <w:spacing w:line="360" w:lineRule="exact"/>
              <w:jc w:val="both"/>
              <w:textAlignment w:val="auto"/>
              <w:rPr>
                <w:rFonts w:hint="eastAsia" w:ascii="宋体" w:hAnsi="宋体"/>
                <w:szCs w:val="21"/>
              </w:rPr>
            </w:pPr>
            <w:r>
              <w:rPr>
                <w:rFonts w:hint="eastAsia" w:ascii="宋体" w:hAnsi="宋体"/>
                <w:szCs w:val="21"/>
              </w:rPr>
              <w:t>自成交通知书发出之日起</w:t>
            </w:r>
            <w:r>
              <w:rPr>
                <w:rFonts w:hint="eastAsia" w:ascii="宋体" w:hAnsi="宋体"/>
                <w:szCs w:val="21"/>
                <w:u w:val="single"/>
              </w:rPr>
              <w:t xml:space="preserve"> 25</w:t>
            </w:r>
            <w:r>
              <w:rPr>
                <w:rFonts w:hint="eastAsia" w:ascii="宋体" w:hAnsi="宋体"/>
                <w:szCs w:val="21"/>
              </w:rPr>
              <w:t>日内。</w:t>
            </w:r>
          </w:p>
        </w:tc>
      </w:tr>
      <w:tr w14:paraId="42083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FA3547">
            <w:pPr>
              <w:keepNext w:val="0"/>
              <w:keepLines w:val="0"/>
              <w:pageBreakBefore w:val="0"/>
              <w:widowControl w:val="0"/>
              <w:kinsoku/>
              <w:wordWrap/>
              <w:overflowPunct/>
              <w:topLinePunct w:val="0"/>
              <w:bidi w:val="0"/>
              <w:adjustRightInd w:val="0"/>
              <w:snapToGrid/>
              <w:spacing w:line="360" w:lineRule="exact"/>
              <w:ind w:left="6" w:firstLine="420" w:firstLineChars="200"/>
              <w:textAlignment w:val="auto"/>
              <w:rPr>
                <w:rFonts w:hint="eastAsia" w:ascii="宋体" w:hAnsi="宋体" w:cs="宋体"/>
                <w:b/>
                <w:szCs w:val="21"/>
              </w:rPr>
            </w:pPr>
            <w:r>
              <w:rPr>
                <w:rFonts w:hint="eastAsia" w:ascii="宋体" w:hAnsi="宋体" w:cs="宋体"/>
                <w:szCs w:val="21"/>
              </w:rPr>
              <w:t>报价要求</w:t>
            </w:r>
          </w:p>
        </w:tc>
        <w:tc>
          <w:tcPr>
            <w:tcW w:w="8260" w:type="dxa"/>
            <w:gridSpan w:val="3"/>
            <w:tcBorders>
              <w:top w:val="single" w:color="auto" w:sz="4" w:space="0"/>
              <w:left w:val="single" w:color="auto" w:sz="4" w:space="0"/>
              <w:bottom w:val="single" w:color="auto" w:sz="4" w:space="0"/>
              <w:right w:val="single" w:color="auto" w:sz="4" w:space="0"/>
            </w:tcBorders>
            <w:vAlign w:val="center"/>
          </w:tcPr>
          <w:p w14:paraId="3656708E">
            <w:pPr>
              <w:keepNext w:val="0"/>
              <w:keepLines w:val="0"/>
              <w:pageBreakBefore w:val="0"/>
              <w:widowControl w:val="0"/>
              <w:kinsoku/>
              <w:wordWrap/>
              <w:overflowPunct/>
              <w:topLinePunct w:val="0"/>
              <w:bidi w:val="0"/>
              <w:snapToGrid/>
              <w:spacing w:line="360" w:lineRule="exact"/>
              <w:jc w:val="left"/>
              <w:textAlignment w:val="auto"/>
              <w:rPr>
                <w:rFonts w:hint="eastAsia" w:ascii="宋体" w:hAnsi="宋体" w:cs="宋体"/>
                <w:szCs w:val="21"/>
              </w:rPr>
            </w:pPr>
            <w:r>
              <w:rPr>
                <w:rFonts w:hint="eastAsia" w:ascii="宋体" w:hAnsi="宋体" w:cs="宋体"/>
                <w:szCs w:val="21"/>
              </w:rPr>
              <w:t>本项目实行总价包干制，供应商的竞标报价包括但不限于服务人员费用（含工资、社保费、劳保、意外伤害保险、福利、加班费、奖金等）、服务材料消耗品（清洁工具，清洁用品、生活垃圾袋、洗涤粉等洗涤用品）的补充、更换和维修维护、服装等费用、办公费用（含对讲机、通讯费、办公用品、培训费等）、人工费、管理费、利润、税费等完成合同所需的一切本身和不可或缺的所有开支、政策性文件规定的合同包含的所有风险、责任等各项全部费用的总和。服务总包的用工与采购人无劳动合同关系。</w:t>
            </w:r>
          </w:p>
        </w:tc>
      </w:tr>
      <w:tr w14:paraId="0E5B5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vAlign w:val="center"/>
          </w:tcPr>
          <w:p w14:paraId="4AE85335">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szCs w:val="21"/>
              </w:rPr>
            </w:pPr>
            <w:r>
              <w:rPr>
                <w:rFonts w:hint="eastAsia" w:ascii="宋体" w:hAnsi="宋体"/>
                <w:szCs w:val="21"/>
              </w:rPr>
              <w:t>付款条件</w:t>
            </w:r>
          </w:p>
        </w:tc>
        <w:tc>
          <w:tcPr>
            <w:tcW w:w="8260" w:type="dxa"/>
            <w:gridSpan w:val="3"/>
            <w:tcBorders>
              <w:top w:val="single" w:color="auto" w:sz="4" w:space="0"/>
              <w:left w:val="single" w:color="auto" w:sz="4" w:space="0"/>
              <w:bottom w:val="single" w:color="auto" w:sz="4" w:space="0"/>
              <w:right w:val="single" w:color="auto" w:sz="4" w:space="0"/>
            </w:tcBorders>
            <w:vAlign w:val="center"/>
          </w:tcPr>
          <w:p w14:paraId="12359018">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szCs w:val="21"/>
              </w:rPr>
              <w:t>1.本项目无预付款。服务费用支付采取先服务，按考核结果后结算方式。由成交人按要求提供服务，采购人归口管理部门后勤保障科、医院感染管理科、护理部考核后，按双方认可的考核结果支付上月服务费用。如因成交人自身无法及时提供资料导致无法按时结算，由成交人自行承担责任。如成交人向采购人提供虚假税务发票或委托第三方进行结算，采购人有权拒绝支付成交人的所有款项，并立即依法解除合同。</w:t>
            </w:r>
          </w:p>
          <w:p w14:paraId="19FB410A">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szCs w:val="21"/>
              </w:rPr>
              <w:t>2.采购人按月（一年成交金额/12个月）向成交人支付服务费。</w:t>
            </w:r>
          </w:p>
          <w:p w14:paraId="19110B7C">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szCs w:val="21"/>
              </w:rPr>
              <w:t>3.从成交人开始实施服务工作之日起开始计算，足月的月份服务费为月金额，不足月的月份服务费计算方法为：（成交人月服务费采购价金额）÷（当月日历天数）×当月实际工作天数=不足月的月份的服务费。当月的服务费，在下一月25日前，采购人以转账方式足额转入成交人指定账户。转账前成交人将相应金额的发票交给采购人。</w:t>
            </w:r>
          </w:p>
        </w:tc>
      </w:tr>
      <w:tr w14:paraId="2BB30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vAlign w:val="center"/>
          </w:tcPr>
          <w:p w14:paraId="42AD319F">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center"/>
              <w:textAlignment w:val="auto"/>
              <w:rPr>
                <w:rFonts w:hint="eastAsia" w:ascii="宋体" w:hAnsi="宋体"/>
                <w:szCs w:val="21"/>
              </w:rPr>
            </w:pPr>
            <w:r>
              <w:rPr>
                <w:rFonts w:hint="eastAsia" w:ascii="宋体" w:hAnsi="宋体" w:cs="宋体"/>
                <w:szCs w:val="21"/>
              </w:rPr>
              <w:t>其他要求</w:t>
            </w:r>
          </w:p>
        </w:tc>
        <w:tc>
          <w:tcPr>
            <w:tcW w:w="8260" w:type="dxa"/>
            <w:gridSpan w:val="3"/>
            <w:tcBorders>
              <w:top w:val="single" w:color="auto" w:sz="4" w:space="0"/>
              <w:left w:val="single" w:color="auto" w:sz="4" w:space="0"/>
              <w:bottom w:val="single" w:color="auto" w:sz="4" w:space="0"/>
              <w:right w:val="single" w:color="auto" w:sz="4" w:space="0"/>
            </w:tcBorders>
            <w:vAlign w:val="center"/>
          </w:tcPr>
          <w:p w14:paraId="7D5B1AE0">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szCs w:val="21"/>
              </w:rPr>
              <w:t>1.处理问题响应时间：接到处理问题通知后，应急队员5分钟内到达采购人指定现场；</w:t>
            </w:r>
          </w:p>
          <w:p w14:paraId="5F8776D5">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szCs w:val="21"/>
              </w:rPr>
              <w:t>2.培训：关于安全保护、突发事件处理、公共秩序、消防、医院秩序管理条例的相关培训；</w:t>
            </w:r>
          </w:p>
          <w:p w14:paraId="1BB1A126">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eastAsiaTheme="minorEastAsia"/>
                <w:szCs w:val="21"/>
                <w:lang w:eastAsia="zh-CN"/>
              </w:rPr>
            </w:pPr>
            <w:r>
              <w:rPr>
                <w:rFonts w:hint="eastAsia" w:ascii="宋体" w:hAnsi="宋体"/>
                <w:szCs w:val="21"/>
              </w:rPr>
              <w:t>3.成交人的人员用工与采购人无劳动合同关系</w:t>
            </w:r>
            <w:r>
              <w:rPr>
                <w:rFonts w:hint="eastAsia" w:ascii="宋体" w:hAnsi="宋体"/>
                <w:szCs w:val="21"/>
                <w:lang w:eastAsia="zh-CN"/>
              </w:rPr>
              <w:t>；</w:t>
            </w:r>
          </w:p>
          <w:p w14:paraId="349D9031">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szCs w:val="21"/>
              </w:rPr>
              <w:t>4.成交人日常工作不符合保洁及电梯服务工作内容要求的实行扣分制，具体按第二章 采购需求 “三、与实现项目目标相关的其他要求”中的“考核标准”执行。</w:t>
            </w:r>
          </w:p>
          <w:p w14:paraId="50B56191">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eastAsiaTheme="minorEastAsia"/>
                <w:szCs w:val="21"/>
                <w:lang w:eastAsia="zh-CN"/>
              </w:rPr>
            </w:pPr>
            <w:r>
              <w:rPr>
                <w:rFonts w:hint="eastAsia" w:ascii="宋体" w:hAnsi="宋体"/>
                <w:szCs w:val="21"/>
              </w:rPr>
              <w:t>5.成交</w:t>
            </w:r>
            <w:r>
              <w:rPr>
                <w:rFonts w:hint="eastAsia" w:ascii="宋体" w:hAnsi="宋体"/>
                <w:szCs w:val="21"/>
                <w:lang w:val="en-US" w:eastAsia="zh-CN"/>
              </w:rPr>
              <w:t>人</w:t>
            </w:r>
            <w:r>
              <w:rPr>
                <w:rFonts w:hint="eastAsia" w:ascii="宋体" w:hAnsi="宋体"/>
                <w:szCs w:val="21"/>
              </w:rPr>
              <w:t>在签订合同后接手进驻并逐步进行移交工作，</w:t>
            </w:r>
            <w:r>
              <w:rPr>
                <w:rFonts w:hint="eastAsia" w:ascii="宋体" w:hAnsi="宋体"/>
                <w:szCs w:val="21"/>
                <w:lang w:val="en-US" w:eastAsia="zh-CN"/>
              </w:rPr>
              <w:t>10</w:t>
            </w:r>
            <w:r>
              <w:rPr>
                <w:rFonts w:hint="eastAsia" w:ascii="宋体" w:hAnsi="宋体"/>
                <w:szCs w:val="21"/>
              </w:rPr>
              <w:t>个工作日内移交完毕，进入正常物业管理工作；承接或退出项目时，</w:t>
            </w:r>
            <w:r>
              <w:rPr>
                <w:rFonts w:hint="eastAsia" w:ascii="宋体" w:hAnsi="宋体"/>
                <w:szCs w:val="21"/>
                <w:lang w:val="en-US" w:eastAsia="zh-CN"/>
              </w:rPr>
              <w:t>成交人</w:t>
            </w:r>
            <w:r>
              <w:rPr>
                <w:rFonts w:hint="eastAsia" w:ascii="宋体" w:hAnsi="宋体"/>
                <w:szCs w:val="21"/>
              </w:rPr>
              <w:t>应与服务单位对物业设施设备进行认真查验交接，验收手续齐全。</w:t>
            </w:r>
          </w:p>
        </w:tc>
      </w:tr>
      <w:tr w14:paraId="6601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0" w:type="auto"/>
            <w:gridSpan w:val="5"/>
            <w:tcBorders>
              <w:top w:val="single" w:color="auto" w:sz="4" w:space="0"/>
              <w:left w:val="single" w:color="auto" w:sz="4" w:space="0"/>
              <w:bottom w:val="single" w:color="auto" w:sz="4" w:space="0"/>
              <w:right w:val="single" w:color="auto" w:sz="4" w:space="0"/>
            </w:tcBorders>
            <w:vAlign w:val="center"/>
          </w:tcPr>
          <w:p w14:paraId="09D1E82C">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szCs w:val="21"/>
              </w:rPr>
            </w:pPr>
            <w:r>
              <w:rPr>
                <w:rFonts w:hint="eastAsia" w:ascii="宋体" w:hAnsi="宋体"/>
                <w:b/>
                <w:szCs w:val="21"/>
              </w:rPr>
              <w:t>三、与实现项目目标相关的其他要求</w:t>
            </w:r>
          </w:p>
        </w:tc>
      </w:tr>
      <w:tr w14:paraId="6F66D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505AA">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szCs w:val="21"/>
              </w:rPr>
            </w:pPr>
            <w:r>
              <w:rPr>
                <w:rFonts w:hint="eastAsia" w:ascii="宋体" w:hAnsi="宋体"/>
                <w:b/>
                <w:szCs w:val="21"/>
                <w:lang w:val="en-US" w:eastAsia="zh-CN"/>
              </w:rPr>
              <w:t>竞标</w:t>
            </w:r>
            <w:r>
              <w:rPr>
                <w:rFonts w:hint="eastAsia" w:ascii="宋体" w:hAnsi="宋体"/>
                <w:b/>
                <w:szCs w:val="21"/>
              </w:rPr>
              <w:t>人的履约能力要求</w:t>
            </w:r>
          </w:p>
        </w:tc>
        <w:tc>
          <w:tcPr>
            <w:tcW w:w="8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7DF5BE">
            <w:pPr>
              <w:keepNext w:val="0"/>
              <w:keepLines w:val="0"/>
              <w:pageBreakBefore w:val="0"/>
              <w:widowControl w:val="0"/>
              <w:kinsoku/>
              <w:wordWrap/>
              <w:overflowPunct/>
              <w:topLinePunct w:val="0"/>
              <w:bidi w:val="0"/>
              <w:snapToGrid/>
              <w:spacing w:line="360" w:lineRule="exact"/>
              <w:textAlignment w:val="auto"/>
              <w:rPr>
                <w:rFonts w:hint="eastAsia" w:ascii="宋体" w:hAnsi="宋体"/>
                <w:szCs w:val="21"/>
              </w:rPr>
            </w:pPr>
            <w:r>
              <w:rPr>
                <w:rFonts w:hint="eastAsia" w:ascii="宋体" w:hAnsi="宋体"/>
                <w:szCs w:val="21"/>
              </w:rPr>
              <w:t>详见第四章</w:t>
            </w:r>
            <w:r>
              <w:rPr>
                <w:rFonts w:hint="eastAsia" w:ascii="宋体" w:hAnsi="宋体"/>
                <w:szCs w:val="21"/>
                <w:lang w:val="en-US" w:eastAsia="zh-CN"/>
              </w:rPr>
              <w:t xml:space="preserve"> </w:t>
            </w:r>
            <w:r>
              <w:rPr>
                <w:rFonts w:hint="eastAsia" w:ascii="宋体" w:hAnsi="宋体"/>
                <w:szCs w:val="21"/>
              </w:rPr>
              <w:t>评标方法及评标标准</w:t>
            </w:r>
          </w:p>
        </w:tc>
      </w:tr>
      <w:tr w14:paraId="1B874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B2C58">
            <w:pPr>
              <w:keepNext w:val="0"/>
              <w:keepLines w:val="0"/>
              <w:pageBreakBefore w:val="0"/>
              <w:widowControl w:val="0"/>
              <w:tabs>
                <w:tab w:val="left" w:pos="180"/>
                <w:tab w:val="left" w:pos="1620"/>
              </w:tabs>
              <w:kinsoku/>
              <w:wordWrap/>
              <w:overflowPunct/>
              <w:topLinePunct w:val="0"/>
              <w:bidi w:val="0"/>
              <w:snapToGrid/>
              <w:spacing w:line="360" w:lineRule="exact"/>
              <w:jc w:val="center"/>
              <w:textAlignment w:val="auto"/>
              <w:rPr>
                <w:rFonts w:hint="eastAsia" w:ascii="宋体" w:hAnsi="宋体" w:cs="宋体"/>
                <w:bCs/>
                <w:szCs w:val="21"/>
              </w:rPr>
            </w:pPr>
            <w:r>
              <w:rPr>
                <w:b/>
                <w:bCs/>
                <w:spacing w:val="-1"/>
              </w:rPr>
              <w:t>考核标准</w:t>
            </w:r>
          </w:p>
        </w:tc>
        <w:tc>
          <w:tcPr>
            <w:tcW w:w="8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CA4C95">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color w:val="000000"/>
                <w:sz w:val="21"/>
                <w:szCs w:val="21"/>
              </w:rPr>
            </w:pPr>
            <w:r>
              <w:rPr>
                <w:rFonts w:hint="eastAsia" w:ascii="宋体" w:hAnsi="宋体"/>
                <w:bCs/>
                <w:color w:val="000000"/>
                <w:szCs w:val="21"/>
              </w:rPr>
              <w:t>1.本项目考核方案执行以月考核为周期，考核内容及标准详见附件</w:t>
            </w:r>
            <w:r>
              <w:rPr>
                <w:rFonts w:hint="eastAsia" w:asciiTheme="minorEastAsia" w:hAnsiTheme="minorEastAsia" w:eastAsiaTheme="minorEastAsia" w:cstheme="minorEastAsia"/>
                <w:b w:val="0"/>
                <w:bCs/>
                <w:color w:val="000000"/>
                <w:sz w:val="21"/>
                <w:szCs w:val="21"/>
              </w:rPr>
              <w:t>《</w:t>
            </w:r>
            <w:r>
              <w:rPr>
                <w:rFonts w:hint="eastAsia" w:asciiTheme="minorEastAsia" w:hAnsiTheme="minorEastAsia" w:eastAsiaTheme="minorEastAsia" w:cstheme="minorEastAsia"/>
                <w:b w:val="0"/>
                <w:bCs/>
                <w:snapToGrid w:val="0"/>
                <w:color w:val="000000"/>
                <w:spacing w:val="6"/>
                <w:kern w:val="0"/>
                <w:sz w:val="21"/>
                <w:szCs w:val="21"/>
                <w:lang w:eastAsia="zh-CN"/>
              </w:rPr>
              <w:t>防城港市港口区人民医院保洁服务</w:t>
            </w:r>
            <w:r>
              <w:rPr>
                <w:rFonts w:hint="eastAsia" w:asciiTheme="minorEastAsia" w:hAnsiTheme="minorEastAsia" w:eastAsiaTheme="minorEastAsia" w:cstheme="minorEastAsia"/>
                <w:b w:val="0"/>
                <w:bCs/>
                <w:snapToGrid w:val="0"/>
                <w:color w:val="000000"/>
                <w:spacing w:val="6"/>
                <w:kern w:val="0"/>
                <w:sz w:val="21"/>
                <w:szCs w:val="21"/>
              </w:rPr>
              <w:t>质量考核评分表</w:t>
            </w:r>
            <w:r>
              <w:rPr>
                <w:rFonts w:hint="eastAsia" w:asciiTheme="minorEastAsia" w:hAnsiTheme="minorEastAsia" w:eastAsiaTheme="minorEastAsia" w:cstheme="minorEastAsia"/>
                <w:b w:val="0"/>
                <w:bCs/>
                <w:color w:val="000000"/>
                <w:sz w:val="21"/>
                <w:szCs w:val="21"/>
              </w:rPr>
              <w:t>》、《</w:t>
            </w:r>
            <w:r>
              <w:rPr>
                <w:rFonts w:hint="eastAsia" w:asciiTheme="minorEastAsia" w:hAnsiTheme="minorEastAsia" w:eastAsiaTheme="minorEastAsia" w:cstheme="minorEastAsia"/>
                <w:b w:val="0"/>
                <w:bCs/>
                <w:snapToGrid w:val="0"/>
                <w:color w:val="000000"/>
                <w:spacing w:val="6"/>
                <w:kern w:val="0"/>
                <w:sz w:val="21"/>
                <w:szCs w:val="21"/>
                <w:lang w:eastAsia="zh-CN"/>
              </w:rPr>
              <w:t>防城港市港口区人民医</w:t>
            </w:r>
            <w:r>
              <w:rPr>
                <w:rFonts w:hint="eastAsia" w:asciiTheme="minorEastAsia" w:hAnsiTheme="minorEastAsia" w:eastAsiaTheme="minorEastAsia" w:cstheme="minorEastAsia"/>
                <w:b w:val="0"/>
                <w:bCs/>
                <w:snapToGrid w:val="0"/>
                <w:color w:val="000000"/>
                <w:spacing w:val="6"/>
                <w:kern w:val="0"/>
                <w:sz w:val="21"/>
                <w:szCs w:val="21"/>
                <w:lang w:val="en-US" w:eastAsia="zh-CN"/>
              </w:rPr>
              <w:t>秩序维护</w:t>
            </w:r>
            <w:r>
              <w:rPr>
                <w:rFonts w:hint="eastAsia" w:asciiTheme="minorEastAsia" w:hAnsiTheme="minorEastAsia" w:eastAsiaTheme="minorEastAsia" w:cstheme="minorEastAsia"/>
                <w:b w:val="0"/>
                <w:bCs/>
                <w:snapToGrid w:val="0"/>
                <w:color w:val="000000"/>
                <w:spacing w:val="6"/>
                <w:kern w:val="0"/>
                <w:sz w:val="21"/>
                <w:szCs w:val="21"/>
              </w:rPr>
              <w:t>服务质量考核</w:t>
            </w:r>
            <w:r>
              <w:rPr>
                <w:rFonts w:hint="eastAsia" w:asciiTheme="minorEastAsia" w:hAnsiTheme="minorEastAsia" w:eastAsiaTheme="minorEastAsia" w:cstheme="minorEastAsia"/>
                <w:b w:val="0"/>
                <w:bCs/>
                <w:snapToGrid w:val="0"/>
                <w:color w:val="000000"/>
                <w:spacing w:val="6"/>
                <w:kern w:val="0"/>
                <w:sz w:val="21"/>
                <w:szCs w:val="21"/>
                <w:lang w:val="en-US" w:eastAsia="zh-CN"/>
              </w:rPr>
              <w:t>评</w:t>
            </w:r>
            <w:r>
              <w:rPr>
                <w:rFonts w:hint="eastAsia" w:asciiTheme="minorEastAsia" w:hAnsiTheme="minorEastAsia" w:eastAsiaTheme="minorEastAsia" w:cstheme="minorEastAsia"/>
                <w:b w:val="0"/>
                <w:bCs/>
                <w:snapToGrid w:val="0"/>
                <w:color w:val="000000"/>
                <w:spacing w:val="6"/>
                <w:kern w:val="0"/>
                <w:sz w:val="21"/>
                <w:szCs w:val="21"/>
              </w:rPr>
              <w:t>分</w:t>
            </w:r>
            <w:r>
              <w:rPr>
                <w:rFonts w:hint="eastAsia" w:asciiTheme="minorEastAsia" w:hAnsiTheme="minorEastAsia" w:eastAsiaTheme="minorEastAsia" w:cstheme="minorEastAsia"/>
                <w:b w:val="0"/>
                <w:bCs/>
                <w:snapToGrid w:val="0"/>
                <w:color w:val="000000"/>
                <w:spacing w:val="6"/>
                <w:kern w:val="0"/>
                <w:sz w:val="21"/>
                <w:szCs w:val="21"/>
                <w:lang w:val="en-US" w:eastAsia="zh-CN"/>
              </w:rPr>
              <w:t>表</w:t>
            </w:r>
            <w:r>
              <w:rPr>
                <w:rFonts w:hint="eastAsia" w:asciiTheme="minorEastAsia" w:hAnsiTheme="minorEastAsia" w:eastAsiaTheme="minorEastAsia" w:cstheme="minorEastAsia"/>
                <w:b w:val="0"/>
                <w:bCs/>
                <w:color w:val="000000"/>
                <w:sz w:val="21"/>
                <w:szCs w:val="21"/>
              </w:rPr>
              <w:t>》《</w:t>
            </w:r>
            <w:r>
              <w:rPr>
                <w:rFonts w:hint="eastAsia" w:asciiTheme="minorEastAsia" w:hAnsiTheme="minorEastAsia" w:eastAsiaTheme="minorEastAsia" w:cstheme="minorEastAsia"/>
                <w:b w:val="0"/>
                <w:bCs/>
                <w:color w:val="000000"/>
                <w:sz w:val="21"/>
                <w:szCs w:val="21"/>
                <w:lang w:eastAsia="zh-CN"/>
              </w:rPr>
              <w:t>防城港市港口区人民医院</w:t>
            </w:r>
            <w:r>
              <w:rPr>
                <w:rFonts w:hint="eastAsia" w:asciiTheme="minorEastAsia" w:hAnsiTheme="minorEastAsia" w:eastAsiaTheme="minorEastAsia" w:cstheme="minorEastAsia"/>
                <w:b w:val="0"/>
                <w:bCs/>
                <w:snapToGrid w:val="0"/>
                <w:color w:val="000000"/>
                <w:spacing w:val="6"/>
                <w:kern w:val="0"/>
                <w:sz w:val="21"/>
                <w:szCs w:val="21"/>
                <w:lang w:val="en-US" w:eastAsia="zh-CN"/>
              </w:rPr>
              <w:t>电梯操作</w:t>
            </w:r>
            <w:r>
              <w:rPr>
                <w:rFonts w:hint="eastAsia" w:asciiTheme="minorEastAsia" w:hAnsiTheme="minorEastAsia" w:eastAsiaTheme="minorEastAsia" w:cstheme="minorEastAsia"/>
                <w:b w:val="0"/>
                <w:bCs/>
                <w:snapToGrid w:val="0"/>
                <w:color w:val="000000"/>
                <w:spacing w:val="6"/>
                <w:kern w:val="0"/>
                <w:sz w:val="21"/>
                <w:szCs w:val="21"/>
                <w:lang w:eastAsia="zh-CN"/>
              </w:rPr>
              <w:t>服务</w:t>
            </w:r>
            <w:r>
              <w:rPr>
                <w:rFonts w:hint="eastAsia" w:asciiTheme="minorEastAsia" w:hAnsiTheme="minorEastAsia" w:eastAsiaTheme="minorEastAsia" w:cstheme="minorEastAsia"/>
                <w:b w:val="0"/>
                <w:bCs/>
                <w:snapToGrid w:val="0"/>
                <w:color w:val="000000"/>
                <w:spacing w:val="6"/>
                <w:kern w:val="0"/>
                <w:sz w:val="21"/>
                <w:szCs w:val="21"/>
              </w:rPr>
              <w:t>质量考核评分表</w:t>
            </w:r>
            <w:r>
              <w:rPr>
                <w:rFonts w:hint="eastAsia" w:asciiTheme="minorEastAsia" w:hAnsiTheme="minorEastAsia" w:eastAsiaTheme="minorEastAsia" w:cstheme="minorEastAsia"/>
                <w:b w:val="0"/>
                <w:bCs/>
                <w:color w:val="000000"/>
                <w:sz w:val="21"/>
                <w:szCs w:val="21"/>
              </w:rPr>
              <w:t>》。</w:t>
            </w:r>
          </w:p>
          <w:p w14:paraId="0874DB6E">
            <w:pPr>
              <w:keepNext w:val="0"/>
              <w:keepLines w:val="0"/>
              <w:pageBreakBefore w:val="0"/>
              <w:widowControl w:val="0"/>
              <w:kinsoku/>
              <w:wordWrap/>
              <w:overflowPunct/>
              <w:topLinePunct w:val="0"/>
              <w:bidi w:val="0"/>
              <w:snapToGrid/>
              <w:spacing w:line="360" w:lineRule="exact"/>
              <w:textAlignment w:val="auto"/>
              <w:rPr>
                <w:rFonts w:hint="eastAsia" w:ascii="宋体" w:hAnsi="宋体" w:cs="宋体"/>
                <w:bCs/>
                <w:color w:val="000000"/>
                <w:szCs w:val="21"/>
              </w:rPr>
            </w:pPr>
            <w:r>
              <w:rPr>
                <w:rFonts w:hint="eastAsia" w:ascii="宋体" w:hAnsi="宋体"/>
                <w:bCs/>
                <w:color w:val="000000"/>
                <w:szCs w:val="21"/>
              </w:rPr>
              <w:t>2.未及时完成项目将重复扣分</w:t>
            </w:r>
            <w:r>
              <w:rPr>
                <w:rFonts w:hint="eastAsia" w:ascii="宋体" w:hAnsi="宋体" w:cs="宋体"/>
                <w:bCs/>
                <w:color w:val="000000"/>
                <w:szCs w:val="21"/>
              </w:rPr>
              <w:t>，最多不超过5次。</w:t>
            </w:r>
          </w:p>
          <w:p w14:paraId="66ADD681">
            <w:pPr>
              <w:keepNext w:val="0"/>
              <w:keepLines w:val="0"/>
              <w:pageBreakBefore w:val="0"/>
              <w:widowControl w:val="0"/>
              <w:kinsoku/>
              <w:wordWrap/>
              <w:overflowPunct/>
              <w:topLinePunct w:val="0"/>
              <w:bidi w:val="0"/>
              <w:snapToGrid/>
              <w:spacing w:line="360" w:lineRule="exact"/>
              <w:textAlignment w:val="auto"/>
              <w:rPr>
                <w:rStyle w:val="28"/>
              </w:rPr>
            </w:pPr>
            <w:r>
              <w:rPr>
                <w:rStyle w:val="28"/>
                <w:rFonts w:hint="eastAsia" w:ascii="宋体" w:hAnsi="宋体" w:cs="宋体"/>
              </w:rPr>
              <w:t>3.每月考核分值满分为100分，90分以上（含90）为达标，85—89分按每分100元扣除服务费，80—84分按每分150元扣除服务费，70—79分按月服务费85%支付，60—69分按月服务费70%支付；60分以下按月服务费50%支付，成交人在服务期内累计3次或连续 2 次达到 60分以下，采购人报经</w:t>
            </w:r>
            <w:r>
              <w:rPr>
                <w:rStyle w:val="28"/>
                <w:rFonts w:hint="eastAsia"/>
              </w:rPr>
              <w:t>监督管理部门同意有权依法解除合同。</w:t>
            </w:r>
          </w:p>
          <w:p w14:paraId="2FC51387">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4.对考核扣分存在的问题，除扣除相应服务费以外，成交人要组织整改，并将整改落实情况书面交采购人后勤保障科备存。</w:t>
            </w:r>
          </w:p>
          <w:p w14:paraId="1EE36C60">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5.保洁服务质量考核每月由后勤保障科、护理部和人事科不定期考核。</w:t>
            </w:r>
          </w:p>
          <w:p w14:paraId="025B2C22">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6.其他考核说明：</w:t>
            </w:r>
          </w:p>
          <w:p w14:paraId="35498EF4">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（1）成交人进驻后， 根据附表1《</w:t>
            </w:r>
            <w:r>
              <w:rPr>
                <w:rFonts w:hint="eastAsia" w:asciiTheme="minorEastAsia" w:hAnsiTheme="minorEastAsia" w:eastAsiaTheme="minorEastAsia" w:cstheme="minorEastAsia"/>
                <w:b w:val="0"/>
                <w:bCs/>
                <w:snapToGrid w:val="0"/>
                <w:color w:val="000000"/>
                <w:spacing w:val="6"/>
                <w:kern w:val="0"/>
                <w:sz w:val="21"/>
                <w:szCs w:val="21"/>
                <w:lang w:eastAsia="zh-CN"/>
              </w:rPr>
              <w:t>防城港市港口区人民医</w:t>
            </w:r>
            <w:r>
              <w:rPr>
                <w:rFonts w:hint="eastAsia" w:asciiTheme="minorEastAsia" w:hAnsiTheme="minorEastAsia" w:eastAsiaTheme="minorEastAsia" w:cstheme="minorEastAsia"/>
                <w:b w:val="0"/>
                <w:bCs/>
                <w:snapToGrid w:val="0"/>
                <w:color w:val="000000"/>
                <w:spacing w:val="6"/>
                <w:kern w:val="0"/>
                <w:sz w:val="21"/>
                <w:szCs w:val="21"/>
                <w:lang w:val="en-US" w:eastAsia="zh-CN"/>
              </w:rPr>
              <w:t>秩序维护</w:t>
            </w:r>
            <w:r>
              <w:rPr>
                <w:rFonts w:hint="eastAsia" w:asciiTheme="minorEastAsia" w:hAnsiTheme="minorEastAsia" w:eastAsiaTheme="minorEastAsia" w:cstheme="minorEastAsia"/>
                <w:b w:val="0"/>
                <w:bCs/>
                <w:snapToGrid w:val="0"/>
                <w:color w:val="000000"/>
                <w:spacing w:val="6"/>
                <w:kern w:val="0"/>
                <w:sz w:val="21"/>
                <w:szCs w:val="21"/>
              </w:rPr>
              <w:t>服务质量考核</w:t>
            </w:r>
            <w:r>
              <w:rPr>
                <w:rFonts w:hint="eastAsia" w:asciiTheme="minorEastAsia" w:hAnsiTheme="minorEastAsia" w:eastAsiaTheme="minorEastAsia" w:cstheme="minorEastAsia"/>
                <w:b w:val="0"/>
                <w:bCs/>
                <w:snapToGrid w:val="0"/>
                <w:color w:val="000000"/>
                <w:spacing w:val="6"/>
                <w:kern w:val="0"/>
                <w:sz w:val="21"/>
                <w:szCs w:val="21"/>
                <w:lang w:val="en-US" w:eastAsia="zh-CN"/>
              </w:rPr>
              <w:t>评</w:t>
            </w:r>
            <w:r>
              <w:rPr>
                <w:rFonts w:hint="eastAsia" w:asciiTheme="minorEastAsia" w:hAnsiTheme="minorEastAsia" w:eastAsiaTheme="minorEastAsia" w:cstheme="minorEastAsia"/>
                <w:b w:val="0"/>
                <w:bCs/>
                <w:snapToGrid w:val="0"/>
                <w:color w:val="000000"/>
                <w:spacing w:val="6"/>
                <w:kern w:val="0"/>
                <w:sz w:val="21"/>
                <w:szCs w:val="21"/>
              </w:rPr>
              <w:t>分</w:t>
            </w:r>
            <w:r>
              <w:rPr>
                <w:rFonts w:hint="eastAsia" w:asciiTheme="minorEastAsia" w:hAnsiTheme="minorEastAsia" w:eastAsiaTheme="minorEastAsia" w:cstheme="minorEastAsia"/>
                <w:b w:val="0"/>
                <w:bCs/>
                <w:snapToGrid w:val="0"/>
                <w:color w:val="000000"/>
                <w:spacing w:val="6"/>
                <w:kern w:val="0"/>
                <w:sz w:val="21"/>
                <w:szCs w:val="21"/>
                <w:lang w:val="en-US" w:eastAsia="zh-CN"/>
              </w:rPr>
              <w:t>表</w:t>
            </w:r>
            <w:r>
              <w:rPr>
                <w:rFonts w:hint="eastAsia" w:ascii="宋体" w:hAnsi="宋体"/>
                <w:bCs/>
                <w:color w:val="000000"/>
                <w:szCs w:val="21"/>
              </w:rPr>
              <w:t>》，每月由采购人监管部门进行质量督查，检查扣分情况经成交人项目经理或领班确认后有效。</w:t>
            </w:r>
          </w:p>
          <w:p w14:paraId="4128F8C6">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（2）发现成交人工作人员盗窃采购人财物的，除扣分以外每发现一次扣除成交人 1000元，要求照价赔偿，勒令成交人辞退当事员工。同时成交人有权依据相关法律规定将当事人移送公安部门处理。</w:t>
            </w:r>
          </w:p>
          <w:p w14:paraId="089C95D7">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（3）成交人工作人员工作期间发生争吵或打架行为者，扣除成交人 1000元，勒令辞退当事员工。如造成第三方损失和人身伤害或者造成相关不良影响的由成交人自行处理和承担。</w:t>
            </w:r>
          </w:p>
          <w:p w14:paraId="2F544F55">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（4）成交人工作人员在工作和生活区域必须服从采购人管理， 按要求关灯、 停水或锁门，否则每发现一次扣除成交人 200 元/人/次，由此产生的不良后果由成交人承担。</w:t>
            </w:r>
          </w:p>
          <w:p w14:paraId="3817AB5F">
            <w:pPr>
              <w:keepNext w:val="0"/>
              <w:keepLines w:val="0"/>
              <w:pageBreakBefore w:val="0"/>
              <w:widowControl w:val="0"/>
              <w:kinsoku/>
              <w:wordWrap/>
              <w:overflowPunct/>
              <w:topLinePunct w:val="0"/>
              <w:bidi w:val="0"/>
              <w:snapToGrid/>
              <w:spacing w:line="360" w:lineRule="exact"/>
              <w:textAlignment w:val="auto"/>
              <w:rPr>
                <w:rFonts w:hint="eastAsia" w:ascii="宋体" w:hAnsi="宋体"/>
                <w:bCs/>
                <w:color w:val="000000"/>
                <w:szCs w:val="21"/>
              </w:rPr>
            </w:pPr>
            <w:r>
              <w:rPr>
                <w:rFonts w:hint="eastAsia" w:ascii="宋体" w:hAnsi="宋体"/>
                <w:bCs/>
                <w:color w:val="000000"/>
                <w:szCs w:val="21"/>
              </w:rPr>
              <w:t>（5）保洁人员在工作或非工作期间在医院内发生任何伤亡事件由成交人负责。</w:t>
            </w:r>
          </w:p>
          <w:p w14:paraId="09E344AE">
            <w:pPr>
              <w:keepNext w:val="0"/>
              <w:keepLines w:val="0"/>
              <w:pageBreakBefore w:val="0"/>
              <w:widowControl w:val="0"/>
              <w:tabs>
                <w:tab w:val="left" w:pos="180"/>
                <w:tab w:val="left" w:pos="1620"/>
              </w:tabs>
              <w:kinsoku/>
              <w:wordWrap/>
              <w:overflowPunct/>
              <w:topLinePunct w:val="0"/>
              <w:bidi w:val="0"/>
              <w:snapToGrid/>
              <w:spacing w:line="360" w:lineRule="exact"/>
              <w:textAlignment w:val="auto"/>
              <w:rPr>
                <w:b/>
                <w:bCs/>
                <w:spacing w:val="-1"/>
              </w:rPr>
            </w:pPr>
            <w:r>
              <w:rPr>
                <w:rFonts w:hint="eastAsia" w:ascii="宋体" w:hAnsi="宋体"/>
                <w:bCs/>
                <w:color w:val="000000"/>
                <w:szCs w:val="21"/>
              </w:rPr>
              <w:t>（6）成交人应灵活安排保洁员，临床科室每科室确保保障一名保洁员，若某科室某月在院病人数低于该科可使用床位的三分之一时，则可合并该科室的保洁管理。</w:t>
            </w:r>
          </w:p>
        </w:tc>
      </w:tr>
      <w:tr w14:paraId="27CCA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BF004">
            <w:pPr>
              <w:keepNext w:val="0"/>
              <w:keepLines w:val="0"/>
              <w:pageBreakBefore w:val="0"/>
              <w:widowControl w:val="0"/>
              <w:tabs>
                <w:tab w:val="left" w:pos="180"/>
                <w:tab w:val="left" w:pos="1620"/>
              </w:tabs>
              <w:kinsoku/>
              <w:wordWrap/>
              <w:overflowPunct/>
              <w:topLinePunct w:val="0"/>
              <w:bidi w:val="0"/>
              <w:snapToGrid/>
              <w:spacing w:line="360" w:lineRule="exact"/>
              <w:jc w:val="center"/>
              <w:textAlignment w:val="auto"/>
              <w:rPr>
                <w:rFonts w:hint="eastAsia" w:ascii="宋体" w:hAnsi="宋体"/>
                <w:b/>
                <w:szCs w:val="21"/>
              </w:rPr>
            </w:pPr>
            <w:r>
              <w:rPr>
                <w:rFonts w:hint="eastAsia" w:ascii="宋体" w:hAnsi="宋体"/>
                <w:b/>
                <w:color w:val="000000"/>
                <w:szCs w:val="21"/>
              </w:rPr>
              <w:t>违约责任</w:t>
            </w:r>
          </w:p>
        </w:tc>
        <w:tc>
          <w:tcPr>
            <w:tcW w:w="8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45F227">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1.发生下列情形之一的，视为违约。违约方应向对方支付违约金10000元。如造成经济损失或其他后果的，由违约方承担全部后果。</w:t>
            </w:r>
          </w:p>
          <w:p w14:paraId="33A0C63D">
            <w:pPr>
              <w:keepNext w:val="0"/>
              <w:keepLines w:val="0"/>
              <w:pageBreakBefore w:val="0"/>
              <w:widowControl w:val="0"/>
              <w:tabs>
                <w:tab w:val="left" w:pos="0"/>
              </w:tabs>
              <w:kinsoku/>
              <w:wordWrap/>
              <w:overflowPunct/>
              <w:topLinePunct w:val="0"/>
              <w:bidi w:val="0"/>
              <w:snapToGrid/>
              <w:spacing w:line="36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bCs/>
                <w:color w:val="000000"/>
                <w:sz w:val="21"/>
                <w:szCs w:val="21"/>
              </w:rPr>
              <w:t>成交人</w:t>
            </w:r>
            <w:r>
              <w:rPr>
                <w:rFonts w:hint="eastAsia" w:asciiTheme="minorEastAsia" w:hAnsiTheme="minorEastAsia" w:eastAsiaTheme="minorEastAsia" w:cstheme="minorEastAsia"/>
                <w:color w:val="000000"/>
                <w:kern w:val="0"/>
                <w:sz w:val="21"/>
                <w:szCs w:val="21"/>
              </w:rPr>
              <w:t>员工因违规操作造成环境不达标，引起院内交叉感染的。</w:t>
            </w:r>
          </w:p>
          <w:p w14:paraId="3409FF05">
            <w:pPr>
              <w:keepNext w:val="0"/>
              <w:keepLines w:val="0"/>
              <w:pageBreakBefore w:val="0"/>
              <w:widowControl w:val="0"/>
              <w:tabs>
                <w:tab w:val="left" w:pos="0"/>
              </w:tabs>
              <w:kinsoku/>
              <w:wordWrap/>
              <w:overflowPunct/>
              <w:topLinePunct w:val="0"/>
              <w:bidi w:val="0"/>
              <w:snapToGrid/>
              <w:spacing w:line="36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（2）出现任何一个责任保洁区连续两天无人清洁的或任何一个责任绿化区连续七天无人养护的。</w:t>
            </w:r>
          </w:p>
          <w:p w14:paraId="17C58DF3">
            <w:pPr>
              <w:keepNext w:val="0"/>
              <w:keepLines w:val="0"/>
              <w:pageBreakBefore w:val="0"/>
              <w:widowControl w:val="0"/>
              <w:tabs>
                <w:tab w:val="left" w:pos="0"/>
              </w:tabs>
              <w:kinsoku/>
              <w:wordWrap/>
              <w:overflowPunct/>
              <w:topLinePunct w:val="0"/>
              <w:bidi w:val="0"/>
              <w:snapToGrid/>
              <w:spacing w:line="36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（3）未经对方同意而单方面停止履行合约的。</w:t>
            </w:r>
          </w:p>
          <w:p w14:paraId="18F99CE5">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rPr>
              <w:t>2.无论何种原因（项目人员因重病或重伤（持有市级及以上医院证明并经业主核实的）两个月以上不能履行职责的；辞职或提拔调离原工作法人单位的；因违法被责令停止执业的；被司法机关羁押或判刑的；死亡的不予处罚），</w:t>
            </w:r>
            <w:r>
              <w:rPr>
                <w:rFonts w:hint="eastAsia" w:asciiTheme="minorEastAsia" w:hAnsiTheme="minorEastAsia" w:eastAsiaTheme="minorEastAsia" w:cstheme="minorEastAsia"/>
                <w:bCs/>
                <w:color w:val="000000"/>
                <w:sz w:val="21"/>
                <w:szCs w:val="21"/>
              </w:rPr>
              <w:t>成交人</w:t>
            </w:r>
            <w:r>
              <w:rPr>
                <w:rFonts w:hint="eastAsia" w:asciiTheme="minorEastAsia" w:hAnsiTheme="minorEastAsia" w:eastAsiaTheme="minorEastAsia" w:cstheme="minorEastAsia"/>
                <w:color w:val="000000"/>
                <w:kern w:val="0"/>
                <w:sz w:val="21"/>
                <w:szCs w:val="21"/>
              </w:rPr>
              <w:t>更换项目经理及项目主管，必须经采购人同意，且更换人员资历不得低于被更换人员，更换人员工作经验、业务能力及专业技术水平必须满足岗位工作要求。</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若</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成交人</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未经采购人批准，私自更换人员的，按以下标准对</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成交人</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进行处罚：</w:t>
            </w:r>
          </w:p>
          <w:p w14:paraId="1C3CDA7E">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（1）第一次更换</w:t>
            </w:r>
            <w:r>
              <w:rPr>
                <w:rFonts w:hint="eastAsia"/>
                <w:lang w:val="en-US" w:eastAsia="zh-CN"/>
              </w:rPr>
              <w:t>保洁绿化部长（项目经理）</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1000元/人次，从第二次起更换</w:t>
            </w:r>
            <w:r>
              <w:rPr>
                <w:rFonts w:hint="eastAsia"/>
                <w:lang w:val="en-US" w:eastAsia="zh-CN"/>
              </w:rPr>
              <w:t>保洁绿化部长（项目经理）</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2000元/人次；</w:t>
            </w:r>
          </w:p>
          <w:p w14:paraId="08D472AC">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（2）未经采购人同意，</w:t>
            </w:r>
            <w:r>
              <w:rPr>
                <w:rFonts w:hint="eastAsia"/>
                <w:lang w:val="en-US" w:eastAsia="zh-CN"/>
              </w:rPr>
              <w:t>保洁绿化部长（项目经理）</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不得同时担任其他任何项目的</w:t>
            </w:r>
            <w:r>
              <w:rPr>
                <w:rFonts w:hint="eastAsia"/>
                <w:lang w:val="en-US" w:eastAsia="zh-CN"/>
              </w:rPr>
              <w:t>保洁绿化部长（项目经理）</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职务，采购人发现</w:t>
            </w:r>
            <w:r>
              <w:rPr>
                <w:rFonts w:hint="eastAsia"/>
                <w:lang w:val="en-US" w:eastAsia="zh-CN"/>
              </w:rPr>
              <w:t>保洁绿化部长（项目经理）</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在其他项目担任</w:t>
            </w:r>
            <w:r>
              <w:rPr>
                <w:rFonts w:hint="eastAsia"/>
                <w:lang w:val="en-US" w:eastAsia="zh-CN"/>
              </w:rPr>
              <w:t>保洁绿化部长（项目经理）</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的，采购人即可从成交服务收费中一次性扣除</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1万元的违约金</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成交人</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须在三个工作日内整改完毕，否则采购人将追究</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成交人</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违约责任。</w:t>
            </w:r>
          </w:p>
          <w:p w14:paraId="38D54BD8">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3.对考核检查中发现的问题，采购人发出整改通知单限期整改。若成交人在限期内未能整改到位，或同一问题连续两次被限期整改，采购人将约谈成交人负责人，将相关情况纳入服务履约评价档案。一年内发生该类违约情形达到 3 次及以上的，采购人将追究成交人违约责任，同时报政府采购管理部门处理。</w:t>
            </w:r>
          </w:p>
          <w:p w14:paraId="5AD1B187">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4.如因采购人原因，造成成交人未完成规定管理目标或直接造成成交人经济损失的，采购人应给予成交人相应赔偿。</w:t>
            </w:r>
          </w:p>
          <w:p w14:paraId="6C359F0E">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5.如因成交人原因，造成不能完成规定管理目标或直接造成采购人经济损失的，成交人应给予采购人相应赔偿。采购人有权要求成交人限期整改，同时报政府采购管理部门处理。</w:t>
            </w:r>
          </w:p>
          <w:p w14:paraId="2FA031EF">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6.采购人、成交人双方如因采取不正当行为或手段致使对方失去管理权，造成对方经济损失的，应当承担全部赔偿责任。</w:t>
            </w:r>
          </w:p>
          <w:p w14:paraId="782D1242">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7.成交人出现达不到服务标准情形的，采购人有权按以下要求处理：</w:t>
            </w:r>
          </w:p>
          <w:p w14:paraId="0F1F1F86">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（1）一般情况。成交人服务不达标但未造成损失或不良影响的，采购人责令成交人限期整改，并将整改情况纳入履约评价。</w:t>
            </w:r>
          </w:p>
          <w:p w14:paraId="4A719796">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（2）较重情况。成交人服务不达标造成较轻损失或不良影响的，采购人约谈成交人负责人，要求限期整改，并在履约评价中记录不良行为。</w:t>
            </w:r>
          </w:p>
          <w:p w14:paraId="1B98628C">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3）严重情况。成交人不按照有关劳动法规的规定及采购文件约定发放劳动报酬，造成人员变动频繁或人员配备不到位，严重影响服务质量的；成交人服务出现严重失误造成重大损失或重大影响的，采购人有权扣减成交人当月绿化管护服务费，因此造成的一切损失由成交人承担，同时报政府采购管理部门处理；情节特别严重的，采购人可解除服务合同。</w:t>
            </w:r>
          </w:p>
          <w:p w14:paraId="2D64F6B2">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（4）成交人季度综合测评满意率不达 90% 的，采购人按《</w:t>
            </w:r>
            <w:r>
              <w:rPr>
                <w:rFonts w:hint="eastAsia" w:asciiTheme="minorEastAsia" w:hAnsiTheme="minorEastAsia" w:cstheme="minorEastAsia"/>
                <w:b w:val="0"/>
                <w:bCs w:val="0"/>
                <w:color w:val="000000" w:themeColor="text1"/>
                <w:kern w:val="0"/>
                <w:sz w:val="21"/>
                <w:szCs w:val="21"/>
                <w:lang w:val="en-US" w:eastAsia="zh-CN"/>
                <w14:textFill>
                  <w14:solidFill>
                    <w14:schemeClr w14:val="tx1"/>
                  </w14:solidFill>
                </w14:textFill>
              </w:rPr>
              <w:t>秩序、</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保洁、电梯服务工作要求及检查验收标准》（合同签订后双方协商拟订）规定，扣减成交人相应服务费。</w:t>
            </w:r>
          </w:p>
          <w:p w14:paraId="23F86FD8">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（5）因成交人未能履行本服务合同的约定，或者履行本合同未达到规定的考核标准，导致采购人员人身或采购人财产受到损害的，成交人应当依法承担相应的法律责任及经济赔偿。</w:t>
            </w:r>
          </w:p>
          <w:p w14:paraId="0043E63F">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6）上述同一情形的问题，在一个季度内发生三次以上的，视为成交人未完全达到合同约定管理目标，采购人可要求成交人限期整改；成交人接到限期整改意见后仍未按期改正的，采购人将报政府采购管理部门处理，并要求成交人赔偿全部损失，同时有权解除服务合同。</w:t>
            </w:r>
          </w:p>
          <w:p w14:paraId="2518FD6B">
            <w:pPr>
              <w:keepNext w:val="0"/>
              <w:keepLines w:val="0"/>
              <w:pageBreakBefore w:val="0"/>
              <w:widowControl w:val="0"/>
              <w:kinsoku/>
              <w:wordWrap/>
              <w:overflowPunct/>
              <w:topLinePunct w:val="0"/>
              <w:bidi w:val="0"/>
              <w:snapToGrid/>
              <w:spacing w:line="360" w:lineRule="exact"/>
              <w:textAlignment w:val="auto"/>
              <w:rPr>
                <w:rFonts w:hint="eastAsia" w:ascii="宋体" w:hAnsi="宋体" w:cs="宋体"/>
                <w:bCs/>
                <w:szCs w:val="21"/>
              </w:rPr>
            </w:pP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（7）合同终止 / 解除后，成交人应在 10 天内交回相关档案资料；逾期未交回的，采购人责令其限期移交，并追究成交人因此造成的全部损失；逾期超过 20 天的，采购人将报政府采购管理部门处理。</w:t>
            </w:r>
          </w:p>
        </w:tc>
      </w:tr>
    </w:tbl>
    <w:p w14:paraId="0FD4D1B6">
      <w:pPr>
        <w:widowControl/>
        <w:spacing w:line="360" w:lineRule="auto"/>
        <w:jc w:val="left"/>
        <w:textAlignment w:val="center"/>
        <w:rPr>
          <w:rFonts w:hint="eastAsia" w:ascii="宋体" w:hAnsi="宋体"/>
          <w:b/>
          <w:szCs w:val="21"/>
        </w:rPr>
      </w:pPr>
    </w:p>
    <w:p w14:paraId="024843CD">
      <w:pPr>
        <w:rPr>
          <w:rFonts w:hint="eastAsia" w:ascii="宋体" w:hAnsi="宋体" w:cs="宋体"/>
          <w:b/>
          <w:bCs/>
          <w:snapToGrid w:val="0"/>
          <w:color w:val="000000"/>
          <w:spacing w:val="6"/>
          <w:kern w:val="0"/>
          <w:sz w:val="31"/>
          <w:szCs w:val="31"/>
        </w:rPr>
      </w:pPr>
      <w:r>
        <w:rPr>
          <w:rFonts w:hint="eastAsia" w:ascii="宋体" w:hAnsi="宋体" w:cs="宋体"/>
          <w:b/>
          <w:bCs/>
          <w:snapToGrid w:val="0"/>
          <w:color w:val="000000"/>
          <w:spacing w:val="6"/>
          <w:kern w:val="0"/>
          <w:sz w:val="31"/>
          <w:szCs w:val="31"/>
        </w:rPr>
        <w:br w:type="page"/>
      </w:r>
    </w:p>
    <w:p w14:paraId="5B6C79E2">
      <w:pPr>
        <w:spacing w:line="360" w:lineRule="auto"/>
        <w:jc w:val="left"/>
        <w:rPr>
          <w:rFonts w:hint="eastAsia" w:ascii="宋体" w:hAnsi="宋体" w:cs="宋体"/>
          <w:b/>
          <w:bCs/>
          <w:snapToGrid w:val="0"/>
          <w:color w:val="000000"/>
          <w:spacing w:val="6"/>
          <w:kern w:val="0"/>
          <w:sz w:val="31"/>
          <w:szCs w:val="31"/>
          <w:lang w:val="en-US" w:eastAsia="zh-CN"/>
        </w:rPr>
      </w:pPr>
      <w:r>
        <w:rPr>
          <w:rFonts w:hint="eastAsia" w:ascii="宋体" w:hAnsi="宋体" w:cs="宋体"/>
          <w:b/>
          <w:bCs/>
          <w:snapToGrid w:val="0"/>
          <w:color w:val="000000"/>
          <w:spacing w:val="6"/>
          <w:kern w:val="0"/>
          <w:sz w:val="31"/>
          <w:szCs w:val="31"/>
          <w:lang w:val="en-US" w:eastAsia="zh-CN"/>
        </w:rPr>
        <w:t>附表1：</w:t>
      </w:r>
    </w:p>
    <w:p w14:paraId="5F050880">
      <w:pPr>
        <w:spacing w:line="360" w:lineRule="auto"/>
        <w:jc w:val="center"/>
        <w:rPr>
          <w:rFonts w:hint="eastAsia" w:ascii="宋体" w:hAnsi="宋体" w:cs="宋体"/>
          <w:b/>
          <w:bCs/>
          <w:snapToGrid w:val="0"/>
          <w:color w:val="000000"/>
          <w:spacing w:val="6"/>
          <w:kern w:val="0"/>
          <w:sz w:val="31"/>
          <w:szCs w:val="31"/>
        </w:rPr>
      </w:pPr>
      <w:r>
        <w:rPr>
          <w:rFonts w:hint="eastAsia" w:ascii="宋体" w:hAnsi="宋体" w:cs="宋体"/>
          <w:b/>
          <w:bCs/>
          <w:snapToGrid w:val="0"/>
          <w:color w:val="000000"/>
          <w:spacing w:val="6"/>
          <w:kern w:val="0"/>
          <w:sz w:val="31"/>
          <w:szCs w:val="31"/>
          <w:lang w:eastAsia="zh-CN"/>
        </w:rPr>
        <w:t>防城港市港口区人民医</w:t>
      </w:r>
      <w:r>
        <w:rPr>
          <w:rFonts w:hint="eastAsia" w:ascii="宋体" w:hAnsi="宋体" w:cs="宋体"/>
          <w:b/>
          <w:bCs/>
          <w:snapToGrid w:val="0"/>
          <w:color w:val="000000"/>
          <w:spacing w:val="6"/>
          <w:kern w:val="0"/>
          <w:sz w:val="31"/>
          <w:szCs w:val="31"/>
          <w:lang w:val="en-US" w:eastAsia="zh-CN"/>
        </w:rPr>
        <w:t>秩序维护</w:t>
      </w:r>
      <w:r>
        <w:rPr>
          <w:rFonts w:hint="eastAsia" w:ascii="宋体" w:hAnsi="宋体" w:cs="宋体"/>
          <w:b/>
          <w:bCs/>
          <w:snapToGrid w:val="0"/>
          <w:color w:val="000000"/>
          <w:spacing w:val="6"/>
          <w:kern w:val="0"/>
          <w:sz w:val="31"/>
          <w:szCs w:val="31"/>
        </w:rPr>
        <w:t>服务质量考核</w:t>
      </w:r>
      <w:r>
        <w:rPr>
          <w:rFonts w:hint="eastAsia" w:ascii="宋体" w:hAnsi="宋体" w:cs="宋体"/>
          <w:b/>
          <w:bCs/>
          <w:snapToGrid w:val="0"/>
          <w:color w:val="000000"/>
          <w:spacing w:val="6"/>
          <w:kern w:val="0"/>
          <w:sz w:val="31"/>
          <w:szCs w:val="31"/>
          <w:lang w:val="en-US" w:eastAsia="zh-CN"/>
        </w:rPr>
        <w:t>评</w:t>
      </w:r>
      <w:r>
        <w:rPr>
          <w:rFonts w:hint="eastAsia" w:ascii="宋体" w:hAnsi="宋体" w:cs="宋体"/>
          <w:b/>
          <w:bCs/>
          <w:snapToGrid w:val="0"/>
          <w:color w:val="000000"/>
          <w:spacing w:val="6"/>
          <w:kern w:val="0"/>
          <w:sz w:val="31"/>
          <w:szCs w:val="31"/>
        </w:rPr>
        <w:t>分</w:t>
      </w:r>
      <w:r>
        <w:rPr>
          <w:rFonts w:hint="eastAsia" w:ascii="宋体" w:hAnsi="宋体" w:cs="宋体"/>
          <w:b/>
          <w:bCs/>
          <w:snapToGrid w:val="0"/>
          <w:color w:val="000000"/>
          <w:spacing w:val="6"/>
          <w:kern w:val="0"/>
          <w:sz w:val="31"/>
          <w:szCs w:val="31"/>
          <w:lang w:val="en-US" w:eastAsia="zh-CN"/>
        </w:rPr>
        <w:t>表</w:t>
      </w:r>
      <w:r>
        <w:rPr>
          <w:rFonts w:hint="eastAsia" w:ascii="宋体" w:hAnsi="宋体" w:cs="宋体"/>
          <w:b/>
          <w:bCs/>
          <w:snapToGrid w:val="0"/>
          <w:color w:val="000000"/>
          <w:spacing w:val="6"/>
          <w:kern w:val="0"/>
          <w:sz w:val="31"/>
          <w:szCs w:val="31"/>
        </w:rPr>
        <w:t>（100 分）</w:t>
      </w:r>
    </w:p>
    <w:p w14:paraId="5BF83FD9">
      <w:pPr>
        <w:spacing w:before="101" w:line="217" w:lineRule="auto"/>
        <w:ind w:left="177" w:firstLine="420" w:firstLineChars="200"/>
        <w:rPr>
          <w:rFonts w:hint="eastAsia" w:ascii="宋体" w:hAnsi="宋体" w:cs="宋体"/>
          <w:sz w:val="30"/>
          <w:szCs w:val="30"/>
        </w:rPr>
      </w:pPr>
      <w:r>
        <w:rPr>
          <w:rFonts w:hint="eastAsia" w:ascii="宋体" w:hAnsi="宋体"/>
          <w:color w:val="000000"/>
          <w:szCs w:val="21"/>
        </w:rPr>
        <w:t>考核人员：          考核日期：           本月得分：      分    管理人员签字：</w:t>
      </w:r>
    </w:p>
    <w:tbl>
      <w:tblPr>
        <w:tblStyle w:val="29"/>
        <w:tblW w:w="100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2"/>
        <w:gridCol w:w="750"/>
        <w:gridCol w:w="3788"/>
        <w:gridCol w:w="2490"/>
        <w:gridCol w:w="825"/>
        <w:gridCol w:w="780"/>
      </w:tblGrid>
      <w:tr w14:paraId="7399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625" w:type="dxa"/>
            <w:tcBorders>
              <w:top w:val="single" w:color="000000" w:sz="4" w:space="0"/>
              <w:left w:val="single" w:color="000000" w:sz="4" w:space="0"/>
              <w:bottom w:val="single" w:color="000000" w:sz="4" w:space="0"/>
            </w:tcBorders>
            <w:textDirection w:val="tbRlV"/>
          </w:tcPr>
          <w:p w14:paraId="3BB138A1">
            <w:pPr>
              <w:pStyle w:val="26"/>
              <w:spacing w:before="134" w:line="324" w:lineRule="auto"/>
              <w:ind w:left="36"/>
              <w:rPr>
                <w:rFonts w:eastAsia="Times New Roman"/>
              </w:rPr>
            </w:pPr>
            <w:r>
              <w:rPr>
                <w:rFonts w:eastAsia="Times New Roman"/>
                <w:b/>
                <w:bCs/>
                <w:spacing w:val="7"/>
              </w:rPr>
              <w:t>序</w:t>
            </w:r>
            <w:r>
              <w:rPr>
                <w:rFonts w:eastAsia="Times New Roman"/>
                <w:spacing w:val="-39"/>
              </w:rPr>
              <w:t xml:space="preserve"> </w:t>
            </w:r>
            <w:r>
              <w:rPr>
                <w:rFonts w:eastAsia="Times New Roman"/>
                <w:b/>
                <w:bCs/>
                <w:spacing w:val="7"/>
              </w:rPr>
              <w:t>号</w:t>
            </w:r>
          </w:p>
        </w:tc>
        <w:tc>
          <w:tcPr>
            <w:tcW w:w="742" w:type="dxa"/>
            <w:tcBorders>
              <w:bottom w:val="single" w:color="000000" w:sz="4" w:space="0"/>
            </w:tcBorders>
            <w:vAlign w:val="center"/>
          </w:tcPr>
          <w:p w14:paraId="6198DA32">
            <w:pPr>
              <w:pStyle w:val="26"/>
              <w:spacing w:before="36" w:line="324" w:lineRule="auto"/>
              <w:ind w:left="197"/>
              <w:jc w:val="center"/>
              <w:rPr>
                <w:rFonts w:eastAsia="Times New Roman"/>
              </w:rPr>
            </w:pPr>
            <w:r>
              <w:rPr>
                <w:rFonts w:eastAsia="Times New Roman"/>
                <w:b/>
                <w:bCs/>
                <w:spacing w:val="2"/>
              </w:rPr>
              <w:t>项目</w:t>
            </w:r>
          </w:p>
        </w:tc>
        <w:tc>
          <w:tcPr>
            <w:tcW w:w="750" w:type="dxa"/>
            <w:tcBorders>
              <w:bottom w:val="single" w:color="000000" w:sz="4" w:space="0"/>
            </w:tcBorders>
            <w:vAlign w:val="center"/>
          </w:tcPr>
          <w:p w14:paraId="2734A040">
            <w:pPr>
              <w:pStyle w:val="26"/>
              <w:spacing w:before="36" w:line="324" w:lineRule="auto"/>
              <w:ind w:firstLine="214" w:firstLineChars="100"/>
              <w:rPr>
                <w:rFonts w:eastAsia="Times New Roman"/>
              </w:rPr>
            </w:pPr>
            <w:r>
              <w:rPr>
                <w:rFonts w:eastAsia="Times New Roman"/>
                <w:b/>
                <w:bCs/>
                <w:spacing w:val="2"/>
              </w:rPr>
              <w:t>分类</w:t>
            </w:r>
          </w:p>
        </w:tc>
        <w:tc>
          <w:tcPr>
            <w:tcW w:w="3788" w:type="dxa"/>
            <w:tcBorders>
              <w:bottom w:val="single" w:color="000000" w:sz="4" w:space="0"/>
            </w:tcBorders>
            <w:vAlign w:val="center"/>
          </w:tcPr>
          <w:p w14:paraId="0D9F1E9A">
            <w:pPr>
              <w:pStyle w:val="26"/>
              <w:spacing w:before="36" w:line="324" w:lineRule="auto"/>
              <w:ind w:left="1505"/>
              <w:rPr>
                <w:rFonts w:eastAsia="Times New Roman"/>
              </w:rPr>
            </w:pPr>
            <w:r>
              <w:rPr>
                <w:rFonts w:eastAsia="Times New Roman"/>
                <w:b/>
                <w:bCs/>
                <w:spacing w:val="5"/>
              </w:rPr>
              <w:t>具体内容</w:t>
            </w:r>
          </w:p>
        </w:tc>
        <w:tc>
          <w:tcPr>
            <w:tcW w:w="2490" w:type="dxa"/>
            <w:tcBorders>
              <w:bottom w:val="single" w:color="000000" w:sz="4" w:space="0"/>
            </w:tcBorders>
            <w:vAlign w:val="center"/>
          </w:tcPr>
          <w:p w14:paraId="42320126">
            <w:pPr>
              <w:pStyle w:val="26"/>
              <w:spacing w:before="36" w:line="324" w:lineRule="auto"/>
              <w:ind w:left="297" w:firstLine="440" w:firstLineChars="200"/>
              <w:rPr>
                <w:rFonts w:eastAsia="Times New Roman"/>
                <w:lang w:eastAsia="zh-CN"/>
              </w:rPr>
            </w:pPr>
            <w:r>
              <w:rPr>
                <w:rFonts w:eastAsia="Times New Roman"/>
                <w:b/>
                <w:bCs/>
                <w:spacing w:val="5"/>
              </w:rPr>
              <w:t>扣分</w:t>
            </w:r>
            <w:r>
              <w:rPr>
                <w:rFonts w:hint="eastAsia" w:eastAsia="Times New Roman"/>
                <w:b/>
                <w:bCs/>
                <w:spacing w:val="5"/>
                <w:lang w:eastAsia="zh-CN"/>
              </w:rPr>
              <w:t>方法</w:t>
            </w:r>
          </w:p>
        </w:tc>
        <w:tc>
          <w:tcPr>
            <w:tcW w:w="825" w:type="dxa"/>
            <w:tcBorders>
              <w:bottom w:val="single" w:color="000000" w:sz="4" w:space="0"/>
            </w:tcBorders>
          </w:tcPr>
          <w:p w14:paraId="40B22853">
            <w:pPr>
              <w:pStyle w:val="26"/>
              <w:spacing w:before="36" w:line="324" w:lineRule="auto"/>
              <w:ind w:left="407"/>
              <w:rPr>
                <w:rFonts w:eastAsia="Times New Roman"/>
              </w:rPr>
            </w:pPr>
            <w:r>
              <w:rPr>
                <w:rFonts w:eastAsia="Times New Roman"/>
                <w:b/>
                <w:bCs/>
                <w:spacing w:val="3"/>
              </w:rPr>
              <w:t>得分</w:t>
            </w:r>
          </w:p>
        </w:tc>
        <w:tc>
          <w:tcPr>
            <w:tcW w:w="780" w:type="dxa"/>
            <w:tcBorders>
              <w:bottom w:val="single" w:color="000000" w:sz="4" w:space="0"/>
            </w:tcBorders>
          </w:tcPr>
          <w:p w14:paraId="76CDD808">
            <w:pPr>
              <w:pStyle w:val="26"/>
              <w:spacing w:before="36" w:line="324" w:lineRule="auto"/>
              <w:ind w:left="206"/>
              <w:rPr>
                <w:rFonts w:eastAsia="Times New Roman"/>
              </w:rPr>
            </w:pPr>
            <w:r>
              <w:rPr>
                <w:rFonts w:eastAsia="Times New Roman"/>
                <w:b/>
                <w:bCs/>
                <w:spacing w:val="4"/>
              </w:rPr>
              <w:t>扣分说</w:t>
            </w:r>
            <w:r>
              <w:rPr>
                <w:rFonts w:eastAsia="Times New Roman"/>
                <w:b/>
                <w:bCs/>
                <w:spacing w:val="-3"/>
              </w:rPr>
              <w:t>明</w:t>
            </w:r>
          </w:p>
        </w:tc>
      </w:tr>
      <w:tr w14:paraId="2CFB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25" w:type="dxa"/>
            <w:tcBorders>
              <w:top w:val="single" w:color="000000" w:sz="4" w:space="0"/>
              <w:left w:val="single" w:color="000000" w:sz="4" w:space="0"/>
              <w:bottom w:val="single" w:color="000000" w:sz="4" w:space="0"/>
              <w:right w:val="single" w:color="000000" w:sz="4" w:space="0"/>
            </w:tcBorders>
          </w:tcPr>
          <w:p w14:paraId="107F391B">
            <w:pPr>
              <w:pStyle w:val="26"/>
              <w:keepNext w:val="0"/>
              <w:keepLines w:val="0"/>
              <w:pageBreakBefore w:val="0"/>
              <w:widowControl w:val="0"/>
              <w:kinsoku/>
              <w:wordWrap/>
              <w:overflowPunct/>
              <w:topLinePunct w:val="0"/>
              <w:autoSpaceDE/>
              <w:autoSpaceDN/>
              <w:bidi w:val="0"/>
              <w:adjustRightInd/>
              <w:snapToGrid/>
              <w:spacing w:before="27" w:line="360" w:lineRule="exact"/>
              <w:ind w:left="207"/>
              <w:textAlignment w:val="auto"/>
              <w:rPr>
                <w:rFonts w:eastAsia="Times New Roman"/>
              </w:rPr>
            </w:pPr>
          </w:p>
          <w:p w14:paraId="3B135B5F">
            <w:pPr>
              <w:pStyle w:val="26"/>
              <w:keepNext w:val="0"/>
              <w:keepLines w:val="0"/>
              <w:pageBreakBefore w:val="0"/>
              <w:widowControl w:val="0"/>
              <w:kinsoku/>
              <w:wordWrap/>
              <w:overflowPunct/>
              <w:topLinePunct w:val="0"/>
              <w:autoSpaceDE/>
              <w:autoSpaceDN/>
              <w:bidi w:val="0"/>
              <w:adjustRightInd/>
              <w:snapToGrid/>
              <w:spacing w:before="27" w:line="360" w:lineRule="exact"/>
              <w:ind w:left="207"/>
              <w:textAlignment w:val="auto"/>
              <w:rPr>
                <w:rFonts w:eastAsia="Times New Roman"/>
              </w:rPr>
            </w:pPr>
          </w:p>
          <w:p w14:paraId="552594DD">
            <w:pPr>
              <w:pStyle w:val="26"/>
              <w:keepNext w:val="0"/>
              <w:keepLines w:val="0"/>
              <w:pageBreakBefore w:val="0"/>
              <w:widowControl w:val="0"/>
              <w:kinsoku/>
              <w:wordWrap/>
              <w:overflowPunct/>
              <w:topLinePunct w:val="0"/>
              <w:autoSpaceDE/>
              <w:autoSpaceDN/>
              <w:bidi w:val="0"/>
              <w:adjustRightInd/>
              <w:snapToGrid/>
              <w:spacing w:before="27" w:line="360" w:lineRule="exact"/>
              <w:ind w:left="207"/>
              <w:textAlignment w:val="auto"/>
              <w:rPr>
                <w:rFonts w:eastAsia="Times New Roman"/>
                <w:lang w:eastAsia="zh-CN"/>
              </w:rPr>
            </w:pPr>
            <w:r>
              <w:rPr>
                <w:rFonts w:hint="eastAsia" w:eastAsia="Times New Roman"/>
                <w:lang w:eastAsia="zh-CN"/>
              </w:rPr>
              <w:t>1</w:t>
            </w:r>
          </w:p>
        </w:tc>
        <w:tc>
          <w:tcPr>
            <w:tcW w:w="742" w:type="dxa"/>
            <w:tcBorders>
              <w:top w:val="single" w:color="000000" w:sz="4" w:space="0"/>
              <w:left w:val="single" w:color="000000" w:sz="4" w:space="0"/>
              <w:bottom w:val="single" w:color="000000" w:sz="4" w:space="0"/>
              <w:right w:val="single" w:color="000000" w:sz="4" w:space="0"/>
            </w:tcBorders>
          </w:tcPr>
          <w:p w14:paraId="7925A719">
            <w:pPr>
              <w:pStyle w:val="26"/>
              <w:keepNext w:val="0"/>
              <w:keepLines w:val="0"/>
              <w:pageBreakBefore w:val="0"/>
              <w:widowControl w:val="0"/>
              <w:kinsoku/>
              <w:wordWrap/>
              <w:overflowPunct/>
              <w:topLinePunct w:val="0"/>
              <w:autoSpaceDE/>
              <w:autoSpaceDN/>
              <w:bidi w:val="0"/>
              <w:adjustRightInd/>
              <w:snapToGrid/>
              <w:spacing w:before="26" w:line="360" w:lineRule="exact"/>
              <w:ind w:right="137"/>
              <w:jc w:val="center"/>
              <w:textAlignment w:val="auto"/>
              <w:rPr>
                <w:rFonts w:eastAsia="Times New Roman"/>
              </w:rPr>
            </w:pPr>
            <w:r>
              <w:rPr>
                <w:rFonts w:eastAsia="Times New Roman"/>
                <w:spacing w:val="-7"/>
              </w:rPr>
              <w:t>人员出勤（</w:t>
            </w:r>
            <w:r>
              <w:rPr>
                <w:rFonts w:hint="eastAsia" w:eastAsia="Times New Roman"/>
                <w:spacing w:val="-7"/>
                <w:lang w:eastAsia="zh-CN"/>
              </w:rPr>
              <w:t>10</w:t>
            </w:r>
            <w:r>
              <w:rPr>
                <w:rFonts w:eastAsia="Times New Roman"/>
                <w:spacing w:val="-7"/>
              </w:rPr>
              <w:t>分</w:t>
            </w:r>
          </w:p>
        </w:tc>
        <w:tc>
          <w:tcPr>
            <w:tcW w:w="750" w:type="dxa"/>
            <w:tcBorders>
              <w:top w:val="single" w:color="000000" w:sz="4" w:space="0"/>
              <w:left w:val="single" w:color="000000" w:sz="4" w:space="0"/>
              <w:bottom w:val="single" w:color="000000" w:sz="4" w:space="0"/>
              <w:right w:val="single" w:color="000000" w:sz="4" w:space="0"/>
            </w:tcBorders>
          </w:tcPr>
          <w:p w14:paraId="495576D3">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483E0E98">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spacing w:val="-7"/>
              </w:rPr>
            </w:pPr>
            <w:r>
              <w:rPr>
                <w:rFonts w:eastAsia="Times New Roman"/>
                <w:spacing w:val="-7"/>
              </w:rPr>
              <w:t>岗位</w:t>
            </w:r>
          </w:p>
          <w:p w14:paraId="25BF9EAC">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rPr>
            </w:pPr>
            <w:r>
              <w:rPr>
                <w:rFonts w:eastAsia="Times New Roman"/>
                <w:spacing w:val="-7"/>
              </w:rPr>
              <w:t>管理</w:t>
            </w:r>
          </w:p>
        </w:tc>
        <w:tc>
          <w:tcPr>
            <w:tcW w:w="3788" w:type="dxa"/>
            <w:tcBorders>
              <w:top w:val="single" w:color="000000" w:sz="4" w:space="0"/>
              <w:left w:val="single" w:color="000000" w:sz="4" w:space="0"/>
              <w:bottom w:val="single" w:color="000000" w:sz="4" w:space="0"/>
              <w:right w:val="single" w:color="000000" w:sz="4" w:space="0"/>
            </w:tcBorders>
          </w:tcPr>
          <w:p w14:paraId="5EED173D">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lang w:eastAsia="zh-CN"/>
              </w:rPr>
            </w:pPr>
            <w:r>
              <w:rPr>
                <w:rFonts w:eastAsia="Times New Roman"/>
                <w:spacing w:val="9"/>
                <w:lang w:eastAsia="zh-CN"/>
              </w:rPr>
              <w:t>根据工作实际情况，合理安排休班，保证不空岗。缺岗的按每人每次扣</w:t>
            </w:r>
            <w:r>
              <w:rPr>
                <w:rFonts w:hint="eastAsia" w:eastAsia="Times New Roman"/>
                <w:spacing w:val="9"/>
                <w:lang w:eastAsia="zh-CN"/>
              </w:rPr>
              <w:t>2</w:t>
            </w:r>
            <w:r>
              <w:rPr>
                <w:rFonts w:eastAsia="Times New Roman"/>
                <w:spacing w:val="9"/>
                <w:lang w:eastAsia="zh-CN"/>
              </w:rPr>
              <w:t>分</w:t>
            </w:r>
            <w:r>
              <w:rPr>
                <w:rFonts w:hint="eastAsia" w:eastAsia="Times New Roman"/>
                <w:spacing w:val="9"/>
                <w:lang w:eastAsia="zh-CN"/>
              </w:rPr>
              <w:t>，每月扣完为止</w:t>
            </w:r>
            <w:r>
              <w:rPr>
                <w:rFonts w:eastAsia="Times New Roman"/>
                <w:spacing w:val="9"/>
                <w:lang w:eastAsia="zh-CN"/>
              </w:rPr>
              <w:t>。</w:t>
            </w:r>
            <w:r>
              <w:rPr>
                <w:rFonts w:hint="eastAsia" w:eastAsia="Times New Roman"/>
                <w:spacing w:val="9"/>
                <w:lang w:eastAsia="zh-CN"/>
              </w:rPr>
              <w:t>（10分）</w:t>
            </w:r>
          </w:p>
        </w:tc>
        <w:tc>
          <w:tcPr>
            <w:tcW w:w="2490" w:type="dxa"/>
            <w:tcBorders>
              <w:top w:val="single" w:color="000000" w:sz="4" w:space="0"/>
              <w:left w:val="single" w:color="000000" w:sz="4" w:space="0"/>
              <w:bottom w:val="single" w:color="000000" w:sz="4" w:space="0"/>
              <w:right w:val="single" w:color="000000" w:sz="4" w:space="0"/>
            </w:tcBorders>
          </w:tcPr>
          <w:p w14:paraId="28B7F4E0">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lang w:eastAsia="zh-CN"/>
              </w:rPr>
            </w:pPr>
            <w:r>
              <w:rPr>
                <w:rFonts w:hint="eastAsia" w:eastAsia="Times New Roman"/>
                <w:spacing w:val="9"/>
                <w:lang w:eastAsia="zh-CN"/>
              </w:rPr>
              <w:t>现场核查和视频监控核查，空岗超过15分钟以上。</w:t>
            </w:r>
          </w:p>
        </w:tc>
        <w:tc>
          <w:tcPr>
            <w:tcW w:w="825" w:type="dxa"/>
            <w:tcBorders>
              <w:top w:val="single" w:color="000000" w:sz="4" w:space="0"/>
              <w:left w:val="single" w:color="000000" w:sz="4" w:space="0"/>
              <w:bottom w:val="single" w:color="000000" w:sz="4" w:space="0"/>
              <w:right w:val="single" w:color="000000" w:sz="4" w:space="0"/>
            </w:tcBorders>
          </w:tcPr>
          <w:p w14:paraId="1A54EAE2">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Borders>
              <w:top w:val="single" w:color="000000" w:sz="4" w:space="0"/>
              <w:left w:val="single" w:color="000000" w:sz="4" w:space="0"/>
              <w:bottom w:val="single" w:color="000000" w:sz="4" w:space="0"/>
              <w:right w:val="single" w:color="000000" w:sz="4" w:space="0"/>
            </w:tcBorders>
          </w:tcPr>
          <w:p w14:paraId="3FC0A461">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589B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5" w:type="dxa"/>
            <w:tcBorders>
              <w:top w:val="single" w:color="000000" w:sz="4" w:space="0"/>
              <w:left w:val="single" w:color="000000" w:sz="4" w:space="0"/>
              <w:bottom w:val="single" w:color="000000" w:sz="4" w:space="0"/>
            </w:tcBorders>
          </w:tcPr>
          <w:p w14:paraId="0C0A9F84">
            <w:pPr>
              <w:pStyle w:val="26"/>
              <w:keepNext w:val="0"/>
              <w:keepLines w:val="0"/>
              <w:pageBreakBefore w:val="0"/>
              <w:widowControl w:val="0"/>
              <w:kinsoku/>
              <w:wordWrap/>
              <w:overflowPunct/>
              <w:topLinePunct w:val="0"/>
              <w:autoSpaceDE/>
              <w:autoSpaceDN/>
              <w:bidi w:val="0"/>
              <w:adjustRightInd/>
              <w:snapToGrid/>
              <w:spacing w:before="30" w:line="360" w:lineRule="exact"/>
              <w:ind w:left="197"/>
              <w:textAlignment w:val="auto"/>
              <w:rPr>
                <w:rFonts w:eastAsia="Times New Roman"/>
                <w:lang w:eastAsia="zh-CN"/>
              </w:rPr>
            </w:pPr>
          </w:p>
          <w:p w14:paraId="6E427622">
            <w:pPr>
              <w:pStyle w:val="26"/>
              <w:keepNext w:val="0"/>
              <w:keepLines w:val="0"/>
              <w:pageBreakBefore w:val="0"/>
              <w:widowControl w:val="0"/>
              <w:kinsoku/>
              <w:wordWrap/>
              <w:overflowPunct/>
              <w:topLinePunct w:val="0"/>
              <w:autoSpaceDE/>
              <w:autoSpaceDN/>
              <w:bidi w:val="0"/>
              <w:adjustRightInd/>
              <w:snapToGrid/>
              <w:spacing w:before="30" w:line="360" w:lineRule="exact"/>
              <w:ind w:left="197"/>
              <w:textAlignment w:val="auto"/>
              <w:rPr>
                <w:rFonts w:eastAsia="Times New Roman"/>
                <w:lang w:eastAsia="zh-CN"/>
              </w:rPr>
            </w:pPr>
            <w:r>
              <w:rPr>
                <w:rFonts w:hint="eastAsia" w:eastAsia="Times New Roman"/>
                <w:lang w:eastAsia="zh-CN"/>
              </w:rPr>
              <w:t>2</w:t>
            </w:r>
          </w:p>
        </w:tc>
        <w:tc>
          <w:tcPr>
            <w:tcW w:w="742" w:type="dxa"/>
            <w:vMerge w:val="restart"/>
            <w:tcBorders>
              <w:top w:val="single" w:color="000000" w:sz="4" w:space="0"/>
              <w:bottom w:val="nil"/>
            </w:tcBorders>
          </w:tcPr>
          <w:p w14:paraId="0EC4D65B">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1E332066">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0FFDB35C">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4662AD45">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39EAC044">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eastAsia="Times New Roman"/>
                <w:spacing w:val="-7"/>
              </w:rPr>
              <w:t>礼貌</w:t>
            </w:r>
          </w:p>
          <w:p w14:paraId="6078C682">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eastAsia="Times New Roman"/>
                <w:spacing w:val="-7"/>
              </w:rPr>
              <w:t>礼仪</w:t>
            </w:r>
          </w:p>
          <w:p w14:paraId="79B9365E">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eastAsia="Times New Roman"/>
                <w:spacing w:val="-7"/>
              </w:rPr>
              <w:t>规范</w:t>
            </w:r>
          </w:p>
          <w:p w14:paraId="32BA7FE2">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spacing w:val="-7"/>
              </w:rPr>
            </w:pPr>
            <w:r>
              <w:rPr>
                <w:rFonts w:eastAsia="Times New Roman"/>
                <w:spacing w:val="-7"/>
              </w:rPr>
              <w:t>（</w:t>
            </w:r>
            <w:r>
              <w:rPr>
                <w:rFonts w:hint="eastAsia" w:eastAsia="Times New Roman"/>
                <w:spacing w:val="-7"/>
                <w:lang w:eastAsia="zh-CN"/>
              </w:rPr>
              <w:t>20</w:t>
            </w:r>
            <w:r>
              <w:rPr>
                <w:rFonts w:eastAsia="Times New Roman"/>
                <w:spacing w:val="-7"/>
              </w:rPr>
              <w:t>分）</w:t>
            </w:r>
          </w:p>
        </w:tc>
        <w:tc>
          <w:tcPr>
            <w:tcW w:w="750" w:type="dxa"/>
            <w:tcBorders>
              <w:top w:val="single" w:color="000000" w:sz="4" w:space="0"/>
            </w:tcBorders>
          </w:tcPr>
          <w:p w14:paraId="1DD3B605">
            <w:pPr>
              <w:pStyle w:val="26"/>
              <w:keepNext w:val="0"/>
              <w:keepLines w:val="0"/>
              <w:pageBreakBefore w:val="0"/>
              <w:widowControl w:val="0"/>
              <w:kinsoku/>
              <w:wordWrap/>
              <w:overflowPunct/>
              <w:topLinePunct w:val="0"/>
              <w:autoSpaceDE/>
              <w:autoSpaceDN/>
              <w:bidi w:val="0"/>
              <w:adjustRightInd/>
              <w:snapToGrid/>
              <w:spacing w:before="27" w:line="360" w:lineRule="exact"/>
              <w:textAlignment w:val="auto"/>
              <w:rPr>
                <w:rFonts w:eastAsia="Times New Roman"/>
                <w:spacing w:val="-7"/>
              </w:rPr>
            </w:pPr>
          </w:p>
          <w:p w14:paraId="2CB5ABE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礼仪</w:t>
            </w:r>
          </w:p>
          <w:p w14:paraId="42FB3A65">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行为</w:t>
            </w:r>
          </w:p>
        </w:tc>
        <w:tc>
          <w:tcPr>
            <w:tcW w:w="3788" w:type="dxa"/>
            <w:tcBorders>
              <w:top w:val="single" w:color="000000" w:sz="4" w:space="0"/>
            </w:tcBorders>
          </w:tcPr>
          <w:p w14:paraId="79D30B76">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eastAsia="Times New Roman"/>
                <w:spacing w:val="9"/>
                <w:lang w:eastAsia="zh-CN"/>
              </w:rPr>
              <w:t>微笑规范询问，合理阻止非文明行为及非规范 行为，文明用语，严禁粗话、脏话，无肢体冲突</w:t>
            </w:r>
            <w:r>
              <w:rPr>
                <w:rFonts w:hint="eastAsia" w:eastAsia="Times New Roman"/>
                <w:spacing w:val="9"/>
                <w:lang w:eastAsia="zh-CN"/>
              </w:rPr>
              <w:t>。收到有效投诉每次扣1分，每月扣完为止</w:t>
            </w:r>
            <w:r>
              <w:rPr>
                <w:rFonts w:eastAsia="Times New Roman"/>
                <w:spacing w:val="9"/>
                <w:lang w:eastAsia="zh-CN"/>
              </w:rPr>
              <w:t>。</w:t>
            </w:r>
            <w:r>
              <w:rPr>
                <w:rFonts w:hint="eastAsia" w:eastAsia="Times New Roman"/>
                <w:spacing w:val="9"/>
                <w:lang w:eastAsia="zh-CN"/>
              </w:rPr>
              <w:t>（4分）</w:t>
            </w:r>
          </w:p>
        </w:tc>
        <w:tc>
          <w:tcPr>
            <w:tcW w:w="2490" w:type="dxa"/>
            <w:tcBorders>
              <w:top w:val="single" w:color="000000" w:sz="4" w:space="0"/>
            </w:tcBorders>
          </w:tcPr>
          <w:p w14:paraId="5168D231">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收到电话、口头、纸质或者12345热线平台等渠道投诉，经现场核查和视频监控核查属实的。</w:t>
            </w:r>
          </w:p>
        </w:tc>
        <w:tc>
          <w:tcPr>
            <w:tcW w:w="825" w:type="dxa"/>
            <w:tcBorders>
              <w:top w:val="single" w:color="000000" w:sz="4" w:space="0"/>
            </w:tcBorders>
          </w:tcPr>
          <w:p w14:paraId="2F4568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Borders>
              <w:top w:val="single" w:color="000000" w:sz="4" w:space="0"/>
            </w:tcBorders>
          </w:tcPr>
          <w:p w14:paraId="76685662">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23E1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25" w:type="dxa"/>
            <w:tcBorders>
              <w:top w:val="single" w:color="000000" w:sz="4" w:space="0"/>
              <w:left w:val="single" w:color="000000" w:sz="4" w:space="0"/>
              <w:bottom w:val="single" w:color="000000" w:sz="4" w:space="0"/>
            </w:tcBorders>
          </w:tcPr>
          <w:p w14:paraId="739C752B">
            <w:pPr>
              <w:pStyle w:val="26"/>
              <w:keepNext w:val="0"/>
              <w:keepLines w:val="0"/>
              <w:pageBreakBefore w:val="0"/>
              <w:widowControl w:val="0"/>
              <w:kinsoku/>
              <w:wordWrap/>
              <w:overflowPunct/>
              <w:topLinePunct w:val="0"/>
              <w:autoSpaceDE/>
              <w:autoSpaceDN/>
              <w:bidi w:val="0"/>
              <w:adjustRightInd/>
              <w:snapToGrid/>
              <w:spacing w:before="30" w:line="360" w:lineRule="exact"/>
              <w:ind w:left="197"/>
              <w:textAlignment w:val="auto"/>
              <w:rPr>
                <w:rFonts w:eastAsia="Times New Roman"/>
                <w:lang w:eastAsia="zh-CN"/>
              </w:rPr>
            </w:pPr>
          </w:p>
          <w:p w14:paraId="6DDC3153">
            <w:pPr>
              <w:pStyle w:val="26"/>
              <w:keepNext w:val="0"/>
              <w:keepLines w:val="0"/>
              <w:pageBreakBefore w:val="0"/>
              <w:widowControl w:val="0"/>
              <w:kinsoku/>
              <w:wordWrap/>
              <w:overflowPunct/>
              <w:topLinePunct w:val="0"/>
              <w:autoSpaceDE/>
              <w:autoSpaceDN/>
              <w:bidi w:val="0"/>
              <w:adjustRightInd/>
              <w:snapToGrid/>
              <w:spacing w:before="30" w:line="360" w:lineRule="exact"/>
              <w:ind w:left="197"/>
              <w:textAlignment w:val="auto"/>
              <w:rPr>
                <w:rFonts w:eastAsia="Times New Roman"/>
                <w:lang w:eastAsia="zh-CN"/>
              </w:rPr>
            </w:pPr>
          </w:p>
          <w:p w14:paraId="60846941">
            <w:pPr>
              <w:pStyle w:val="26"/>
              <w:keepNext w:val="0"/>
              <w:keepLines w:val="0"/>
              <w:pageBreakBefore w:val="0"/>
              <w:widowControl w:val="0"/>
              <w:kinsoku/>
              <w:wordWrap/>
              <w:overflowPunct/>
              <w:topLinePunct w:val="0"/>
              <w:autoSpaceDE/>
              <w:autoSpaceDN/>
              <w:bidi w:val="0"/>
              <w:adjustRightInd/>
              <w:snapToGrid/>
              <w:spacing w:before="30" w:line="360" w:lineRule="exact"/>
              <w:ind w:left="197"/>
              <w:textAlignment w:val="auto"/>
              <w:rPr>
                <w:rFonts w:eastAsia="Times New Roman"/>
                <w:lang w:eastAsia="zh-CN"/>
              </w:rPr>
            </w:pPr>
            <w:r>
              <w:rPr>
                <w:rFonts w:hint="eastAsia" w:eastAsia="Times New Roman"/>
                <w:lang w:eastAsia="zh-CN"/>
              </w:rPr>
              <w:t>3</w:t>
            </w:r>
          </w:p>
        </w:tc>
        <w:tc>
          <w:tcPr>
            <w:tcW w:w="742" w:type="dxa"/>
            <w:vMerge w:val="continue"/>
            <w:tcBorders>
              <w:top w:val="nil"/>
              <w:bottom w:val="nil"/>
            </w:tcBorders>
          </w:tcPr>
          <w:p w14:paraId="6CBA8ECC">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Pr>
          <w:p w14:paraId="57A25F98">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2E4FBC6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礼仪</w:t>
            </w:r>
          </w:p>
          <w:p w14:paraId="6C2195E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行为</w:t>
            </w:r>
          </w:p>
        </w:tc>
        <w:tc>
          <w:tcPr>
            <w:tcW w:w="3788" w:type="dxa"/>
          </w:tcPr>
          <w:p w14:paraId="5BCF3FBE">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lang w:eastAsia="zh-CN"/>
              </w:rPr>
            </w:pPr>
            <w:r>
              <w:rPr>
                <w:rFonts w:eastAsia="Times New Roman"/>
                <w:spacing w:val="9"/>
                <w:lang w:eastAsia="zh-CN"/>
              </w:rPr>
              <w:t>穿着</w:t>
            </w:r>
            <w:r>
              <w:rPr>
                <w:rFonts w:hint="eastAsia" w:eastAsia="Times New Roman"/>
                <w:spacing w:val="9"/>
                <w:lang w:eastAsia="zh-CN"/>
              </w:rPr>
              <w:t>秩序员服装</w:t>
            </w:r>
            <w:r>
              <w:rPr>
                <w:rFonts w:eastAsia="Times New Roman"/>
                <w:spacing w:val="9"/>
                <w:lang w:eastAsia="zh-CN"/>
              </w:rPr>
              <w:t>上岗，需干净整齐</w:t>
            </w:r>
            <w:r>
              <w:rPr>
                <w:rFonts w:hint="eastAsia" w:eastAsia="Times New Roman"/>
                <w:spacing w:val="9"/>
                <w:lang w:eastAsia="zh-CN"/>
              </w:rPr>
              <w:t>。不按要求穿戴装备的每次扣1分，每月扣完为止</w:t>
            </w:r>
            <w:r>
              <w:rPr>
                <w:rFonts w:eastAsia="Times New Roman"/>
                <w:spacing w:val="9"/>
                <w:lang w:eastAsia="zh-CN"/>
              </w:rPr>
              <w:t>。</w:t>
            </w:r>
            <w:r>
              <w:rPr>
                <w:rFonts w:hint="eastAsia" w:eastAsia="Times New Roman"/>
                <w:spacing w:val="9"/>
                <w:lang w:eastAsia="zh-CN"/>
              </w:rPr>
              <w:t>（4分）</w:t>
            </w:r>
          </w:p>
        </w:tc>
        <w:tc>
          <w:tcPr>
            <w:tcW w:w="2490" w:type="dxa"/>
          </w:tcPr>
          <w:p w14:paraId="2FB935BB">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现场核查不穿戴</w:t>
            </w:r>
            <w:r>
              <w:rPr>
                <w:rFonts w:hint="eastAsia" w:eastAsia="Times New Roman"/>
                <w:spacing w:val="9"/>
                <w:lang w:val="en-US" w:eastAsia="zh-CN"/>
              </w:rPr>
              <w:t>秩序员</w:t>
            </w:r>
            <w:r>
              <w:rPr>
                <w:rFonts w:hint="eastAsia" w:eastAsia="Times New Roman"/>
                <w:spacing w:val="9"/>
                <w:lang w:eastAsia="zh-CN"/>
              </w:rPr>
              <w:t>服、帽子、安防器械等内容，未按要求穿戴的。</w:t>
            </w:r>
          </w:p>
        </w:tc>
        <w:tc>
          <w:tcPr>
            <w:tcW w:w="825" w:type="dxa"/>
          </w:tcPr>
          <w:p w14:paraId="4F5C67D9">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71936045">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76EE9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25" w:type="dxa"/>
            <w:tcBorders>
              <w:top w:val="single" w:color="000000" w:sz="4" w:space="0"/>
              <w:left w:val="single" w:color="000000" w:sz="4" w:space="0"/>
              <w:bottom w:val="single" w:color="000000" w:sz="4" w:space="0"/>
            </w:tcBorders>
          </w:tcPr>
          <w:p w14:paraId="152D6E2A">
            <w:pPr>
              <w:pStyle w:val="26"/>
              <w:keepNext w:val="0"/>
              <w:keepLines w:val="0"/>
              <w:pageBreakBefore w:val="0"/>
              <w:widowControl w:val="0"/>
              <w:kinsoku/>
              <w:wordWrap/>
              <w:overflowPunct/>
              <w:topLinePunct w:val="0"/>
              <w:autoSpaceDE/>
              <w:autoSpaceDN/>
              <w:bidi w:val="0"/>
              <w:adjustRightInd/>
              <w:snapToGrid/>
              <w:spacing w:before="31" w:line="360" w:lineRule="exact"/>
              <w:ind w:left="195"/>
              <w:textAlignment w:val="auto"/>
              <w:rPr>
                <w:rFonts w:eastAsia="Times New Roman"/>
                <w:lang w:eastAsia="zh-CN"/>
              </w:rPr>
            </w:pPr>
          </w:p>
          <w:p w14:paraId="496C8671">
            <w:pPr>
              <w:pStyle w:val="26"/>
              <w:keepNext w:val="0"/>
              <w:keepLines w:val="0"/>
              <w:pageBreakBefore w:val="0"/>
              <w:widowControl w:val="0"/>
              <w:kinsoku/>
              <w:wordWrap/>
              <w:overflowPunct/>
              <w:topLinePunct w:val="0"/>
              <w:autoSpaceDE/>
              <w:autoSpaceDN/>
              <w:bidi w:val="0"/>
              <w:adjustRightInd/>
              <w:snapToGrid/>
              <w:spacing w:before="31" w:line="360" w:lineRule="exact"/>
              <w:ind w:left="195"/>
              <w:textAlignment w:val="auto"/>
              <w:rPr>
                <w:rFonts w:eastAsia="Times New Roman"/>
                <w:lang w:eastAsia="zh-CN"/>
              </w:rPr>
            </w:pPr>
            <w:r>
              <w:rPr>
                <w:rFonts w:hint="eastAsia" w:eastAsia="Times New Roman"/>
                <w:lang w:eastAsia="zh-CN"/>
              </w:rPr>
              <w:t>4</w:t>
            </w:r>
          </w:p>
        </w:tc>
        <w:tc>
          <w:tcPr>
            <w:tcW w:w="742" w:type="dxa"/>
            <w:vMerge w:val="continue"/>
            <w:tcBorders>
              <w:top w:val="nil"/>
              <w:bottom w:val="nil"/>
            </w:tcBorders>
          </w:tcPr>
          <w:p w14:paraId="1CB6471C">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Pr>
          <w:p w14:paraId="669A2BDA">
            <w:pPr>
              <w:pStyle w:val="26"/>
              <w:keepNext w:val="0"/>
              <w:keepLines w:val="0"/>
              <w:pageBreakBefore w:val="0"/>
              <w:widowControl w:val="0"/>
              <w:kinsoku/>
              <w:wordWrap/>
              <w:overflowPunct/>
              <w:topLinePunct w:val="0"/>
              <w:autoSpaceDE/>
              <w:autoSpaceDN/>
              <w:bidi w:val="0"/>
              <w:adjustRightInd/>
              <w:snapToGrid/>
              <w:spacing w:before="27" w:line="360" w:lineRule="exact"/>
              <w:textAlignment w:val="auto"/>
              <w:rPr>
                <w:rFonts w:eastAsia="Times New Roman"/>
                <w:spacing w:val="-7"/>
              </w:rPr>
            </w:pPr>
          </w:p>
          <w:p w14:paraId="2FB80EF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礼仪</w:t>
            </w:r>
          </w:p>
          <w:p w14:paraId="7DC9584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行为</w:t>
            </w:r>
          </w:p>
        </w:tc>
        <w:tc>
          <w:tcPr>
            <w:tcW w:w="3788" w:type="dxa"/>
          </w:tcPr>
          <w:p w14:paraId="3E357DF7">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eastAsia="Times New Roman"/>
                <w:spacing w:val="9"/>
                <w:lang w:eastAsia="zh-CN"/>
              </w:rPr>
              <w:t>严禁酒后当值</w:t>
            </w:r>
            <w:r>
              <w:rPr>
                <w:rFonts w:hint="eastAsia" w:eastAsia="Times New Roman"/>
                <w:spacing w:val="9"/>
                <w:lang w:eastAsia="zh-CN"/>
              </w:rPr>
              <w:t>。酒后上班的一次扣2分，每月扣完为止</w:t>
            </w:r>
            <w:r>
              <w:rPr>
                <w:rFonts w:eastAsia="Times New Roman"/>
                <w:spacing w:val="9"/>
                <w:lang w:eastAsia="zh-CN"/>
              </w:rPr>
              <w:t>。</w:t>
            </w:r>
            <w:r>
              <w:rPr>
                <w:rFonts w:hint="eastAsia" w:eastAsia="Times New Roman"/>
                <w:spacing w:val="9"/>
                <w:lang w:eastAsia="zh-CN"/>
              </w:rPr>
              <w:t>（8分）</w:t>
            </w:r>
          </w:p>
        </w:tc>
        <w:tc>
          <w:tcPr>
            <w:tcW w:w="2490" w:type="dxa"/>
          </w:tcPr>
          <w:p w14:paraId="6E901150">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现场核查当班人员当班状态，经双方管理人员核查后属实的。</w:t>
            </w:r>
          </w:p>
        </w:tc>
        <w:tc>
          <w:tcPr>
            <w:tcW w:w="825" w:type="dxa"/>
          </w:tcPr>
          <w:p w14:paraId="23442641">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5D8B8BE9">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15B0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25" w:type="dxa"/>
            <w:tcBorders>
              <w:top w:val="single" w:color="000000" w:sz="4" w:space="0"/>
              <w:left w:val="single" w:color="000000" w:sz="4" w:space="0"/>
              <w:bottom w:val="single" w:color="000000" w:sz="4" w:space="0"/>
            </w:tcBorders>
          </w:tcPr>
          <w:p w14:paraId="470A8611">
            <w:pPr>
              <w:pStyle w:val="26"/>
              <w:keepNext w:val="0"/>
              <w:keepLines w:val="0"/>
              <w:pageBreakBefore w:val="0"/>
              <w:widowControl w:val="0"/>
              <w:kinsoku/>
              <w:wordWrap/>
              <w:overflowPunct/>
              <w:topLinePunct w:val="0"/>
              <w:autoSpaceDE/>
              <w:autoSpaceDN/>
              <w:bidi w:val="0"/>
              <w:adjustRightInd/>
              <w:snapToGrid/>
              <w:spacing w:before="30" w:line="360" w:lineRule="exact"/>
              <w:ind w:left="198"/>
              <w:textAlignment w:val="auto"/>
              <w:rPr>
                <w:rFonts w:eastAsia="Times New Roman"/>
                <w:lang w:eastAsia="zh-CN"/>
              </w:rPr>
            </w:pPr>
          </w:p>
          <w:p w14:paraId="2CD5AC54">
            <w:pPr>
              <w:pStyle w:val="26"/>
              <w:keepNext w:val="0"/>
              <w:keepLines w:val="0"/>
              <w:pageBreakBefore w:val="0"/>
              <w:widowControl w:val="0"/>
              <w:kinsoku/>
              <w:wordWrap/>
              <w:overflowPunct/>
              <w:topLinePunct w:val="0"/>
              <w:autoSpaceDE/>
              <w:autoSpaceDN/>
              <w:bidi w:val="0"/>
              <w:adjustRightInd/>
              <w:snapToGrid/>
              <w:spacing w:before="30" w:line="360" w:lineRule="exact"/>
              <w:ind w:left="198"/>
              <w:textAlignment w:val="auto"/>
              <w:rPr>
                <w:rFonts w:eastAsia="Times New Roman"/>
                <w:lang w:eastAsia="zh-CN"/>
              </w:rPr>
            </w:pPr>
          </w:p>
          <w:p w14:paraId="283506F7">
            <w:pPr>
              <w:pStyle w:val="26"/>
              <w:keepNext w:val="0"/>
              <w:keepLines w:val="0"/>
              <w:pageBreakBefore w:val="0"/>
              <w:widowControl w:val="0"/>
              <w:kinsoku/>
              <w:wordWrap/>
              <w:overflowPunct/>
              <w:topLinePunct w:val="0"/>
              <w:autoSpaceDE/>
              <w:autoSpaceDN/>
              <w:bidi w:val="0"/>
              <w:adjustRightInd/>
              <w:snapToGrid/>
              <w:spacing w:before="30" w:line="360" w:lineRule="exact"/>
              <w:ind w:left="198"/>
              <w:textAlignment w:val="auto"/>
              <w:rPr>
                <w:rFonts w:eastAsia="Times New Roman"/>
                <w:lang w:eastAsia="zh-CN"/>
              </w:rPr>
            </w:pPr>
            <w:r>
              <w:rPr>
                <w:rFonts w:hint="eastAsia" w:eastAsia="Times New Roman"/>
                <w:lang w:eastAsia="zh-CN"/>
              </w:rPr>
              <w:t>5</w:t>
            </w:r>
          </w:p>
        </w:tc>
        <w:tc>
          <w:tcPr>
            <w:tcW w:w="742" w:type="dxa"/>
            <w:vMerge w:val="continue"/>
            <w:tcBorders>
              <w:top w:val="nil"/>
              <w:bottom w:val="nil"/>
            </w:tcBorders>
          </w:tcPr>
          <w:p w14:paraId="17A1A629">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Pr>
          <w:p w14:paraId="54703FD3">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4808138A">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岗位</w:t>
            </w:r>
          </w:p>
          <w:p w14:paraId="72C045C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环境</w:t>
            </w:r>
          </w:p>
        </w:tc>
        <w:tc>
          <w:tcPr>
            <w:tcW w:w="3788" w:type="dxa"/>
          </w:tcPr>
          <w:p w14:paraId="393C80E5">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rPr>
            </w:pPr>
            <w:r>
              <w:rPr>
                <w:rFonts w:eastAsia="Times New Roman"/>
                <w:spacing w:val="9"/>
                <w:lang w:eastAsia="zh-CN"/>
              </w:rPr>
              <w:t>工作、休息区域卫生整洁，各类记录表单、使用器具摆放整齐</w:t>
            </w:r>
            <w:r>
              <w:rPr>
                <w:rFonts w:hint="eastAsia" w:eastAsia="Times New Roman"/>
                <w:spacing w:val="9"/>
                <w:lang w:eastAsia="zh-CN"/>
              </w:rPr>
              <w:t>。物品杂乱，卫生不清洁的每次扣1分，每月扣完为止</w:t>
            </w:r>
            <w:r>
              <w:rPr>
                <w:rFonts w:eastAsia="Times New Roman"/>
                <w:spacing w:val="9"/>
                <w:lang w:eastAsia="zh-CN"/>
              </w:rPr>
              <w:t>。</w:t>
            </w:r>
            <w:r>
              <w:rPr>
                <w:rFonts w:hint="eastAsia" w:eastAsia="Times New Roman"/>
                <w:spacing w:val="9"/>
                <w:lang w:eastAsia="zh-CN"/>
              </w:rPr>
              <w:t>（2分）</w:t>
            </w:r>
          </w:p>
        </w:tc>
        <w:tc>
          <w:tcPr>
            <w:tcW w:w="2490" w:type="dxa"/>
          </w:tcPr>
          <w:p w14:paraId="32D0B266">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现场核查工作休息区域卫生情况，此类物品杂乱，卫生不清洁的。</w:t>
            </w:r>
          </w:p>
        </w:tc>
        <w:tc>
          <w:tcPr>
            <w:tcW w:w="825" w:type="dxa"/>
          </w:tcPr>
          <w:p w14:paraId="166FF2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382464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5AF5C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25" w:type="dxa"/>
            <w:tcBorders>
              <w:top w:val="single" w:color="000000" w:sz="4" w:space="0"/>
              <w:left w:val="single" w:color="000000" w:sz="4" w:space="0"/>
              <w:bottom w:val="single" w:color="000000" w:sz="4" w:space="0"/>
            </w:tcBorders>
          </w:tcPr>
          <w:p w14:paraId="008D10E8">
            <w:pPr>
              <w:pStyle w:val="26"/>
              <w:keepNext w:val="0"/>
              <w:keepLines w:val="0"/>
              <w:pageBreakBefore w:val="0"/>
              <w:widowControl w:val="0"/>
              <w:kinsoku/>
              <w:wordWrap/>
              <w:overflowPunct/>
              <w:topLinePunct w:val="0"/>
              <w:autoSpaceDE/>
              <w:autoSpaceDN/>
              <w:bidi w:val="0"/>
              <w:adjustRightInd/>
              <w:snapToGrid/>
              <w:spacing w:before="30" w:line="360" w:lineRule="exact"/>
              <w:ind w:left="194"/>
              <w:textAlignment w:val="auto"/>
              <w:rPr>
                <w:rFonts w:eastAsia="Times New Roman"/>
                <w:lang w:eastAsia="zh-CN"/>
              </w:rPr>
            </w:pPr>
          </w:p>
          <w:p w14:paraId="38E56C69">
            <w:pPr>
              <w:pStyle w:val="26"/>
              <w:keepNext w:val="0"/>
              <w:keepLines w:val="0"/>
              <w:pageBreakBefore w:val="0"/>
              <w:widowControl w:val="0"/>
              <w:kinsoku/>
              <w:wordWrap/>
              <w:overflowPunct/>
              <w:topLinePunct w:val="0"/>
              <w:autoSpaceDE/>
              <w:autoSpaceDN/>
              <w:bidi w:val="0"/>
              <w:adjustRightInd/>
              <w:snapToGrid/>
              <w:spacing w:before="30" w:line="360" w:lineRule="exact"/>
              <w:ind w:left="194"/>
              <w:textAlignment w:val="auto"/>
              <w:rPr>
                <w:rFonts w:eastAsia="Times New Roman"/>
                <w:lang w:eastAsia="zh-CN"/>
              </w:rPr>
            </w:pPr>
          </w:p>
          <w:p w14:paraId="57345048">
            <w:pPr>
              <w:pStyle w:val="26"/>
              <w:keepNext w:val="0"/>
              <w:keepLines w:val="0"/>
              <w:pageBreakBefore w:val="0"/>
              <w:widowControl w:val="0"/>
              <w:kinsoku/>
              <w:wordWrap/>
              <w:overflowPunct/>
              <w:topLinePunct w:val="0"/>
              <w:autoSpaceDE/>
              <w:autoSpaceDN/>
              <w:bidi w:val="0"/>
              <w:adjustRightInd/>
              <w:snapToGrid/>
              <w:spacing w:before="30" w:line="360" w:lineRule="exact"/>
              <w:ind w:left="194"/>
              <w:textAlignment w:val="auto"/>
              <w:rPr>
                <w:rFonts w:eastAsia="Times New Roman"/>
                <w:lang w:eastAsia="zh-CN"/>
              </w:rPr>
            </w:pPr>
            <w:r>
              <w:rPr>
                <w:rFonts w:hint="eastAsia" w:eastAsia="Times New Roman"/>
                <w:lang w:eastAsia="zh-CN"/>
              </w:rPr>
              <w:t>6</w:t>
            </w:r>
          </w:p>
        </w:tc>
        <w:tc>
          <w:tcPr>
            <w:tcW w:w="742" w:type="dxa"/>
            <w:vMerge w:val="continue"/>
            <w:tcBorders>
              <w:top w:val="nil"/>
            </w:tcBorders>
          </w:tcPr>
          <w:p w14:paraId="4FA26E82">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Pr>
          <w:p w14:paraId="650C12E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439092F4">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工作</w:t>
            </w:r>
          </w:p>
          <w:p w14:paraId="4B48409A">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纪律</w:t>
            </w:r>
          </w:p>
        </w:tc>
        <w:tc>
          <w:tcPr>
            <w:tcW w:w="3788" w:type="dxa"/>
          </w:tcPr>
          <w:p w14:paraId="1D2E0C81">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rPr>
            </w:pPr>
            <w:r>
              <w:rPr>
                <w:rFonts w:eastAsia="Times New Roman"/>
                <w:spacing w:val="9"/>
                <w:lang w:eastAsia="zh-CN"/>
              </w:rPr>
              <w:t>工作时注意站姿，坐姿、行姿，不得做与工作无关的事情如玩手机，禁止上班时间利用工作身份进行其他活动，如</w:t>
            </w:r>
            <w:r>
              <w:rPr>
                <w:rFonts w:hint="eastAsia" w:eastAsia="Times New Roman"/>
                <w:spacing w:val="9"/>
                <w:lang w:eastAsia="zh-CN"/>
              </w:rPr>
              <w:t>抽烟、睡觉等，有上述行为的每次发现扣1分，每月扣完为止</w:t>
            </w:r>
            <w:r>
              <w:rPr>
                <w:rFonts w:eastAsia="Times New Roman"/>
                <w:spacing w:val="9"/>
                <w:lang w:eastAsia="zh-CN"/>
              </w:rPr>
              <w:t>。</w:t>
            </w:r>
            <w:r>
              <w:rPr>
                <w:rFonts w:hint="eastAsia" w:eastAsia="Times New Roman"/>
                <w:spacing w:val="9"/>
                <w:lang w:eastAsia="zh-CN"/>
              </w:rPr>
              <w:t>（2分）</w:t>
            </w:r>
          </w:p>
        </w:tc>
        <w:tc>
          <w:tcPr>
            <w:tcW w:w="2490" w:type="dxa"/>
          </w:tcPr>
          <w:p w14:paraId="71C1336B">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p>
          <w:p w14:paraId="20D77CE0">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现场核查和视频监控核查，有此类情况扣分。</w:t>
            </w:r>
          </w:p>
        </w:tc>
        <w:tc>
          <w:tcPr>
            <w:tcW w:w="825" w:type="dxa"/>
          </w:tcPr>
          <w:p w14:paraId="3A374686">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71030F60">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4B29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25" w:type="dxa"/>
            <w:tcBorders>
              <w:top w:val="single" w:color="000000" w:sz="4" w:space="0"/>
              <w:left w:val="single" w:color="000000" w:sz="4" w:space="0"/>
              <w:bottom w:val="single" w:color="000000" w:sz="4" w:space="0"/>
            </w:tcBorders>
          </w:tcPr>
          <w:p w14:paraId="6F318001">
            <w:pPr>
              <w:pStyle w:val="26"/>
              <w:keepNext w:val="0"/>
              <w:keepLines w:val="0"/>
              <w:pageBreakBefore w:val="0"/>
              <w:widowControl w:val="0"/>
              <w:kinsoku/>
              <w:wordWrap/>
              <w:overflowPunct/>
              <w:topLinePunct w:val="0"/>
              <w:autoSpaceDE/>
              <w:autoSpaceDN/>
              <w:bidi w:val="0"/>
              <w:adjustRightInd/>
              <w:snapToGrid/>
              <w:spacing w:before="30" w:line="360" w:lineRule="exact"/>
              <w:ind w:left="194"/>
              <w:textAlignment w:val="auto"/>
              <w:rPr>
                <w:rFonts w:eastAsia="Times New Roman"/>
                <w:lang w:eastAsia="zh-CN"/>
              </w:rPr>
            </w:pPr>
          </w:p>
          <w:p w14:paraId="003651CD">
            <w:pPr>
              <w:pStyle w:val="26"/>
              <w:keepNext w:val="0"/>
              <w:keepLines w:val="0"/>
              <w:pageBreakBefore w:val="0"/>
              <w:widowControl w:val="0"/>
              <w:kinsoku/>
              <w:wordWrap/>
              <w:overflowPunct/>
              <w:topLinePunct w:val="0"/>
              <w:autoSpaceDE/>
              <w:autoSpaceDN/>
              <w:bidi w:val="0"/>
              <w:adjustRightInd/>
              <w:snapToGrid/>
              <w:spacing w:before="30" w:line="360" w:lineRule="exact"/>
              <w:ind w:left="194"/>
              <w:textAlignment w:val="auto"/>
              <w:rPr>
                <w:rFonts w:eastAsia="Times New Roman"/>
                <w:lang w:eastAsia="zh-CN"/>
              </w:rPr>
            </w:pPr>
          </w:p>
          <w:p w14:paraId="0F47DB59">
            <w:pPr>
              <w:pStyle w:val="26"/>
              <w:keepNext w:val="0"/>
              <w:keepLines w:val="0"/>
              <w:pageBreakBefore w:val="0"/>
              <w:widowControl w:val="0"/>
              <w:kinsoku/>
              <w:wordWrap/>
              <w:overflowPunct/>
              <w:topLinePunct w:val="0"/>
              <w:autoSpaceDE/>
              <w:autoSpaceDN/>
              <w:bidi w:val="0"/>
              <w:adjustRightInd/>
              <w:snapToGrid/>
              <w:spacing w:before="30" w:line="360" w:lineRule="exact"/>
              <w:ind w:left="194"/>
              <w:textAlignment w:val="auto"/>
              <w:rPr>
                <w:rFonts w:eastAsia="Times New Roman"/>
                <w:lang w:eastAsia="zh-CN"/>
              </w:rPr>
            </w:pPr>
            <w:r>
              <w:rPr>
                <w:rFonts w:hint="eastAsia" w:eastAsia="Times New Roman"/>
                <w:lang w:eastAsia="zh-CN"/>
              </w:rPr>
              <w:t>7</w:t>
            </w:r>
          </w:p>
        </w:tc>
        <w:tc>
          <w:tcPr>
            <w:tcW w:w="742" w:type="dxa"/>
            <w:vMerge w:val="restart"/>
          </w:tcPr>
          <w:p w14:paraId="17BAC155">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255CD544">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6AD162F0">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30FCFAB4">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0CB88AEA">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6EE6BA1E">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4209ADBB">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3ACBDC9C">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p w14:paraId="0EA9AB44">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eastAsia="Times New Roman"/>
                <w:spacing w:val="-7"/>
              </w:rPr>
              <w:t>现场</w:t>
            </w:r>
          </w:p>
          <w:p w14:paraId="19A97DA8">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eastAsia="Times New Roman"/>
                <w:spacing w:val="-7"/>
              </w:rPr>
              <w:t>管 理</w:t>
            </w:r>
          </w:p>
          <w:p w14:paraId="1269050C">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spacing w:val="-7"/>
              </w:rPr>
            </w:pPr>
            <w:r>
              <w:rPr>
                <w:rFonts w:eastAsia="Times New Roman"/>
                <w:spacing w:val="-7"/>
              </w:rPr>
              <w:t>（</w:t>
            </w:r>
            <w:r>
              <w:rPr>
                <w:rFonts w:hint="eastAsia" w:eastAsia="Times New Roman"/>
                <w:spacing w:val="-7"/>
                <w:lang w:eastAsia="zh-CN"/>
              </w:rPr>
              <w:t>60</w:t>
            </w:r>
            <w:r>
              <w:rPr>
                <w:rFonts w:eastAsia="Times New Roman"/>
                <w:spacing w:val="-7"/>
              </w:rPr>
              <w:t>分）</w:t>
            </w:r>
          </w:p>
        </w:tc>
        <w:tc>
          <w:tcPr>
            <w:tcW w:w="750" w:type="dxa"/>
          </w:tcPr>
          <w:p w14:paraId="116DADD5">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5428B9B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日常</w:t>
            </w:r>
          </w:p>
          <w:p w14:paraId="7C20893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工作</w:t>
            </w:r>
          </w:p>
          <w:p w14:paraId="040F0299">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记录</w:t>
            </w:r>
          </w:p>
        </w:tc>
        <w:tc>
          <w:tcPr>
            <w:tcW w:w="3788" w:type="dxa"/>
          </w:tcPr>
          <w:p w14:paraId="36706148">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eastAsia="Times New Roman"/>
                <w:spacing w:val="9"/>
                <w:lang w:eastAsia="zh-CN"/>
              </w:rPr>
              <w:t>按计划完成日常治安、消防巡逻工作，并规范记录</w:t>
            </w:r>
            <w:r>
              <w:rPr>
                <w:rFonts w:hint="eastAsia" w:eastAsia="Times New Roman"/>
                <w:spacing w:val="9"/>
                <w:lang w:eastAsia="zh-CN"/>
              </w:rPr>
              <w:t>巡逻情况形成记录表</w:t>
            </w:r>
            <w:r>
              <w:rPr>
                <w:rFonts w:eastAsia="Times New Roman"/>
                <w:spacing w:val="9"/>
                <w:lang w:eastAsia="zh-CN"/>
              </w:rPr>
              <w:t>。</w:t>
            </w:r>
            <w:r>
              <w:rPr>
                <w:rFonts w:hint="eastAsia" w:eastAsia="Times New Roman"/>
                <w:spacing w:val="9"/>
                <w:lang w:eastAsia="zh-CN"/>
              </w:rPr>
              <w:t>各区域</w:t>
            </w:r>
            <w:r>
              <w:rPr>
                <w:rFonts w:eastAsia="Times New Roman"/>
                <w:spacing w:val="9"/>
                <w:lang w:eastAsia="zh-CN"/>
              </w:rPr>
              <w:t>消防治安巡逻每班</w:t>
            </w:r>
            <w:r>
              <w:rPr>
                <w:rFonts w:hint="eastAsia" w:eastAsia="Times New Roman"/>
                <w:spacing w:val="9"/>
                <w:lang w:eastAsia="zh-CN"/>
              </w:rPr>
              <w:t>每2小时一次</w:t>
            </w:r>
            <w:r>
              <w:rPr>
                <w:rFonts w:eastAsia="Times New Roman"/>
                <w:spacing w:val="9"/>
                <w:lang w:eastAsia="zh-CN"/>
              </w:rPr>
              <w:t>，全天不少于</w:t>
            </w:r>
            <w:r>
              <w:rPr>
                <w:rFonts w:hint="eastAsia" w:eastAsia="Times New Roman"/>
                <w:spacing w:val="9"/>
                <w:lang w:eastAsia="zh-CN"/>
              </w:rPr>
              <w:t>12</w:t>
            </w:r>
            <w:r>
              <w:rPr>
                <w:rFonts w:eastAsia="Times New Roman"/>
                <w:spacing w:val="9"/>
                <w:lang w:eastAsia="zh-CN"/>
              </w:rPr>
              <w:t xml:space="preserve"> 次</w:t>
            </w:r>
            <w:r>
              <w:rPr>
                <w:rFonts w:hint="eastAsia" w:eastAsia="Times New Roman"/>
                <w:spacing w:val="9"/>
                <w:lang w:eastAsia="zh-CN"/>
              </w:rPr>
              <w:t>，查阅巡逻台账，缺1次扣1分，每月扣完为止</w:t>
            </w:r>
            <w:r>
              <w:rPr>
                <w:rFonts w:eastAsia="Times New Roman"/>
                <w:spacing w:val="9"/>
                <w:lang w:eastAsia="zh-CN"/>
              </w:rPr>
              <w:t>。</w:t>
            </w:r>
            <w:r>
              <w:rPr>
                <w:rFonts w:hint="eastAsia" w:eastAsia="Times New Roman"/>
                <w:spacing w:val="9"/>
                <w:lang w:eastAsia="zh-CN"/>
              </w:rPr>
              <w:t>（12分）</w:t>
            </w:r>
          </w:p>
        </w:tc>
        <w:tc>
          <w:tcPr>
            <w:tcW w:w="2490" w:type="dxa"/>
          </w:tcPr>
          <w:p w14:paraId="191C66E7">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现场核查台账记录时间与视频监控核查人员到场时间不一致的。</w:t>
            </w:r>
          </w:p>
        </w:tc>
        <w:tc>
          <w:tcPr>
            <w:tcW w:w="825" w:type="dxa"/>
          </w:tcPr>
          <w:p w14:paraId="3B09B95F">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15EA2380">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444C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25" w:type="dxa"/>
            <w:tcBorders>
              <w:top w:val="single" w:color="000000" w:sz="4" w:space="0"/>
              <w:left w:val="single" w:color="000000" w:sz="4" w:space="0"/>
              <w:bottom w:val="single" w:color="000000" w:sz="4" w:space="0"/>
            </w:tcBorders>
          </w:tcPr>
          <w:p w14:paraId="242BC1FF">
            <w:pPr>
              <w:pStyle w:val="26"/>
              <w:keepNext w:val="0"/>
              <w:keepLines w:val="0"/>
              <w:pageBreakBefore w:val="0"/>
              <w:widowControl w:val="0"/>
              <w:kinsoku/>
              <w:wordWrap/>
              <w:overflowPunct/>
              <w:topLinePunct w:val="0"/>
              <w:autoSpaceDE/>
              <w:autoSpaceDN/>
              <w:bidi w:val="0"/>
              <w:adjustRightInd/>
              <w:snapToGrid/>
              <w:spacing w:before="31" w:line="360" w:lineRule="exact"/>
              <w:ind w:left="161"/>
              <w:textAlignment w:val="auto"/>
              <w:rPr>
                <w:rFonts w:eastAsia="Times New Roman"/>
                <w:lang w:eastAsia="zh-CN"/>
              </w:rPr>
            </w:pPr>
          </w:p>
          <w:p w14:paraId="538A7EF3">
            <w:pPr>
              <w:pStyle w:val="26"/>
              <w:keepNext w:val="0"/>
              <w:keepLines w:val="0"/>
              <w:pageBreakBefore w:val="0"/>
              <w:widowControl w:val="0"/>
              <w:kinsoku/>
              <w:wordWrap/>
              <w:overflowPunct/>
              <w:topLinePunct w:val="0"/>
              <w:autoSpaceDE/>
              <w:autoSpaceDN/>
              <w:bidi w:val="0"/>
              <w:adjustRightInd/>
              <w:snapToGrid/>
              <w:spacing w:before="31" w:line="360" w:lineRule="exact"/>
              <w:ind w:left="161"/>
              <w:textAlignment w:val="auto"/>
              <w:rPr>
                <w:rFonts w:eastAsia="Times New Roman"/>
                <w:lang w:eastAsia="zh-CN"/>
              </w:rPr>
            </w:pPr>
          </w:p>
          <w:p w14:paraId="429727C8">
            <w:pPr>
              <w:pStyle w:val="26"/>
              <w:keepNext w:val="0"/>
              <w:keepLines w:val="0"/>
              <w:pageBreakBefore w:val="0"/>
              <w:widowControl w:val="0"/>
              <w:kinsoku/>
              <w:wordWrap/>
              <w:overflowPunct/>
              <w:topLinePunct w:val="0"/>
              <w:autoSpaceDE/>
              <w:autoSpaceDN/>
              <w:bidi w:val="0"/>
              <w:adjustRightInd/>
              <w:snapToGrid/>
              <w:spacing w:before="31" w:line="360" w:lineRule="exact"/>
              <w:ind w:left="161"/>
              <w:textAlignment w:val="auto"/>
              <w:rPr>
                <w:rFonts w:eastAsia="Times New Roman"/>
                <w:lang w:eastAsia="zh-CN"/>
              </w:rPr>
            </w:pPr>
            <w:r>
              <w:rPr>
                <w:rFonts w:hint="eastAsia" w:eastAsia="Times New Roman"/>
                <w:lang w:eastAsia="zh-CN"/>
              </w:rPr>
              <w:t>8</w:t>
            </w:r>
          </w:p>
        </w:tc>
        <w:tc>
          <w:tcPr>
            <w:tcW w:w="742" w:type="dxa"/>
            <w:vMerge w:val="continue"/>
          </w:tcPr>
          <w:p w14:paraId="163CE2FC">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center"/>
              <w:textAlignment w:val="auto"/>
              <w:rPr>
                <w:rFonts w:eastAsia="Times New Roman"/>
                <w:spacing w:val="9"/>
              </w:rPr>
            </w:pPr>
          </w:p>
        </w:tc>
        <w:tc>
          <w:tcPr>
            <w:tcW w:w="750" w:type="dxa"/>
          </w:tcPr>
          <w:p w14:paraId="4F401AF9">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60284588">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日常</w:t>
            </w:r>
          </w:p>
          <w:p w14:paraId="16223BC6">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lang w:eastAsia="zh-CN"/>
              </w:rPr>
            </w:pPr>
            <w:r>
              <w:rPr>
                <w:rFonts w:eastAsia="Times New Roman"/>
                <w:spacing w:val="-7"/>
              </w:rPr>
              <w:t>工作</w:t>
            </w:r>
          </w:p>
          <w:p w14:paraId="64548739">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记录</w:t>
            </w:r>
          </w:p>
        </w:tc>
        <w:tc>
          <w:tcPr>
            <w:tcW w:w="3788" w:type="dxa"/>
          </w:tcPr>
          <w:p w14:paraId="12BA047D">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核查</w:t>
            </w:r>
            <w:r>
              <w:rPr>
                <w:rFonts w:eastAsia="Times New Roman"/>
                <w:spacing w:val="9"/>
                <w:lang w:eastAsia="zh-CN"/>
              </w:rPr>
              <w:t>外来访客、施工人员</w:t>
            </w:r>
            <w:r>
              <w:rPr>
                <w:rFonts w:hint="eastAsia" w:eastAsia="Times New Roman"/>
                <w:spacing w:val="9"/>
                <w:lang w:eastAsia="zh-CN"/>
              </w:rPr>
              <w:t>和携带</w:t>
            </w:r>
            <w:r>
              <w:rPr>
                <w:rFonts w:eastAsia="Times New Roman"/>
                <w:spacing w:val="9"/>
                <w:lang w:eastAsia="zh-CN"/>
              </w:rPr>
              <w:t>物品进</w:t>
            </w:r>
            <w:r>
              <w:rPr>
                <w:rFonts w:hint="eastAsia" w:eastAsia="Times New Roman"/>
                <w:spacing w:val="9"/>
                <w:lang w:eastAsia="zh-CN"/>
              </w:rPr>
              <w:t>如医院</w:t>
            </w:r>
            <w:r>
              <w:rPr>
                <w:rFonts w:eastAsia="Times New Roman"/>
                <w:spacing w:val="9"/>
                <w:lang w:eastAsia="zh-CN"/>
              </w:rPr>
              <w:t>，确保</w:t>
            </w:r>
            <w:r>
              <w:rPr>
                <w:rFonts w:hint="eastAsia" w:eastAsia="Times New Roman"/>
                <w:spacing w:val="9"/>
                <w:lang w:eastAsia="zh-CN"/>
              </w:rPr>
              <w:t>医院</w:t>
            </w:r>
            <w:r>
              <w:rPr>
                <w:rFonts w:eastAsia="Times New Roman"/>
                <w:spacing w:val="9"/>
                <w:lang w:eastAsia="zh-CN"/>
              </w:rPr>
              <w:t>内无重大治安事件</w:t>
            </w:r>
            <w:r>
              <w:rPr>
                <w:rFonts w:hint="eastAsia" w:eastAsia="Times New Roman"/>
                <w:spacing w:val="9"/>
                <w:lang w:eastAsia="zh-CN"/>
              </w:rPr>
              <w:t>，出现重大治安事件1次扣5分，每月扣完为止</w:t>
            </w:r>
            <w:r>
              <w:rPr>
                <w:rFonts w:eastAsia="Times New Roman"/>
                <w:spacing w:val="9"/>
                <w:lang w:eastAsia="zh-CN"/>
              </w:rPr>
              <w:t>。</w:t>
            </w:r>
            <w:r>
              <w:rPr>
                <w:rFonts w:hint="eastAsia" w:eastAsia="Times New Roman"/>
                <w:spacing w:val="9"/>
                <w:lang w:eastAsia="zh-CN"/>
              </w:rPr>
              <w:t>（10分）</w:t>
            </w:r>
          </w:p>
        </w:tc>
        <w:tc>
          <w:tcPr>
            <w:tcW w:w="2490" w:type="dxa"/>
          </w:tcPr>
          <w:p w14:paraId="4ECDBF1D">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现场核查医院内重大治安事件，有此类情况的。</w:t>
            </w:r>
          </w:p>
        </w:tc>
        <w:tc>
          <w:tcPr>
            <w:tcW w:w="825" w:type="dxa"/>
          </w:tcPr>
          <w:p w14:paraId="331A50D6">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76C9A921">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0291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25" w:type="dxa"/>
            <w:tcBorders>
              <w:top w:val="single" w:color="000000" w:sz="4" w:space="0"/>
              <w:left w:val="single" w:color="000000" w:sz="4" w:space="0"/>
              <w:bottom w:val="single" w:color="000000" w:sz="4" w:space="0"/>
            </w:tcBorders>
          </w:tcPr>
          <w:p w14:paraId="509F86C0">
            <w:pPr>
              <w:pStyle w:val="26"/>
              <w:keepNext w:val="0"/>
              <w:keepLines w:val="0"/>
              <w:pageBreakBefore w:val="0"/>
              <w:widowControl w:val="0"/>
              <w:kinsoku/>
              <w:wordWrap/>
              <w:overflowPunct/>
              <w:topLinePunct w:val="0"/>
              <w:autoSpaceDE/>
              <w:autoSpaceDN/>
              <w:bidi w:val="0"/>
              <w:adjustRightInd/>
              <w:snapToGrid/>
              <w:spacing w:before="31" w:line="360" w:lineRule="exact"/>
              <w:ind w:left="161"/>
              <w:textAlignment w:val="auto"/>
              <w:rPr>
                <w:rFonts w:eastAsia="Times New Roman"/>
                <w:lang w:eastAsia="zh-CN"/>
              </w:rPr>
            </w:pPr>
          </w:p>
          <w:p w14:paraId="5E70A103">
            <w:pPr>
              <w:pStyle w:val="26"/>
              <w:keepNext w:val="0"/>
              <w:keepLines w:val="0"/>
              <w:pageBreakBefore w:val="0"/>
              <w:widowControl w:val="0"/>
              <w:kinsoku/>
              <w:wordWrap/>
              <w:overflowPunct/>
              <w:topLinePunct w:val="0"/>
              <w:autoSpaceDE/>
              <w:autoSpaceDN/>
              <w:bidi w:val="0"/>
              <w:adjustRightInd/>
              <w:snapToGrid/>
              <w:spacing w:before="31" w:line="360" w:lineRule="exact"/>
              <w:ind w:left="161"/>
              <w:textAlignment w:val="auto"/>
              <w:rPr>
                <w:rFonts w:eastAsia="Times New Roman"/>
                <w:lang w:eastAsia="zh-CN"/>
              </w:rPr>
            </w:pPr>
          </w:p>
          <w:p w14:paraId="3B8B62AE">
            <w:pPr>
              <w:pStyle w:val="26"/>
              <w:keepNext w:val="0"/>
              <w:keepLines w:val="0"/>
              <w:pageBreakBefore w:val="0"/>
              <w:widowControl w:val="0"/>
              <w:kinsoku/>
              <w:wordWrap/>
              <w:overflowPunct/>
              <w:topLinePunct w:val="0"/>
              <w:autoSpaceDE/>
              <w:autoSpaceDN/>
              <w:bidi w:val="0"/>
              <w:adjustRightInd/>
              <w:snapToGrid/>
              <w:spacing w:before="31" w:line="360" w:lineRule="exact"/>
              <w:ind w:left="161"/>
              <w:textAlignment w:val="auto"/>
              <w:rPr>
                <w:rFonts w:eastAsia="Times New Roman"/>
                <w:lang w:eastAsia="zh-CN"/>
              </w:rPr>
            </w:pPr>
            <w:r>
              <w:rPr>
                <w:rFonts w:hint="eastAsia" w:eastAsia="Times New Roman"/>
                <w:lang w:eastAsia="zh-CN"/>
              </w:rPr>
              <w:t>9</w:t>
            </w:r>
          </w:p>
        </w:tc>
        <w:tc>
          <w:tcPr>
            <w:tcW w:w="742" w:type="dxa"/>
            <w:vMerge w:val="continue"/>
          </w:tcPr>
          <w:p w14:paraId="341F699A">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center"/>
              <w:textAlignment w:val="auto"/>
              <w:rPr>
                <w:rFonts w:eastAsia="Times New Roman"/>
                <w:spacing w:val="9"/>
              </w:rPr>
            </w:pPr>
          </w:p>
        </w:tc>
        <w:tc>
          <w:tcPr>
            <w:tcW w:w="750" w:type="dxa"/>
          </w:tcPr>
          <w:p w14:paraId="5C829EA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5281A5E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日常</w:t>
            </w:r>
          </w:p>
          <w:p w14:paraId="64A4E0C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工作</w:t>
            </w:r>
          </w:p>
          <w:p w14:paraId="060F0B5A">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记录</w:t>
            </w:r>
          </w:p>
        </w:tc>
        <w:tc>
          <w:tcPr>
            <w:tcW w:w="3788" w:type="dxa"/>
          </w:tcPr>
          <w:p w14:paraId="7C96F2AD">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lang w:eastAsia="zh-CN"/>
              </w:rPr>
            </w:pPr>
            <w:r>
              <w:rPr>
                <w:rFonts w:eastAsia="Times New Roman"/>
                <w:spacing w:val="9"/>
                <w:lang w:eastAsia="zh-CN"/>
              </w:rPr>
              <w:t>到岗人员熟悉岗位内安全出口位置</w:t>
            </w:r>
            <w:r>
              <w:rPr>
                <w:rFonts w:hint="eastAsia" w:eastAsia="Times New Roman"/>
                <w:spacing w:val="9"/>
                <w:lang w:eastAsia="zh-CN"/>
              </w:rPr>
              <w:t>、</w:t>
            </w:r>
            <w:r>
              <w:rPr>
                <w:rFonts w:eastAsia="Times New Roman"/>
                <w:spacing w:val="9"/>
                <w:lang w:eastAsia="zh-CN"/>
              </w:rPr>
              <w:t>消防器材摆放位置</w:t>
            </w:r>
            <w:r>
              <w:rPr>
                <w:rFonts w:hint="eastAsia" w:eastAsia="Times New Roman"/>
                <w:spacing w:val="9"/>
                <w:lang w:eastAsia="zh-CN"/>
              </w:rPr>
              <w:t>、使用安防器械、使用消防器材，每人不熟悉1次扣1分，每月扣完为止</w:t>
            </w:r>
            <w:r>
              <w:rPr>
                <w:rFonts w:eastAsia="Times New Roman"/>
                <w:spacing w:val="9"/>
                <w:lang w:eastAsia="zh-CN"/>
              </w:rPr>
              <w:t>。</w:t>
            </w:r>
            <w:r>
              <w:rPr>
                <w:rFonts w:hint="eastAsia" w:eastAsia="Times New Roman"/>
                <w:spacing w:val="9"/>
                <w:lang w:eastAsia="zh-CN"/>
              </w:rPr>
              <w:t>（4分）</w:t>
            </w:r>
          </w:p>
        </w:tc>
        <w:tc>
          <w:tcPr>
            <w:tcW w:w="2490" w:type="dxa"/>
          </w:tcPr>
          <w:p w14:paraId="1664BB90">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现场提问在岗人员此类内容，回答不对或实操不正确的。</w:t>
            </w:r>
          </w:p>
        </w:tc>
        <w:tc>
          <w:tcPr>
            <w:tcW w:w="825" w:type="dxa"/>
          </w:tcPr>
          <w:p w14:paraId="4EC91E2B">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0A5CA5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4764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25" w:type="dxa"/>
            <w:tcBorders>
              <w:top w:val="single" w:color="000000" w:sz="4" w:space="0"/>
              <w:left w:val="single" w:color="000000" w:sz="4" w:space="0"/>
              <w:bottom w:val="single" w:color="000000" w:sz="4" w:space="0"/>
            </w:tcBorders>
          </w:tcPr>
          <w:p w14:paraId="6D7B0D96">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p>
          <w:p w14:paraId="57AE9AAD">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p>
          <w:p w14:paraId="03E489F0">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p>
          <w:p w14:paraId="35F4BAF4">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r>
              <w:rPr>
                <w:rFonts w:hint="eastAsia" w:eastAsia="Times New Roman"/>
                <w:lang w:eastAsia="zh-CN"/>
              </w:rPr>
              <w:t>10</w:t>
            </w:r>
          </w:p>
        </w:tc>
        <w:tc>
          <w:tcPr>
            <w:tcW w:w="742" w:type="dxa"/>
            <w:vMerge w:val="continue"/>
          </w:tcPr>
          <w:p w14:paraId="254FA593">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center"/>
              <w:textAlignment w:val="auto"/>
              <w:rPr>
                <w:rFonts w:eastAsia="Times New Roman"/>
                <w:spacing w:val="9"/>
              </w:rPr>
            </w:pPr>
          </w:p>
        </w:tc>
        <w:tc>
          <w:tcPr>
            <w:tcW w:w="750" w:type="dxa"/>
          </w:tcPr>
          <w:p w14:paraId="34EBB6E9">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34CA2E3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lang w:eastAsia="zh-CN"/>
              </w:rPr>
            </w:pPr>
          </w:p>
          <w:p w14:paraId="7397B2EB">
            <w:pPr>
              <w:pStyle w:val="26"/>
              <w:keepNext w:val="0"/>
              <w:keepLines w:val="0"/>
              <w:pageBreakBefore w:val="0"/>
              <w:widowControl w:val="0"/>
              <w:kinsoku/>
              <w:wordWrap/>
              <w:overflowPunct/>
              <w:topLinePunct w:val="0"/>
              <w:autoSpaceDE/>
              <w:autoSpaceDN/>
              <w:bidi w:val="0"/>
              <w:adjustRightInd/>
              <w:snapToGrid/>
              <w:spacing w:before="27" w:line="360" w:lineRule="exact"/>
              <w:textAlignment w:val="auto"/>
              <w:rPr>
                <w:rFonts w:eastAsia="Times New Roman"/>
                <w:spacing w:val="-7"/>
                <w:lang w:eastAsia="zh-CN"/>
              </w:rPr>
            </w:pPr>
            <w:r>
              <w:rPr>
                <w:rFonts w:hint="eastAsia" w:eastAsia="Times New Roman"/>
                <w:spacing w:val="-7"/>
                <w:lang w:eastAsia="zh-CN"/>
              </w:rPr>
              <w:t>出入口</w:t>
            </w:r>
          </w:p>
          <w:p w14:paraId="74B08DD2">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eastAsia="Times New Roman"/>
                <w:spacing w:val="-7"/>
              </w:rPr>
              <w:t>管理</w:t>
            </w:r>
          </w:p>
        </w:tc>
        <w:tc>
          <w:tcPr>
            <w:tcW w:w="3788" w:type="dxa"/>
          </w:tcPr>
          <w:p w14:paraId="726495F5">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p>
          <w:p w14:paraId="59734552">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rPr>
            </w:pPr>
            <w:r>
              <w:rPr>
                <w:rFonts w:eastAsia="Times New Roman"/>
                <w:spacing w:val="9"/>
                <w:lang w:eastAsia="zh-CN"/>
              </w:rPr>
              <w:t>做好出入口管理，无偷盗案件</w:t>
            </w:r>
            <w:r>
              <w:rPr>
                <w:rFonts w:hint="eastAsia" w:eastAsia="Times New Roman"/>
                <w:spacing w:val="9"/>
                <w:lang w:eastAsia="zh-CN"/>
              </w:rPr>
              <w:t>和医院财务损失等事件</w:t>
            </w:r>
            <w:r>
              <w:rPr>
                <w:rFonts w:eastAsia="Times New Roman"/>
                <w:spacing w:val="9"/>
                <w:lang w:eastAsia="zh-CN"/>
              </w:rPr>
              <w:t>发生</w:t>
            </w:r>
            <w:r>
              <w:rPr>
                <w:rFonts w:hint="eastAsia" w:eastAsia="Times New Roman"/>
                <w:spacing w:val="9"/>
                <w:lang w:eastAsia="zh-CN"/>
              </w:rPr>
              <w:t>，发生1次扣5分，每月扣完为止。（10分）</w:t>
            </w:r>
          </w:p>
        </w:tc>
        <w:tc>
          <w:tcPr>
            <w:tcW w:w="2490" w:type="dxa"/>
          </w:tcPr>
          <w:p w14:paraId="7908904F">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现场核查和视频监控核查案件发生时，出入口岗位人员是否发现、上报医院，不发现、不阻止或不上报的。</w:t>
            </w:r>
          </w:p>
        </w:tc>
        <w:tc>
          <w:tcPr>
            <w:tcW w:w="825" w:type="dxa"/>
          </w:tcPr>
          <w:p w14:paraId="784F6C69">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216A1C88">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2870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jc w:val="center"/>
        </w:trPr>
        <w:tc>
          <w:tcPr>
            <w:tcW w:w="625" w:type="dxa"/>
            <w:tcBorders>
              <w:top w:val="single" w:color="000000" w:sz="4" w:space="0"/>
              <w:left w:val="single" w:color="000000" w:sz="4" w:space="0"/>
              <w:bottom w:val="single" w:color="000000" w:sz="4" w:space="0"/>
            </w:tcBorders>
          </w:tcPr>
          <w:p w14:paraId="68CB4E16">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p>
          <w:p w14:paraId="0D010091">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p>
          <w:p w14:paraId="72F71DF8">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p>
          <w:p w14:paraId="47D87E7F">
            <w:pPr>
              <w:pStyle w:val="26"/>
              <w:keepNext w:val="0"/>
              <w:keepLines w:val="0"/>
              <w:pageBreakBefore w:val="0"/>
              <w:widowControl w:val="0"/>
              <w:kinsoku/>
              <w:wordWrap/>
              <w:overflowPunct/>
              <w:topLinePunct w:val="0"/>
              <w:autoSpaceDE/>
              <w:autoSpaceDN/>
              <w:bidi w:val="0"/>
              <w:adjustRightInd/>
              <w:snapToGrid/>
              <w:spacing w:before="32" w:line="360" w:lineRule="exact"/>
              <w:ind w:left="161"/>
              <w:textAlignment w:val="auto"/>
              <w:rPr>
                <w:rFonts w:eastAsia="Times New Roman"/>
                <w:lang w:eastAsia="zh-CN"/>
              </w:rPr>
            </w:pPr>
            <w:r>
              <w:rPr>
                <w:rFonts w:hint="eastAsia" w:eastAsia="Times New Roman"/>
                <w:lang w:eastAsia="zh-CN"/>
              </w:rPr>
              <w:t>11</w:t>
            </w:r>
          </w:p>
        </w:tc>
        <w:tc>
          <w:tcPr>
            <w:tcW w:w="742" w:type="dxa"/>
            <w:vMerge w:val="continue"/>
          </w:tcPr>
          <w:p w14:paraId="5EC2C7E6">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center"/>
              <w:textAlignment w:val="auto"/>
              <w:rPr>
                <w:rFonts w:eastAsia="Times New Roman"/>
                <w:spacing w:val="9"/>
              </w:rPr>
            </w:pPr>
          </w:p>
        </w:tc>
        <w:tc>
          <w:tcPr>
            <w:tcW w:w="750" w:type="dxa"/>
          </w:tcPr>
          <w:p w14:paraId="6A889F9E">
            <w:pPr>
              <w:pStyle w:val="26"/>
              <w:keepNext w:val="0"/>
              <w:keepLines w:val="0"/>
              <w:pageBreakBefore w:val="0"/>
              <w:widowControl w:val="0"/>
              <w:kinsoku/>
              <w:wordWrap/>
              <w:overflowPunct/>
              <w:topLinePunct w:val="0"/>
              <w:autoSpaceDE/>
              <w:autoSpaceDN/>
              <w:bidi w:val="0"/>
              <w:adjustRightInd/>
              <w:snapToGrid/>
              <w:spacing w:before="27" w:line="360" w:lineRule="exact"/>
              <w:textAlignment w:val="auto"/>
              <w:rPr>
                <w:rFonts w:eastAsia="Times New Roman"/>
                <w:spacing w:val="-7"/>
              </w:rPr>
            </w:pPr>
          </w:p>
          <w:p w14:paraId="53F57E6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p>
          <w:p w14:paraId="605B7508">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车辆</w:t>
            </w:r>
          </w:p>
          <w:p w14:paraId="746B3F7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7"/>
              </w:rPr>
              <w:t>管理</w:t>
            </w:r>
          </w:p>
        </w:tc>
        <w:tc>
          <w:tcPr>
            <w:tcW w:w="3788" w:type="dxa"/>
          </w:tcPr>
          <w:p w14:paraId="76F2F18B">
            <w:pPr>
              <w:pStyle w:val="26"/>
              <w:keepNext w:val="0"/>
              <w:keepLines w:val="0"/>
              <w:pageBreakBefore w:val="0"/>
              <w:widowControl w:val="0"/>
              <w:kinsoku/>
              <w:wordWrap/>
              <w:overflowPunct/>
              <w:topLinePunct w:val="0"/>
              <w:autoSpaceDE/>
              <w:autoSpaceDN/>
              <w:bidi w:val="0"/>
              <w:adjustRightInd/>
              <w:snapToGrid/>
              <w:spacing w:before="30" w:line="360" w:lineRule="exact"/>
              <w:ind w:right="129"/>
              <w:jc w:val="both"/>
              <w:textAlignment w:val="auto"/>
              <w:rPr>
                <w:rFonts w:eastAsia="Times New Roman"/>
                <w:spacing w:val="9"/>
                <w:lang w:eastAsia="zh-CN"/>
              </w:rPr>
            </w:pPr>
            <w:r>
              <w:rPr>
                <w:rFonts w:hint="eastAsia" w:eastAsia="Times New Roman"/>
                <w:spacing w:val="9"/>
                <w:lang w:eastAsia="zh-CN"/>
              </w:rPr>
              <w:t>停车位</w:t>
            </w:r>
            <w:r>
              <w:rPr>
                <w:rFonts w:eastAsia="Times New Roman"/>
                <w:spacing w:val="9"/>
                <w:lang w:eastAsia="zh-CN"/>
              </w:rPr>
              <w:t>管理规范，如果车辆无法停入</w:t>
            </w:r>
            <w:r>
              <w:rPr>
                <w:rFonts w:hint="eastAsia" w:eastAsia="Times New Roman"/>
                <w:spacing w:val="9"/>
                <w:lang w:eastAsia="zh-CN"/>
              </w:rPr>
              <w:t>地下</w:t>
            </w:r>
            <w:r>
              <w:rPr>
                <w:rFonts w:eastAsia="Times New Roman"/>
                <w:spacing w:val="9"/>
                <w:lang w:eastAsia="zh-CN"/>
              </w:rPr>
              <w:t>车库且地面无停车位时，应该</w:t>
            </w:r>
            <w:r>
              <w:rPr>
                <w:rFonts w:hint="eastAsia" w:eastAsia="Times New Roman"/>
                <w:spacing w:val="9"/>
                <w:lang w:eastAsia="zh-CN"/>
              </w:rPr>
              <w:t>和患者</w:t>
            </w:r>
            <w:r>
              <w:rPr>
                <w:rFonts w:eastAsia="Times New Roman"/>
                <w:spacing w:val="9"/>
                <w:lang w:eastAsia="zh-CN"/>
              </w:rPr>
              <w:t>解释清楚原因，劝导到院外停放，沟通过程中应该使用文明用语，语言清晰明了。 现场机动车与非机动车停放有序，及时处理违章</w:t>
            </w:r>
            <w:r>
              <w:rPr>
                <w:rFonts w:hint="eastAsia" w:eastAsia="Times New Roman"/>
                <w:spacing w:val="9"/>
                <w:lang w:val="en-US" w:eastAsia="zh-CN"/>
              </w:rPr>
              <w:t>违</w:t>
            </w:r>
            <w:r>
              <w:rPr>
                <w:rFonts w:eastAsia="Times New Roman"/>
                <w:spacing w:val="9"/>
                <w:lang w:eastAsia="zh-CN"/>
              </w:rPr>
              <w:t>停</w:t>
            </w:r>
            <w:r>
              <w:rPr>
                <w:rFonts w:hint="eastAsia" w:eastAsia="Times New Roman"/>
                <w:spacing w:val="9"/>
                <w:lang w:eastAsia="zh-CN"/>
              </w:rPr>
              <w:t>，有乱停乱放扣1分，每月扣完为止</w:t>
            </w:r>
            <w:r>
              <w:rPr>
                <w:rFonts w:eastAsia="Times New Roman"/>
                <w:spacing w:val="9"/>
                <w:lang w:eastAsia="zh-CN"/>
              </w:rPr>
              <w:t>。</w:t>
            </w:r>
            <w:r>
              <w:rPr>
                <w:rFonts w:hint="eastAsia" w:eastAsia="Times New Roman"/>
                <w:spacing w:val="9"/>
                <w:lang w:eastAsia="zh-CN"/>
              </w:rPr>
              <w:t>（10分）</w:t>
            </w:r>
          </w:p>
        </w:tc>
        <w:tc>
          <w:tcPr>
            <w:tcW w:w="2490" w:type="dxa"/>
            <w:vAlign w:val="center"/>
          </w:tcPr>
          <w:p w14:paraId="243B397A">
            <w:pPr>
              <w:pStyle w:val="26"/>
              <w:keepNext w:val="0"/>
              <w:keepLines w:val="0"/>
              <w:pageBreakBefore w:val="0"/>
              <w:widowControl w:val="0"/>
              <w:kinsoku/>
              <w:wordWrap/>
              <w:overflowPunct/>
              <w:topLinePunct w:val="0"/>
              <w:autoSpaceDE/>
              <w:autoSpaceDN/>
              <w:bidi w:val="0"/>
              <w:adjustRightInd/>
              <w:snapToGrid/>
              <w:spacing w:before="30" w:line="360" w:lineRule="exact"/>
              <w:ind w:left="114" w:right="129" w:hanging="3"/>
              <w:jc w:val="both"/>
              <w:textAlignment w:val="auto"/>
              <w:rPr>
                <w:rFonts w:eastAsia="Times New Roman"/>
                <w:spacing w:val="9"/>
                <w:lang w:eastAsia="zh-CN"/>
              </w:rPr>
            </w:pPr>
            <w:r>
              <w:rPr>
                <w:rFonts w:hint="eastAsia" w:eastAsia="Times New Roman"/>
                <w:spacing w:val="9"/>
                <w:lang w:eastAsia="zh-CN"/>
              </w:rPr>
              <w:t>现场核查和视频监控核查院内停车状态，发现主要通道、消防通道或医院各出入口有违规停车10分钟以上的。</w:t>
            </w:r>
          </w:p>
        </w:tc>
        <w:tc>
          <w:tcPr>
            <w:tcW w:w="825" w:type="dxa"/>
          </w:tcPr>
          <w:p w14:paraId="56B78DC1">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c>
          <w:tcPr>
            <w:tcW w:w="780" w:type="dxa"/>
          </w:tcPr>
          <w:p w14:paraId="6ABD5490">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Calibri" w:eastAsia="Times New Roman"/>
                <w:szCs w:val="21"/>
                <w:lang w:eastAsia="en-US"/>
              </w:rPr>
            </w:pPr>
          </w:p>
        </w:tc>
      </w:tr>
      <w:tr w14:paraId="5F39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2" w:hRule="atLeast"/>
          <w:jc w:val="center"/>
        </w:trPr>
        <w:tc>
          <w:tcPr>
            <w:tcW w:w="625" w:type="dxa"/>
            <w:tcBorders>
              <w:top w:val="single" w:color="000000" w:sz="4" w:space="0"/>
              <w:left w:val="single" w:color="000000" w:sz="4" w:space="0"/>
              <w:bottom w:val="single" w:color="000000" w:sz="4" w:space="0"/>
            </w:tcBorders>
          </w:tcPr>
          <w:p w14:paraId="7769C297">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p>
          <w:p w14:paraId="05A10268">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p>
          <w:p w14:paraId="0B17061F">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r>
              <w:rPr>
                <w:rFonts w:hint="eastAsia" w:eastAsia="Times New Roman"/>
                <w:lang w:eastAsia="zh-CN"/>
              </w:rPr>
              <w:t>12</w:t>
            </w:r>
          </w:p>
        </w:tc>
        <w:tc>
          <w:tcPr>
            <w:tcW w:w="742" w:type="dxa"/>
            <w:vMerge w:val="continue"/>
          </w:tcPr>
          <w:p w14:paraId="3BB7591D">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Pr>
          <w:p w14:paraId="6811D7D4">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rPr>
            </w:pPr>
          </w:p>
          <w:p w14:paraId="5968B8E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rPr>
            </w:pPr>
            <w:r>
              <w:rPr>
                <w:rFonts w:eastAsia="Times New Roman"/>
                <w:spacing w:val="9"/>
              </w:rPr>
              <w:t>快速</w:t>
            </w:r>
          </w:p>
          <w:p w14:paraId="52F5224F">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rPr>
            </w:pPr>
            <w:r>
              <w:rPr>
                <w:rFonts w:eastAsia="Times New Roman"/>
                <w:spacing w:val="9"/>
              </w:rPr>
              <w:t>反应</w:t>
            </w:r>
          </w:p>
        </w:tc>
        <w:tc>
          <w:tcPr>
            <w:tcW w:w="3788" w:type="dxa"/>
          </w:tcPr>
          <w:p w14:paraId="0E2079D4">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7"/>
                <w:lang w:eastAsia="zh-CN"/>
              </w:rPr>
            </w:pPr>
            <w:r>
              <w:rPr>
                <w:rFonts w:eastAsia="Times New Roman"/>
                <w:spacing w:val="9"/>
                <w:lang w:eastAsia="zh-CN"/>
              </w:rPr>
              <w:t>面对突发事件及时到达现场并作出合理</w:t>
            </w:r>
            <w:r>
              <w:rPr>
                <w:rFonts w:hint="eastAsia" w:eastAsia="Times New Roman"/>
                <w:spacing w:val="9"/>
                <w:lang w:eastAsia="zh-CN"/>
              </w:rPr>
              <w:t>应急</w:t>
            </w:r>
            <w:r>
              <w:rPr>
                <w:rFonts w:eastAsia="Times New Roman"/>
                <w:spacing w:val="9"/>
                <w:lang w:eastAsia="zh-CN"/>
              </w:rPr>
              <w:t>处置及报告程序合理</w:t>
            </w:r>
            <w:r>
              <w:rPr>
                <w:rFonts w:hint="eastAsia" w:eastAsia="Times New Roman"/>
                <w:spacing w:val="9"/>
                <w:lang w:eastAsia="zh-CN"/>
              </w:rPr>
              <w:t>，每季度做到至少一次灭火及疏散预案演练和防爆防恐预案演练，在岗员工必须熟悉预案流程，并有档案记录，实操</w:t>
            </w:r>
            <w:r>
              <w:rPr>
                <w:rFonts w:eastAsia="Times New Roman"/>
                <w:spacing w:val="9"/>
                <w:lang w:eastAsia="zh-CN"/>
              </w:rPr>
              <w:t>做到1分钟内</w:t>
            </w:r>
            <w:r>
              <w:rPr>
                <w:rFonts w:hint="eastAsia" w:eastAsia="Times New Roman"/>
                <w:spacing w:val="9"/>
                <w:lang w:val="en-US" w:eastAsia="zh-CN"/>
              </w:rPr>
              <w:t>秩序员</w:t>
            </w:r>
            <w:r>
              <w:rPr>
                <w:rFonts w:eastAsia="Times New Roman"/>
                <w:spacing w:val="9"/>
                <w:lang w:eastAsia="zh-CN"/>
              </w:rPr>
              <w:t>到位，3 分钟内支援</w:t>
            </w:r>
            <w:r>
              <w:rPr>
                <w:rFonts w:hint="eastAsia" w:eastAsia="Times New Roman"/>
                <w:spacing w:val="9"/>
                <w:lang w:val="en-US" w:eastAsia="zh-CN"/>
              </w:rPr>
              <w:t>秩序员</w:t>
            </w:r>
            <w:r>
              <w:rPr>
                <w:rFonts w:eastAsia="Times New Roman"/>
                <w:spacing w:val="9"/>
                <w:lang w:eastAsia="zh-CN"/>
              </w:rPr>
              <w:t>到位</w:t>
            </w:r>
            <w:r>
              <w:rPr>
                <w:rFonts w:hint="eastAsia" w:eastAsia="Times New Roman"/>
                <w:spacing w:val="9"/>
                <w:lang w:eastAsia="zh-CN"/>
              </w:rPr>
              <w:t>，未做到1次扣2分，每月扣完为止。（10分）</w:t>
            </w:r>
          </w:p>
        </w:tc>
        <w:tc>
          <w:tcPr>
            <w:tcW w:w="2490" w:type="dxa"/>
          </w:tcPr>
          <w:p w14:paraId="6B02AE48">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both"/>
              <w:textAlignment w:val="auto"/>
              <w:rPr>
                <w:rFonts w:eastAsia="Times New Roman"/>
                <w:spacing w:val="-7"/>
                <w:lang w:eastAsia="zh-CN"/>
              </w:rPr>
            </w:pPr>
          </w:p>
          <w:p w14:paraId="31656F42">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both"/>
              <w:textAlignment w:val="auto"/>
              <w:rPr>
                <w:rFonts w:eastAsia="Times New Roman"/>
                <w:spacing w:val="-7"/>
                <w:lang w:eastAsia="zh-CN"/>
              </w:rPr>
            </w:pPr>
            <w:r>
              <w:rPr>
                <w:rFonts w:hint="eastAsia" w:eastAsia="Times New Roman"/>
                <w:spacing w:val="9"/>
                <w:lang w:eastAsia="zh-CN"/>
              </w:rPr>
              <w:t>现场核查和视频监控核查出现此类事件或医院管理人员抽查应急处置情况或演练时未按时到达的。</w:t>
            </w:r>
          </w:p>
        </w:tc>
        <w:tc>
          <w:tcPr>
            <w:tcW w:w="825" w:type="dxa"/>
          </w:tcPr>
          <w:p w14:paraId="3CE5B3A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lang w:eastAsia="zh-CN"/>
              </w:rPr>
            </w:pPr>
          </w:p>
        </w:tc>
        <w:tc>
          <w:tcPr>
            <w:tcW w:w="780" w:type="dxa"/>
          </w:tcPr>
          <w:p w14:paraId="7623EC8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7"/>
                <w:lang w:eastAsia="zh-CN"/>
              </w:rPr>
            </w:pPr>
          </w:p>
        </w:tc>
      </w:tr>
      <w:tr w14:paraId="39D6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jc w:val="center"/>
        </w:trPr>
        <w:tc>
          <w:tcPr>
            <w:tcW w:w="625" w:type="dxa"/>
            <w:tcBorders>
              <w:top w:val="single" w:color="000000" w:sz="4" w:space="0"/>
              <w:left w:val="single" w:color="000000" w:sz="4" w:space="0"/>
              <w:bottom w:val="single" w:color="000000" w:sz="4" w:space="0"/>
            </w:tcBorders>
          </w:tcPr>
          <w:p w14:paraId="271901E7">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p>
          <w:p w14:paraId="3AFA4613">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p>
          <w:p w14:paraId="7E8C29A1">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r>
              <w:rPr>
                <w:rFonts w:hint="eastAsia" w:eastAsia="Times New Roman"/>
                <w:lang w:eastAsia="zh-CN"/>
              </w:rPr>
              <w:t>13</w:t>
            </w:r>
          </w:p>
        </w:tc>
        <w:tc>
          <w:tcPr>
            <w:tcW w:w="742" w:type="dxa"/>
            <w:vMerge w:val="continue"/>
            <w:tcBorders>
              <w:bottom w:val="single" w:color="000000" w:sz="4" w:space="0"/>
            </w:tcBorders>
          </w:tcPr>
          <w:p w14:paraId="0180E48E">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bottom w:val="single" w:color="000000" w:sz="4" w:space="0"/>
            </w:tcBorders>
          </w:tcPr>
          <w:p w14:paraId="4F69D5C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rPr>
            </w:pPr>
          </w:p>
          <w:p w14:paraId="3B5B058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rPr>
            </w:pPr>
          </w:p>
          <w:p w14:paraId="2A32FF8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rPr>
            </w:pPr>
            <w:r>
              <w:rPr>
                <w:rFonts w:eastAsia="Times New Roman"/>
                <w:spacing w:val="9"/>
              </w:rPr>
              <w:t>岗位</w:t>
            </w:r>
          </w:p>
          <w:p w14:paraId="6B0CC893">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rPr>
            </w:pPr>
            <w:r>
              <w:rPr>
                <w:rFonts w:eastAsia="Times New Roman"/>
                <w:spacing w:val="9"/>
              </w:rPr>
              <w:t>职责</w:t>
            </w:r>
          </w:p>
        </w:tc>
        <w:tc>
          <w:tcPr>
            <w:tcW w:w="3788" w:type="dxa"/>
            <w:tcBorders>
              <w:bottom w:val="single" w:color="000000" w:sz="4" w:space="0"/>
            </w:tcBorders>
          </w:tcPr>
          <w:p w14:paraId="66A705AC">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eastAsia="Times New Roman"/>
                <w:spacing w:val="9"/>
                <w:lang w:eastAsia="zh-CN"/>
              </w:rPr>
              <w:t>各岗位</w:t>
            </w:r>
            <w:r>
              <w:rPr>
                <w:rFonts w:hint="eastAsia" w:eastAsia="Times New Roman"/>
                <w:spacing w:val="9"/>
                <w:lang w:eastAsia="zh-CN"/>
              </w:rPr>
              <w:t>人员</w:t>
            </w:r>
            <w:r>
              <w:rPr>
                <w:rFonts w:eastAsia="Times New Roman"/>
                <w:spacing w:val="9"/>
                <w:lang w:eastAsia="zh-CN"/>
              </w:rPr>
              <w:t>熟知本岗位职责，遇到</w:t>
            </w:r>
            <w:r>
              <w:rPr>
                <w:rFonts w:hint="eastAsia" w:eastAsia="Times New Roman"/>
                <w:spacing w:val="9"/>
                <w:lang w:eastAsia="zh-CN"/>
              </w:rPr>
              <w:t>患者或其他人员</w:t>
            </w:r>
            <w:r>
              <w:rPr>
                <w:rFonts w:eastAsia="Times New Roman"/>
                <w:spacing w:val="9"/>
                <w:lang w:eastAsia="zh-CN"/>
              </w:rPr>
              <w:t>询问</w:t>
            </w:r>
            <w:r>
              <w:rPr>
                <w:rFonts w:hint="eastAsia" w:eastAsia="Times New Roman"/>
                <w:spacing w:val="9"/>
                <w:lang w:eastAsia="zh-CN"/>
              </w:rPr>
              <w:t>时</w:t>
            </w:r>
            <w:r>
              <w:rPr>
                <w:rFonts w:eastAsia="Times New Roman"/>
                <w:spacing w:val="9"/>
                <w:lang w:eastAsia="zh-CN"/>
              </w:rPr>
              <w:t>， 应耐心解答，如自己不清楚，应向</w:t>
            </w:r>
            <w:r>
              <w:rPr>
                <w:rFonts w:hint="eastAsia" w:eastAsia="Times New Roman"/>
                <w:spacing w:val="9"/>
                <w:lang w:val="en-US" w:eastAsia="zh-CN"/>
              </w:rPr>
              <w:t>秩序员</w:t>
            </w:r>
            <w:r>
              <w:rPr>
                <w:rFonts w:eastAsia="Times New Roman"/>
                <w:spacing w:val="9"/>
                <w:lang w:eastAsia="zh-CN"/>
              </w:rPr>
              <w:t>或医务人员求助，或者引导他向其他</w:t>
            </w:r>
            <w:r>
              <w:rPr>
                <w:rFonts w:hint="eastAsia" w:eastAsia="Times New Roman"/>
                <w:spacing w:val="9"/>
                <w:lang w:eastAsia="zh-CN"/>
              </w:rPr>
              <w:t>医务</w:t>
            </w:r>
            <w:r>
              <w:rPr>
                <w:rFonts w:eastAsia="Times New Roman"/>
                <w:spacing w:val="9"/>
                <w:lang w:eastAsia="zh-CN"/>
              </w:rPr>
              <w:t>人员咨询</w:t>
            </w:r>
            <w:r>
              <w:rPr>
                <w:rFonts w:hint="eastAsia" w:eastAsia="Times New Roman"/>
                <w:spacing w:val="9"/>
                <w:lang w:eastAsia="zh-CN"/>
              </w:rPr>
              <w:t>，收到投诉1次扣1分</w:t>
            </w:r>
            <w:r>
              <w:rPr>
                <w:rFonts w:eastAsia="Times New Roman"/>
                <w:spacing w:val="9"/>
                <w:lang w:eastAsia="zh-CN"/>
              </w:rPr>
              <w:t>。</w:t>
            </w:r>
            <w:r>
              <w:rPr>
                <w:rFonts w:hint="eastAsia" w:eastAsia="Times New Roman"/>
                <w:spacing w:val="9"/>
                <w:lang w:eastAsia="zh-CN"/>
              </w:rPr>
              <w:t>（2分）</w:t>
            </w:r>
          </w:p>
        </w:tc>
        <w:tc>
          <w:tcPr>
            <w:tcW w:w="2490" w:type="dxa"/>
            <w:tcBorders>
              <w:bottom w:val="single" w:color="000000" w:sz="4" w:space="0"/>
            </w:tcBorders>
          </w:tcPr>
          <w:p w14:paraId="5F81DBBA">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现场核查和视频监控核查出现此类投诉事件的。</w:t>
            </w:r>
          </w:p>
        </w:tc>
        <w:tc>
          <w:tcPr>
            <w:tcW w:w="825" w:type="dxa"/>
            <w:tcBorders>
              <w:bottom w:val="single" w:color="000000" w:sz="4" w:space="0"/>
            </w:tcBorders>
          </w:tcPr>
          <w:p w14:paraId="4D00E85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bottom w:val="single" w:color="000000" w:sz="4" w:space="0"/>
            </w:tcBorders>
          </w:tcPr>
          <w:p w14:paraId="03B08611">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46E5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625" w:type="dxa"/>
            <w:tcBorders>
              <w:top w:val="single" w:color="000000" w:sz="4" w:space="0"/>
              <w:left w:val="single" w:color="000000" w:sz="4" w:space="0"/>
              <w:bottom w:val="single" w:color="000000" w:sz="4" w:space="0"/>
              <w:right w:val="single" w:color="000000" w:sz="4" w:space="0"/>
            </w:tcBorders>
          </w:tcPr>
          <w:p w14:paraId="0CE6ABB1">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p>
          <w:p w14:paraId="48C87339">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lang w:eastAsia="zh-CN"/>
              </w:rPr>
            </w:pPr>
            <w:r>
              <w:rPr>
                <w:rFonts w:hint="eastAsia" w:eastAsia="Times New Roman"/>
                <w:lang w:eastAsia="zh-CN"/>
              </w:rPr>
              <w:t>14</w:t>
            </w:r>
          </w:p>
        </w:tc>
        <w:tc>
          <w:tcPr>
            <w:tcW w:w="742" w:type="dxa"/>
            <w:vMerge w:val="continue"/>
            <w:tcBorders>
              <w:top w:val="single" w:color="000000" w:sz="4" w:space="0"/>
              <w:left w:val="single" w:color="000000" w:sz="4" w:space="0"/>
              <w:bottom w:val="single" w:color="000000" w:sz="4" w:space="0"/>
              <w:right w:val="single" w:color="000000" w:sz="4" w:space="0"/>
            </w:tcBorders>
          </w:tcPr>
          <w:p w14:paraId="5529B8AB">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tcPr>
          <w:p w14:paraId="041618F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4D16DF88">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岗位</w:t>
            </w:r>
          </w:p>
          <w:p w14:paraId="3B70890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职责</w:t>
            </w:r>
          </w:p>
        </w:tc>
        <w:tc>
          <w:tcPr>
            <w:tcW w:w="3788" w:type="dxa"/>
            <w:tcBorders>
              <w:top w:val="single" w:color="000000" w:sz="4" w:space="0"/>
              <w:left w:val="single" w:color="000000" w:sz="4" w:space="0"/>
              <w:bottom w:val="single" w:color="000000" w:sz="4" w:space="0"/>
              <w:right w:val="single" w:color="000000" w:sz="4" w:space="0"/>
            </w:tcBorders>
          </w:tcPr>
          <w:p w14:paraId="4EF992ED">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val="en-US" w:eastAsia="zh-CN"/>
              </w:rPr>
              <w:t>秩序队长</w:t>
            </w:r>
            <w:r>
              <w:rPr>
                <w:rFonts w:hint="eastAsia" w:eastAsia="Times New Roman"/>
                <w:spacing w:val="9"/>
                <w:lang w:eastAsia="zh-CN"/>
              </w:rPr>
              <w:t>需要请假时，应先经过公司批准，后再向医院后勤保障科报备，</w:t>
            </w:r>
            <w:r>
              <w:rPr>
                <w:rFonts w:eastAsia="Times New Roman"/>
                <w:spacing w:val="9"/>
                <w:lang w:eastAsia="zh-CN"/>
              </w:rPr>
              <w:t>同时安排好相关负责人接替工作，否则视为旷工</w:t>
            </w:r>
            <w:r>
              <w:rPr>
                <w:rFonts w:hint="eastAsia" w:eastAsia="Times New Roman"/>
                <w:spacing w:val="9"/>
                <w:lang w:eastAsia="zh-CN"/>
              </w:rPr>
              <w:t>，旷工1次扣1分，每月扣完为止。（2分）</w:t>
            </w:r>
          </w:p>
        </w:tc>
        <w:tc>
          <w:tcPr>
            <w:tcW w:w="2490" w:type="dxa"/>
            <w:tcBorders>
              <w:top w:val="single" w:color="000000" w:sz="4" w:space="0"/>
              <w:left w:val="single" w:color="000000" w:sz="4" w:space="0"/>
              <w:bottom w:val="single" w:color="000000" w:sz="4" w:space="0"/>
              <w:right w:val="single" w:color="000000" w:sz="4" w:space="0"/>
            </w:tcBorders>
          </w:tcPr>
          <w:p w14:paraId="41C23AA4">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现场核查和视频监控核查出现此类投诉事件扣分。</w:t>
            </w:r>
          </w:p>
        </w:tc>
        <w:tc>
          <w:tcPr>
            <w:tcW w:w="825" w:type="dxa"/>
            <w:tcBorders>
              <w:top w:val="single" w:color="000000" w:sz="4" w:space="0"/>
              <w:left w:val="single" w:color="000000" w:sz="4" w:space="0"/>
              <w:bottom w:val="single" w:color="000000" w:sz="4" w:space="0"/>
              <w:right w:val="single" w:color="000000" w:sz="4" w:space="0"/>
            </w:tcBorders>
          </w:tcPr>
          <w:p w14:paraId="3C53C98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2E75F3F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6B233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jc w:val="center"/>
        </w:trPr>
        <w:tc>
          <w:tcPr>
            <w:tcW w:w="625" w:type="dxa"/>
            <w:tcBorders>
              <w:top w:val="single" w:color="000000" w:sz="4" w:space="0"/>
              <w:left w:val="single" w:color="000000" w:sz="4" w:space="0"/>
              <w:bottom w:val="single" w:color="000000" w:sz="4" w:space="0"/>
              <w:right w:val="single" w:color="000000" w:sz="4" w:space="0"/>
            </w:tcBorders>
          </w:tcPr>
          <w:p w14:paraId="7CF1A994">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p>
          <w:p w14:paraId="663E44E2">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r>
              <w:rPr>
                <w:rFonts w:hint="eastAsia" w:eastAsia="Times New Roman"/>
                <w:spacing w:val="-10"/>
                <w:lang w:eastAsia="zh-CN"/>
              </w:rPr>
              <w:t>15</w:t>
            </w:r>
          </w:p>
        </w:tc>
        <w:tc>
          <w:tcPr>
            <w:tcW w:w="742" w:type="dxa"/>
            <w:vMerge w:val="restart"/>
            <w:tcBorders>
              <w:top w:val="single" w:color="000000" w:sz="4" w:space="0"/>
              <w:left w:val="single" w:color="000000" w:sz="4" w:space="0"/>
              <w:bottom w:val="single" w:color="000000" w:sz="4" w:space="0"/>
              <w:right w:val="single" w:color="000000" w:sz="4" w:space="0"/>
            </w:tcBorders>
          </w:tcPr>
          <w:p w14:paraId="0843C337">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9"/>
              </w:rPr>
            </w:pPr>
          </w:p>
          <w:p w14:paraId="021B05AC">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9"/>
              </w:rPr>
            </w:pPr>
          </w:p>
          <w:p w14:paraId="68F958C4">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9"/>
              </w:rPr>
            </w:pPr>
          </w:p>
          <w:p w14:paraId="4535CD5F">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9"/>
              </w:rPr>
            </w:pPr>
          </w:p>
          <w:p w14:paraId="1DA54093">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spacing w:val="-9"/>
                <w:lang w:eastAsia="zh-CN"/>
              </w:rPr>
            </w:pPr>
            <w:r>
              <w:rPr>
                <w:rFonts w:hint="eastAsia" w:eastAsia="Times New Roman"/>
                <w:spacing w:val="-9"/>
                <w:lang w:eastAsia="zh-CN"/>
              </w:rPr>
              <w:t>人员</w:t>
            </w:r>
          </w:p>
          <w:p w14:paraId="446B48CD">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spacing w:val="-9"/>
                <w:lang w:eastAsia="zh-CN"/>
              </w:rPr>
            </w:pPr>
            <w:r>
              <w:rPr>
                <w:rFonts w:hint="eastAsia" w:eastAsia="Times New Roman"/>
                <w:spacing w:val="-9"/>
                <w:lang w:eastAsia="zh-CN"/>
              </w:rPr>
              <w:t>培训</w:t>
            </w:r>
          </w:p>
          <w:p w14:paraId="143AE8C9">
            <w:pPr>
              <w:pStyle w:val="26"/>
              <w:keepNext w:val="0"/>
              <w:keepLines w:val="0"/>
              <w:pageBreakBefore w:val="0"/>
              <w:widowControl w:val="0"/>
              <w:kinsoku/>
              <w:wordWrap/>
              <w:overflowPunct/>
              <w:topLinePunct w:val="0"/>
              <w:autoSpaceDE/>
              <w:autoSpaceDN/>
              <w:bidi w:val="0"/>
              <w:adjustRightInd/>
              <w:snapToGrid/>
              <w:spacing w:before="27" w:line="360" w:lineRule="exact"/>
              <w:jc w:val="center"/>
              <w:textAlignment w:val="auto"/>
              <w:rPr>
                <w:rFonts w:eastAsia="Times New Roman"/>
                <w:spacing w:val="-7"/>
                <w:lang w:eastAsia="zh-CN"/>
              </w:rPr>
            </w:pPr>
            <w:r>
              <w:rPr>
                <w:rFonts w:hint="eastAsia" w:eastAsia="Times New Roman"/>
                <w:spacing w:val="-7"/>
                <w:lang w:eastAsia="zh-CN"/>
              </w:rPr>
              <w:t>（10分）</w:t>
            </w:r>
          </w:p>
        </w:tc>
        <w:tc>
          <w:tcPr>
            <w:tcW w:w="750" w:type="dxa"/>
            <w:tcBorders>
              <w:top w:val="single" w:color="000000" w:sz="4" w:space="0"/>
              <w:left w:val="single" w:color="000000" w:sz="4" w:space="0"/>
              <w:bottom w:val="single" w:color="000000" w:sz="4" w:space="0"/>
              <w:right w:val="single" w:color="000000" w:sz="4" w:space="0"/>
            </w:tcBorders>
          </w:tcPr>
          <w:p w14:paraId="7E483089">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1922BF55">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岗前</w:t>
            </w:r>
          </w:p>
          <w:p w14:paraId="31FD9DB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培训</w:t>
            </w:r>
          </w:p>
        </w:tc>
        <w:tc>
          <w:tcPr>
            <w:tcW w:w="3788" w:type="dxa"/>
            <w:tcBorders>
              <w:top w:val="single" w:color="000000" w:sz="4" w:space="0"/>
              <w:left w:val="single" w:color="000000" w:sz="4" w:space="0"/>
              <w:bottom w:val="single" w:color="000000" w:sz="4" w:space="0"/>
              <w:right w:val="single" w:color="000000" w:sz="4" w:space="0"/>
            </w:tcBorders>
          </w:tcPr>
          <w:p w14:paraId="6D6A4B1B">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员工上岗前接受岗前培训（治安、 消防），并能独立操作，并有完整培训内容及记录存档，未有岗前培训记录的扣1分，每月扣完为止。（4分）</w:t>
            </w:r>
          </w:p>
        </w:tc>
        <w:tc>
          <w:tcPr>
            <w:tcW w:w="2490" w:type="dxa"/>
            <w:tcBorders>
              <w:top w:val="single" w:color="000000" w:sz="4" w:space="0"/>
              <w:left w:val="single" w:color="000000" w:sz="4" w:space="0"/>
              <w:bottom w:val="single" w:color="000000" w:sz="4" w:space="0"/>
              <w:right w:val="single" w:color="000000" w:sz="4" w:space="0"/>
            </w:tcBorders>
          </w:tcPr>
          <w:p w14:paraId="0DEF9916">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现场核查岗前培训台账，无台账的。</w:t>
            </w:r>
          </w:p>
        </w:tc>
        <w:tc>
          <w:tcPr>
            <w:tcW w:w="825" w:type="dxa"/>
            <w:tcBorders>
              <w:top w:val="single" w:color="000000" w:sz="4" w:space="0"/>
              <w:left w:val="single" w:color="000000" w:sz="4" w:space="0"/>
              <w:bottom w:val="single" w:color="000000" w:sz="4" w:space="0"/>
              <w:right w:val="single" w:color="000000" w:sz="4" w:space="0"/>
            </w:tcBorders>
          </w:tcPr>
          <w:p w14:paraId="7244A41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3420D76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0935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jc w:val="center"/>
        </w:trPr>
        <w:tc>
          <w:tcPr>
            <w:tcW w:w="625" w:type="dxa"/>
            <w:tcBorders>
              <w:top w:val="single" w:color="000000" w:sz="4" w:space="0"/>
              <w:left w:val="single" w:color="000000" w:sz="4" w:space="0"/>
              <w:bottom w:val="single" w:color="000000" w:sz="4" w:space="0"/>
              <w:right w:val="single" w:color="000000" w:sz="4" w:space="0"/>
            </w:tcBorders>
          </w:tcPr>
          <w:p w14:paraId="374D9F4D">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p>
          <w:p w14:paraId="431CEC9A">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r>
              <w:rPr>
                <w:rFonts w:hint="eastAsia" w:eastAsia="Times New Roman"/>
                <w:spacing w:val="-10"/>
                <w:lang w:eastAsia="zh-CN"/>
              </w:rPr>
              <w:t>16</w:t>
            </w:r>
          </w:p>
        </w:tc>
        <w:tc>
          <w:tcPr>
            <w:tcW w:w="742" w:type="dxa"/>
            <w:vMerge w:val="continue"/>
            <w:tcBorders>
              <w:top w:val="single" w:color="000000" w:sz="4" w:space="0"/>
              <w:left w:val="single" w:color="000000" w:sz="4" w:space="0"/>
              <w:bottom w:val="single" w:color="000000" w:sz="4" w:space="0"/>
              <w:right w:val="single" w:color="000000" w:sz="4" w:space="0"/>
            </w:tcBorders>
          </w:tcPr>
          <w:p w14:paraId="3259DD05">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tcPr>
          <w:p w14:paraId="3A7A64B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1E848865">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制度</w:t>
            </w:r>
          </w:p>
          <w:p w14:paraId="1227139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考核</w:t>
            </w:r>
          </w:p>
        </w:tc>
        <w:tc>
          <w:tcPr>
            <w:tcW w:w="3788" w:type="dxa"/>
            <w:tcBorders>
              <w:top w:val="single" w:color="000000" w:sz="4" w:space="0"/>
              <w:left w:val="single" w:color="000000" w:sz="4" w:space="0"/>
              <w:bottom w:val="single" w:color="000000" w:sz="4" w:space="0"/>
              <w:right w:val="single" w:color="000000" w:sz="4" w:space="0"/>
            </w:tcBorders>
          </w:tcPr>
          <w:p w14:paraId="1FB5C8C0">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每月一次常规安防技能和消防操作培训，并有完整培训内容及记录存档，未有培训记录的扣1分，（2分）</w:t>
            </w:r>
          </w:p>
        </w:tc>
        <w:tc>
          <w:tcPr>
            <w:tcW w:w="2490" w:type="dxa"/>
            <w:tcBorders>
              <w:top w:val="single" w:color="000000" w:sz="4" w:space="0"/>
              <w:left w:val="single" w:color="000000" w:sz="4" w:space="0"/>
              <w:bottom w:val="single" w:color="000000" w:sz="4" w:space="0"/>
              <w:right w:val="single" w:color="000000" w:sz="4" w:space="0"/>
            </w:tcBorders>
          </w:tcPr>
          <w:p w14:paraId="41E6BFEB">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现场核查岗前培训台账，无台账。</w:t>
            </w:r>
          </w:p>
        </w:tc>
        <w:tc>
          <w:tcPr>
            <w:tcW w:w="825" w:type="dxa"/>
            <w:tcBorders>
              <w:top w:val="single" w:color="000000" w:sz="4" w:space="0"/>
              <w:left w:val="single" w:color="000000" w:sz="4" w:space="0"/>
              <w:bottom w:val="single" w:color="000000" w:sz="4" w:space="0"/>
              <w:right w:val="single" w:color="000000" w:sz="4" w:space="0"/>
            </w:tcBorders>
          </w:tcPr>
          <w:p w14:paraId="748DAE2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5021C3B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0C31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25" w:type="dxa"/>
            <w:tcBorders>
              <w:top w:val="single" w:color="000000" w:sz="4" w:space="0"/>
              <w:left w:val="single" w:color="000000" w:sz="4" w:space="0"/>
              <w:bottom w:val="single" w:color="000000" w:sz="4" w:space="0"/>
              <w:right w:val="single" w:color="000000" w:sz="4" w:space="0"/>
            </w:tcBorders>
          </w:tcPr>
          <w:p w14:paraId="3DE0F9E7">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p>
          <w:p w14:paraId="37F81B00">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r>
              <w:rPr>
                <w:rFonts w:hint="eastAsia" w:eastAsia="Times New Roman"/>
                <w:spacing w:val="-10"/>
                <w:lang w:eastAsia="zh-CN"/>
              </w:rPr>
              <w:t>17</w:t>
            </w:r>
          </w:p>
        </w:tc>
        <w:tc>
          <w:tcPr>
            <w:tcW w:w="742" w:type="dxa"/>
            <w:vMerge w:val="continue"/>
            <w:tcBorders>
              <w:top w:val="single" w:color="000000" w:sz="4" w:space="0"/>
              <w:left w:val="single" w:color="000000" w:sz="4" w:space="0"/>
              <w:bottom w:val="single" w:color="000000" w:sz="4" w:space="0"/>
              <w:right w:val="single" w:color="000000" w:sz="4" w:space="0"/>
            </w:tcBorders>
          </w:tcPr>
          <w:p w14:paraId="3DC4A059">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tcPr>
          <w:p w14:paraId="4FD817C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71E084F5">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设备</w:t>
            </w:r>
          </w:p>
          <w:p w14:paraId="32D0489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使用</w:t>
            </w:r>
          </w:p>
        </w:tc>
        <w:tc>
          <w:tcPr>
            <w:tcW w:w="3788" w:type="dxa"/>
            <w:tcBorders>
              <w:top w:val="single" w:color="000000" w:sz="4" w:space="0"/>
              <w:left w:val="single" w:color="000000" w:sz="4" w:space="0"/>
              <w:bottom w:val="single" w:color="000000" w:sz="4" w:space="0"/>
              <w:right w:val="single" w:color="000000" w:sz="4" w:space="0"/>
            </w:tcBorders>
          </w:tcPr>
          <w:p w14:paraId="2DD75202">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按现场要求规范熟练使用对讲机、巡更棒等保安器具及设备，不熟练的发现1次扣1分。（2分）</w:t>
            </w:r>
          </w:p>
        </w:tc>
        <w:tc>
          <w:tcPr>
            <w:tcW w:w="2490" w:type="dxa"/>
            <w:tcBorders>
              <w:top w:val="single" w:color="000000" w:sz="4" w:space="0"/>
              <w:left w:val="single" w:color="000000" w:sz="4" w:space="0"/>
              <w:bottom w:val="single" w:color="000000" w:sz="4" w:space="0"/>
              <w:right w:val="single" w:color="000000" w:sz="4" w:space="0"/>
            </w:tcBorders>
          </w:tcPr>
          <w:p w14:paraId="229EF5D2">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现场抽查时人员不熟练的。</w:t>
            </w:r>
          </w:p>
        </w:tc>
        <w:tc>
          <w:tcPr>
            <w:tcW w:w="825" w:type="dxa"/>
            <w:tcBorders>
              <w:top w:val="single" w:color="000000" w:sz="4" w:space="0"/>
              <w:left w:val="single" w:color="000000" w:sz="4" w:space="0"/>
              <w:bottom w:val="single" w:color="000000" w:sz="4" w:space="0"/>
              <w:right w:val="single" w:color="000000" w:sz="4" w:space="0"/>
            </w:tcBorders>
          </w:tcPr>
          <w:p w14:paraId="7D4F6910">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0225CEA3">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17CA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Pr>
          <w:p w14:paraId="5ECC24EA">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5669948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18</w:t>
            </w:r>
          </w:p>
        </w:tc>
        <w:tc>
          <w:tcPr>
            <w:tcW w:w="742" w:type="dxa"/>
            <w:vMerge w:val="restart"/>
            <w:tcBorders>
              <w:top w:val="single" w:color="000000" w:sz="4" w:space="0"/>
              <w:left w:val="single" w:color="000000" w:sz="4" w:space="0"/>
              <w:right w:val="single" w:color="000000" w:sz="4" w:space="0"/>
            </w:tcBorders>
            <w:vAlign w:val="center"/>
          </w:tcPr>
          <w:p w14:paraId="182029F8">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r>
              <w:rPr>
                <w:rFonts w:hint="eastAsia" w:eastAsia="Times New Roman"/>
                <w:spacing w:val="9"/>
                <w:lang w:eastAsia="zh-CN"/>
              </w:rPr>
              <w:t>加分项（10分）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tcPr>
          <w:p w14:paraId="31A16FE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1FDD5061">
            <w:pPr>
              <w:pStyle w:val="26"/>
              <w:keepNext w:val="0"/>
              <w:keepLines w:val="0"/>
              <w:pageBreakBefore w:val="0"/>
              <w:widowControl w:val="0"/>
              <w:kinsoku/>
              <w:wordWrap/>
              <w:overflowPunct/>
              <w:topLinePunct w:val="0"/>
              <w:autoSpaceDE/>
              <w:autoSpaceDN/>
              <w:bidi w:val="0"/>
              <w:adjustRightInd/>
              <w:snapToGrid/>
              <w:spacing w:before="27" w:line="360" w:lineRule="exact"/>
              <w:ind w:left="210" w:leftChars="100" w:firstLine="0" w:firstLineChars="0"/>
              <w:textAlignment w:val="auto"/>
              <w:rPr>
                <w:rFonts w:eastAsia="Times New Roman"/>
                <w:spacing w:val="9"/>
                <w:lang w:eastAsia="zh-CN"/>
              </w:rPr>
            </w:pPr>
            <w:r>
              <w:rPr>
                <w:rFonts w:hint="eastAsia" w:eastAsia="Times New Roman"/>
                <w:spacing w:val="9"/>
                <w:lang w:eastAsia="zh-CN"/>
              </w:rPr>
              <w:t>隐患排查</w:t>
            </w:r>
          </w:p>
        </w:tc>
        <w:tc>
          <w:tcPr>
            <w:tcW w:w="3788" w:type="dxa"/>
            <w:tcBorders>
              <w:top w:val="single" w:color="000000" w:sz="4" w:space="0"/>
              <w:left w:val="single" w:color="000000" w:sz="4" w:space="0"/>
              <w:bottom w:val="single" w:color="000000" w:sz="4" w:space="0"/>
              <w:right w:val="single" w:color="000000" w:sz="4" w:space="0"/>
            </w:tcBorders>
            <w:shd w:val="clear" w:color="auto" w:fill="auto"/>
          </w:tcPr>
          <w:p w14:paraId="50C22590">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主动发现并报告安全生产隐患（如消防隐患、安防漏洞），并能提供有效性建议的，发现1处加1分，加完为止</w:t>
            </w:r>
            <w:r>
              <w:rPr>
                <w:rFonts w:eastAsia="Times New Roman"/>
                <w:spacing w:val="9"/>
                <w:lang w:eastAsia="zh-CN"/>
              </w:rPr>
              <w:t>。</w:t>
            </w:r>
            <w:r>
              <w:rPr>
                <w:rFonts w:hint="eastAsia" w:eastAsia="Times New Roman"/>
                <w:spacing w:val="9"/>
                <w:lang w:eastAsia="zh-CN"/>
              </w:rPr>
              <w:t>（4分）</w:t>
            </w:r>
          </w:p>
        </w:tc>
        <w:tc>
          <w:tcPr>
            <w:tcW w:w="2490" w:type="dxa"/>
            <w:tcBorders>
              <w:top w:val="single" w:color="000000" w:sz="4" w:space="0"/>
              <w:left w:val="single" w:color="000000" w:sz="4" w:space="0"/>
              <w:bottom w:val="single" w:color="000000" w:sz="4" w:space="0"/>
              <w:right w:val="single" w:color="000000" w:sz="4" w:space="0"/>
            </w:tcBorders>
            <w:shd w:val="clear" w:color="auto" w:fill="auto"/>
          </w:tcPr>
          <w:p w14:paraId="1DCD7A2C">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p>
          <w:p w14:paraId="394B8FA6">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现场核查后得到医院认可的。</w:t>
            </w:r>
          </w:p>
        </w:tc>
        <w:tc>
          <w:tcPr>
            <w:tcW w:w="825" w:type="dxa"/>
            <w:tcBorders>
              <w:top w:val="single" w:color="000000" w:sz="4" w:space="0"/>
              <w:left w:val="single" w:color="000000" w:sz="4" w:space="0"/>
              <w:bottom w:val="single" w:color="000000" w:sz="4" w:space="0"/>
              <w:right w:val="single" w:color="000000" w:sz="4" w:space="0"/>
            </w:tcBorders>
          </w:tcPr>
          <w:p w14:paraId="26FFA266">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60589EF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6CBB0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Pr>
          <w:p w14:paraId="3CA2FD3E">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p>
          <w:p w14:paraId="2F008B32">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r>
              <w:rPr>
                <w:rFonts w:hint="eastAsia" w:eastAsia="Times New Roman"/>
                <w:spacing w:val="-10"/>
                <w:lang w:eastAsia="zh-CN"/>
              </w:rPr>
              <w:t>19</w:t>
            </w:r>
          </w:p>
        </w:tc>
        <w:tc>
          <w:tcPr>
            <w:tcW w:w="742" w:type="dxa"/>
            <w:vMerge w:val="continue"/>
            <w:tcBorders>
              <w:left w:val="single" w:color="000000" w:sz="4" w:space="0"/>
              <w:right w:val="single" w:color="000000" w:sz="4" w:space="0"/>
            </w:tcBorders>
          </w:tcPr>
          <w:p w14:paraId="07EC0840">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Pr>
          <w:p w14:paraId="7A76520A">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5D401A6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工作</w:t>
            </w:r>
          </w:p>
          <w:p w14:paraId="6CAD61C4">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负责</w:t>
            </w:r>
          </w:p>
        </w:tc>
        <w:tc>
          <w:tcPr>
            <w:tcW w:w="3788" w:type="dxa"/>
            <w:tcBorders>
              <w:top w:val="single" w:color="000000" w:sz="4" w:space="0"/>
              <w:left w:val="single" w:color="000000" w:sz="4" w:space="0"/>
              <w:bottom w:val="single" w:color="000000" w:sz="4" w:space="0"/>
              <w:right w:val="single" w:color="000000" w:sz="4" w:space="0"/>
            </w:tcBorders>
            <w:shd w:val="clear" w:color="auto" w:fill="auto"/>
          </w:tcPr>
          <w:p w14:paraId="12239658">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收到医务人员或患者的书面或口头表扬的（如主动帮助患者、态度友善得到认可）</w:t>
            </w:r>
            <w:r>
              <w:rPr>
                <w:rFonts w:eastAsia="Times New Roman"/>
                <w:spacing w:val="9"/>
                <w:lang w:eastAsia="zh-CN"/>
              </w:rPr>
              <w:t>，</w:t>
            </w:r>
            <w:r>
              <w:rPr>
                <w:rFonts w:hint="eastAsia" w:eastAsia="Times New Roman"/>
                <w:spacing w:val="9"/>
                <w:lang w:eastAsia="zh-CN"/>
              </w:rPr>
              <w:t>收到1次加1分，加完为止。（3分）</w:t>
            </w:r>
          </w:p>
        </w:tc>
        <w:tc>
          <w:tcPr>
            <w:tcW w:w="2490" w:type="dxa"/>
            <w:tcBorders>
              <w:top w:val="single" w:color="000000" w:sz="4" w:space="0"/>
              <w:left w:val="single" w:color="000000" w:sz="4" w:space="0"/>
              <w:bottom w:val="single" w:color="000000" w:sz="4" w:space="0"/>
              <w:right w:val="single" w:color="000000" w:sz="4" w:space="0"/>
            </w:tcBorders>
            <w:shd w:val="clear" w:color="auto" w:fill="auto"/>
          </w:tcPr>
          <w:p w14:paraId="76FE35D2">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p>
          <w:p w14:paraId="245B1D55">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现场核查后得到医院认可的。</w:t>
            </w:r>
          </w:p>
        </w:tc>
        <w:tc>
          <w:tcPr>
            <w:tcW w:w="825" w:type="dxa"/>
            <w:tcBorders>
              <w:top w:val="single" w:color="000000" w:sz="4" w:space="0"/>
              <w:left w:val="single" w:color="000000" w:sz="4" w:space="0"/>
              <w:bottom w:val="single" w:color="000000" w:sz="4" w:space="0"/>
              <w:right w:val="single" w:color="000000" w:sz="4" w:space="0"/>
            </w:tcBorders>
          </w:tcPr>
          <w:p w14:paraId="39CF8B8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6B8EFA48">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653D0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cPr>
          <w:p w14:paraId="7B84C171">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p>
          <w:p w14:paraId="362B1B95">
            <w:pPr>
              <w:pStyle w:val="26"/>
              <w:keepNext w:val="0"/>
              <w:keepLines w:val="0"/>
              <w:pageBreakBefore w:val="0"/>
              <w:widowControl w:val="0"/>
              <w:kinsoku/>
              <w:wordWrap/>
              <w:overflowPunct/>
              <w:topLinePunct w:val="0"/>
              <w:autoSpaceDE/>
              <w:autoSpaceDN/>
              <w:bidi w:val="0"/>
              <w:adjustRightInd/>
              <w:snapToGrid/>
              <w:spacing w:before="35" w:line="360" w:lineRule="exact"/>
              <w:ind w:left="161"/>
              <w:textAlignment w:val="auto"/>
              <w:rPr>
                <w:rFonts w:eastAsia="Times New Roman"/>
                <w:spacing w:val="-10"/>
                <w:lang w:eastAsia="zh-CN"/>
              </w:rPr>
            </w:pPr>
            <w:r>
              <w:rPr>
                <w:rFonts w:hint="eastAsia" w:eastAsia="Times New Roman"/>
                <w:spacing w:val="-10"/>
                <w:lang w:eastAsia="zh-CN"/>
              </w:rPr>
              <w:t>20</w:t>
            </w:r>
          </w:p>
        </w:tc>
        <w:tc>
          <w:tcPr>
            <w:tcW w:w="742" w:type="dxa"/>
            <w:vMerge w:val="continue"/>
            <w:tcBorders>
              <w:left w:val="single" w:color="000000" w:sz="4" w:space="0"/>
              <w:bottom w:val="single" w:color="000000" w:sz="4" w:space="0"/>
              <w:right w:val="single" w:color="000000" w:sz="4" w:space="0"/>
            </w:tcBorders>
          </w:tcPr>
          <w:p w14:paraId="38A09B37">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Pr>
          <w:p w14:paraId="39050E3F">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5CC535CF">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p w14:paraId="5C1F07D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主动</w:t>
            </w:r>
          </w:p>
          <w:p w14:paraId="10848432">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r>
              <w:rPr>
                <w:rFonts w:hint="eastAsia" w:eastAsia="Times New Roman"/>
                <w:spacing w:val="9"/>
                <w:lang w:eastAsia="zh-CN"/>
              </w:rPr>
              <w:t>配合</w:t>
            </w:r>
          </w:p>
        </w:tc>
        <w:tc>
          <w:tcPr>
            <w:tcW w:w="3788" w:type="dxa"/>
            <w:tcBorders>
              <w:top w:val="single" w:color="000000" w:sz="4" w:space="0"/>
              <w:left w:val="single" w:color="000000" w:sz="4" w:space="0"/>
              <w:bottom w:val="single" w:color="000000" w:sz="4" w:space="0"/>
              <w:right w:val="single" w:color="000000" w:sz="4" w:space="0"/>
            </w:tcBorders>
            <w:shd w:val="clear" w:color="auto" w:fill="auto"/>
          </w:tcPr>
          <w:p w14:paraId="06CF07FD">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协助医院完成紧急任务或上级部门检查室配合良好，使得医院工作得到扎实推进的，有1次加1分。加完为止。（3分）</w:t>
            </w:r>
          </w:p>
        </w:tc>
        <w:tc>
          <w:tcPr>
            <w:tcW w:w="2490" w:type="dxa"/>
            <w:tcBorders>
              <w:top w:val="single" w:color="000000" w:sz="4" w:space="0"/>
              <w:left w:val="single" w:color="000000" w:sz="4" w:space="0"/>
              <w:bottom w:val="single" w:color="000000" w:sz="4" w:space="0"/>
              <w:right w:val="single" w:color="000000" w:sz="4" w:space="0"/>
            </w:tcBorders>
            <w:shd w:val="clear" w:color="auto" w:fill="auto"/>
          </w:tcPr>
          <w:p w14:paraId="122FBD40">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p>
          <w:p w14:paraId="7467C450">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r>
              <w:rPr>
                <w:rFonts w:hint="eastAsia" w:eastAsia="Times New Roman"/>
                <w:spacing w:val="9"/>
                <w:lang w:eastAsia="zh-CN"/>
              </w:rPr>
              <w:t>现场核查后得到医院认可的</w:t>
            </w:r>
          </w:p>
        </w:tc>
        <w:tc>
          <w:tcPr>
            <w:tcW w:w="825" w:type="dxa"/>
            <w:tcBorders>
              <w:top w:val="single" w:color="000000" w:sz="4" w:space="0"/>
              <w:left w:val="single" w:color="000000" w:sz="4" w:space="0"/>
              <w:bottom w:val="single" w:color="000000" w:sz="4" w:space="0"/>
              <w:right w:val="single" w:color="000000" w:sz="4" w:space="0"/>
            </w:tcBorders>
          </w:tcPr>
          <w:p w14:paraId="1A272D86">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5E9A1F6B">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7678E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extDirection w:val="tbRlV"/>
          </w:tcPr>
          <w:p w14:paraId="66F2481F">
            <w:pPr>
              <w:pStyle w:val="26"/>
              <w:keepNext w:val="0"/>
              <w:keepLines w:val="0"/>
              <w:pageBreakBefore w:val="0"/>
              <w:widowControl w:val="0"/>
              <w:kinsoku/>
              <w:wordWrap/>
              <w:overflowPunct/>
              <w:topLinePunct w:val="0"/>
              <w:autoSpaceDE/>
              <w:autoSpaceDN/>
              <w:bidi w:val="0"/>
              <w:adjustRightInd/>
              <w:snapToGrid/>
              <w:spacing w:before="35" w:line="360" w:lineRule="exact"/>
              <w:textAlignment w:val="auto"/>
              <w:rPr>
                <w:rFonts w:eastAsia="Times New Roman"/>
                <w:spacing w:val="-10"/>
                <w:lang w:eastAsia="zh-CN"/>
              </w:rPr>
            </w:pPr>
            <w:r>
              <w:rPr>
                <w:rFonts w:eastAsia="Times New Roman"/>
                <w:spacing w:val="-10"/>
                <w:lang w:eastAsia="zh-CN"/>
              </w:rPr>
              <w:t>总 分</w:t>
            </w:r>
          </w:p>
        </w:tc>
        <w:tc>
          <w:tcPr>
            <w:tcW w:w="742" w:type="dxa"/>
            <w:tcBorders>
              <w:top w:val="single" w:color="000000" w:sz="4" w:space="0"/>
              <w:left w:val="single" w:color="000000" w:sz="4" w:space="0"/>
              <w:bottom w:val="single" w:color="000000" w:sz="4" w:space="0"/>
              <w:right w:val="single" w:color="000000" w:sz="4" w:space="0"/>
            </w:tcBorders>
          </w:tcPr>
          <w:p w14:paraId="1231A8A3">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tcPr>
          <w:p w14:paraId="6F98523E">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3788" w:type="dxa"/>
            <w:tcBorders>
              <w:top w:val="single" w:color="000000" w:sz="4" w:space="0"/>
              <w:left w:val="single" w:color="000000" w:sz="4" w:space="0"/>
              <w:bottom w:val="single" w:color="000000" w:sz="4" w:space="0"/>
              <w:right w:val="single" w:color="000000" w:sz="4" w:space="0"/>
            </w:tcBorders>
          </w:tcPr>
          <w:p w14:paraId="7E21B320">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p>
        </w:tc>
        <w:tc>
          <w:tcPr>
            <w:tcW w:w="2490" w:type="dxa"/>
            <w:tcBorders>
              <w:top w:val="single" w:color="000000" w:sz="4" w:space="0"/>
              <w:left w:val="single" w:color="000000" w:sz="4" w:space="0"/>
              <w:bottom w:val="single" w:color="000000" w:sz="4" w:space="0"/>
              <w:right w:val="single" w:color="000000" w:sz="4" w:space="0"/>
            </w:tcBorders>
          </w:tcPr>
          <w:p w14:paraId="246BAA91">
            <w:pPr>
              <w:pStyle w:val="26"/>
              <w:keepNext w:val="0"/>
              <w:keepLines w:val="0"/>
              <w:pageBreakBefore w:val="0"/>
              <w:widowControl w:val="0"/>
              <w:kinsoku/>
              <w:wordWrap/>
              <w:overflowPunct/>
              <w:topLinePunct w:val="0"/>
              <w:autoSpaceDE/>
              <w:autoSpaceDN/>
              <w:bidi w:val="0"/>
              <w:adjustRightInd/>
              <w:snapToGrid/>
              <w:spacing w:before="27" w:line="360" w:lineRule="exact"/>
              <w:jc w:val="both"/>
              <w:textAlignment w:val="auto"/>
              <w:rPr>
                <w:rFonts w:eastAsia="Times New Roman"/>
                <w:spacing w:val="9"/>
                <w:lang w:eastAsia="zh-CN"/>
              </w:rPr>
            </w:pPr>
          </w:p>
        </w:tc>
        <w:tc>
          <w:tcPr>
            <w:tcW w:w="825" w:type="dxa"/>
            <w:tcBorders>
              <w:top w:val="single" w:color="000000" w:sz="4" w:space="0"/>
              <w:left w:val="single" w:color="000000" w:sz="4" w:space="0"/>
              <w:bottom w:val="single" w:color="000000" w:sz="4" w:space="0"/>
              <w:right w:val="single" w:color="000000" w:sz="4" w:space="0"/>
            </w:tcBorders>
          </w:tcPr>
          <w:p w14:paraId="536F3D7C">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4C562224">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1FE3B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extDirection w:val="tbRlV"/>
          </w:tcPr>
          <w:p w14:paraId="1E5BE360">
            <w:pPr>
              <w:pStyle w:val="26"/>
              <w:keepNext w:val="0"/>
              <w:keepLines w:val="0"/>
              <w:pageBreakBefore w:val="0"/>
              <w:widowControl w:val="0"/>
              <w:kinsoku/>
              <w:wordWrap/>
              <w:overflowPunct/>
              <w:topLinePunct w:val="0"/>
              <w:autoSpaceDE/>
              <w:autoSpaceDN/>
              <w:bidi w:val="0"/>
              <w:adjustRightInd/>
              <w:snapToGrid/>
              <w:spacing w:before="127" w:line="360" w:lineRule="exact"/>
              <w:ind w:left="35"/>
              <w:jc w:val="center"/>
              <w:textAlignment w:val="auto"/>
              <w:rPr>
                <w:rFonts w:eastAsia="Times New Roman"/>
                <w:lang w:eastAsia="zh-CN"/>
              </w:rPr>
            </w:pPr>
            <w:r>
              <w:rPr>
                <w:rFonts w:eastAsia="Times New Roman"/>
                <w:spacing w:val="32"/>
                <w:position w:val="1"/>
              </w:rPr>
              <w:t>日</w:t>
            </w:r>
            <w:r>
              <w:rPr>
                <w:rFonts w:eastAsia="Times New Roman"/>
                <w:spacing w:val="32"/>
              </w:rPr>
              <w:t>期</w:t>
            </w:r>
          </w:p>
        </w:tc>
        <w:tc>
          <w:tcPr>
            <w:tcW w:w="742" w:type="dxa"/>
            <w:tcBorders>
              <w:top w:val="single" w:color="000000" w:sz="4" w:space="0"/>
              <w:left w:val="single" w:color="000000" w:sz="4" w:space="0"/>
              <w:bottom w:val="single" w:color="000000" w:sz="4" w:space="0"/>
              <w:right w:val="single" w:color="000000" w:sz="4" w:space="0"/>
            </w:tcBorders>
          </w:tcPr>
          <w:p w14:paraId="7F22EC5D">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tcPr>
          <w:p w14:paraId="2442A103">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3788" w:type="dxa"/>
            <w:tcBorders>
              <w:top w:val="single" w:color="000000" w:sz="4" w:space="0"/>
              <w:left w:val="single" w:color="000000" w:sz="4" w:space="0"/>
              <w:bottom w:val="single" w:color="000000" w:sz="4" w:space="0"/>
              <w:right w:val="single" w:color="000000" w:sz="4" w:space="0"/>
            </w:tcBorders>
            <w:shd w:val="clear" w:color="auto" w:fill="auto"/>
          </w:tcPr>
          <w:p w14:paraId="4EED5723">
            <w:pPr>
              <w:pStyle w:val="26"/>
              <w:keepNext w:val="0"/>
              <w:keepLines w:val="0"/>
              <w:pageBreakBefore w:val="0"/>
              <w:widowControl w:val="0"/>
              <w:kinsoku/>
              <w:wordWrap/>
              <w:overflowPunct/>
              <w:topLinePunct w:val="0"/>
              <w:autoSpaceDE/>
              <w:autoSpaceDN/>
              <w:bidi w:val="0"/>
              <w:adjustRightInd/>
              <w:snapToGrid/>
              <w:spacing w:before="35" w:line="360" w:lineRule="exact"/>
              <w:ind w:left="111"/>
              <w:jc w:val="both"/>
              <w:textAlignment w:val="auto"/>
              <w:rPr>
                <w:rFonts w:eastAsia="Times New Roman"/>
                <w:spacing w:val="-2"/>
              </w:rPr>
            </w:pPr>
          </w:p>
          <w:p w14:paraId="176C6A21">
            <w:pPr>
              <w:pStyle w:val="26"/>
              <w:keepNext w:val="0"/>
              <w:keepLines w:val="0"/>
              <w:pageBreakBefore w:val="0"/>
              <w:widowControl w:val="0"/>
              <w:kinsoku/>
              <w:wordWrap/>
              <w:overflowPunct/>
              <w:topLinePunct w:val="0"/>
              <w:autoSpaceDE/>
              <w:autoSpaceDN/>
              <w:bidi w:val="0"/>
              <w:adjustRightInd/>
              <w:snapToGrid/>
              <w:spacing w:before="35" w:line="360" w:lineRule="exact"/>
              <w:jc w:val="both"/>
              <w:textAlignment w:val="auto"/>
              <w:rPr>
                <w:rFonts w:eastAsia="Times New Roman"/>
              </w:rPr>
            </w:pPr>
            <w:r>
              <w:rPr>
                <w:rFonts w:eastAsia="Times New Roman"/>
                <w:spacing w:val="-2"/>
              </w:rPr>
              <w:t>考核意见：</w:t>
            </w:r>
          </w:p>
          <w:p w14:paraId="0EAA54EE">
            <w:pPr>
              <w:pStyle w:val="26"/>
              <w:keepNext w:val="0"/>
              <w:keepLines w:val="0"/>
              <w:pageBreakBefore w:val="0"/>
              <w:widowControl w:val="0"/>
              <w:kinsoku/>
              <w:wordWrap/>
              <w:overflowPunct/>
              <w:topLinePunct w:val="0"/>
              <w:autoSpaceDE/>
              <w:autoSpaceDN/>
              <w:bidi w:val="0"/>
              <w:adjustRightInd/>
              <w:snapToGrid/>
              <w:spacing w:before="21" w:line="360" w:lineRule="exact"/>
              <w:jc w:val="both"/>
              <w:textAlignment w:val="auto"/>
              <w:rPr>
                <w:rFonts w:eastAsia="Times New Roman"/>
                <w:lang w:eastAsia="zh-CN"/>
              </w:rPr>
            </w:pPr>
            <w:r>
              <w:rPr>
                <w:rFonts w:eastAsia="Times New Roman"/>
                <w:spacing w:val="-3"/>
              </w:rPr>
              <w:t>考核人：</w:t>
            </w:r>
          </w:p>
        </w:tc>
        <w:tc>
          <w:tcPr>
            <w:tcW w:w="2490" w:type="dxa"/>
            <w:tcBorders>
              <w:top w:val="single" w:color="000000" w:sz="4" w:space="0"/>
              <w:left w:val="single" w:color="000000" w:sz="4" w:space="0"/>
              <w:bottom w:val="single" w:color="000000" w:sz="4" w:space="0"/>
              <w:right w:val="single" w:color="000000" w:sz="4" w:space="0"/>
            </w:tcBorders>
            <w:shd w:val="clear" w:color="auto" w:fill="auto"/>
          </w:tcPr>
          <w:p w14:paraId="74DE2DC5">
            <w:pPr>
              <w:pStyle w:val="26"/>
              <w:keepNext w:val="0"/>
              <w:keepLines w:val="0"/>
              <w:pageBreakBefore w:val="0"/>
              <w:widowControl w:val="0"/>
              <w:kinsoku/>
              <w:wordWrap/>
              <w:overflowPunct/>
              <w:topLinePunct w:val="0"/>
              <w:autoSpaceDE/>
              <w:autoSpaceDN/>
              <w:bidi w:val="0"/>
              <w:adjustRightInd/>
              <w:snapToGrid/>
              <w:spacing w:before="20" w:line="360" w:lineRule="exact"/>
              <w:ind w:left="165"/>
              <w:jc w:val="both"/>
              <w:textAlignment w:val="auto"/>
              <w:rPr>
                <w:rFonts w:eastAsia="Times New Roman"/>
                <w:spacing w:val="-2"/>
                <w:lang w:eastAsia="zh-CN"/>
              </w:rPr>
            </w:pPr>
          </w:p>
          <w:p w14:paraId="7EBAE829">
            <w:pPr>
              <w:pStyle w:val="26"/>
              <w:keepNext w:val="0"/>
              <w:keepLines w:val="0"/>
              <w:pageBreakBefore w:val="0"/>
              <w:widowControl w:val="0"/>
              <w:kinsoku/>
              <w:wordWrap/>
              <w:overflowPunct/>
              <w:topLinePunct w:val="0"/>
              <w:autoSpaceDE/>
              <w:autoSpaceDN/>
              <w:bidi w:val="0"/>
              <w:adjustRightInd/>
              <w:snapToGrid/>
              <w:spacing w:before="20" w:line="360" w:lineRule="exact"/>
              <w:ind w:left="165"/>
              <w:jc w:val="both"/>
              <w:textAlignment w:val="auto"/>
              <w:rPr>
                <w:rFonts w:eastAsia="Times New Roman"/>
                <w:spacing w:val="-2"/>
                <w:lang w:eastAsia="zh-CN"/>
              </w:rPr>
            </w:pPr>
          </w:p>
          <w:p w14:paraId="3F5B9D23">
            <w:pPr>
              <w:pStyle w:val="26"/>
              <w:keepNext w:val="0"/>
              <w:keepLines w:val="0"/>
              <w:pageBreakBefore w:val="0"/>
              <w:widowControl w:val="0"/>
              <w:kinsoku/>
              <w:wordWrap/>
              <w:overflowPunct/>
              <w:topLinePunct w:val="0"/>
              <w:autoSpaceDE/>
              <w:autoSpaceDN/>
              <w:bidi w:val="0"/>
              <w:adjustRightInd/>
              <w:snapToGrid/>
              <w:spacing w:before="20" w:line="360" w:lineRule="exact"/>
              <w:ind w:left="165"/>
              <w:jc w:val="both"/>
              <w:textAlignment w:val="auto"/>
              <w:rPr>
                <w:rFonts w:eastAsia="Times New Roman"/>
                <w:lang w:eastAsia="zh-CN"/>
              </w:rPr>
            </w:pPr>
            <w:r>
              <w:rPr>
                <w:rFonts w:hint="eastAsia" w:eastAsia="Times New Roman"/>
                <w:spacing w:val="-2"/>
                <w:lang w:eastAsia="zh-CN"/>
              </w:rPr>
              <w:t>后勤保障科主任</w:t>
            </w:r>
            <w:r>
              <w:rPr>
                <w:rFonts w:eastAsia="Times New Roman"/>
                <w:spacing w:val="-2"/>
                <w:lang w:eastAsia="zh-CN"/>
              </w:rPr>
              <w:t>签</w:t>
            </w:r>
            <w:r>
              <w:rPr>
                <w:rFonts w:eastAsia="Times New Roman"/>
                <w:spacing w:val="-5"/>
                <w:lang w:eastAsia="zh-CN"/>
              </w:rPr>
              <w:t>字：</w:t>
            </w:r>
          </w:p>
        </w:tc>
        <w:tc>
          <w:tcPr>
            <w:tcW w:w="825" w:type="dxa"/>
            <w:tcBorders>
              <w:top w:val="single" w:color="000000" w:sz="4" w:space="0"/>
              <w:left w:val="single" w:color="000000" w:sz="4" w:space="0"/>
              <w:bottom w:val="single" w:color="000000" w:sz="4" w:space="0"/>
              <w:right w:val="single" w:color="000000" w:sz="4" w:space="0"/>
            </w:tcBorders>
          </w:tcPr>
          <w:p w14:paraId="22AE778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0B6FCF87">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r w14:paraId="0F27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textDirection w:val="tbRlV"/>
          </w:tcPr>
          <w:p w14:paraId="212223CB">
            <w:pPr>
              <w:pStyle w:val="26"/>
              <w:keepNext w:val="0"/>
              <w:keepLines w:val="0"/>
              <w:pageBreakBefore w:val="0"/>
              <w:widowControl w:val="0"/>
              <w:kinsoku/>
              <w:wordWrap/>
              <w:overflowPunct/>
              <w:topLinePunct w:val="0"/>
              <w:autoSpaceDE/>
              <w:autoSpaceDN/>
              <w:bidi w:val="0"/>
              <w:adjustRightInd/>
              <w:snapToGrid/>
              <w:spacing w:before="127" w:line="360" w:lineRule="exact"/>
              <w:ind w:left="34"/>
              <w:jc w:val="center"/>
              <w:textAlignment w:val="auto"/>
              <w:rPr>
                <w:rFonts w:eastAsia="Times New Roman"/>
                <w:lang w:eastAsia="zh-CN"/>
              </w:rPr>
            </w:pPr>
            <w:r>
              <w:rPr>
                <w:rFonts w:eastAsia="Times New Roman"/>
                <w:spacing w:val="33"/>
                <w:position w:val="1"/>
              </w:rPr>
              <w:t>日</w:t>
            </w:r>
            <w:r>
              <w:rPr>
                <w:rFonts w:eastAsia="Times New Roman"/>
                <w:spacing w:val="33"/>
              </w:rPr>
              <w:t>期</w:t>
            </w:r>
          </w:p>
        </w:tc>
        <w:tc>
          <w:tcPr>
            <w:tcW w:w="742" w:type="dxa"/>
            <w:tcBorders>
              <w:top w:val="single" w:color="000000" w:sz="4" w:space="0"/>
              <w:left w:val="single" w:color="000000" w:sz="4" w:space="0"/>
              <w:bottom w:val="single" w:color="000000" w:sz="4" w:space="0"/>
              <w:right w:val="single" w:color="000000" w:sz="4" w:space="0"/>
            </w:tcBorders>
          </w:tcPr>
          <w:p w14:paraId="0D1200FE">
            <w:pPr>
              <w:pStyle w:val="26"/>
              <w:keepNext w:val="0"/>
              <w:keepLines w:val="0"/>
              <w:pageBreakBefore w:val="0"/>
              <w:widowControl w:val="0"/>
              <w:kinsoku/>
              <w:wordWrap/>
              <w:overflowPunct/>
              <w:topLinePunct w:val="0"/>
              <w:autoSpaceDE/>
              <w:autoSpaceDN/>
              <w:bidi w:val="0"/>
              <w:adjustRightInd/>
              <w:snapToGrid/>
              <w:spacing w:before="27" w:line="360" w:lineRule="exact"/>
              <w:ind w:left="170"/>
              <w:jc w:val="center"/>
              <w:textAlignment w:val="auto"/>
              <w:rPr>
                <w:rFonts w:eastAsia="Times New Roman"/>
                <w:spacing w:val="-7"/>
              </w:rPr>
            </w:pPr>
          </w:p>
        </w:tc>
        <w:tc>
          <w:tcPr>
            <w:tcW w:w="750" w:type="dxa"/>
            <w:tcBorders>
              <w:top w:val="single" w:color="000000" w:sz="4" w:space="0"/>
              <w:left w:val="single" w:color="000000" w:sz="4" w:space="0"/>
              <w:bottom w:val="single" w:color="000000" w:sz="4" w:space="0"/>
              <w:right w:val="single" w:color="000000" w:sz="4" w:space="0"/>
            </w:tcBorders>
          </w:tcPr>
          <w:p w14:paraId="27F52843">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3788" w:type="dxa"/>
            <w:tcBorders>
              <w:top w:val="single" w:color="000000" w:sz="4" w:space="0"/>
              <w:left w:val="single" w:color="000000" w:sz="4" w:space="0"/>
              <w:bottom w:val="single" w:color="000000" w:sz="4" w:space="0"/>
              <w:right w:val="single" w:color="000000" w:sz="4" w:space="0"/>
            </w:tcBorders>
            <w:shd w:val="clear" w:color="auto" w:fill="auto"/>
          </w:tcPr>
          <w:p w14:paraId="2451F8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Arial" w:hAnsi="Calibri" w:eastAsia="Times New Roman"/>
                <w:szCs w:val="21"/>
                <w:lang w:eastAsia="en-US"/>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tcPr>
          <w:p w14:paraId="14022949">
            <w:pPr>
              <w:pStyle w:val="26"/>
              <w:keepNext w:val="0"/>
              <w:keepLines w:val="0"/>
              <w:pageBreakBefore w:val="0"/>
              <w:widowControl w:val="0"/>
              <w:kinsoku/>
              <w:wordWrap/>
              <w:overflowPunct/>
              <w:topLinePunct w:val="0"/>
              <w:autoSpaceDE/>
              <w:autoSpaceDN/>
              <w:bidi w:val="0"/>
              <w:adjustRightInd/>
              <w:snapToGrid/>
              <w:spacing w:before="34" w:line="360" w:lineRule="exact"/>
              <w:ind w:left="165"/>
              <w:jc w:val="both"/>
              <w:textAlignment w:val="auto"/>
              <w:rPr>
                <w:rFonts w:eastAsia="Times New Roman"/>
                <w:spacing w:val="-2"/>
              </w:rPr>
            </w:pPr>
          </w:p>
          <w:p w14:paraId="1BA05A91">
            <w:pPr>
              <w:pStyle w:val="26"/>
              <w:keepNext w:val="0"/>
              <w:keepLines w:val="0"/>
              <w:pageBreakBefore w:val="0"/>
              <w:widowControl w:val="0"/>
              <w:kinsoku/>
              <w:wordWrap/>
              <w:overflowPunct/>
              <w:topLinePunct w:val="0"/>
              <w:autoSpaceDE/>
              <w:autoSpaceDN/>
              <w:bidi w:val="0"/>
              <w:adjustRightInd/>
              <w:snapToGrid/>
              <w:spacing w:before="34" w:line="360" w:lineRule="exact"/>
              <w:ind w:left="165"/>
              <w:jc w:val="both"/>
              <w:textAlignment w:val="auto"/>
              <w:rPr>
                <w:rFonts w:eastAsia="Times New Roman"/>
                <w:lang w:eastAsia="zh-CN"/>
              </w:rPr>
            </w:pPr>
            <w:r>
              <w:rPr>
                <w:rFonts w:hint="eastAsia" w:eastAsia="Times New Roman"/>
                <w:spacing w:val="-2"/>
                <w:lang w:eastAsia="zh-CN"/>
              </w:rPr>
              <w:t>医院</w:t>
            </w:r>
            <w:r>
              <w:rPr>
                <w:rFonts w:eastAsia="Times New Roman"/>
                <w:spacing w:val="-2"/>
              </w:rPr>
              <w:t>负责人</w:t>
            </w:r>
            <w:r>
              <w:rPr>
                <w:rFonts w:eastAsia="Times New Roman"/>
                <w:spacing w:val="-4"/>
              </w:rPr>
              <w:t>签字</w:t>
            </w:r>
            <w:r>
              <w:rPr>
                <w:rFonts w:hint="eastAsia" w:eastAsia="Times New Roman"/>
                <w:spacing w:val="-4"/>
                <w:lang w:eastAsia="zh-CN"/>
              </w:rPr>
              <w:t>：</w:t>
            </w:r>
          </w:p>
        </w:tc>
        <w:tc>
          <w:tcPr>
            <w:tcW w:w="825" w:type="dxa"/>
            <w:tcBorders>
              <w:top w:val="single" w:color="000000" w:sz="4" w:space="0"/>
              <w:left w:val="single" w:color="000000" w:sz="4" w:space="0"/>
              <w:bottom w:val="single" w:color="000000" w:sz="4" w:space="0"/>
              <w:right w:val="single" w:color="000000" w:sz="4" w:space="0"/>
            </w:tcBorders>
          </w:tcPr>
          <w:p w14:paraId="02B29C2D">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c>
          <w:tcPr>
            <w:tcW w:w="780" w:type="dxa"/>
            <w:tcBorders>
              <w:top w:val="single" w:color="000000" w:sz="4" w:space="0"/>
              <w:left w:val="single" w:color="000000" w:sz="4" w:space="0"/>
              <w:bottom w:val="single" w:color="000000" w:sz="4" w:space="0"/>
              <w:right w:val="single" w:color="000000" w:sz="4" w:space="0"/>
            </w:tcBorders>
          </w:tcPr>
          <w:p w14:paraId="76B5E424">
            <w:pPr>
              <w:pStyle w:val="26"/>
              <w:keepNext w:val="0"/>
              <w:keepLines w:val="0"/>
              <w:pageBreakBefore w:val="0"/>
              <w:widowControl w:val="0"/>
              <w:kinsoku/>
              <w:wordWrap/>
              <w:overflowPunct/>
              <w:topLinePunct w:val="0"/>
              <w:autoSpaceDE/>
              <w:autoSpaceDN/>
              <w:bidi w:val="0"/>
              <w:adjustRightInd/>
              <w:snapToGrid/>
              <w:spacing w:before="27" w:line="360" w:lineRule="exact"/>
              <w:ind w:left="170"/>
              <w:textAlignment w:val="auto"/>
              <w:rPr>
                <w:rFonts w:eastAsia="Times New Roman"/>
                <w:spacing w:val="9"/>
                <w:lang w:eastAsia="zh-CN"/>
              </w:rPr>
            </w:pPr>
          </w:p>
        </w:tc>
      </w:tr>
    </w:tbl>
    <w:p w14:paraId="3BD6967B">
      <w:pPr>
        <w:pStyle w:val="8"/>
        <w:spacing w:line="324" w:lineRule="auto"/>
        <w:rPr>
          <w:szCs w:val="21"/>
        </w:rPr>
      </w:pPr>
    </w:p>
    <w:p w14:paraId="34117E24">
      <w:pPr>
        <w:spacing w:line="324" w:lineRule="auto"/>
        <w:rPr>
          <w:szCs w:val="21"/>
        </w:rPr>
        <w:sectPr>
          <w:footerReference r:id="rId5" w:type="default"/>
          <w:pgSz w:w="11910" w:h="16840"/>
          <w:pgMar w:top="1440" w:right="1080" w:bottom="1440" w:left="1080" w:header="698" w:footer="912" w:gutter="0"/>
          <w:pgNumType w:fmt="decimal"/>
          <w:cols w:space="720" w:num="1"/>
        </w:sectPr>
      </w:pPr>
    </w:p>
    <w:p w14:paraId="7D1B3CFE">
      <w:pPr>
        <w:pStyle w:val="8"/>
        <w:jc w:val="left"/>
        <w:rPr>
          <w:rFonts w:hint="default" w:ascii="宋体" w:hAnsi="宋体" w:cs="宋体"/>
          <w:b/>
          <w:bCs/>
          <w:snapToGrid w:val="0"/>
          <w:color w:val="000000"/>
          <w:spacing w:val="6"/>
          <w:kern w:val="0"/>
          <w:sz w:val="31"/>
          <w:szCs w:val="31"/>
          <w:lang w:val="en-US" w:eastAsia="zh-CN"/>
        </w:rPr>
      </w:pPr>
      <w:r>
        <w:rPr>
          <w:rFonts w:hint="eastAsia" w:ascii="宋体" w:hAnsi="宋体" w:cs="宋体"/>
          <w:b/>
          <w:bCs/>
          <w:snapToGrid w:val="0"/>
          <w:color w:val="000000"/>
          <w:spacing w:val="6"/>
          <w:kern w:val="0"/>
          <w:sz w:val="31"/>
          <w:szCs w:val="31"/>
          <w:lang w:val="en-US" w:eastAsia="zh-CN"/>
        </w:rPr>
        <w:t>附表2：</w:t>
      </w:r>
    </w:p>
    <w:p w14:paraId="3459DAD7">
      <w:pPr>
        <w:pStyle w:val="8"/>
        <w:jc w:val="center"/>
        <w:rPr>
          <w:b/>
          <w:bCs/>
          <w:spacing w:val="-2"/>
          <w:sz w:val="24"/>
        </w:rPr>
      </w:pPr>
      <w:r>
        <w:rPr>
          <w:rFonts w:hint="eastAsia" w:ascii="宋体" w:hAnsi="宋体" w:cs="宋体"/>
          <w:b/>
          <w:bCs/>
          <w:snapToGrid w:val="0"/>
          <w:color w:val="000000"/>
          <w:spacing w:val="6"/>
          <w:kern w:val="0"/>
          <w:sz w:val="31"/>
          <w:szCs w:val="31"/>
          <w:lang w:eastAsia="zh-CN"/>
        </w:rPr>
        <w:t>防城港市港口区人民医院保洁服务</w:t>
      </w:r>
      <w:r>
        <w:rPr>
          <w:rFonts w:hint="eastAsia" w:ascii="宋体" w:hAnsi="宋体" w:cs="宋体"/>
          <w:b/>
          <w:bCs/>
          <w:snapToGrid w:val="0"/>
          <w:color w:val="000000"/>
          <w:spacing w:val="6"/>
          <w:kern w:val="0"/>
          <w:sz w:val="31"/>
          <w:szCs w:val="31"/>
        </w:rPr>
        <w:t>质量考核评分表（100分）</w:t>
      </w:r>
    </w:p>
    <w:p w14:paraId="00AC1D51">
      <w:pPr>
        <w:spacing w:line="320" w:lineRule="exact"/>
        <w:jc w:val="left"/>
        <w:rPr>
          <w:rFonts w:hint="eastAsia" w:ascii="宋体" w:hAnsi="宋体"/>
          <w:b/>
          <w:sz w:val="28"/>
          <w:szCs w:val="28"/>
        </w:rPr>
      </w:pPr>
      <w:r>
        <w:rPr>
          <w:rFonts w:hint="eastAsia" w:ascii="宋体" w:hAnsi="宋体"/>
          <w:color w:val="000000"/>
          <w:szCs w:val="21"/>
        </w:rPr>
        <w:t>考核人员：          考核日期：           本月得分：      分    管理人员签字：</w:t>
      </w:r>
    </w:p>
    <w:tbl>
      <w:tblPr>
        <w:tblStyle w:val="21"/>
        <w:tblW w:w="5057" w:type="pct"/>
        <w:tblInd w:w="-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1671"/>
        <w:gridCol w:w="5301"/>
        <w:gridCol w:w="1213"/>
        <w:gridCol w:w="960"/>
      </w:tblGrid>
      <w:tr w14:paraId="2DA62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461" w:type="pct"/>
            <w:tcBorders>
              <w:top w:val="single" w:color="auto" w:sz="4" w:space="0"/>
              <w:left w:val="single" w:color="auto" w:sz="4" w:space="0"/>
              <w:bottom w:val="single" w:color="auto" w:sz="6" w:space="0"/>
              <w:right w:val="single" w:color="auto" w:sz="6" w:space="0"/>
            </w:tcBorders>
            <w:vAlign w:val="center"/>
          </w:tcPr>
          <w:p w14:paraId="53EA15A1">
            <w:pPr>
              <w:spacing w:line="360" w:lineRule="exact"/>
              <w:jc w:val="center"/>
              <w:rPr>
                <w:rFonts w:hint="eastAsia" w:ascii="宋体" w:hAnsi="宋体"/>
                <w:color w:val="0D0D0D"/>
                <w:szCs w:val="21"/>
              </w:rPr>
            </w:pPr>
            <w:r>
              <w:rPr>
                <w:rFonts w:hint="eastAsia" w:ascii="宋体" w:hAnsi="宋体"/>
                <w:color w:val="0D0D0D"/>
                <w:szCs w:val="21"/>
              </w:rPr>
              <w:t>序号</w:t>
            </w:r>
          </w:p>
        </w:tc>
        <w:tc>
          <w:tcPr>
            <w:tcW w:w="828" w:type="pct"/>
            <w:tcBorders>
              <w:top w:val="single" w:color="auto" w:sz="4" w:space="0"/>
              <w:left w:val="single" w:color="auto" w:sz="6" w:space="0"/>
              <w:bottom w:val="single" w:color="auto" w:sz="6" w:space="0"/>
              <w:right w:val="single" w:color="auto" w:sz="6" w:space="0"/>
            </w:tcBorders>
            <w:vAlign w:val="center"/>
          </w:tcPr>
          <w:p w14:paraId="7675A2D2">
            <w:pPr>
              <w:spacing w:line="360" w:lineRule="exact"/>
              <w:jc w:val="center"/>
              <w:rPr>
                <w:rFonts w:hint="eastAsia" w:ascii="宋体" w:hAnsi="宋体"/>
                <w:color w:val="0D0D0D"/>
                <w:szCs w:val="21"/>
              </w:rPr>
            </w:pPr>
            <w:r>
              <w:rPr>
                <w:rFonts w:hint="eastAsia" w:ascii="宋体" w:hAnsi="宋体"/>
                <w:color w:val="0D0D0D"/>
                <w:szCs w:val="21"/>
              </w:rPr>
              <w:t>考评项目与标准分值</w:t>
            </w:r>
          </w:p>
        </w:tc>
        <w:tc>
          <w:tcPr>
            <w:tcW w:w="2630" w:type="pct"/>
            <w:tcBorders>
              <w:top w:val="single" w:color="auto" w:sz="4" w:space="0"/>
              <w:left w:val="single" w:color="auto" w:sz="6" w:space="0"/>
              <w:bottom w:val="single" w:color="auto" w:sz="6" w:space="0"/>
              <w:right w:val="single" w:color="auto" w:sz="6" w:space="0"/>
            </w:tcBorders>
            <w:vAlign w:val="center"/>
          </w:tcPr>
          <w:p w14:paraId="44682AAB">
            <w:pPr>
              <w:spacing w:line="360" w:lineRule="exact"/>
              <w:jc w:val="center"/>
              <w:rPr>
                <w:rFonts w:hint="eastAsia" w:ascii="宋体" w:hAnsi="宋体"/>
                <w:color w:val="0D0D0D"/>
                <w:szCs w:val="21"/>
              </w:rPr>
            </w:pPr>
            <w:r>
              <w:rPr>
                <w:rFonts w:hint="eastAsia" w:ascii="宋体" w:hAnsi="宋体"/>
                <w:color w:val="0D0D0D"/>
                <w:szCs w:val="21"/>
              </w:rPr>
              <w:t>考评内容与标准分值</w:t>
            </w:r>
          </w:p>
        </w:tc>
        <w:tc>
          <w:tcPr>
            <w:tcW w:w="602" w:type="pct"/>
            <w:tcBorders>
              <w:top w:val="single" w:color="auto" w:sz="4" w:space="0"/>
              <w:left w:val="single" w:color="auto" w:sz="6" w:space="0"/>
              <w:bottom w:val="single" w:color="auto" w:sz="6" w:space="0"/>
              <w:right w:val="single" w:color="auto" w:sz="4" w:space="0"/>
            </w:tcBorders>
            <w:vAlign w:val="center"/>
          </w:tcPr>
          <w:p w14:paraId="298A81DB">
            <w:pPr>
              <w:spacing w:line="360" w:lineRule="exact"/>
              <w:jc w:val="center"/>
              <w:rPr>
                <w:rFonts w:hint="eastAsia" w:ascii="宋体" w:hAnsi="宋体"/>
                <w:color w:val="0D0D0D"/>
                <w:szCs w:val="21"/>
              </w:rPr>
            </w:pPr>
            <w:r>
              <w:rPr>
                <w:rFonts w:hint="eastAsia" w:ascii="宋体" w:hAnsi="宋体"/>
                <w:color w:val="0D0D0D"/>
                <w:szCs w:val="21"/>
              </w:rPr>
              <w:t>扣分方法与标准</w:t>
            </w:r>
          </w:p>
        </w:tc>
        <w:tc>
          <w:tcPr>
            <w:tcW w:w="476" w:type="pct"/>
            <w:tcBorders>
              <w:top w:val="single" w:color="auto" w:sz="4" w:space="0"/>
              <w:left w:val="single" w:color="auto" w:sz="6" w:space="0"/>
              <w:bottom w:val="single" w:color="auto" w:sz="6" w:space="0"/>
              <w:right w:val="single" w:color="auto" w:sz="4" w:space="0"/>
            </w:tcBorders>
            <w:vAlign w:val="center"/>
          </w:tcPr>
          <w:p w14:paraId="50013A2C">
            <w:pPr>
              <w:spacing w:line="360" w:lineRule="exact"/>
              <w:jc w:val="center"/>
              <w:rPr>
                <w:rFonts w:hint="eastAsia" w:ascii="宋体" w:hAnsi="宋体"/>
                <w:color w:val="0D0D0D"/>
                <w:szCs w:val="21"/>
              </w:rPr>
            </w:pPr>
            <w:r>
              <w:rPr>
                <w:rFonts w:hint="eastAsia" w:ascii="宋体" w:hAnsi="宋体"/>
                <w:color w:val="0D0D0D"/>
                <w:szCs w:val="21"/>
              </w:rPr>
              <w:t>扣分情况</w:t>
            </w:r>
          </w:p>
        </w:tc>
      </w:tr>
      <w:tr w14:paraId="53DAA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4" w:hRule="atLeast"/>
        </w:trPr>
        <w:tc>
          <w:tcPr>
            <w:tcW w:w="461" w:type="pct"/>
            <w:tcBorders>
              <w:top w:val="single" w:color="auto" w:sz="6" w:space="0"/>
              <w:left w:val="single" w:color="auto" w:sz="4" w:space="0"/>
              <w:bottom w:val="single" w:color="auto" w:sz="6" w:space="0"/>
              <w:right w:val="single" w:color="auto" w:sz="6" w:space="0"/>
            </w:tcBorders>
            <w:vAlign w:val="center"/>
          </w:tcPr>
          <w:p w14:paraId="13329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一</w:t>
            </w:r>
          </w:p>
        </w:tc>
        <w:tc>
          <w:tcPr>
            <w:tcW w:w="828" w:type="pct"/>
            <w:tcBorders>
              <w:top w:val="single" w:color="auto" w:sz="6" w:space="0"/>
              <w:left w:val="single" w:color="auto" w:sz="6" w:space="0"/>
              <w:bottom w:val="single" w:color="auto" w:sz="6" w:space="0"/>
              <w:right w:val="single" w:color="auto" w:sz="6" w:space="0"/>
            </w:tcBorders>
            <w:vAlign w:val="center"/>
          </w:tcPr>
          <w:p w14:paraId="78D100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安全和礼仪管理(6分)</w:t>
            </w:r>
          </w:p>
        </w:tc>
        <w:tc>
          <w:tcPr>
            <w:tcW w:w="2630" w:type="pct"/>
            <w:tcBorders>
              <w:top w:val="single" w:color="auto" w:sz="6" w:space="0"/>
              <w:left w:val="single" w:color="auto" w:sz="6" w:space="0"/>
              <w:bottom w:val="single" w:color="auto" w:sz="6" w:space="0"/>
              <w:right w:val="single" w:color="auto" w:sz="6" w:space="0"/>
            </w:tcBorders>
            <w:vAlign w:val="center"/>
          </w:tcPr>
          <w:p w14:paraId="36810D2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1.严格遵守消毒隔离制度，防止交叉感染。现场询问各科室护士长及医院院感科人员，发现有保洁交叉感染记录的扣1分，每月扣完为止；（1分）（询问）</w:t>
            </w:r>
          </w:p>
          <w:p w14:paraId="39C04A2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2.各区清洁用具分类使用，有明显各区域标识；各类用具分类摆放定位、整齐，无乱摆、乱挂现象。现场核查污洗间清洁工具摆放位置，杂乱无章的违反1例扣1分，每月扣完为止；（1分）</w:t>
            </w:r>
          </w:p>
          <w:p w14:paraId="05086CC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3.每天病区内卫生上午8点前、下午2点30分前完成。现场询问各科室护士长实际情况以及视频监控核查未按时完成的扣1分，每月扣完为止；（1分）</w:t>
            </w:r>
          </w:p>
          <w:p w14:paraId="235B9C0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4.妥善管好消毒液、监测试纸等，无过期、无分装现象，禁止把消毒液、清洁剂等放在病房卫生间等。现场核查此类物品放置情况，不按规定存放的1例扣1分，每月扣完为止。（1分）</w:t>
            </w:r>
          </w:p>
          <w:p w14:paraId="40BCD50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5.执行标准预防，根据不同的工作需要正确穿戴个人防护用品，掌握正确的洗手方法及快速手消毒方法。掌握职业暴露（针刺伤）的应急处理方法及报告，现场随机询问1名保洁人员，未能答出扣1分，每月扣完为止。（1分）</w:t>
            </w:r>
          </w:p>
          <w:p w14:paraId="0D93240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6.着装整洁、挂牌上岗，礼貌待人，服务主动热情，纪律严明，不迟到、早退，不串岗、脱岗，不干工作以外的事、不闲聊等，日常巡查发现保洁人员违反上述情况扣1分，每月扣完为止（1分）</w:t>
            </w:r>
          </w:p>
        </w:tc>
        <w:tc>
          <w:tcPr>
            <w:tcW w:w="602" w:type="pct"/>
            <w:tcBorders>
              <w:top w:val="single" w:color="auto" w:sz="6" w:space="0"/>
              <w:left w:val="single" w:color="auto" w:sz="6" w:space="0"/>
              <w:bottom w:val="single" w:color="auto" w:sz="6" w:space="0"/>
              <w:right w:val="single" w:color="auto" w:sz="4" w:space="0"/>
            </w:tcBorders>
            <w:vAlign w:val="center"/>
          </w:tcPr>
          <w:p w14:paraId="549F3D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r>
              <w:rPr>
                <w:rFonts w:hint="eastAsia" w:ascii="宋体" w:hAnsi="宋体"/>
                <w:color w:val="0D0D0D"/>
                <w:szCs w:val="21"/>
              </w:rPr>
              <w:t>不符合项从1分起扣，最高扣分不超过该项目和内容的标准分值。</w:t>
            </w:r>
          </w:p>
        </w:tc>
        <w:tc>
          <w:tcPr>
            <w:tcW w:w="476" w:type="pct"/>
            <w:tcBorders>
              <w:top w:val="single" w:color="auto" w:sz="6" w:space="0"/>
              <w:left w:val="single" w:color="auto" w:sz="6" w:space="0"/>
              <w:bottom w:val="single" w:color="auto" w:sz="6" w:space="0"/>
              <w:right w:val="single" w:color="auto" w:sz="4" w:space="0"/>
            </w:tcBorders>
            <w:vAlign w:val="center"/>
          </w:tcPr>
          <w:p w14:paraId="73889A9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25A19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1" w:type="pct"/>
            <w:tcBorders>
              <w:top w:val="single" w:color="auto" w:sz="6" w:space="0"/>
              <w:left w:val="single" w:color="auto" w:sz="4" w:space="0"/>
              <w:bottom w:val="single" w:color="auto" w:sz="6" w:space="0"/>
              <w:right w:val="single" w:color="auto" w:sz="6" w:space="0"/>
            </w:tcBorders>
            <w:vAlign w:val="center"/>
          </w:tcPr>
          <w:p w14:paraId="3491BE08">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color w:val="0D0D0D"/>
                <w:szCs w:val="21"/>
              </w:rPr>
            </w:pPr>
            <w:r>
              <w:rPr>
                <w:rFonts w:hint="eastAsia" w:ascii="宋体" w:hAnsi="宋体"/>
                <w:color w:val="0D0D0D"/>
                <w:szCs w:val="21"/>
              </w:rPr>
              <w:t>二</w:t>
            </w:r>
          </w:p>
        </w:tc>
        <w:tc>
          <w:tcPr>
            <w:tcW w:w="828" w:type="pct"/>
            <w:tcBorders>
              <w:top w:val="single" w:color="auto" w:sz="6" w:space="0"/>
              <w:left w:val="single" w:color="auto" w:sz="6" w:space="0"/>
              <w:bottom w:val="single" w:color="auto" w:sz="6" w:space="0"/>
              <w:right w:val="single" w:color="auto" w:sz="6" w:space="0"/>
            </w:tcBorders>
            <w:vAlign w:val="center"/>
          </w:tcPr>
          <w:p w14:paraId="755625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室内清洁</w:t>
            </w:r>
          </w:p>
          <w:p w14:paraId="05F847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（57分）</w:t>
            </w:r>
          </w:p>
        </w:tc>
        <w:tc>
          <w:tcPr>
            <w:tcW w:w="2630" w:type="pct"/>
            <w:tcBorders>
              <w:top w:val="single" w:color="auto" w:sz="6" w:space="0"/>
              <w:left w:val="single" w:color="auto" w:sz="6" w:space="0"/>
              <w:bottom w:val="single" w:color="auto" w:sz="6" w:space="0"/>
              <w:right w:val="single" w:color="auto" w:sz="6" w:space="0"/>
            </w:tcBorders>
            <w:vAlign w:val="center"/>
          </w:tcPr>
          <w:p w14:paraId="418542A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1.室内地面保洁标准：无垃圾废物，无烟蒂纸屑，无痰迹，无其他可擦洗污迹，现场核查上述内容，违反1例扣1分，每月扣完为止；（3分）</w:t>
            </w:r>
          </w:p>
          <w:p w14:paraId="29E2689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2.墙壁、天蓬保洁标准：目视干净，无蛛网，无可擦洗污迹，无牛皮癣，现场核查上述内容，违反1例扣1分，每月扣完为止。（3分）</w:t>
            </w:r>
          </w:p>
          <w:p w14:paraId="78CB196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3.墙壁、天蓬附着物保洁标准：设备带、开关插座、电扇、消防箱、消毒箱、钩、框及其他外凸物、附属设备目视干净端正，现场核查上述内容，违反1例扣1分，每月扣完为止。（3分）</w:t>
            </w:r>
          </w:p>
          <w:p w14:paraId="0AF28B3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4.门、窗、洞、台保洁标准：目视干净整洁，无可擦洗污迹，门窗手摸无积灰，无蛛网，无隐藏垃圾、废物、烟蒂等，现场核查上述内容，违反1例扣1分，每月扣完为止。（3分）</w:t>
            </w:r>
          </w:p>
          <w:p w14:paraId="24EAE63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5.病房家具保洁标准：目视干净，摆放整齐，手摸无积尘，现场核查上述内容，违反1例扣1分，每月扣完为止。（3分）</w:t>
            </w:r>
          </w:p>
          <w:p w14:paraId="451D287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6.病房床单元保洁标准：目视干净，摆放整齐，手摸无积尘，现场核查上述内容，违反1例扣1分，每月扣完为止。（3分）</w:t>
            </w:r>
          </w:p>
          <w:p w14:paraId="01F865B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7.病房卫生洁具保洁标准：水池、水龙头、便器及其他洗浴清洁设备每日清洁，便器每日消毒，目视干净整洁，无污垢，台面等无积水，无异味，现场核查上述内容，违反1例扣1分，每月扣完为止。（3分）</w:t>
            </w:r>
          </w:p>
          <w:p w14:paraId="6F58903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8.治疗室、处置室及其他特殊医疗用房保洁标准：垃圾按规定分类存放收集，台面、污染墙壁擦洗消毒，无蚊蝇，无污迹，无积水，现场核查上述内容，违反1例扣1分，每月扣完为止。（3分）</w:t>
            </w:r>
          </w:p>
          <w:p w14:paraId="58550F2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9.公共卫生间洁具保洁标准：目视干净整洁，无污垢，台面等无积水，保持通风正常，无异味，按规定投放除味增香材料，现场核查上述内容，违反1例扣1分，每月扣完为止。（3分）</w:t>
            </w:r>
          </w:p>
          <w:p w14:paraId="12E3175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10.玻璃、镜子保洁标准：擦洗使用专用清洁试剂，保持干净明亮，目视无灰尘，无污迹，无水渍，手摸边框无积尘，现场核查上述内容，违反1例扣1分，每月扣完为止。（3分）</w:t>
            </w:r>
          </w:p>
          <w:p w14:paraId="7DC41F68">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11.治疗室、处置室及其他特殊医疗用房保洁标准：垃圾按规定分类存放收集，台面、污染墙壁每日擦洗消毒，无蚊蝇，无污迹，无积水，现场核查上述内容，违反1例扣1分，每月扣完为止。（3分）</w:t>
            </w:r>
          </w:p>
          <w:p w14:paraId="78A5309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12.★手术室、产房、新生儿科等：地、台面、墙无灰尘，无污迹，无蛛网，垃圾按规定分类存放收集等，现场核查上述内容，违反1例扣1分，每月扣完为止。（3分）</w:t>
            </w:r>
          </w:p>
          <w:p w14:paraId="44D3A1F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13.卫生（废物）桶、篓保洁标准：专用垃圾袋完好，铺放整齐符合要求，实时回收更换，保证内容物不超容积2/3，有污秽物时实时清理更换，桶（篓）体清洁，无污迹，无积灰，无异味，无溢满，现场核查上述内容，违反1例扣1分，每月扣完为止。（3分）</w:t>
            </w:r>
          </w:p>
          <w:p w14:paraId="0685BCA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14.大厅、走廊、楼梯：干净明亮，地面无纸屑、果皮、烟头等丢弃物，无污迹，无张贴，无污渍，无蛛网，无积尘，现场核查上述内容，违反1例扣1分，每月扣完为止。（3分）</w:t>
            </w:r>
          </w:p>
          <w:p w14:paraId="2B94C35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15.开水间：开水间清洁整齐，无杂物，无晾挂；地面清洁，无污迹，无积水，无异味；开水炉清洁干净，现场核查上述内容，违反1例扣1分，每月扣完为止。（3分）</w:t>
            </w:r>
          </w:p>
          <w:p w14:paraId="1AA56B1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16.PVC、花岗岩地面保养标准：每月对楼宇内公共区域的PVC、地砖、花岗岩等地面清洗，保持地面光泽、亮度。PVC清洗保养制剂使用以不损伤釉面为宜，现场核查上述内容，违反1例扣1分，每月扣完为止；（3分）</w:t>
            </w:r>
          </w:p>
          <w:p w14:paraId="18795D9F">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17.窗帘床帘及空调滤网每半年要求拆洗，无污迹，现场查看清洗记录，未有1次扣1分，扣完为止；（3分）</w:t>
            </w:r>
          </w:p>
          <w:p w14:paraId="35E48C2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18.掌握保洁区域的隔离标识及清洁消毒方法并在工作中落实（多重耐药菌感染患者按多重耐药菌考核标准执行）。需要增加清洁与消毒频率的区域或病房，应在护长要求下执行，现场询问各科室</w:t>
            </w:r>
            <w:r>
              <w:rPr>
                <w:rFonts w:hint="eastAsia" w:ascii="宋体" w:hAnsi="宋体"/>
                <w:color w:val="0D0D0D"/>
                <w:szCs w:val="21"/>
                <w:lang w:eastAsia="zh-CN"/>
              </w:rPr>
              <w:t>护士</w:t>
            </w:r>
            <w:r>
              <w:rPr>
                <w:rFonts w:hint="eastAsia" w:ascii="宋体" w:hAnsi="宋体"/>
                <w:color w:val="0D0D0D"/>
                <w:szCs w:val="21"/>
              </w:rPr>
              <w:t>长保洁员落实情况，不按护士长要求落实工作的扣1分，每月扣完为止；（3分）</w:t>
            </w:r>
          </w:p>
          <w:p w14:paraId="4463475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19.保洁服务时注意节约用水用电，保洁活动时避免耗水量大的冲洗法，如必须使用冲洗时，应采用间断冲洗，做到人走水关，杜绝长流水；做好室内公共区域照明灯管理，无长明灯现象，现场核查上述内容，违反1例扣1分，每月扣完为止；（3分）</w:t>
            </w:r>
          </w:p>
        </w:tc>
        <w:tc>
          <w:tcPr>
            <w:tcW w:w="602" w:type="pct"/>
            <w:tcBorders>
              <w:top w:val="single" w:color="auto" w:sz="6" w:space="0"/>
              <w:left w:val="single" w:color="auto" w:sz="6" w:space="0"/>
              <w:bottom w:val="single" w:color="auto" w:sz="6" w:space="0"/>
              <w:right w:val="single" w:color="auto" w:sz="4" w:space="0"/>
            </w:tcBorders>
            <w:vAlign w:val="center"/>
          </w:tcPr>
          <w:p w14:paraId="1BF3A9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3A5B22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4866A4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6AD457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75D3E2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085228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2EF805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071D49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780E57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3F816F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319916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7B8EA2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72BEC9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2AEDD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162DD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658F39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p>
          <w:p w14:paraId="02F010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r>
              <w:rPr>
                <w:rFonts w:hint="eastAsia" w:ascii="宋体" w:hAnsi="宋体"/>
                <w:color w:val="0D0D0D"/>
                <w:szCs w:val="21"/>
              </w:rPr>
              <w:t>不符合项从1分起扣，最高扣分不超过该项目和内容的标准分值。</w:t>
            </w:r>
          </w:p>
        </w:tc>
        <w:tc>
          <w:tcPr>
            <w:tcW w:w="476" w:type="pct"/>
            <w:tcBorders>
              <w:top w:val="single" w:color="auto" w:sz="6" w:space="0"/>
              <w:left w:val="single" w:color="auto" w:sz="6" w:space="0"/>
              <w:bottom w:val="single" w:color="auto" w:sz="6" w:space="0"/>
              <w:right w:val="single" w:color="auto" w:sz="4" w:space="0"/>
            </w:tcBorders>
            <w:vAlign w:val="center"/>
          </w:tcPr>
          <w:p w14:paraId="06FCE6B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7FCED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1" w:type="pct"/>
            <w:tcBorders>
              <w:top w:val="single" w:color="auto" w:sz="6" w:space="0"/>
              <w:left w:val="single" w:color="auto" w:sz="4" w:space="0"/>
              <w:bottom w:val="single" w:color="auto" w:sz="6" w:space="0"/>
              <w:right w:val="single" w:color="auto" w:sz="6" w:space="0"/>
            </w:tcBorders>
            <w:vAlign w:val="center"/>
          </w:tcPr>
          <w:p w14:paraId="6AB55511">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r>
              <w:rPr>
                <w:rFonts w:hint="eastAsia" w:ascii="宋体" w:hAnsi="宋体"/>
                <w:color w:val="0D0D0D"/>
                <w:szCs w:val="21"/>
              </w:rPr>
              <w:t>三</w:t>
            </w:r>
          </w:p>
        </w:tc>
        <w:tc>
          <w:tcPr>
            <w:tcW w:w="828" w:type="pct"/>
            <w:tcBorders>
              <w:top w:val="single" w:color="auto" w:sz="6" w:space="0"/>
              <w:left w:val="single" w:color="auto" w:sz="6" w:space="0"/>
              <w:bottom w:val="single" w:color="auto" w:sz="6" w:space="0"/>
              <w:right w:val="single" w:color="auto" w:sz="6" w:space="0"/>
            </w:tcBorders>
            <w:vAlign w:val="center"/>
          </w:tcPr>
          <w:p w14:paraId="1AA190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室外清洁</w:t>
            </w:r>
          </w:p>
          <w:p w14:paraId="14A93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（13分）</w:t>
            </w:r>
          </w:p>
        </w:tc>
        <w:tc>
          <w:tcPr>
            <w:tcW w:w="2630" w:type="pct"/>
            <w:tcBorders>
              <w:top w:val="single" w:color="auto" w:sz="6" w:space="0"/>
              <w:left w:val="single" w:color="auto" w:sz="6" w:space="0"/>
              <w:bottom w:val="single" w:color="auto" w:sz="6" w:space="0"/>
              <w:right w:val="single" w:color="auto" w:sz="6" w:space="0"/>
            </w:tcBorders>
          </w:tcPr>
          <w:p w14:paraId="4770C9F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1.区域内道路、通道、绿地、台坡、台阶的普扫及巡扫，无积土、地面无积水、无纸屑杂物、无烟头、无悬挂物，现场核查上述内容，违反1例扣1分，每月扣完为止；（1分）</w:t>
            </w:r>
          </w:p>
          <w:p w14:paraId="4A5FFF88">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2.路牙无杂草生长，现场核查上述内容，违反1例扣1分，每月扣完为止；（1分）</w:t>
            </w:r>
          </w:p>
          <w:p w14:paraId="3A9E328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3.道路两旁井内杂物的无淤泥垃圾，现场核查上述内容，违反1例扣1分，每月扣完为止；（1分）</w:t>
            </w:r>
          </w:p>
          <w:p w14:paraId="7E187254">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4.区域内所有屋面、顶棚、平台的清洁、无垃圾杂物，现场核查上述内容，违反1例扣1分，每月扣完为止；（1分）</w:t>
            </w:r>
          </w:p>
          <w:p w14:paraId="45D988F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6.室外栏杆、路灯、标识牌清洁、无污迹，现场核查上述内容，违反1例扣1分，每月扣完为止；（1分）</w:t>
            </w:r>
          </w:p>
          <w:p w14:paraId="5BA4C36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7.全院无大量张贴的小广告，现场核查上述内容，违反1例扣1分，每月扣完为止；（1分）</w:t>
            </w:r>
          </w:p>
          <w:p w14:paraId="208C162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8.室外垃圾桶干净无污迹，现场核查上述内容，违反1例扣1分，每月扣完为止；（1分）</w:t>
            </w:r>
          </w:p>
          <w:p w14:paraId="2D173F8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9、室外各类座椅无水迹无灰尘，现场核查上述内容，违反1例扣1分，每月扣完为止；（1分）</w:t>
            </w:r>
          </w:p>
          <w:p w14:paraId="3566A6EF">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10.不锈钢物体表面保养（护栏、扶手）洁净无污迹，现场核查上述内容，违反1例扣1分，每月扣完为止；（1分）</w:t>
            </w:r>
          </w:p>
          <w:p w14:paraId="096E0A0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11.5米以下的外立面洁净、无污迹，现场核查上述内容，违反1例扣1分，每月扣完为止；（1分）</w:t>
            </w:r>
          </w:p>
          <w:p w14:paraId="377021D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12.室外消防栓、消防器材洁净无污迹，现场核查上述内容，违反1例扣1分，每月扣完为止；（1分）</w:t>
            </w:r>
          </w:p>
          <w:p w14:paraId="553A774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13.室外连廊顶部、飘檐、墙面等无污渍、无蛛网，现场核查上述内容，违反1例扣1分，每月扣完为止；（1分）</w:t>
            </w:r>
          </w:p>
        </w:tc>
        <w:tc>
          <w:tcPr>
            <w:tcW w:w="602" w:type="pct"/>
            <w:tcBorders>
              <w:top w:val="single" w:color="auto" w:sz="6" w:space="0"/>
              <w:left w:val="single" w:color="auto" w:sz="6" w:space="0"/>
              <w:bottom w:val="single" w:color="auto" w:sz="6" w:space="0"/>
              <w:right w:val="single" w:color="auto" w:sz="4" w:space="0"/>
            </w:tcBorders>
            <w:vAlign w:val="center"/>
          </w:tcPr>
          <w:p w14:paraId="31B8BA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r>
              <w:rPr>
                <w:rFonts w:hint="eastAsia" w:ascii="宋体" w:hAnsi="宋体"/>
                <w:color w:val="0D0D0D"/>
                <w:szCs w:val="21"/>
              </w:rPr>
              <w:t>不符合项从1分起扣，最高扣分不超过该项目和内容的标准分值。</w:t>
            </w:r>
          </w:p>
        </w:tc>
        <w:tc>
          <w:tcPr>
            <w:tcW w:w="476" w:type="pct"/>
            <w:tcBorders>
              <w:top w:val="single" w:color="auto" w:sz="6" w:space="0"/>
              <w:left w:val="single" w:color="auto" w:sz="6" w:space="0"/>
              <w:bottom w:val="single" w:color="auto" w:sz="6" w:space="0"/>
              <w:right w:val="single" w:color="auto" w:sz="4" w:space="0"/>
            </w:tcBorders>
            <w:vAlign w:val="center"/>
          </w:tcPr>
          <w:p w14:paraId="5493956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1DF1A6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1" w:type="pct"/>
            <w:tcBorders>
              <w:top w:val="single" w:color="auto" w:sz="6" w:space="0"/>
              <w:left w:val="single" w:color="auto" w:sz="4" w:space="0"/>
              <w:bottom w:val="single" w:color="auto" w:sz="6" w:space="0"/>
              <w:right w:val="single" w:color="auto" w:sz="6" w:space="0"/>
            </w:tcBorders>
            <w:vAlign w:val="center"/>
          </w:tcPr>
          <w:p w14:paraId="42D33DD9">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r>
              <w:rPr>
                <w:rFonts w:hint="eastAsia" w:ascii="宋体" w:hAnsi="宋体"/>
                <w:color w:val="0D0D0D"/>
                <w:szCs w:val="21"/>
              </w:rPr>
              <w:t>四</w:t>
            </w:r>
          </w:p>
        </w:tc>
        <w:tc>
          <w:tcPr>
            <w:tcW w:w="828" w:type="pct"/>
            <w:tcBorders>
              <w:top w:val="single" w:color="auto" w:sz="6" w:space="0"/>
              <w:left w:val="single" w:color="auto" w:sz="6" w:space="0"/>
              <w:bottom w:val="single" w:color="auto" w:sz="6" w:space="0"/>
              <w:right w:val="single" w:color="auto" w:sz="6" w:space="0"/>
            </w:tcBorders>
            <w:vAlign w:val="center"/>
          </w:tcPr>
          <w:p w14:paraId="575BB5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绿化养护</w:t>
            </w:r>
          </w:p>
          <w:p w14:paraId="0294A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（4分）</w:t>
            </w:r>
          </w:p>
        </w:tc>
        <w:tc>
          <w:tcPr>
            <w:tcW w:w="2630" w:type="pct"/>
            <w:tcBorders>
              <w:top w:val="single" w:color="auto" w:sz="6" w:space="0"/>
              <w:left w:val="single" w:color="auto" w:sz="6" w:space="0"/>
              <w:bottom w:val="single" w:color="auto" w:sz="6" w:space="0"/>
              <w:right w:val="single" w:color="auto" w:sz="6" w:space="0"/>
            </w:tcBorders>
          </w:tcPr>
          <w:p w14:paraId="6B68E954">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草坪、绿地无破坏、践踏、占用，无黄土暴露，绿地内无纸屑、无烟头、杂物、石块等垃圾；无杂草，花草树木长势良好，无枯枝败叶，修剪整齐美观，无干旱虫害和折损情况；节约浇灌用水，现场核查上述内容，违反1例扣1分，每月扣完为止；（2分）</w:t>
            </w:r>
          </w:p>
          <w:p w14:paraId="1D41E7B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2.保持室内外盆景长势良好，常绿不败，叶面干净，盆底无杂物，积极配合医院做好大型活动的美化准备工作，现场核查上述内容，违反1例扣1分，每月扣完为止（2分）</w:t>
            </w:r>
          </w:p>
        </w:tc>
        <w:tc>
          <w:tcPr>
            <w:tcW w:w="602" w:type="pct"/>
            <w:tcBorders>
              <w:top w:val="single" w:color="auto" w:sz="6" w:space="0"/>
              <w:left w:val="single" w:color="auto" w:sz="6" w:space="0"/>
              <w:bottom w:val="single" w:color="auto" w:sz="6" w:space="0"/>
              <w:right w:val="single" w:color="auto" w:sz="4" w:space="0"/>
            </w:tcBorders>
            <w:vAlign w:val="center"/>
          </w:tcPr>
          <w:p w14:paraId="25C83B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r>
              <w:rPr>
                <w:rFonts w:hint="eastAsia" w:ascii="宋体" w:hAnsi="宋体"/>
                <w:color w:val="0D0D0D"/>
                <w:szCs w:val="21"/>
              </w:rPr>
              <w:t>不符合项从1分起扣，最高扣分不超过该项目和内容的标准分值。</w:t>
            </w:r>
          </w:p>
        </w:tc>
        <w:tc>
          <w:tcPr>
            <w:tcW w:w="476" w:type="pct"/>
            <w:tcBorders>
              <w:top w:val="single" w:color="auto" w:sz="6" w:space="0"/>
              <w:left w:val="single" w:color="auto" w:sz="6" w:space="0"/>
              <w:bottom w:val="single" w:color="auto" w:sz="6" w:space="0"/>
              <w:right w:val="single" w:color="auto" w:sz="4" w:space="0"/>
            </w:tcBorders>
            <w:vAlign w:val="center"/>
          </w:tcPr>
          <w:p w14:paraId="1392E664">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4D456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1" w:type="pct"/>
            <w:tcBorders>
              <w:top w:val="single" w:color="auto" w:sz="6" w:space="0"/>
              <w:left w:val="single" w:color="auto" w:sz="4" w:space="0"/>
              <w:bottom w:val="single" w:color="auto" w:sz="6" w:space="0"/>
              <w:right w:val="single" w:color="auto" w:sz="6" w:space="0"/>
            </w:tcBorders>
            <w:vAlign w:val="center"/>
          </w:tcPr>
          <w:p w14:paraId="76069AEA">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r>
              <w:rPr>
                <w:rFonts w:hint="eastAsia" w:ascii="宋体" w:hAnsi="宋体"/>
                <w:color w:val="0D0D0D"/>
                <w:szCs w:val="21"/>
              </w:rPr>
              <w:t>五</w:t>
            </w:r>
          </w:p>
        </w:tc>
        <w:tc>
          <w:tcPr>
            <w:tcW w:w="828" w:type="pct"/>
            <w:tcBorders>
              <w:top w:val="single" w:color="auto" w:sz="6" w:space="0"/>
              <w:left w:val="single" w:color="auto" w:sz="6" w:space="0"/>
              <w:bottom w:val="single" w:color="auto" w:sz="6" w:space="0"/>
              <w:right w:val="single" w:color="auto" w:sz="6" w:space="0"/>
            </w:tcBorders>
            <w:vAlign w:val="center"/>
          </w:tcPr>
          <w:p w14:paraId="0BAEA4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垃圾运送管理（10分）</w:t>
            </w:r>
          </w:p>
        </w:tc>
        <w:tc>
          <w:tcPr>
            <w:tcW w:w="2630" w:type="pct"/>
            <w:tcBorders>
              <w:top w:val="single" w:color="auto" w:sz="6" w:space="0"/>
              <w:left w:val="single" w:color="auto" w:sz="6" w:space="0"/>
              <w:bottom w:val="single" w:color="auto" w:sz="6" w:space="0"/>
              <w:right w:val="single" w:color="auto" w:sz="6" w:space="0"/>
            </w:tcBorders>
          </w:tcPr>
          <w:p w14:paraId="2DB54E3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1.按指定或专用路线运输，车辆不得与物体、墙壁、行人发生碰撞，现场核查上述内容，违反1例扣1分，每月扣完为止；（1分）</w:t>
            </w:r>
          </w:p>
          <w:p w14:paraId="2F972D0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2.垃圾日产日清，运输车辆须加盖，垃圾不得高出车箱体，运输途中无污物污水撒漏、丢弃等，现场核查上述内容，违反1例扣1分，每月扣完为止；（1分）</w:t>
            </w:r>
          </w:p>
          <w:p w14:paraId="43C1C80F">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3.医疗废物回收时须双人称重签名，封口，交接联单填写齐全；包装袋符合《医疗废物专用包装物、容器标准和警示标识规定》要求，现场核查上述内容，违反1例扣1分，每月扣完为止；（2分）</w:t>
            </w:r>
          </w:p>
          <w:p w14:paraId="003119B8">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4.严禁其他一切非医疗废物进入医疗废物暂存间；医疗废物暂存时间不得超过48小时，现场核查上述内容，违反1例扣1分，每月扣完为止；（2分）</w:t>
            </w:r>
          </w:p>
          <w:p w14:paraId="7F8A694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5.医疗废物储存间防蚊、防蝇、防鼠、防盗等安全设施完好，管理措施落实到位，储存间地面随时清洁，每日进行地面和墙壁终末消毒及空气消毒，现场核查上述内容，违反1例扣1分，每月扣完为止；（1分）</w:t>
            </w:r>
          </w:p>
          <w:p w14:paraId="28EAFD2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6.每日统计交接联单，发现医疗废物数量明显异常，立即追查，并报告监管部门，如有不报，发现1次扣1分，每月扣完为止；（2分）</w:t>
            </w:r>
          </w:p>
          <w:p w14:paraId="4A123FD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7.垃圾站每月冲刷、消毒至少1次，保持站点清洁，无明显异味，现场核查和视频监控核查上述内容，不做扣1分，每月扣完为止；（1分）</w:t>
            </w:r>
          </w:p>
        </w:tc>
        <w:tc>
          <w:tcPr>
            <w:tcW w:w="602" w:type="pct"/>
            <w:tcBorders>
              <w:top w:val="single" w:color="auto" w:sz="6" w:space="0"/>
              <w:left w:val="single" w:color="auto" w:sz="6" w:space="0"/>
              <w:bottom w:val="single" w:color="auto" w:sz="6" w:space="0"/>
              <w:right w:val="single" w:color="auto" w:sz="4" w:space="0"/>
            </w:tcBorders>
            <w:vAlign w:val="center"/>
          </w:tcPr>
          <w:p w14:paraId="4E4741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r>
              <w:rPr>
                <w:rFonts w:hint="eastAsia" w:ascii="宋体" w:hAnsi="宋体"/>
                <w:color w:val="0D0D0D"/>
                <w:szCs w:val="21"/>
              </w:rPr>
              <w:t>不符合项从1分起扣，最高扣分不超过该项目和内容的标准分值。</w:t>
            </w:r>
          </w:p>
        </w:tc>
        <w:tc>
          <w:tcPr>
            <w:tcW w:w="476" w:type="pct"/>
            <w:tcBorders>
              <w:top w:val="single" w:color="auto" w:sz="6" w:space="0"/>
              <w:left w:val="single" w:color="auto" w:sz="6" w:space="0"/>
              <w:bottom w:val="single" w:color="auto" w:sz="6" w:space="0"/>
              <w:right w:val="single" w:color="auto" w:sz="4" w:space="0"/>
            </w:tcBorders>
            <w:vAlign w:val="center"/>
          </w:tcPr>
          <w:p w14:paraId="5B730D3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3A31A2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1" w:type="pct"/>
            <w:tcBorders>
              <w:top w:val="single" w:color="auto" w:sz="6" w:space="0"/>
              <w:left w:val="single" w:color="auto" w:sz="4" w:space="0"/>
              <w:bottom w:val="single" w:color="auto" w:sz="6" w:space="0"/>
              <w:right w:val="single" w:color="auto" w:sz="6" w:space="0"/>
            </w:tcBorders>
            <w:vAlign w:val="center"/>
          </w:tcPr>
          <w:p w14:paraId="72368694">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r>
              <w:rPr>
                <w:rFonts w:hint="eastAsia" w:ascii="宋体" w:hAnsi="宋体"/>
                <w:color w:val="0D0D0D"/>
                <w:szCs w:val="21"/>
              </w:rPr>
              <w:t>六</w:t>
            </w:r>
          </w:p>
        </w:tc>
        <w:tc>
          <w:tcPr>
            <w:tcW w:w="828" w:type="pct"/>
            <w:tcBorders>
              <w:top w:val="single" w:color="auto" w:sz="6" w:space="0"/>
              <w:left w:val="single" w:color="auto" w:sz="6" w:space="0"/>
              <w:bottom w:val="single" w:color="auto" w:sz="6" w:space="0"/>
              <w:right w:val="single" w:color="auto" w:sz="6" w:space="0"/>
            </w:tcBorders>
            <w:vAlign w:val="center"/>
          </w:tcPr>
          <w:p w14:paraId="3A5976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洗衣房管理（10分）</w:t>
            </w:r>
          </w:p>
        </w:tc>
        <w:tc>
          <w:tcPr>
            <w:tcW w:w="2630" w:type="pct"/>
            <w:tcBorders>
              <w:top w:val="single" w:color="auto" w:sz="6" w:space="0"/>
              <w:left w:val="single" w:color="auto" w:sz="6" w:space="0"/>
              <w:bottom w:val="single" w:color="auto" w:sz="6" w:space="0"/>
              <w:right w:val="single" w:color="auto" w:sz="6" w:space="0"/>
            </w:tcBorders>
          </w:tcPr>
          <w:p w14:paraId="0D7DCEA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1.工作人员必须严格执行洗衣房工作制度及各种工作流程，现场核查上述内容，违反1例扣1分，每月扣完为止。（1分）</w:t>
            </w:r>
          </w:p>
          <w:p w14:paraId="52B5A6B4">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2.工作人员严格按工作流程指引，做好防护措施出入各区域，防护用品包括：工作服、口罩、手套、帽子、隔离衣、水鞋或塑胶密封胶鞋等，现场核查上述内容，违反1例扣1分，每月扣完为止。（1分）</w:t>
            </w:r>
          </w:p>
          <w:p w14:paraId="08B449B8">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严格遵守操作规程和分类洗涤制度，收回的被服及时分类消毒、洗涤，防止交叉感染，工作服、洗手衣、隔离衣与病人被服分开，有色与无色分开，手术室物品单独洗涤、感染积物专机洗涤，棉与纤维分开，现场核查上述内容，违反1例扣1分，每月扣完为止。（2分）</w:t>
            </w:r>
          </w:p>
          <w:p w14:paraId="4F6D6CE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5.运送工具每天收运工作结束后，必须进行车内外清洗消毒，并做好相关记录，现场核查清洗消毒记录，无记录扣1分，每月扣完为止。（2分）</w:t>
            </w:r>
          </w:p>
          <w:p w14:paraId="4BBCBBC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6.所洗衣被洁净、干爽、分类放置，做好供应工作，破损少扣等要缝补后方可发放，做到发放被服无破、无潮、无不洁，现场核查上述内容，违反1例扣1分，每月扣完为止。（1分）</w:t>
            </w:r>
          </w:p>
          <w:p w14:paraId="1DCD149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7.保证医院医用被服供应需求，每天按时到医院各医院科室收、送出洗的衣物，按数量登记送回，当面清点签名，现场核查上述内容，无登记记录扣1分，每月扣完为止。（2分）</w:t>
            </w:r>
          </w:p>
          <w:p w14:paraId="1397BB5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8、工作结束关闭电源，做好隐患排查和防火灾工作，现场核查上述内容，违反1例扣1分，每月扣完为止。（1分）</w:t>
            </w:r>
          </w:p>
        </w:tc>
        <w:tc>
          <w:tcPr>
            <w:tcW w:w="602" w:type="pct"/>
            <w:tcBorders>
              <w:top w:val="single" w:color="auto" w:sz="6" w:space="0"/>
              <w:left w:val="single" w:color="auto" w:sz="6" w:space="0"/>
              <w:bottom w:val="single" w:color="auto" w:sz="6" w:space="0"/>
              <w:right w:val="single" w:color="auto" w:sz="4" w:space="0"/>
            </w:tcBorders>
            <w:vAlign w:val="center"/>
          </w:tcPr>
          <w:p w14:paraId="1F8D1B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D0D0D"/>
                <w:szCs w:val="21"/>
              </w:rPr>
            </w:pPr>
            <w:r>
              <w:rPr>
                <w:rFonts w:hint="eastAsia" w:ascii="宋体" w:hAnsi="宋体"/>
                <w:color w:val="0D0D0D"/>
                <w:szCs w:val="21"/>
              </w:rPr>
              <w:t>不符合项从1分起扣，最高扣分不超过该项目和内容的标准分值。</w:t>
            </w:r>
          </w:p>
        </w:tc>
        <w:tc>
          <w:tcPr>
            <w:tcW w:w="476" w:type="pct"/>
            <w:tcBorders>
              <w:top w:val="single" w:color="auto" w:sz="6" w:space="0"/>
              <w:left w:val="single" w:color="auto" w:sz="6" w:space="0"/>
              <w:bottom w:val="single" w:color="auto" w:sz="6" w:space="0"/>
              <w:right w:val="single" w:color="auto" w:sz="4" w:space="0"/>
            </w:tcBorders>
            <w:vAlign w:val="center"/>
          </w:tcPr>
          <w:p w14:paraId="51A731E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4861B0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461" w:type="pct"/>
            <w:vMerge w:val="restart"/>
            <w:tcBorders>
              <w:top w:val="single" w:color="auto" w:sz="6" w:space="0"/>
              <w:left w:val="single" w:color="auto" w:sz="4" w:space="0"/>
              <w:right w:val="single" w:color="auto" w:sz="6" w:space="0"/>
            </w:tcBorders>
            <w:vAlign w:val="center"/>
          </w:tcPr>
          <w:p w14:paraId="42ACE501">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r>
              <w:rPr>
                <w:rFonts w:hint="eastAsia" w:ascii="宋体" w:hAnsi="宋体"/>
                <w:color w:val="0D0D0D"/>
                <w:szCs w:val="21"/>
              </w:rPr>
              <w:t>七</w:t>
            </w:r>
          </w:p>
        </w:tc>
        <w:tc>
          <w:tcPr>
            <w:tcW w:w="828" w:type="pct"/>
            <w:vMerge w:val="restart"/>
            <w:tcBorders>
              <w:top w:val="single" w:color="auto" w:sz="6" w:space="0"/>
              <w:left w:val="single" w:color="auto" w:sz="6" w:space="0"/>
              <w:right w:val="single" w:color="auto" w:sz="6" w:space="0"/>
            </w:tcBorders>
            <w:vAlign w:val="center"/>
          </w:tcPr>
          <w:p w14:paraId="39CA39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加分项</w:t>
            </w:r>
          </w:p>
          <w:p w14:paraId="37EE7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r>
              <w:rPr>
                <w:rFonts w:hint="eastAsia" w:ascii="宋体" w:hAnsi="宋体"/>
                <w:color w:val="0D0D0D"/>
                <w:szCs w:val="21"/>
              </w:rPr>
              <w:t>（10分）</w:t>
            </w:r>
          </w:p>
        </w:tc>
        <w:tc>
          <w:tcPr>
            <w:tcW w:w="2630" w:type="pct"/>
            <w:tcBorders>
              <w:top w:val="single" w:color="auto" w:sz="6" w:space="0"/>
              <w:left w:val="single" w:color="auto" w:sz="6" w:space="0"/>
              <w:bottom w:val="single" w:color="auto" w:sz="6" w:space="0"/>
              <w:right w:val="single" w:color="auto" w:sz="6" w:space="0"/>
            </w:tcBorders>
          </w:tcPr>
          <w:p w14:paraId="407058C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1、手术室、ICU、新生儿病房、产房、供应室等高风险区域清洁达标率100%，现场询问科室护士长情况，收到好评的1分，加满为止；（3分）</w:t>
            </w:r>
          </w:p>
        </w:tc>
        <w:tc>
          <w:tcPr>
            <w:tcW w:w="602" w:type="pct"/>
            <w:tcBorders>
              <w:top w:val="single" w:color="auto" w:sz="6" w:space="0"/>
              <w:left w:val="single" w:color="auto" w:sz="6" w:space="0"/>
              <w:bottom w:val="single" w:color="auto" w:sz="6" w:space="0"/>
              <w:right w:val="single" w:color="auto" w:sz="4" w:space="0"/>
            </w:tcBorders>
            <w:vAlign w:val="center"/>
          </w:tcPr>
          <w:p w14:paraId="0C7B13D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476" w:type="pct"/>
            <w:tcBorders>
              <w:top w:val="single" w:color="auto" w:sz="6" w:space="0"/>
              <w:left w:val="single" w:color="auto" w:sz="6" w:space="0"/>
              <w:bottom w:val="single" w:color="auto" w:sz="6" w:space="0"/>
              <w:right w:val="single" w:color="auto" w:sz="4" w:space="0"/>
            </w:tcBorders>
            <w:vAlign w:val="center"/>
          </w:tcPr>
          <w:p w14:paraId="072F91C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14D628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461" w:type="pct"/>
            <w:vMerge w:val="continue"/>
            <w:tcBorders>
              <w:left w:val="single" w:color="auto" w:sz="4" w:space="0"/>
              <w:right w:val="single" w:color="auto" w:sz="6" w:space="0"/>
            </w:tcBorders>
            <w:vAlign w:val="center"/>
          </w:tcPr>
          <w:p w14:paraId="5CBB96C7">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p>
        </w:tc>
        <w:tc>
          <w:tcPr>
            <w:tcW w:w="828" w:type="pct"/>
            <w:vMerge w:val="continue"/>
            <w:tcBorders>
              <w:left w:val="single" w:color="auto" w:sz="6" w:space="0"/>
              <w:right w:val="single" w:color="auto" w:sz="6" w:space="0"/>
            </w:tcBorders>
            <w:vAlign w:val="center"/>
          </w:tcPr>
          <w:p w14:paraId="75589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p>
        </w:tc>
        <w:tc>
          <w:tcPr>
            <w:tcW w:w="2630" w:type="pct"/>
            <w:tcBorders>
              <w:top w:val="single" w:color="auto" w:sz="6" w:space="0"/>
              <w:left w:val="single" w:color="auto" w:sz="6" w:space="0"/>
              <w:bottom w:val="single" w:color="auto" w:sz="6" w:space="0"/>
              <w:right w:val="single" w:color="auto" w:sz="6" w:space="0"/>
            </w:tcBorders>
          </w:tcPr>
          <w:p w14:paraId="3D029CC4">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2.主动发现并报告院感隐患（如医疗垃圾混放、消毒液配比错误），发现1处加1分，加满为止；（1分）</w:t>
            </w:r>
          </w:p>
        </w:tc>
        <w:tc>
          <w:tcPr>
            <w:tcW w:w="602" w:type="pct"/>
            <w:tcBorders>
              <w:top w:val="single" w:color="auto" w:sz="6" w:space="0"/>
              <w:left w:val="single" w:color="auto" w:sz="6" w:space="0"/>
              <w:bottom w:val="single" w:color="auto" w:sz="6" w:space="0"/>
              <w:right w:val="single" w:color="auto" w:sz="4" w:space="0"/>
            </w:tcBorders>
            <w:vAlign w:val="center"/>
          </w:tcPr>
          <w:p w14:paraId="19B5947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476" w:type="pct"/>
            <w:tcBorders>
              <w:top w:val="single" w:color="auto" w:sz="6" w:space="0"/>
              <w:left w:val="single" w:color="auto" w:sz="6" w:space="0"/>
              <w:bottom w:val="single" w:color="auto" w:sz="6" w:space="0"/>
              <w:right w:val="single" w:color="auto" w:sz="4" w:space="0"/>
            </w:tcBorders>
            <w:vAlign w:val="center"/>
          </w:tcPr>
          <w:p w14:paraId="5DAC96D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02629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0" w:hRule="atLeast"/>
        </w:trPr>
        <w:tc>
          <w:tcPr>
            <w:tcW w:w="461" w:type="pct"/>
            <w:vMerge w:val="continue"/>
            <w:tcBorders>
              <w:left w:val="single" w:color="auto" w:sz="4" w:space="0"/>
              <w:right w:val="single" w:color="auto" w:sz="6" w:space="0"/>
            </w:tcBorders>
            <w:vAlign w:val="center"/>
          </w:tcPr>
          <w:p w14:paraId="57FC9180">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p>
        </w:tc>
        <w:tc>
          <w:tcPr>
            <w:tcW w:w="828" w:type="pct"/>
            <w:vMerge w:val="continue"/>
            <w:tcBorders>
              <w:left w:val="single" w:color="auto" w:sz="6" w:space="0"/>
              <w:right w:val="single" w:color="auto" w:sz="6" w:space="0"/>
            </w:tcBorders>
            <w:vAlign w:val="center"/>
          </w:tcPr>
          <w:p w14:paraId="5DB55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p>
        </w:tc>
        <w:tc>
          <w:tcPr>
            <w:tcW w:w="2630" w:type="pct"/>
            <w:tcBorders>
              <w:top w:val="single" w:color="auto" w:sz="6" w:space="0"/>
              <w:left w:val="single" w:color="auto" w:sz="6" w:space="0"/>
              <w:bottom w:val="single" w:color="auto" w:sz="6" w:space="0"/>
              <w:right w:val="single" w:color="auto" w:sz="6" w:space="0"/>
            </w:tcBorders>
          </w:tcPr>
          <w:p w14:paraId="3D24953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3.后勤保障科收到病区医务人员或患者书面或口头表扬（如主动帮助患者、态度友善），收到1例加1分，加满为止；（3分）</w:t>
            </w:r>
          </w:p>
        </w:tc>
        <w:tc>
          <w:tcPr>
            <w:tcW w:w="602" w:type="pct"/>
            <w:tcBorders>
              <w:top w:val="single" w:color="auto" w:sz="6" w:space="0"/>
              <w:left w:val="single" w:color="auto" w:sz="6" w:space="0"/>
              <w:bottom w:val="single" w:color="auto" w:sz="6" w:space="0"/>
              <w:right w:val="single" w:color="auto" w:sz="4" w:space="0"/>
            </w:tcBorders>
            <w:vAlign w:val="center"/>
          </w:tcPr>
          <w:p w14:paraId="452E1D3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476" w:type="pct"/>
            <w:tcBorders>
              <w:top w:val="single" w:color="auto" w:sz="6" w:space="0"/>
              <w:left w:val="single" w:color="auto" w:sz="6" w:space="0"/>
              <w:bottom w:val="single" w:color="auto" w:sz="6" w:space="0"/>
              <w:right w:val="single" w:color="auto" w:sz="4" w:space="0"/>
            </w:tcBorders>
            <w:vAlign w:val="center"/>
          </w:tcPr>
          <w:p w14:paraId="4DDD9F4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439EF8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461" w:type="pct"/>
            <w:vMerge w:val="continue"/>
            <w:tcBorders>
              <w:left w:val="single" w:color="auto" w:sz="4" w:space="0"/>
              <w:right w:val="single" w:color="auto" w:sz="6" w:space="0"/>
            </w:tcBorders>
            <w:vAlign w:val="center"/>
          </w:tcPr>
          <w:p w14:paraId="10EE6E33">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p>
        </w:tc>
        <w:tc>
          <w:tcPr>
            <w:tcW w:w="828" w:type="pct"/>
            <w:vMerge w:val="continue"/>
            <w:tcBorders>
              <w:left w:val="single" w:color="auto" w:sz="6" w:space="0"/>
              <w:right w:val="single" w:color="auto" w:sz="6" w:space="0"/>
            </w:tcBorders>
            <w:vAlign w:val="center"/>
          </w:tcPr>
          <w:p w14:paraId="5039A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p>
        </w:tc>
        <w:tc>
          <w:tcPr>
            <w:tcW w:w="2630" w:type="pct"/>
            <w:tcBorders>
              <w:top w:val="single" w:color="auto" w:sz="6" w:space="0"/>
              <w:left w:val="single" w:color="auto" w:sz="6" w:space="0"/>
              <w:bottom w:val="single" w:color="auto" w:sz="6" w:space="0"/>
              <w:right w:val="single" w:color="auto" w:sz="6" w:space="0"/>
            </w:tcBorders>
          </w:tcPr>
          <w:p w14:paraId="0601B54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4.协助医院完成紧急任务，或上级部门检查时配合良好，且无保洁隐患事件发生，有1次加1分，加满为止；（2分）</w:t>
            </w:r>
          </w:p>
        </w:tc>
        <w:tc>
          <w:tcPr>
            <w:tcW w:w="602" w:type="pct"/>
            <w:tcBorders>
              <w:top w:val="single" w:color="auto" w:sz="6" w:space="0"/>
              <w:left w:val="single" w:color="auto" w:sz="6" w:space="0"/>
              <w:bottom w:val="single" w:color="auto" w:sz="6" w:space="0"/>
              <w:right w:val="single" w:color="auto" w:sz="4" w:space="0"/>
            </w:tcBorders>
            <w:vAlign w:val="center"/>
          </w:tcPr>
          <w:p w14:paraId="45C48B7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476" w:type="pct"/>
            <w:tcBorders>
              <w:top w:val="single" w:color="auto" w:sz="6" w:space="0"/>
              <w:left w:val="single" w:color="auto" w:sz="6" w:space="0"/>
              <w:bottom w:val="single" w:color="auto" w:sz="6" w:space="0"/>
              <w:right w:val="single" w:color="auto" w:sz="4" w:space="0"/>
            </w:tcBorders>
            <w:vAlign w:val="center"/>
          </w:tcPr>
          <w:p w14:paraId="6AF3FAFF">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22E1B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61" w:type="pct"/>
            <w:vMerge w:val="continue"/>
            <w:tcBorders>
              <w:left w:val="single" w:color="auto" w:sz="4" w:space="0"/>
              <w:bottom w:val="single" w:color="auto" w:sz="6" w:space="0"/>
              <w:right w:val="single" w:color="auto" w:sz="6" w:space="0"/>
            </w:tcBorders>
            <w:vAlign w:val="center"/>
          </w:tcPr>
          <w:p w14:paraId="3E1F2787">
            <w:pPr>
              <w:keepNext w:val="0"/>
              <w:keepLines w:val="0"/>
              <w:pageBreakBefore w:val="0"/>
              <w:widowControl w:val="0"/>
              <w:kinsoku/>
              <w:wordWrap/>
              <w:overflowPunct/>
              <w:topLinePunct w:val="0"/>
              <w:autoSpaceDE/>
              <w:autoSpaceDN/>
              <w:bidi w:val="0"/>
              <w:adjustRightInd/>
              <w:snapToGrid/>
              <w:spacing w:line="360" w:lineRule="exact"/>
              <w:ind w:firstLine="420"/>
              <w:jc w:val="center"/>
              <w:textAlignment w:val="auto"/>
              <w:rPr>
                <w:rFonts w:hint="eastAsia" w:ascii="宋体" w:hAnsi="宋体"/>
                <w:color w:val="0D0D0D"/>
                <w:szCs w:val="21"/>
              </w:rPr>
            </w:pPr>
          </w:p>
        </w:tc>
        <w:tc>
          <w:tcPr>
            <w:tcW w:w="828" w:type="pct"/>
            <w:vMerge w:val="continue"/>
            <w:tcBorders>
              <w:left w:val="single" w:color="auto" w:sz="6" w:space="0"/>
              <w:bottom w:val="single" w:color="auto" w:sz="6" w:space="0"/>
              <w:right w:val="single" w:color="auto" w:sz="6" w:space="0"/>
            </w:tcBorders>
            <w:vAlign w:val="center"/>
          </w:tcPr>
          <w:p w14:paraId="1383B7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D0D0D"/>
                <w:szCs w:val="21"/>
              </w:rPr>
            </w:pPr>
          </w:p>
        </w:tc>
        <w:tc>
          <w:tcPr>
            <w:tcW w:w="2630" w:type="pct"/>
            <w:tcBorders>
              <w:top w:val="single" w:color="auto" w:sz="6" w:space="0"/>
              <w:left w:val="single" w:color="auto" w:sz="6" w:space="0"/>
              <w:bottom w:val="single" w:color="auto" w:sz="6" w:space="0"/>
              <w:right w:val="single" w:color="auto" w:sz="6" w:space="0"/>
            </w:tcBorders>
          </w:tcPr>
          <w:p w14:paraId="44DB20F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5.合理使用清洁耗材、水电资源，节约成本成效显著，现场核查保洁工作流程，达到上述要求的加1分，加满为止；（1分）</w:t>
            </w:r>
          </w:p>
        </w:tc>
        <w:tc>
          <w:tcPr>
            <w:tcW w:w="602" w:type="pct"/>
            <w:tcBorders>
              <w:top w:val="single" w:color="auto" w:sz="6" w:space="0"/>
              <w:left w:val="single" w:color="auto" w:sz="6" w:space="0"/>
              <w:bottom w:val="single" w:color="auto" w:sz="6" w:space="0"/>
              <w:right w:val="single" w:color="auto" w:sz="4" w:space="0"/>
            </w:tcBorders>
            <w:vAlign w:val="center"/>
          </w:tcPr>
          <w:p w14:paraId="0D0117C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476" w:type="pct"/>
            <w:tcBorders>
              <w:top w:val="single" w:color="auto" w:sz="6" w:space="0"/>
              <w:left w:val="single" w:color="auto" w:sz="6" w:space="0"/>
              <w:bottom w:val="single" w:color="auto" w:sz="6" w:space="0"/>
              <w:right w:val="single" w:color="auto" w:sz="4" w:space="0"/>
            </w:tcBorders>
            <w:vAlign w:val="center"/>
          </w:tcPr>
          <w:p w14:paraId="04C594A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r w14:paraId="6117BA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1290" w:type="pct"/>
            <w:gridSpan w:val="2"/>
            <w:tcBorders>
              <w:top w:val="single" w:color="auto" w:sz="6" w:space="0"/>
              <w:left w:val="single" w:color="auto" w:sz="4" w:space="0"/>
              <w:bottom w:val="single" w:color="auto" w:sz="6" w:space="0"/>
              <w:right w:val="single" w:color="auto" w:sz="6" w:space="0"/>
            </w:tcBorders>
            <w:vAlign w:val="center"/>
          </w:tcPr>
          <w:p w14:paraId="025B22CF">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得分</w:t>
            </w:r>
          </w:p>
        </w:tc>
        <w:tc>
          <w:tcPr>
            <w:tcW w:w="2630" w:type="pct"/>
            <w:tcBorders>
              <w:top w:val="single" w:color="auto" w:sz="6" w:space="0"/>
              <w:left w:val="single" w:color="auto" w:sz="6" w:space="0"/>
              <w:bottom w:val="single" w:color="auto" w:sz="6" w:space="0"/>
              <w:right w:val="single" w:color="auto" w:sz="6" w:space="0"/>
            </w:tcBorders>
          </w:tcPr>
          <w:p w14:paraId="71EB28D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602" w:type="pct"/>
            <w:tcBorders>
              <w:top w:val="single" w:color="auto" w:sz="6" w:space="0"/>
              <w:left w:val="single" w:color="auto" w:sz="6" w:space="0"/>
              <w:bottom w:val="single" w:color="auto" w:sz="6" w:space="0"/>
              <w:right w:val="single" w:color="auto" w:sz="4" w:space="0"/>
            </w:tcBorders>
            <w:vAlign w:val="center"/>
          </w:tcPr>
          <w:p w14:paraId="6011230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c>
          <w:tcPr>
            <w:tcW w:w="476" w:type="pct"/>
            <w:tcBorders>
              <w:top w:val="single" w:color="auto" w:sz="6" w:space="0"/>
              <w:left w:val="single" w:color="auto" w:sz="6" w:space="0"/>
              <w:bottom w:val="single" w:color="auto" w:sz="6" w:space="0"/>
              <w:right w:val="single" w:color="auto" w:sz="4" w:space="0"/>
            </w:tcBorders>
            <w:vAlign w:val="center"/>
          </w:tcPr>
          <w:p w14:paraId="4328C45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p>
        </w:tc>
      </w:tr>
    </w:tbl>
    <w:p w14:paraId="6C247C15">
      <w:pPr>
        <w:pStyle w:val="8"/>
        <w:jc w:val="center"/>
        <w:rPr>
          <w:rFonts w:hint="eastAsia" w:ascii="宋体" w:hAnsi="宋体" w:cs="宋体"/>
          <w:b/>
          <w:bCs/>
          <w:snapToGrid w:val="0"/>
          <w:color w:val="000000"/>
          <w:spacing w:val="6"/>
          <w:kern w:val="0"/>
          <w:sz w:val="31"/>
          <w:szCs w:val="31"/>
          <w:lang w:eastAsia="zh-CN"/>
        </w:rPr>
      </w:pPr>
    </w:p>
    <w:p w14:paraId="36FFECE7">
      <w:pPr>
        <w:pStyle w:val="8"/>
        <w:jc w:val="center"/>
        <w:rPr>
          <w:rFonts w:hint="eastAsia" w:ascii="宋体" w:hAnsi="宋体" w:cs="宋体"/>
          <w:b/>
          <w:bCs/>
          <w:snapToGrid w:val="0"/>
          <w:color w:val="000000"/>
          <w:spacing w:val="6"/>
          <w:kern w:val="0"/>
          <w:sz w:val="31"/>
          <w:szCs w:val="31"/>
          <w:lang w:eastAsia="zh-CN"/>
        </w:rPr>
      </w:pPr>
    </w:p>
    <w:p w14:paraId="2B2A8D30">
      <w:pPr>
        <w:pStyle w:val="8"/>
        <w:jc w:val="center"/>
        <w:rPr>
          <w:rFonts w:hint="eastAsia" w:ascii="宋体" w:hAnsi="宋体" w:cs="宋体"/>
          <w:b/>
          <w:bCs/>
          <w:snapToGrid w:val="0"/>
          <w:color w:val="000000"/>
          <w:spacing w:val="6"/>
          <w:kern w:val="0"/>
          <w:sz w:val="31"/>
          <w:szCs w:val="31"/>
          <w:lang w:eastAsia="zh-CN"/>
        </w:rPr>
      </w:pPr>
    </w:p>
    <w:p w14:paraId="537AE9A2">
      <w:pPr>
        <w:pStyle w:val="8"/>
        <w:jc w:val="center"/>
        <w:rPr>
          <w:rFonts w:hint="eastAsia" w:ascii="宋体" w:hAnsi="宋体" w:cs="宋体"/>
          <w:b/>
          <w:bCs/>
          <w:snapToGrid w:val="0"/>
          <w:color w:val="000000"/>
          <w:spacing w:val="6"/>
          <w:kern w:val="0"/>
          <w:sz w:val="31"/>
          <w:szCs w:val="31"/>
          <w:lang w:eastAsia="zh-CN"/>
        </w:rPr>
      </w:pPr>
    </w:p>
    <w:p w14:paraId="4E945BAA">
      <w:pPr>
        <w:pStyle w:val="8"/>
        <w:jc w:val="center"/>
        <w:rPr>
          <w:rFonts w:hint="eastAsia" w:ascii="宋体" w:hAnsi="宋体" w:cs="宋体"/>
          <w:b/>
          <w:bCs/>
          <w:snapToGrid w:val="0"/>
          <w:color w:val="000000"/>
          <w:spacing w:val="6"/>
          <w:kern w:val="0"/>
          <w:sz w:val="31"/>
          <w:szCs w:val="31"/>
          <w:lang w:eastAsia="zh-CN"/>
        </w:rPr>
      </w:pPr>
    </w:p>
    <w:p w14:paraId="31BFC3F4">
      <w:pPr>
        <w:pStyle w:val="8"/>
        <w:jc w:val="center"/>
        <w:rPr>
          <w:rFonts w:hint="eastAsia" w:ascii="宋体" w:hAnsi="宋体" w:cs="宋体"/>
          <w:b/>
          <w:bCs/>
          <w:snapToGrid w:val="0"/>
          <w:color w:val="000000"/>
          <w:spacing w:val="6"/>
          <w:kern w:val="0"/>
          <w:sz w:val="31"/>
          <w:szCs w:val="31"/>
          <w:lang w:eastAsia="zh-CN"/>
        </w:rPr>
      </w:pPr>
    </w:p>
    <w:p w14:paraId="2085DD75">
      <w:pPr>
        <w:pStyle w:val="8"/>
        <w:jc w:val="center"/>
        <w:rPr>
          <w:rFonts w:hint="eastAsia" w:ascii="宋体" w:hAnsi="宋体" w:cs="宋体"/>
          <w:b/>
          <w:bCs/>
          <w:snapToGrid w:val="0"/>
          <w:color w:val="000000"/>
          <w:spacing w:val="6"/>
          <w:kern w:val="0"/>
          <w:sz w:val="31"/>
          <w:szCs w:val="31"/>
          <w:lang w:eastAsia="zh-CN"/>
        </w:rPr>
      </w:pPr>
    </w:p>
    <w:p w14:paraId="3CB2E4B2">
      <w:pPr>
        <w:pStyle w:val="8"/>
        <w:jc w:val="center"/>
        <w:rPr>
          <w:rFonts w:hint="eastAsia" w:ascii="宋体" w:hAnsi="宋体" w:cs="宋体"/>
          <w:b/>
          <w:bCs/>
          <w:snapToGrid w:val="0"/>
          <w:color w:val="000000"/>
          <w:spacing w:val="6"/>
          <w:kern w:val="0"/>
          <w:sz w:val="31"/>
          <w:szCs w:val="31"/>
          <w:lang w:eastAsia="zh-CN"/>
        </w:rPr>
      </w:pPr>
    </w:p>
    <w:p w14:paraId="703E714B">
      <w:pPr>
        <w:pStyle w:val="8"/>
        <w:jc w:val="center"/>
        <w:rPr>
          <w:rFonts w:hint="eastAsia" w:ascii="宋体" w:hAnsi="宋体" w:cs="宋体"/>
          <w:b/>
          <w:bCs/>
          <w:snapToGrid w:val="0"/>
          <w:color w:val="000000"/>
          <w:spacing w:val="6"/>
          <w:kern w:val="0"/>
          <w:sz w:val="31"/>
          <w:szCs w:val="31"/>
          <w:lang w:eastAsia="zh-CN"/>
        </w:rPr>
      </w:pPr>
    </w:p>
    <w:p w14:paraId="28E6C8ED">
      <w:pPr>
        <w:pStyle w:val="8"/>
        <w:jc w:val="center"/>
        <w:rPr>
          <w:rFonts w:hint="eastAsia" w:ascii="宋体" w:hAnsi="宋体" w:cs="宋体"/>
          <w:b/>
          <w:bCs/>
          <w:snapToGrid w:val="0"/>
          <w:color w:val="000000"/>
          <w:spacing w:val="6"/>
          <w:kern w:val="0"/>
          <w:sz w:val="31"/>
          <w:szCs w:val="31"/>
          <w:lang w:eastAsia="zh-CN"/>
        </w:rPr>
      </w:pPr>
    </w:p>
    <w:p w14:paraId="448D460D">
      <w:pPr>
        <w:pStyle w:val="8"/>
        <w:jc w:val="left"/>
        <w:rPr>
          <w:rFonts w:hint="default" w:ascii="宋体" w:hAnsi="宋体" w:cs="宋体"/>
          <w:b/>
          <w:bCs/>
          <w:snapToGrid w:val="0"/>
          <w:color w:val="000000"/>
          <w:spacing w:val="6"/>
          <w:kern w:val="0"/>
          <w:sz w:val="31"/>
          <w:szCs w:val="31"/>
          <w:lang w:val="en-US" w:eastAsia="zh-CN"/>
        </w:rPr>
      </w:pPr>
      <w:r>
        <w:rPr>
          <w:rFonts w:hint="eastAsia" w:ascii="宋体" w:hAnsi="宋体" w:cs="宋体"/>
          <w:b/>
          <w:bCs/>
          <w:snapToGrid w:val="0"/>
          <w:color w:val="000000"/>
          <w:spacing w:val="6"/>
          <w:kern w:val="0"/>
          <w:sz w:val="31"/>
          <w:szCs w:val="31"/>
          <w:lang w:val="en-US" w:eastAsia="zh-CN"/>
        </w:rPr>
        <w:t>附表3：</w:t>
      </w:r>
    </w:p>
    <w:p w14:paraId="49B3F876">
      <w:pPr>
        <w:pStyle w:val="8"/>
        <w:jc w:val="center"/>
        <w:rPr>
          <w:rFonts w:hint="eastAsia" w:hAnsi="宋体"/>
          <w:b/>
        </w:rPr>
      </w:pPr>
      <w:r>
        <w:rPr>
          <w:rFonts w:hint="eastAsia" w:ascii="宋体" w:hAnsi="宋体" w:cs="宋体"/>
          <w:b/>
          <w:bCs/>
          <w:snapToGrid w:val="0"/>
          <w:color w:val="000000"/>
          <w:spacing w:val="6"/>
          <w:kern w:val="0"/>
          <w:sz w:val="31"/>
          <w:szCs w:val="31"/>
          <w:lang w:eastAsia="zh-CN"/>
        </w:rPr>
        <w:t>防城港市港口区人民医院</w:t>
      </w:r>
      <w:r>
        <w:rPr>
          <w:rFonts w:hint="eastAsia" w:ascii="宋体" w:hAnsi="宋体" w:cs="宋体"/>
          <w:b/>
          <w:bCs/>
          <w:snapToGrid w:val="0"/>
          <w:color w:val="000000"/>
          <w:spacing w:val="6"/>
          <w:kern w:val="0"/>
          <w:sz w:val="31"/>
          <w:szCs w:val="31"/>
          <w:lang w:val="en-US" w:eastAsia="zh-CN"/>
        </w:rPr>
        <w:t>电梯操作</w:t>
      </w:r>
      <w:r>
        <w:rPr>
          <w:rFonts w:hint="eastAsia" w:ascii="宋体" w:hAnsi="宋体" w:cs="宋体"/>
          <w:b/>
          <w:bCs/>
          <w:snapToGrid w:val="0"/>
          <w:color w:val="000000"/>
          <w:spacing w:val="6"/>
          <w:kern w:val="0"/>
          <w:sz w:val="31"/>
          <w:szCs w:val="31"/>
          <w:lang w:eastAsia="zh-CN"/>
        </w:rPr>
        <w:t>服务</w:t>
      </w:r>
      <w:r>
        <w:rPr>
          <w:rFonts w:hint="eastAsia" w:ascii="宋体" w:hAnsi="宋体" w:cs="宋体"/>
          <w:b/>
          <w:bCs/>
          <w:snapToGrid w:val="0"/>
          <w:color w:val="000000"/>
          <w:spacing w:val="6"/>
          <w:kern w:val="0"/>
          <w:sz w:val="31"/>
          <w:szCs w:val="31"/>
        </w:rPr>
        <w:t>质量考核评分表（100分）</w:t>
      </w:r>
    </w:p>
    <w:tbl>
      <w:tblPr>
        <w:tblStyle w:val="21"/>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15" w:type="dxa"/>
          <w:left w:w="15" w:type="dxa"/>
          <w:bottom w:w="15" w:type="dxa"/>
          <w:right w:w="15" w:type="dxa"/>
        </w:tblCellMar>
      </w:tblPr>
      <w:tblGrid>
        <w:gridCol w:w="531"/>
        <w:gridCol w:w="840"/>
        <w:gridCol w:w="3675"/>
        <w:gridCol w:w="796"/>
        <w:gridCol w:w="434"/>
        <w:gridCol w:w="2730"/>
        <w:gridCol w:w="770"/>
      </w:tblGrid>
      <w:tr w14:paraId="134A04B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rPr>
        <w:tc>
          <w:tcPr>
            <w:tcW w:w="531" w:type="dxa"/>
            <w:tcBorders>
              <w:top w:val="single" w:color="auto" w:sz="4" w:space="0"/>
              <w:left w:val="single" w:color="auto" w:sz="4" w:space="0"/>
              <w:bottom w:val="single" w:color="auto" w:sz="4" w:space="0"/>
              <w:right w:val="single" w:color="auto" w:sz="4" w:space="0"/>
            </w:tcBorders>
            <w:noWrap w:val="0"/>
            <w:vAlign w:val="center"/>
          </w:tcPr>
          <w:p w14:paraId="2F50AA01">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F72A526">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考核模块</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66DC349F">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考核内容及标准</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51FFDCB">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考核方式</w:t>
            </w:r>
          </w:p>
        </w:tc>
        <w:tc>
          <w:tcPr>
            <w:tcW w:w="434" w:type="dxa"/>
            <w:tcBorders>
              <w:top w:val="single" w:color="auto" w:sz="4" w:space="0"/>
              <w:left w:val="single" w:color="auto" w:sz="4" w:space="0"/>
              <w:bottom w:val="single" w:color="auto" w:sz="4" w:space="0"/>
              <w:right w:val="single" w:color="auto" w:sz="4" w:space="0"/>
            </w:tcBorders>
            <w:noWrap w:val="0"/>
            <w:vAlign w:val="center"/>
          </w:tcPr>
          <w:p w14:paraId="65B3DBAF">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分值</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6740CA39">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扣分细则</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9E12A3">
            <w:pPr>
              <w:keepNext w:val="0"/>
              <w:keepLines w:val="0"/>
              <w:widowControl/>
              <w:suppressLineNumbers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得分</w:t>
            </w:r>
          </w:p>
        </w:tc>
      </w:tr>
      <w:tr w14:paraId="711DB6E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003EA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D8DC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rPr>
                <w:rFonts w:hint="default" w:eastAsia="宋体"/>
                <w:lang w:val="en-US" w:eastAsia="zh-CN"/>
              </w:rPr>
            </w:pPr>
            <w:r>
              <w:rPr>
                <w:rFonts w:hint="eastAsia"/>
                <w:lang w:val="en-US" w:eastAsia="zh-CN"/>
              </w:rPr>
              <w:t>电梯日常运行（40分）</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7A4D2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 普通梯：运行前检查合格率 100%，超载率 0%，文明服务，投诉率≤0.3 次 / 月 / 梯2. 医护梯：急救转运响应≤1 分钟，物资无混装3. 污物梯：专用不载人 / 混装，使用后即消毒 + 每日终末消毒，记录完整率 100%</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663A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现场核查 + 查台账 + 调监控</w:t>
            </w:r>
          </w:p>
        </w:tc>
        <w:tc>
          <w:tcPr>
            <w:tcW w:w="434" w:type="dxa"/>
            <w:tcBorders>
              <w:top w:val="single" w:color="auto" w:sz="4" w:space="0"/>
              <w:left w:val="single" w:color="auto" w:sz="4" w:space="0"/>
              <w:bottom w:val="single" w:color="auto" w:sz="4" w:space="0"/>
              <w:right w:val="single" w:color="auto" w:sz="4" w:space="0"/>
            </w:tcBorders>
            <w:noWrap w:val="0"/>
            <w:vAlign w:val="center"/>
          </w:tcPr>
          <w:p w14:paraId="4CF8B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40</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16468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 普通梯检查不合格 1 项扣 5 分，超载 1 次扣 10 分，投诉超标扣 8 分2. 医护梯响应超时 / 物资混装 1 次扣 10 分3. 污物梯违规使用 1 次扣 15 分，消毒 / 记录缺失 1 项扣 5 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7461DE">
            <w:pPr>
              <w:keepNext w:val="0"/>
              <w:keepLines w:val="0"/>
              <w:pageBreakBefore w:val="0"/>
              <w:kinsoku/>
              <w:wordWrap/>
              <w:overflowPunct/>
              <w:topLinePunct w:val="0"/>
              <w:autoSpaceDE/>
              <w:autoSpaceDN/>
              <w:bidi w:val="0"/>
              <w:adjustRightInd/>
              <w:snapToGrid/>
              <w:spacing w:line="360" w:lineRule="exact"/>
              <w:jc w:val="center"/>
              <w:rPr>
                <w:rFonts w:hint="eastAsia" w:ascii="宋体"/>
                <w:sz w:val="24"/>
                <w:szCs w:val="24"/>
              </w:rPr>
            </w:pPr>
          </w:p>
        </w:tc>
      </w:tr>
      <w:tr w14:paraId="1328CC4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32A09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6E2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rPr>
                <w:rFonts w:hint="default" w:eastAsia="宋体"/>
                <w:lang w:val="en-US" w:eastAsia="zh-CN"/>
              </w:rPr>
            </w:pPr>
            <w:r>
              <w:rPr>
                <w:rFonts w:hint="eastAsia"/>
                <w:lang w:val="en-US" w:eastAsia="zh-CN"/>
              </w:rPr>
              <w:t>应急处置（30分）</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372F8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 困人救援：普通乘客 5 分钟到场 / 30 分钟救援；危重患者 2 分钟到场 + 联动医护 / 维保2. 故障上报：10 分钟内报物业 / 维保 / 院感科，设警示标识3. 应急演练：每季度 1 次联合演练，达标率 100%</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67A8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查救援 / 上报记录 + 模拟测试</w:t>
            </w:r>
          </w:p>
        </w:tc>
        <w:tc>
          <w:tcPr>
            <w:tcW w:w="434" w:type="dxa"/>
            <w:tcBorders>
              <w:top w:val="single" w:color="auto" w:sz="4" w:space="0"/>
              <w:left w:val="single" w:color="auto" w:sz="4" w:space="0"/>
              <w:bottom w:val="single" w:color="auto" w:sz="4" w:space="0"/>
              <w:right w:val="single" w:color="auto" w:sz="4" w:space="0"/>
            </w:tcBorders>
            <w:noWrap w:val="0"/>
            <w:vAlign w:val="center"/>
          </w:tcPr>
          <w:p w14:paraId="0CB32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30</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96B4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 救援超时 1 次扣 8 分，危重救援未联动扣 10 分2. 故障上报超时 / 漏报 / 未设警示 1 次扣 8 分3. 缺席演练 / 未达标 1 次扣 10 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6037D81">
            <w:pPr>
              <w:keepNext w:val="0"/>
              <w:keepLines w:val="0"/>
              <w:pageBreakBefore w:val="0"/>
              <w:kinsoku/>
              <w:wordWrap/>
              <w:overflowPunct/>
              <w:topLinePunct w:val="0"/>
              <w:autoSpaceDE/>
              <w:autoSpaceDN/>
              <w:bidi w:val="0"/>
              <w:adjustRightInd/>
              <w:snapToGrid/>
              <w:spacing w:line="360" w:lineRule="exact"/>
              <w:jc w:val="center"/>
              <w:rPr>
                <w:rFonts w:hint="eastAsia" w:ascii="宋体"/>
                <w:sz w:val="24"/>
                <w:szCs w:val="24"/>
              </w:rPr>
            </w:pPr>
          </w:p>
        </w:tc>
      </w:tr>
      <w:tr w14:paraId="3BEC8C8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317FD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BA11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rPr>
                <w:rFonts w:hint="default" w:eastAsia="宋体"/>
                <w:lang w:val="en-US" w:eastAsia="zh-CN"/>
              </w:rPr>
            </w:pPr>
            <w:r>
              <w:rPr>
                <w:rFonts w:hint="eastAsia"/>
                <w:lang w:val="en-US" w:eastAsia="zh-CN"/>
              </w:rPr>
              <w:t>消毒通风管理（30分）</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51A08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 消毒频率：普通梯 / 医护梯按规定频次消毒，高峰加密2. 消毒标准：500mg/L 含氯消毒剂，符合规范，记录可追溯3. 通风：24 小时开启，轿厢无异味</w:t>
            </w:r>
            <w:r>
              <w:rPr>
                <w:rFonts w:hint="eastAsia" w:ascii="宋体" w:hAnsi="宋体" w:eastAsia="宋体" w:cs="宋体"/>
                <w:kern w:val="0"/>
                <w:sz w:val="24"/>
                <w:szCs w:val="24"/>
                <w:lang w:val="en-US" w:eastAsia="zh-CN" w:bidi="ar"/>
              </w:rPr>
              <w:t>。</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0003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查消毒记录 + 现场检测</w:t>
            </w:r>
          </w:p>
        </w:tc>
        <w:tc>
          <w:tcPr>
            <w:tcW w:w="434" w:type="dxa"/>
            <w:tcBorders>
              <w:top w:val="single" w:color="auto" w:sz="4" w:space="0"/>
              <w:left w:val="single" w:color="auto" w:sz="4" w:space="0"/>
              <w:bottom w:val="single" w:color="auto" w:sz="4" w:space="0"/>
              <w:right w:val="single" w:color="auto" w:sz="4" w:space="0"/>
            </w:tcBorders>
            <w:noWrap w:val="0"/>
            <w:vAlign w:val="center"/>
          </w:tcPr>
          <w:p w14:paraId="77CBB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30</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6B5B4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pPr>
            <w:r>
              <w:rPr>
                <w:rFonts w:ascii="宋体" w:hAnsi="宋体" w:eastAsia="宋体" w:cs="宋体"/>
                <w:kern w:val="0"/>
                <w:sz w:val="24"/>
                <w:szCs w:val="24"/>
                <w:lang w:val="en-US" w:eastAsia="zh-CN" w:bidi="ar"/>
              </w:rPr>
              <w:t>1. 消毒频次不达标 1 次扣 6 分2. 消毒剂不符 / 记录不可追溯扣 10 分3. 通风未开启 / 轿厢有异味扣 8 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5C555FD">
            <w:pPr>
              <w:keepNext w:val="0"/>
              <w:keepLines w:val="0"/>
              <w:pageBreakBefore w:val="0"/>
              <w:kinsoku/>
              <w:wordWrap/>
              <w:overflowPunct/>
              <w:topLinePunct w:val="0"/>
              <w:autoSpaceDE/>
              <w:autoSpaceDN/>
              <w:bidi w:val="0"/>
              <w:adjustRightInd/>
              <w:snapToGrid/>
              <w:spacing w:line="360" w:lineRule="exact"/>
              <w:jc w:val="center"/>
              <w:rPr>
                <w:rFonts w:hint="eastAsia" w:ascii="宋体"/>
                <w:sz w:val="24"/>
                <w:szCs w:val="24"/>
              </w:rPr>
            </w:pPr>
          </w:p>
        </w:tc>
      </w:tr>
    </w:tbl>
    <w:p w14:paraId="59FA0A14">
      <w:pPr>
        <w:pStyle w:val="20"/>
        <w:keepNext w:val="0"/>
        <w:keepLines w:val="0"/>
        <w:pageBreakBefore w:val="0"/>
        <w:kinsoku/>
        <w:wordWrap/>
        <w:overflowPunct/>
        <w:topLinePunct w:val="0"/>
        <w:autoSpaceDE/>
        <w:autoSpaceDN/>
        <w:bidi w:val="0"/>
        <w:adjustRightInd/>
        <w:snapToGrid/>
        <w:spacing w:line="360" w:lineRule="exact"/>
        <w:jc w:val="both"/>
        <w:rPr>
          <w:rFonts w:hint="eastAsia"/>
        </w:rPr>
      </w:pPr>
      <w:bookmarkStart w:id="47" w:name="_Toc1198"/>
      <w:bookmarkStart w:id="48" w:name="_Toc7228"/>
      <w:r>
        <w:rPr>
          <w:rFonts w:hint="eastAsia" w:asciiTheme="minorEastAsia" w:hAnsiTheme="minorEastAsia" w:eastAsiaTheme="minorEastAsia" w:cstheme="minorEastAsia"/>
          <w:sz w:val="24"/>
          <w:szCs w:val="24"/>
          <w:lang w:val="en-US" w:eastAsia="zh-CN"/>
        </w:rPr>
        <w:t>考核说明：</w:t>
      </w:r>
      <w:r>
        <w:rPr>
          <w:rFonts w:hint="eastAsia" w:asciiTheme="minorEastAsia" w:hAnsiTheme="minorEastAsia" w:eastAsiaTheme="minorEastAsia" w:cstheme="minorEastAsia"/>
          <w:kern w:val="0"/>
          <w:sz w:val="24"/>
          <w:szCs w:val="24"/>
          <w:lang w:val="en-US" w:eastAsia="zh-CN" w:bidi="ar"/>
        </w:rPr>
        <w:t>1. 扣分累计不超过本项分值；2. 出现重大安全事故直接判定不合格；3. 考核结果需双方签</w:t>
      </w:r>
      <w:r>
        <w:rPr>
          <w:rFonts w:ascii="宋体" w:hAnsi="宋体" w:eastAsia="宋体" w:cs="宋体"/>
          <w:kern w:val="0"/>
          <w:sz w:val="24"/>
          <w:szCs w:val="24"/>
          <w:lang w:val="en-US" w:eastAsia="zh-CN" w:bidi="ar"/>
        </w:rPr>
        <w:t>字确认</w:t>
      </w:r>
      <w:r>
        <w:rPr>
          <w:rFonts w:hint="eastAsia" w:ascii="宋体" w:hAnsi="宋体" w:eastAsia="宋体" w:cs="宋体"/>
          <w:kern w:val="0"/>
          <w:sz w:val="24"/>
          <w:szCs w:val="24"/>
          <w:lang w:val="en-US" w:eastAsia="zh-CN" w:bidi="ar"/>
        </w:rPr>
        <w:t>。</w:t>
      </w:r>
      <w:bookmarkEnd w:id="47"/>
      <w:bookmarkEnd w:id="48"/>
    </w:p>
    <w:tbl>
      <w:tblPr>
        <w:tblStyle w:val="21"/>
        <w:tblW w:w="0" w:type="auto"/>
        <w:tblInd w:w="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autofit"/>
        <w:tblCellMar>
          <w:top w:w="15" w:type="dxa"/>
          <w:left w:w="15" w:type="dxa"/>
          <w:bottom w:w="15" w:type="dxa"/>
          <w:right w:w="15" w:type="dxa"/>
        </w:tblCellMar>
      </w:tblPr>
      <w:tblGrid>
        <w:gridCol w:w="1086"/>
        <w:gridCol w:w="1905"/>
        <w:gridCol w:w="1845"/>
        <w:gridCol w:w="5150"/>
      </w:tblGrid>
      <w:tr w14:paraId="48E8C90D">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086"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0D24D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考核周期</w:t>
            </w:r>
          </w:p>
        </w:tc>
        <w:tc>
          <w:tcPr>
            <w:tcW w:w="190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66FA2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月度 □ 季度 □ 年度 □</w:t>
            </w:r>
          </w:p>
        </w:tc>
        <w:tc>
          <w:tcPr>
            <w:tcW w:w="184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7CB84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考核人</w:t>
            </w:r>
          </w:p>
        </w:tc>
        <w:tc>
          <w:tcPr>
            <w:tcW w:w="5150"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32201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物业经理 / 直属主管</w:t>
            </w:r>
          </w:p>
        </w:tc>
      </w:tr>
      <w:tr w14:paraId="541115D8">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086"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0A449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被考核人</w:t>
            </w:r>
          </w:p>
        </w:tc>
        <w:tc>
          <w:tcPr>
            <w:tcW w:w="190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2BA3A61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rPr>
            </w:pPr>
          </w:p>
        </w:tc>
        <w:tc>
          <w:tcPr>
            <w:tcW w:w="184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517C3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考核日期</w:t>
            </w:r>
          </w:p>
        </w:tc>
        <w:tc>
          <w:tcPr>
            <w:tcW w:w="5150"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4690AB1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rPr>
            </w:pPr>
          </w:p>
        </w:tc>
      </w:tr>
      <w:tr w14:paraId="139CBD47">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086"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6C813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所在岗位</w:t>
            </w:r>
          </w:p>
        </w:tc>
        <w:tc>
          <w:tcPr>
            <w:tcW w:w="190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53CDC2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ascii="宋体" w:hAnsi="宋体" w:eastAsia="宋体" w:cs="宋体"/>
                <w:kern w:val="0"/>
                <w:sz w:val="24"/>
                <w:szCs w:val="24"/>
                <w:lang w:val="en-US" w:eastAsia="zh-CN" w:bidi="ar"/>
              </w:rPr>
              <w:t>电梯管理员 / 操作员</w:t>
            </w:r>
          </w:p>
        </w:tc>
        <w:tc>
          <w:tcPr>
            <w:tcW w:w="184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4A8D5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考核范围</w:t>
            </w:r>
          </w:p>
        </w:tc>
        <w:tc>
          <w:tcPr>
            <w:tcW w:w="5150"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128E0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sz w:val="21"/>
                <w:szCs w:val="21"/>
              </w:rPr>
            </w:pPr>
          </w:p>
        </w:tc>
      </w:tr>
      <w:tr w14:paraId="40A6DD9A">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086"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11A1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kern w:val="0"/>
                <w:sz w:val="21"/>
                <w:szCs w:val="21"/>
                <w:lang w:val="en-US" w:eastAsia="zh-CN" w:bidi="ar"/>
              </w:rPr>
            </w:pPr>
          </w:p>
        </w:tc>
        <w:tc>
          <w:tcPr>
            <w:tcW w:w="190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4389C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kern w:val="0"/>
                <w:sz w:val="21"/>
                <w:szCs w:val="21"/>
                <w:lang w:val="en-US" w:eastAsia="zh-CN" w:bidi="ar"/>
              </w:rPr>
            </w:pPr>
          </w:p>
        </w:tc>
        <w:tc>
          <w:tcPr>
            <w:tcW w:w="1845"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20D7D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kern w:val="0"/>
                <w:sz w:val="21"/>
                <w:szCs w:val="21"/>
                <w:lang w:val="en-US" w:eastAsia="zh-CN" w:bidi="ar"/>
              </w:rPr>
            </w:pPr>
          </w:p>
        </w:tc>
        <w:tc>
          <w:tcPr>
            <w:tcW w:w="5150" w:type="dxa"/>
            <w:tcBorders>
              <w:top w:val="single" w:color="auto" w:sz="4" w:space="0"/>
              <w:left w:val="single" w:color="auto" w:sz="4" w:space="0"/>
              <w:bottom w:val="single" w:color="auto" w:sz="4" w:space="0"/>
              <w:right w:val="single" w:color="auto" w:sz="4" w:space="0"/>
            </w:tcBorders>
            <w:noWrap w:val="0"/>
            <w:tcMar>
              <w:top w:w="135" w:type="dxa"/>
              <w:left w:w="120" w:type="dxa"/>
              <w:bottom w:w="135" w:type="dxa"/>
              <w:right w:w="120" w:type="dxa"/>
            </w:tcMar>
            <w:vAlign w:val="top"/>
          </w:tcPr>
          <w:p w14:paraId="18ECF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top"/>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优秀（≥90） □良好（80-89） □合格（70-79） □不合格（＜70）</w:t>
            </w:r>
          </w:p>
        </w:tc>
      </w:tr>
    </w:tbl>
    <w:p w14:paraId="1AE7F0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Theme="minorEastAsia"/>
          <w:color w:val="0D0D0D"/>
          <w:szCs w:val="21"/>
          <w:lang w:eastAsia="zh-CN"/>
        </w:rPr>
      </w:pPr>
      <w:r>
        <w:rPr>
          <w:rFonts w:hint="eastAsia" w:ascii="宋体" w:hAnsi="宋体"/>
          <w:color w:val="0D0D0D"/>
          <w:szCs w:val="21"/>
        </w:rPr>
        <w:t>保洁</w:t>
      </w:r>
      <w:r>
        <w:rPr>
          <w:rFonts w:hint="eastAsia" w:ascii="宋体" w:hAnsi="宋体"/>
          <w:color w:val="0D0D0D"/>
          <w:szCs w:val="21"/>
          <w:lang w:val="en-US" w:eastAsia="zh-CN"/>
        </w:rPr>
        <w:t>服务、秩序维护、电梯操作</w:t>
      </w:r>
      <w:r>
        <w:rPr>
          <w:rFonts w:hint="eastAsia" w:ascii="宋体" w:hAnsi="宋体"/>
          <w:color w:val="0D0D0D"/>
          <w:szCs w:val="21"/>
        </w:rPr>
        <w:t>质量考核扣罚标准</w:t>
      </w:r>
      <w:r>
        <w:rPr>
          <w:rFonts w:hint="eastAsia" w:ascii="宋体" w:hAnsi="宋体"/>
          <w:color w:val="0D0D0D"/>
          <w:szCs w:val="21"/>
          <w:lang w:eastAsia="zh-CN"/>
        </w:rPr>
        <w:t>：</w:t>
      </w:r>
    </w:p>
    <w:p w14:paraId="4446B3F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1.</w:t>
      </w:r>
      <w:r>
        <w:rPr>
          <w:rFonts w:hint="eastAsia" w:ascii="宋体" w:hAnsi="宋体"/>
          <w:color w:val="0D0D0D"/>
          <w:szCs w:val="21"/>
          <w:lang w:val="en-US" w:eastAsia="zh-CN"/>
        </w:rPr>
        <w:t>秩序员</w:t>
      </w:r>
      <w:r>
        <w:rPr>
          <w:rFonts w:hint="eastAsia" w:ascii="宋体" w:hAnsi="宋体"/>
          <w:color w:val="0D0D0D"/>
          <w:szCs w:val="21"/>
        </w:rPr>
        <w:t>和保洁服务</w:t>
      </w:r>
      <w:r>
        <w:rPr>
          <w:rFonts w:hint="eastAsia" w:ascii="宋体" w:hAnsi="宋体"/>
          <w:color w:val="0D0D0D"/>
          <w:szCs w:val="21"/>
          <w:lang w:eastAsia="zh-CN"/>
        </w:rPr>
        <w:t>、</w:t>
      </w:r>
      <w:r>
        <w:rPr>
          <w:rFonts w:hint="eastAsia" w:ascii="宋体" w:hAnsi="宋体"/>
          <w:color w:val="0D0D0D"/>
          <w:szCs w:val="21"/>
          <w:lang w:val="en-US" w:eastAsia="zh-CN"/>
        </w:rPr>
        <w:t>电梯操作</w:t>
      </w:r>
      <w:r>
        <w:rPr>
          <w:rFonts w:hint="eastAsia" w:ascii="宋体" w:hAnsi="宋体"/>
          <w:color w:val="0D0D0D"/>
          <w:szCs w:val="21"/>
        </w:rPr>
        <w:t>质量考核内容评分最终得分平均值，标准分为 100分，90分以上（含90）为达标，80分—89分按每分100元扣除服务费，70分-79分按每分150元扣除服务费，60分—69分按月保洁费85%支付，60分以下按月保洁费70%支付，连续超过3个月处于60分以下且经医院约谈后拒不整改的，医院按合同规定解除合同；</w:t>
      </w:r>
    </w:p>
    <w:p w14:paraId="4221910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2.保洁服务质量考核每月由后勤保障科、医院感染管理科、护理部等人员不定期考核1次；</w:t>
      </w:r>
    </w:p>
    <w:p w14:paraId="4BE941E0">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3.</w:t>
      </w:r>
      <w:r>
        <w:rPr>
          <w:rFonts w:hint="eastAsia" w:ascii="宋体" w:hAnsi="宋体"/>
          <w:color w:val="0D0D0D"/>
          <w:szCs w:val="21"/>
          <w:lang w:val="en-US" w:eastAsia="zh-CN"/>
        </w:rPr>
        <w:t>秩序维护</w:t>
      </w:r>
      <w:r>
        <w:rPr>
          <w:rFonts w:hint="eastAsia" w:ascii="宋体" w:hAnsi="宋体"/>
          <w:color w:val="0D0D0D"/>
          <w:szCs w:val="21"/>
        </w:rPr>
        <w:t>服务质量考核标准每月由后勤保障科不定期考核1次；</w:t>
      </w:r>
    </w:p>
    <w:p w14:paraId="1ACBD10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0D0D0D"/>
          <w:szCs w:val="21"/>
        </w:rPr>
      </w:pPr>
      <w:r>
        <w:rPr>
          <w:rFonts w:hint="eastAsia" w:ascii="宋体" w:hAnsi="宋体"/>
          <w:color w:val="0D0D0D"/>
          <w:szCs w:val="21"/>
        </w:rPr>
        <w:t>4.</w:t>
      </w:r>
      <w:r>
        <w:rPr>
          <w:rFonts w:hint="eastAsia" w:ascii="宋体" w:hAnsi="宋体"/>
          <w:color w:val="0D0D0D"/>
          <w:szCs w:val="21"/>
          <w:lang w:val="en-US" w:eastAsia="zh-CN"/>
        </w:rPr>
        <w:t>电梯操作</w:t>
      </w:r>
      <w:r>
        <w:rPr>
          <w:rFonts w:hint="eastAsia" w:ascii="宋体" w:hAnsi="宋体"/>
          <w:color w:val="0D0D0D"/>
          <w:szCs w:val="21"/>
        </w:rPr>
        <w:t>服务质量考核标准每月由后勤保障科不定期考核1次；</w:t>
      </w:r>
    </w:p>
    <w:p w14:paraId="1A778827">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eastAsia" w:ascii="宋体" w:hAnsi="宋体"/>
          <w:color w:val="0D0D0D"/>
          <w:szCs w:val="21"/>
          <w:lang w:val="en-US" w:eastAsia="zh-CN"/>
        </w:rPr>
        <w:t>5.</w:t>
      </w:r>
      <w:r>
        <w:rPr>
          <w:rFonts w:hint="eastAsia" w:ascii="宋体" w:hAnsi="宋体"/>
          <w:color w:val="0D0D0D"/>
          <w:szCs w:val="21"/>
        </w:rPr>
        <w:t>对考核扣分存在问题，除按第一条扣除服务费以外，保洁公司还要组织整改，并将整改落实情况书面交医院后勤保障科备存。</w:t>
      </w:r>
    </w:p>
    <w:p w14:paraId="4B10D5F2">
      <w:r>
        <w:br w:type="page"/>
      </w:r>
    </w:p>
    <w:p w14:paraId="3EC20B02">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bookmarkStart w:id="49" w:name="_Toc32381"/>
      <w:r>
        <w:rPr>
          <w:rFonts w:hint="eastAsia" w:ascii="宋体" w:hAnsi="宋体" w:eastAsia="宋体" w:cs="宋体"/>
          <w:b/>
          <w:bCs/>
          <w:color w:val="auto"/>
          <w:kern w:val="44"/>
          <w:sz w:val="44"/>
          <w:szCs w:val="44"/>
          <w:lang w:val="en-US" w:eastAsia="zh-CN" w:bidi="ar-SA"/>
        </w:rPr>
        <w:t>第三章</w:t>
      </w:r>
      <w:r>
        <w:rPr>
          <w:rFonts w:hint="eastAsia" w:ascii="宋体" w:hAnsi="宋体" w:eastAsia="宋体" w:cs="宋体"/>
          <w:color w:val="auto"/>
          <w:sz w:val="44"/>
          <w:szCs w:val="44"/>
          <w:highlight w:val="none"/>
          <w:lang w:val="en-US" w:eastAsia="zh-CN"/>
        </w:rPr>
        <w:t xml:space="preserve"> </w:t>
      </w:r>
      <w:bookmarkStart w:id="50" w:name="_Toc29035"/>
      <w:r>
        <w:rPr>
          <w:rFonts w:hint="eastAsia" w:ascii="宋体" w:hAnsi="宋体" w:eastAsia="宋体" w:cs="宋体"/>
          <w:color w:val="auto"/>
          <w:sz w:val="44"/>
          <w:szCs w:val="44"/>
          <w:highlight w:val="none"/>
        </w:rPr>
        <w:t>投标人须知</w:t>
      </w:r>
      <w:bookmarkEnd w:id="49"/>
      <w:bookmarkEnd w:id="50"/>
    </w:p>
    <w:p w14:paraId="1EF98BBA">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1" w:name="_Toc254970526"/>
      <w:bookmarkStart w:id="52" w:name="_Toc254970667"/>
      <w:r>
        <w:rPr>
          <w:rFonts w:hint="eastAsia" w:ascii="宋体" w:hAnsi="宋体" w:eastAsia="宋体" w:cs="宋体"/>
          <w:b/>
          <w:bCs/>
          <w:color w:val="auto"/>
          <w:sz w:val="24"/>
          <w:szCs w:val="24"/>
          <w:highlight w:val="none"/>
        </w:rPr>
        <w:t>投标人须知前附表</w:t>
      </w:r>
      <w:bookmarkEnd w:id="51"/>
      <w:bookmarkEnd w:id="52"/>
    </w:p>
    <w:tbl>
      <w:tblPr>
        <w:tblStyle w:val="2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1"/>
        <w:gridCol w:w="9377"/>
      </w:tblGrid>
      <w:tr w14:paraId="5FAFA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22DFA42">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0" w:type="auto"/>
            <w:tcBorders>
              <w:top w:val="single" w:color="auto" w:sz="4" w:space="0"/>
              <w:left w:val="single" w:color="auto" w:sz="4" w:space="0"/>
              <w:bottom w:val="single" w:color="auto" w:sz="4" w:space="0"/>
              <w:right w:val="single" w:color="auto" w:sz="4" w:space="0"/>
            </w:tcBorders>
            <w:vAlign w:val="center"/>
          </w:tcPr>
          <w:p w14:paraId="7FC2C7DE">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0C890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FD79C2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tcBorders>
              <w:top w:val="single" w:color="auto" w:sz="4" w:space="0"/>
              <w:left w:val="single" w:color="auto" w:sz="4" w:space="0"/>
              <w:bottom w:val="single" w:color="auto" w:sz="4" w:space="0"/>
              <w:right w:val="single" w:color="auto" w:sz="4" w:space="0"/>
            </w:tcBorders>
            <w:vAlign w:val="center"/>
          </w:tcPr>
          <w:p w14:paraId="39B184A9">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70323411">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14:paraId="5477F25D">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837571">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4302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1D7E633">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3" w:name="_5"/>
            <w:bookmarkEnd w:id="53"/>
            <w:bookmarkStart w:id="54" w:name="_8.1"/>
            <w:bookmarkEnd w:id="54"/>
            <w:bookmarkStart w:id="55" w:name="_9.2"/>
            <w:bookmarkEnd w:id="55"/>
            <w:r>
              <w:rPr>
                <w:rFonts w:hint="eastAsia" w:ascii="宋体" w:hAnsi="宋体" w:eastAsia="宋体" w:cs="宋体"/>
                <w:color w:val="auto"/>
                <w:sz w:val="21"/>
                <w:szCs w:val="21"/>
                <w:highlight w:val="none"/>
              </w:rPr>
              <w:t>6.1</w:t>
            </w:r>
          </w:p>
        </w:tc>
        <w:tc>
          <w:tcPr>
            <w:tcW w:w="0" w:type="auto"/>
            <w:tcBorders>
              <w:top w:val="single" w:color="auto" w:sz="4" w:space="0"/>
              <w:left w:val="single" w:color="auto" w:sz="4" w:space="0"/>
              <w:bottom w:val="single" w:color="auto" w:sz="4" w:space="0"/>
              <w:right w:val="single" w:color="auto" w:sz="4" w:space="0"/>
            </w:tcBorders>
            <w:vAlign w:val="center"/>
          </w:tcPr>
          <w:p w14:paraId="3268355A">
            <w:pPr>
              <w:pStyle w:val="6"/>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2EC63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EBBA80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0" w:type="auto"/>
            <w:tcBorders>
              <w:top w:val="single" w:color="auto" w:sz="4" w:space="0"/>
              <w:left w:val="single" w:color="auto" w:sz="4" w:space="0"/>
              <w:bottom w:val="single" w:color="auto" w:sz="4" w:space="0"/>
              <w:right w:val="single" w:color="auto" w:sz="4" w:space="0"/>
            </w:tcBorders>
            <w:vAlign w:val="center"/>
          </w:tcPr>
          <w:p w14:paraId="46FA040C">
            <w:pPr>
              <w:pStyle w:val="6"/>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不允许分包</w:t>
            </w:r>
            <w:r>
              <w:rPr>
                <w:rFonts w:hint="eastAsia" w:ascii="宋体" w:hAnsi="宋体" w:eastAsia="宋体" w:cs="宋体"/>
                <w:color w:val="auto"/>
                <w:sz w:val="21"/>
                <w:szCs w:val="21"/>
                <w:highlight w:val="none"/>
                <w:lang w:eastAsia="zh-CN"/>
              </w:rPr>
              <w:t>。</w:t>
            </w:r>
          </w:p>
        </w:tc>
      </w:tr>
      <w:tr w14:paraId="78986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2E8E6C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0" w:type="auto"/>
            <w:tcBorders>
              <w:top w:val="single" w:color="auto" w:sz="4" w:space="0"/>
              <w:left w:val="single" w:color="auto" w:sz="4" w:space="0"/>
              <w:bottom w:val="single" w:color="auto" w:sz="4" w:space="0"/>
              <w:right w:val="single" w:color="auto" w:sz="4" w:space="0"/>
            </w:tcBorders>
            <w:vAlign w:val="center"/>
          </w:tcPr>
          <w:p w14:paraId="40D2CC84">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w:t>
            </w:r>
          </w:p>
          <w:p w14:paraId="480AD8C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依次按投标报价低的优先、政策分得分高的优先、技术评分高的优先、商务评分高的优先、保修期长优先、交货期短优先、故障响应时间短优先的顺序推荐。</w:t>
            </w:r>
          </w:p>
        </w:tc>
      </w:tr>
      <w:tr w14:paraId="448D1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vMerge w:val="restart"/>
            <w:tcBorders>
              <w:top w:val="single" w:color="auto" w:sz="4" w:space="0"/>
              <w:left w:val="single" w:color="auto" w:sz="4" w:space="0"/>
              <w:right w:val="single" w:color="auto" w:sz="4" w:space="0"/>
            </w:tcBorders>
            <w:vAlign w:val="center"/>
          </w:tcPr>
          <w:p w14:paraId="37D23A4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0" w:type="auto"/>
            <w:tcBorders>
              <w:top w:val="single" w:color="auto" w:sz="4" w:space="0"/>
              <w:left w:val="single" w:color="auto" w:sz="4" w:space="0"/>
              <w:bottom w:val="single" w:color="auto" w:sz="4" w:space="0"/>
              <w:right w:val="single" w:color="auto" w:sz="4" w:space="0"/>
            </w:tcBorders>
            <w:vAlign w:val="center"/>
          </w:tcPr>
          <w:p w14:paraId="3FDA053A">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tc>
      </w:tr>
      <w:tr w14:paraId="2C161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vMerge w:val="continue"/>
            <w:tcBorders>
              <w:left w:val="single" w:color="auto" w:sz="4" w:space="0"/>
              <w:bottom w:val="single" w:color="auto" w:sz="4" w:space="0"/>
              <w:right w:val="single" w:color="auto" w:sz="4" w:space="0"/>
            </w:tcBorders>
            <w:vAlign w:val="center"/>
          </w:tcPr>
          <w:p w14:paraId="3442DC8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AFECBDA">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tc>
      </w:tr>
      <w:tr w14:paraId="10A75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single" w:color="auto" w:sz="4" w:space="0"/>
              <w:right w:val="single" w:color="auto" w:sz="4" w:space="0"/>
            </w:tcBorders>
            <w:vAlign w:val="center"/>
          </w:tcPr>
          <w:p w14:paraId="064F8E09">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6" w:name="_13.1"/>
            <w:bookmarkEnd w:id="56"/>
            <w:r>
              <w:rPr>
                <w:rFonts w:hint="eastAsia" w:ascii="宋体" w:hAnsi="宋体" w:eastAsia="宋体" w:cs="宋体"/>
                <w:color w:val="auto"/>
                <w:sz w:val="21"/>
                <w:szCs w:val="21"/>
                <w:highlight w:val="none"/>
              </w:rPr>
              <w:t>13</w:t>
            </w:r>
          </w:p>
        </w:tc>
        <w:tc>
          <w:tcPr>
            <w:tcW w:w="0" w:type="auto"/>
            <w:tcBorders>
              <w:top w:val="single" w:color="auto" w:sz="4" w:space="0"/>
              <w:left w:val="single" w:color="auto" w:sz="4" w:space="0"/>
              <w:bottom w:val="single" w:color="auto" w:sz="4" w:space="0"/>
              <w:right w:val="single" w:color="auto" w:sz="4" w:space="0"/>
            </w:tcBorders>
            <w:vAlign w:val="center"/>
          </w:tcPr>
          <w:p w14:paraId="4A292D5C">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2544FA41">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1747E943">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rPr>
            </w:pPr>
            <w:bookmarkStart w:id="57" w:name="_Hlk71299233"/>
            <w:r>
              <w:rPr>
                <w:rFonts w:hint="eastAsia" w:ascii="宋体" w:hAnsi="宋体" w:eastAsia="宋体" w:cs="宋体"/>
                <w:color w:val="auto"/>
                <w:sz w:val="21"/>
                <w:szCs w:val="21"/>
                <w:highlight w:val="none"/>
              </w:rPr>
              <w:t>2.</w:t>
            </w:r>
            <w:bookmarkEnd w:id="57"/>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p>
          <w:p w14:paraId="093D7536">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3.投标人针对报价需要说明的其他文件和说明（格式自拟）。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42D347DC">
            <w:pPr>
              <w:keepNext w:val="0"/>
              <w:keepLines w:val="0"/>
              <w:pageBreakBefore w:val="0"/>
              <w:widowControl w:val="0"/>
              <w:tabs>
                <w:tab w:val="left" w:pos="459"/>
              </w:tabs>
              <w:kinsoku/>
              <w:wordWrap/>
              <w:overflowPunct/>
              <w:topLinePunct w:val="0"/>
              <w:bidi w:val="0"/>
              <w:adjustRightInd/>
              <w:snapToGrid w:val="0"/>
              <w:spacing w:line="360" w:lineRule="exact"/>
              <w:jc w:val="left"/>
              <w:rPr>
                <w:rFonts w:hint="eastAsia"/>
              </w:rPr>
            </w:pPr>
            <w:r>
              <w:rPr>
                <w:rFonts w:hint="eastAsia" w:ascii="宋体" w:hAnsi="宋体" w:eastAsia="宋体" w:cs="宋体"/>
                <w:b/>
                <w:bCs/>
                <w:color w:val="auto"/>
                <w:sz w:val="21"/>
                <w:szCs w:val="21"/>
                <w:highlight w:val="none"/>
              </w:rPr>
              <w:t>注：以上标明“必须提供”的材料属于复印件的，必须加盖投标人公章，否则按无效投标处理。</w:t>
            </w:r>
          </w:p>
        </w:tc>
      </w:tr>
      <w:tr w14:paraId="2FFE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96016AF">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58" w:name="_13.2"/>
            <w:bookmarkEnd w:id="58"/>
          </w:p>
        </w:tc>
        <w:tc>
          <w:tcPr>
            <w:tcW w:w="0" w:type="auto"/>
            <w:tcBorders>
              <w:top w:val="single" w:color="auto" w:sz="4" w:space="0"/>
              <w:left w:val="single" w:color="auto" w:sz="4" w:space="0"/>
              <w:bottom w:val="single" w:color="auto" w:sz="4" w:space="0"/>
              <w:right w:val="single" w:color="auto" w:sz="4" w:space="0"/>
            </w:tcBorders>
            <w:vAlign w:val="center"/>
          </w:tcPr>
          <w:p w14:paraId="123ED325">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03693D74">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相关注册或登记等证明材料，其中：投标人是企业（包括合伙企业）的，应提供其在工商部门注册的有效“企业法人营业执照”或“营业执照”的复印件；投标人是事业单位的，应提供其有效的“事业单位法人证书”复印件；投标人是非企业专业服务机构的，应提供其有效的执业许可证复印件；投标人是个体工商户的，应提供其有效的“个体工商户营业执照”复印件</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（必须提供，否则按无效投标处理）</w:t>
            </w:r>
          </w:p>
          <w:p w14:paraId="2241BEC4">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.防城港市政府采购供应商信用承诺函（格式后附）；</w:t>
            </w:r>
            <w:r>
              <w:rPr>
                <w:rFonts w:hint="eastAsia" w:ascii="宋体" w:hAnsi="宋体" w:eastAsia="宋体" w:cs="宋体"/>
                <w:b/>
                <w:bCs/>
                <w:color w:val="auto"/>
                <w:sz w:val="21"/>
                <w:szCs w:val="21"/>
                <w:highlight w:val="none"/>
              </w:rPr>
              <w:t>（必须提供，否则按无效投标处理）</w:t>
            </w:r>
          </w:p>
          <w:p w14:paraId="2D0F8E09">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bCs/>
                <w:color w:val="auto"/>
                <w:sz w:val="21"/>
                <w:szCs w:val="21"/>
                <w:highlight w:val="none"/>
              </w:rPr>
              <w:t>（必须提供，否则按无效投标处理）</w:t>
            </w:r>
          </w:p>
          <w:p w14:paraId="2840617B">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.投标声明（格式后附）；</w:t>
            </w:r>
            <w:r>
              <w:rPr>
                <w:rFonts w:hint="eastAsia" w:ascii="宋体" w:hAnsi="宋体" w:eastAsia="宋体" w:cs="宋体"/>
                <w:b/>
                <w:bCs/>
                <w:color w:val="auto"/>
                <w:sz w:val="21"/>
                <w:szCs w:val="21"/>
                <w:highlight w:val="none"/>
              </w:rPr>
              <w:t>（必须提供，否则按无效投标处理）</w:t>
            </w:r>
          </w:p>
          <w:p w14:paraId="7EB2195B">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bCs/>
                <w:color w:val="auto"/>
                <w:sz w:val="21"/>
                <w:szCs w:val="21"/>
                <w:highlight w:val="none"/>
                <w:lang w:val="en-US" w:eastAsia="zh-CN"/>
              </w:rPr>
              <w:t>中小</w:t>
            </w:r>
            <w:r>
              <w:rPr>
                <w:rFonts w:hint="eastAsia" w:ascii="宋体" w:hAnsi="宋体" w:eastAsia="宋体" w:cs="宋体"/>
                <w:bCs/>
                <w:color w:val="auto"/>
                <w:sz w:val="21"/>
                <w:szCs w:val="21"/>
                <w:highlight w:val="none"/>
              </w:rPr>
              <w:t>企业声明函或监狱企业证明材料或</w:t>
            </w:r>
            <w:r>
              <w:rPr>
                <w:rFonts w:hint="eastAsia" w:ascii="宋体" w:hAnsi="宋体" w:cs="宋体"/>
                <w:bCs/>
                <w:color w:val="auto"/>
                <w:sz w:val="21"/>
                <w:szCs w:val="21"/>
                <w:highlight w:val="none"/>
                <w:lang w:val="en-US" w:eastAsia="zh-CN"/>
              </w:rPr>
              <w:t>残疾人福利性单位声明函</w:t>
            </w:r>
            <w:r>
              <w:rPr>
                <w:rFonts w:hint="eastAsia" w:ascii="宋体" w:hAnsi="宋体" w:eastAsia="宋体" w:cs="宋体"/>
                <w:color w:val="auto"/>
                <w:sz w:val="21"/>
                <w:szCs w:val="21"/>
                <w:highlight w:val="none"/>
              </w:rPr>
              <w:t>（格式后附）；</w:t>
            </w:r>
            <w:r>
              <w:rPr>
                <w:rFonts w:hint="eastAsia" w:ascii="宋体" w:hAnsi="宋体" w:eastAsia="宋体" w:cs="宋体"/>
                <w:b/>
                <w:bCs/>
                <w:color w:val="auto"/>
                <w:sz w:val="21"/>
                <w:szCs w:val="21"/>
                <w:highlight w:val="none"/>
              </w:rPr>
              <w:t>（必须提供，否则按无效投标处理）</w:t>
            </w:r>
          </w:p>
          <w:p w14:paraId="33D1AEF7">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b w:val="0"/>
                <w:bCs/>
                <w:color w:val="auto"/>
                <w:highlight w:val="none"/>
              </w:rPr>
              <w:t>具备履行合同所必需的设备和专业技术能力的证明材料</w:t>
            </w: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格式自拟</w:t>
            </w:r>
            <w:r>
              <w:rPr>
                <w:rFonts w:hint="eastAsia" w:ascii="宋体" w:hAnsi="宋体"/>
                <w:b w:val="0"/>
                <w:bCs/>
                <w:color w:val="auto"/>
                <w:highlight w:val="none"/>
                <w:lang w:eastAsia="zh-CN"/>
              </w:rPr>
              <w:t>）</w:t>
            </w:r>
            <w:r>
              <w:rPr>
                <w:rFonts w:hint="eastAsia" w:ascii="宋体" w:hAnsi="宋体"/>
                <w:b w:val="0"/>
                <w:bCs/>
                <w:color w:val="auto"/>
                <w:highlight w:val="none"/>
              </w:rPr>
              <w:t>；</w:t>
            </w:r>
            <w:r>
              <w:rPr>
                <w:rFonts w:hint="eastAsia" w:ascii="宋体" w:hAnsi="宋体"/>
                <w:b/>
                <w:bCs w:val="0"/>
                <w:color w:val="auto"/>
                <w:highlight w:val="none"/>
              </w:rPr>
              <w:t>（必须提供，否则响应文件作无效处理）</w:t>
            </w:r>
          </w:p>
          <w:p w14:paraId="1DFE773C">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.投标人认为需要提供的其他证明材料（格式自拟）。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如有请提供</w:t>
            </w:r>
            <w:r>
              <w:rPr>
                <w:rFonts w:hint="eastAsia" w:ascii="宋体" w:hAnsi="宋体" w:eastAsia="宋体" w:cs="宋体"/>
                <w:b/>
                <w:bCs/>
                <w:color w:val="auto"/>
                <w:sz w:val="21"/>
                <w:szCs w:val="21"/>
                <w:highlight w:val="none"/>
                <w:lang w:eastAsia="zh-CN"/>
              </w:rPr>
              <w:t>）</w:t>
            </w:r>
          </w:p>
          <w:p w14:paraId="286F8B6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2.分公司参加投标的，应当取得总公司授权，否则按无效投标</w:t>
            </w:r>
            <w:r>
              <w:rPr>
                <w:rFonts w:hint="eastAsia" w:ascii="宋体" w:hAnsi="宋体" w:eastAsia="宋体" w:cs="宋体"/>
                <w:b/>
                <w:color w:val="auto"/>
                <w:sz w:val="21"/>
                <w:szCs w:val="21"/>
                <w:highlight w:val="none"/>
              </w:rPr>
              <w:t>处理。</w:t>
            </w:r>
          </w:p>
        </w:tc>
      </w:tr>
      <w:tr w14:paraId="0A8EB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2" w:hRule="atLeast"/>
        </w:trPr>
        <w:tc>
          <w:tcPr>
            <w:tcW w:w="0" w:type="auto"/>
            <w:vMerge w:val="continue"/>
            <w:tcBorders>
              <w:left w:val="single" w:color="auto" w:sz="4" w:space="0"/>
              <w:right w:val="single" w:color="auto" w:sz="4" w:space="0"/>
            </w:tcBorders>
            <w:vAlign w:val="center"/>
          </w:tcPr>
          <w:p w14:paraId="131C608A">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59" w:name="_13.3"/>
            <w:bookmarkEnd w:id="59"/>
          </w:p>
        </w:tc>
        <w:tc>
          <w:tcPr>
            <w:tcW w:w="0" w:type="auto"/>
            <w:tcBorders>
              <w:top w:val="single" w:color="auto" w:sz="4" w:space="0"/>
              <w:left w:val="single" w:color="auto" w:sz="4" w:space="0"/>
              <w:bottom w:val="single" w:color="auto" w:sz="4" w:space="0"/>
              <w:right w:val="single" w:color="auto" w:sz="4" w:space="0"/>
            </w:tcBorders>
            <w:vAlign w:val="center"/>
          </w:tcPr>
          <w:p w14:paraId="63478469">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14:paraId="7D22B1F3">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w:t>
            </w:r>
            <w:r>
              <w:rPr>
                <w:rFonts w:hint="eastAsia" w:ascii="宋体" w:hAnsi="宋体" w:eastAsia="宋体" w:cs="宋体"/>
                <w:color w:val="auto"/>
                <w:sz w:val="21"/>
                <w:szCs w:val="21"/>
                <w:highlight w:val="none"/>
                <w:lang w:val="en-US" w:eastAsia="zh-CN"/>
              </w:rPr>
              <w:t>围标</w:t>
            </w:r>
            <w:r>
              <w:rPr>
                <w:rFonts w:hint="eastAsia" w:ascii="宋体" w:hAnsi="宋体" w:eastAsia="宋体" w:cs="宋体"/>
                <w:color w:val="auto"/>
                <w:sz w:val="21"/>
                <w:szCs w:val="21"/>
                <w:highlight w:val="none"/>
              </w:rPr>
              <w:t>串</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行为的承诺函（格式后附）；</w:t>
            </w:r>
            <w:r>
              <w:rPr>
                <w:rFonts w:hint="eastAsia" w:ascii="宋体" w:hAnsi="宋体" w:eastAsia="宋体" w:cs="宋体"/>
                <w:b/>
                <w:bCs/>
                <w:color w:val="auto"/>
                <w:sz w:val="21"/>
                <w:szCs w:val="21"/>
                <w:highlight w:val="none"/>
              </w:rPr>
              <w:t>（必须提供，否则按无效投标处理）</w:t>
            </w:r>
          </w:p>
          <w:p w14:paraId="2909D8C3">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（除自然人投标外必须提供，否则按无效投标处理）</w:t>
            </w:r>
          </w:p>
          <w:p w14:paraId="7A5BABDC">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bCs/>
                <w:color w:val="auto"/>
                <w:sz w:val="21"/>
                <w:szCs w:val="21"/>
                <w:highlight w:val="none"/>
              </w:rPr>
              <w:t>（委托时必须提供，否则按无效投标处理）</w:t>
            </w:r>
          </w:p>
          <w:p w14:paraId="35C59D46">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bCs/>
                <w:color w:val="auto"/>
                <w:sz w:val="21"/>
                <w:szCs w:val="21"/>
                <w:highlight w:val="none"/>
              </w:rPr>
              <w:t>（必须提供，否则按无效投标处理）</w:t>
            </w:r>
          </w:p>
          <w:p w14:paraId="59296735">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承诺（格式自拟）；</w:t>
            </w:r>
            <w:r>
              <w:rPr>
                <w:rFonts w:hint="eastAsia" w:ascii="宋体" w:hAnsi="宋体" w:eastAsia="宋体" w:cs="宋体"/>
                <w:b/>
                <w:bCs/>
                <w:color w:val="auto"/>
                <w:sz w:val="21"/>
                <w:szCs w:val="21"/>
                <w:highlight w:val="none"/>
              </w:rPr>
              <w:t>（必须提供，否则按无效投标处理）</w:t>
            </w:r>
          </w:p>
          <w:p w14:paraId="33E268BC">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6.投标人情况介绍（格式自拟）；</w:t>
            </w:r>
            <w:r>
              <w:rPr>
                <w:rFonts w:hint="eastAsia" w:ascii="宋体" w:hAnsi="宋体" w:eastAsia="宋体" w:cs="宋体"/>
                <w:b/>
                <w:bCs/>
                <w:color w:val="auto"/>
                <w:sz w:val="21"/>
                <w:szCs w:val="21"/>
                <w:highlight w:val="none"/>
                <w:lang w:eastAsia="zh-CN"/>
              </w:rPr>
              <w:t>（</w:t>
            </w:r>
            <w:r>
              <w:rPr>
                <w:rFonts w:hint="eastAsia" w:ascii="宋体" w:hAnsi="宋体" w:cs="宋体"/>
                <w:b/>
                <w:bCs/>
                <w:szCs w:val="21"/>
              </w:rPr>
              <w:t>如有请提供</w:t>
            </w:r>
            <w:r>
              <w:rPr>
                <w:rFonts w:hint="eastAsia" w:ascii="宋体" w:hAnsi="宋体" w:eastAsia="宋体" w:cs="宋体"/>
                <w:b/>
                <w:bCs/>
                <w:color w:val="auto"/>
                <w:sz w:val="21"/>
                <w:szCs w:val="21"/>
                <w:highlight w:val="none"/>
                <w:lang w:eastAsia="zh-CN"/>
              </w:rPr>
              <w:t>）</w:t>
            </w:r>
          </w:p>
          <w:p w14:paraId="086F918F">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7.投标人认为需要提供的其他证明材料（格式自拟）（</w:t>
            </w:r>
            <w:r>
              <w:rPr>
                <w:rFonts w:hint="eastAsia" w:ascii="宋体" w:hAnsi="宋体" w:eastAsia="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投标人根据“第二章 采购需求”及“第四章 评标方法及评标标准”提供有关证明材料）。</w:t>
            </w:r>
          </w:p>
          <w:p w14:paraId="003A317B">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2320F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07F23833">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60" w:name="_13.4"/>
            <w:bookmarkEnd w:id="60"/>
          </w:p>
        </w:tc>
        <w:tc>
          <w:tcPr>
            <w:tcW w:w="0" w:type="auto"/>
            <w:tcBorders>
              <w:top w:val="single" w:color="auto" w:sz="4" w:space="0"/>
              <w:left w:val="single" w:color="auto" w:sz="4" w:space="0"/>
              <w:bottom w:val="single" w:color="auto" w:sz="4" w:space="0"/>
              <w:right w:val="single" w:color="auto" w:sz="4" w:space="0"/>
            </w:tcBorders>
            <w:vAlign w:val="center"/>
          </w:tcPr>
          <w:p w14:paraId="58380690">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79CE3094">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p>
          <w:p w14:paraId="258B87CD">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w:t>
            </w:r>
            <w:r>
              <w:rPr>
                <w:rFonts w:hint="eastAsia" w:ascii="宋体" w:hAnsi="宋体" w:eastAsia="宋体" w:cs="宋体"/>
                <w:b w:val="0"/>
                <w:bCs w:val="0"/>
                <w:color w:val="auto"/>
                <w:sz w:val="21"/>
                <w:szCs w:val="21"/>
                <w:highlight w:val="none"/>
              </w:rPr>
              <w:t>（格式自拟）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14:paraId="3850D6E3">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w:t>
            </w:r>
            <w:r>
              <w:rPr>
                <w:rFonts w:hint="eastAsia" w:ascii="宋体" w:hAnsi="宋体" w:eastAsia="宋体" w:cs="宋体"/>
                <w:b w:val="0"/>
                <w:bCs w:val="0"/>
                <w:color w:val="auto"/>
                <w:sz w:val="21"/>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14:paraId="7C31AF47">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文件规定必须提供以外，投标人需要说明的其他文件和说明（格式自拟）。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cs="宋体"/>
                <w:b/>
                <w:bCs/>
                <w:szCs w:val="21"/>
              </w:rPr>
              <w:t>如有请提供</w:t>
            </w:r>
            <w:r>
              <w:rPr>
                <w:rFonts w:hint="eastAsia" w:ascii="宋体" w:hAnsi="宋体" w:eastAsia="宋体" w:cs="宋体"/>
                <w:b/>
                <w:bCs/>
                <w:color w:val="auto"/>
                <w:sz w:val="21"/>
                <w:szCs w:val="21"/>
                <w:highlight w:val="none"/>
                <w:lang w:eastAsia="zh-CN"/>
              </w:rPr>
              <w:t>）</w:t>
            </w:r>
          </w:p>
          <w:p w14:paraId="400B8CF6">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4D665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7D40B5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1" w:name="_13.5"/>
            <w:bookmarkEnd w:id="61"/>
            <w:bookmarkStart w:id="62" w:name="_16.2"/>
            <w:bookmarkEnd w:id="62"/>
            <w:r>
              <w:rPr>
                <w:rFonts w:hint="eastAsia" w:ascii="宋体" w:hAnsi="宋体" w:eastAsia="宋体" w:cs="宋体"/>
                <w:color w:val="auto"/>
                <w:sz w:val="21"/>
                <w:szCs w:val="21"/>
                <w:highlight w:val="none"/>
              </w:rPr>
              <w:t>16</w:t>
            </w:r>
            <w:bookmarkStart w:id="63" w:name="_Hlt19693758"/>
            <w:bookmarkStart w:id="64" w:name="_Hlt19693759"/>
            <w:bookmarkStart w:id="65" w:name="_Hlt19194066"/>
            <w:bookmarkStart w:id="66" w:name="_Hlt19194067"/>
            <w:r>
              <w:rPr>
                <w:rFonts w:hint="eastAsia" w:ascii="宋体" w:hAnsi="宋体" w:eastAsia="宋体" w:cs="宋体"/>
                <w:color w:val="auto"/>
                <w:sz w:val="21"/>
                <w:szCs w:val="21"/>
                <w:highlight w:val="none"/>
              </w:rPr>
              <w:t>.</w:t>
            </w:r>
            <w:bookmarkEnd w:id="63"/>
            <w:bookmarkEnd w:id="64"/>
            <w:bookmarkEnd w:id="65"/>
            <w:bookmarkEnd w:id="66"/>
            <w:r>
              <w:rPr>
                <w:rFonts w:hint="eastAsia" w:ascii="宋体" w:hAnsi="宋体" w:eastAsia="宋体" w:cs="宋体"/>
                <w:color w:val="auto"/>
                <w:sz w:val="21"/>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4E94FB0C">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报价是含税的报价；</w:t>
            </w:r>
            <w:r>
              <w:rPr>
                <w:rFonts w:hint="eastAsia" w:ascii="宋体" w:hAnsi="宋体" w:cs="宋体"/>
                <w:color w:val="000000" w:themeColor="text1"/>
                <w14:textFill>
                  <w14:solidFill>
                    <w14:schemeClr w14:val="tx1"/>
                  </w14:solidFill>
                </w14:textFill>
              </w:rPr>
              <w:t>投标人报价以本项目采购预算为最高限价，本项目报价为一口价。</w:t>
            </w:r>
          </w:p>
          <w:p w14:paraId="52BA7A5A">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结合本招标文件在采购需求下的说明，请投标人谨慎注意：</w:t>
            </w:r>
          </w:p>
          <w:p w14:paraId="23CF24C6">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招标文件载明的另有由招标人承担、由第三方服务商承担的事项（费用）外，凡在合同范围内已明确为中标人义务的内容以及由中标人实施的行为（事项），其对价和成本均应包含在投标人的报价之内（包括但不限于：投标人为提供服务所需的人力、车辆、器材、器械、设备、劳动器具、装备、服装、消耗品、耗材、管理、办公、工具、税费、或有风险等全部应有、或有的事项成本，投标人应负担其服务人员的工资、加班工资、补贴、补助、待遇、奖金、交通、住宿、伙食、用工保障、劳动保护、体检、社会保险、医疗保险、商业保险等全部应有、或有的用人用工费用以及事项成本；其他的经由本项目政府采购确定后的、合同明确的由中标人履行的行为、义务之对价和成本；招标文件明示或暗示的中标人的所有责任、义务和风险等中标人完成本项目所需一切费用）。</w:t>
            </w:r>
          </w:p>
          <w:p w14:paraId="0B68D1FA">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后，以合同主文为依据结算的合同价款将会是完全涵盖中标人依合同实施的全部行为、履行合同中全部的中标人义务、实施合同明确约定应由中标人实施的事项所应获得的所有对价及所应支出的所有成本，不论是否能实际涵盖上述所有对价及所应支出的所有成本，以合同主文为依据结算的合同价款即中标人为实施本项目、为签订和履行合同所应获得的价款总额，若有未能实际涵盖的部分由中标人自行承担</w:t>
            </w:r>
            <w:r>
              <w:rPr>
                <w:rFonts w:hint="eastAsia" w:ascii="宋体" w:hAnsi="宋体"/>
                <w:color w:val="000000" w:themeColor="text1"/>
                <w:szCs w:val="21"/>
                <w:lang w:val="zh-CN"/>
                <w14:textFill>
                  <w14:solidFill>
                    <w14:schemeClr w14:val="tx1"/>
                  </w14:solidFill>
                </w14:textFill>
              </w:rPr>
              <w:t>。</w:t>
            </w:r>
          </w:p>
          <w:p w14:paraId="70F69A26">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hAnsi="宋体"/>
                <w:color w:val="000000" w:themeColor="text1"/>
                <w:szCs w:val="21"/>
                <w14:textFill>
                  <w14:solidFill>
                    <w14:schemeClr w14:val="tx1"/>
                  </w14:solidFill>
                </w14:textFill>
              </w:rPr>
              <w:t>因此，</w:t>
            </w:r>
            <w:r>
              <w:rPr>
                <w:rFonts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报价必须充分考虑，中标后，</w:t>
            </w:r>
            <w:r>
              <w:rPr>
                <w:rFonts w:hint="eastAsia" w:hAnsi="宋体"/>
                <w:color w:val="000000" w:themeColor="text1"/>
                <w:szCs w:val="21"/>
                <w14:textFill>
                  <w14:solidFill>
                    <w14:schemeClr w14:val="tx1"/>
                  </w14:solidFill>
                </w14:textFill>
              </w:rPr>
              <w:t>中标</w:t>
            </w:r>
            <w:r>
              <w:rPr>
                <w:rFonts w:hAnsi="宋体"/>
                <w:color w:val="000000" w:themeColor="text1"/>
                <w:szCs w:val="21"/>
                <w14:textFill>
                  <w14:solidFill>
                    <w14:schemeClr w14:val="tx1"/>
                  </w14:solidFill>
                </w14:textFill>
              </w:rPr>
              <w:t>人不得以</w:t>
            </w:r>
            <w:r>
              <w:rPr>
                <w:rFonts w:hint="eastAsia" w:hAnsi="宋体"/>
                <w:color w:val="000000" w:themeColor="text1"/>
                <w:szCs w:val="21"/>
                <w14:textFill>
                  <w14:solidFill>
                    <w14:schemeClr w14:val="tx1"/>
                  </w14:solidFill>
                </w14:textFill>
              </w:rPr>
              <w:t>其</w:t>
            </w:r>
            <w:r>
              <w:rPr>
                <w:rFonts w:hAnsi="宋体"/>
                <w:color w:val="000000" w:themeColor="text1"/>
                <w:szCs w:val="21"/>
                <w14:textFill>
                  <w14:solidFill>
                    <w14:schemeClr w14:val="tx1"/>
                  </w14:solidFill>
                </w14:textFill>
              </w:rPr>
              <w:t>报价未能涵盖</w:t>
            </w:r>
            <w:r>
              <w:rPr>
                <w:rFonts w:hint="eastAsia" w:hAnsi="宋体"/>
                <w:color w:val="000000" w:themeColor="text1"/>
                <w:szCs w:val="21"/>
                <w14:textFill>
                  <w14:solidFill>
                    <w14:schemeClr w14:val="tx1"/>
                  </w14:solidFill>
                </w14:textFill>
              </w:rPr>
              <w:t>合同范围内</w:t>
            </w:r>
            <w:r>
              <w:rPr>
                <w:rFonts w:hAnsi="宋体"/>
                <w:color w:val="000000" w:themeColor="text1"/>
                <w:szCs w:val="21"/>
                <w14:textFill>
                  <w14:solidFill>
                    <w14:schemeClr w14:val="tx1"/>
                  </w14:solidFill>
                </w14:textFill>
              </w:rPr>
              <w:t>为</w:t>
            </w:r>
            <w:r>
              <w:rPr>
                <w:rFonts w:hint="eastAsia" w:hAnsi="宋体"/>
                <w:color w:val="000000" w:themeColor="text1"/>
                <w:szCs w:val="21"/>
                <w14:textFill>
                  <w14:solidFill>
                    <w14:schemeClr w14:val="tx1"/>
                  </w14:solidFill>
                </w14:textFill>
              </w:rPr>
              <w:t>提供</w:t>
            </w:r>
            <w:r>
              <w:rPr>
                <w:rFonts w:hAnsi="宋体"/>
                <w:color w:val="000000" w:themeColor="text1"/>
                <w:szCs w:val="21"/>
                <w14:textFill>
                  <w14:solidFill>
                    <w14:schemeClr w14:val="tx1"/>
                  </w14:solidFill>
                </w14:textFill>
              </w:rPr>
              <w:t>本项目服务、为签订和履行合同所应获得的所有对价及所应支出的所有成本费用等任何理由，而要求</w:t>
            </w:r>
            <w:r>
              <w:rPr>
                <w:rFonts w:hint="eastAsia" w:hAnsi="宋体"/>
                <w:color w:val="000000" w:themeColor="text1"/>
                <w:szCs w:val="21"/>
                <w14:textFill>
                  <w14:solidFill>
                    <w14:schemeClr w14:val="tx1"/>
                  </w14:solidFill>
                </w14:textFill>
              </w:rPr>
              <w:t>在其</w:t>
            </w:r>
            <w:r>
              <w:rPr>
                <w:rFonts w:hAnsi="宋体"/>
                <w:color w:val="000000" w:themeColor="text1"/>
                <w:szCs w:val="21"/>
                <w14:textFill>
                  <w14:solidFill>
                    <w14:schemeClr w14:val="tx1"/>
                  </w14:solidFill>
                </w14:textFill>
              </w:rPr>
              <w:t>报价以外</w:t>
            </w:r>
            <w:r>
              <w:rPr>
                <w:rFonts w:hint="eastAsia" w:hAnsi="宋体"/>
                <w:color w:val="000000" w:themeColor="text1"/>
                <w:szCs w:val="21"/>
                <w14:textFill>
                  <w14:solidFill>
                    <w14:schemeClr w14:val="tx1"/>
                  </w14:solidFill>
                </w14:textFill>
              </w:rPr>
              <w:t>实施本项目的</w:t>
            </w:r>
            <w:r>
              <w:rPr>
                <w:rFonts w:hAnsi="宋体"/>
                <w:color w:val="000000" w:themeColor="text1"/>
                <w:szCs w:val="21"/>
                <w14:textFill>
                  <w14:solidFill>
                    <w14:schemeClr w14:val="tx1"/>
                  </w14:solidFill>
                </w14:textFill>
              </w:rPr>
              <w:t>其他费用，对这些费用，不再另外支付</w:t>
            </w:r>
            <w:r>
              <w:rPr>
                <w:rFonts w:hint="eastAsia" w:hAnsi="宋体" w:cs="宋体"/>
                <w:color w:val="000000" w:themeColor="text1"/>
                <w14:textFill>
                  <w14:solidFill>
                    <w14:schemeClr w14:val="tx1"/>
                  </w14:solidFill>
                </w14:textFill>
              </w:rPr>
              <w:t>。</w:t>
            </w:r>
          </w:p>
        </w:tc>
      </w:tr>
      <w:tr w14:paraId="5F391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F457AAE">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7" w:name="_17.1"/>
            <w:bookmarkEnd w:id="67"/>
            <w:r>
              <w:rPr>
                <w:rFonts w:hint="eastAsia" w:ascii="宋体" w:hAnsi="宋体" w:eastAsia="宋体" w:cs="宋体"/>
                <w:color w:val="auto"/>
                <w:sz w:val="21"/>
                <w:szCs w:val="21"/>
                <w:highlight w:val="none"/>
              </w:rPr>
              <w:t>17.2</w:t>
            </w:r>
          </w:p>
        </w:tc>
        <w:tc>
          <w:tcPr>
            <w:tcW w:w="0" w:type="auto"/>
            <w:tcBorders>
              <w:top w:val="single" w:color="auto" w:sz="4" w:space="0"/>
              <w:left w:val="single" w:color="auto" w:sz="4" w:space="0"/>
              <w:bottom w:val="single" w:color="auto" w:sz="4" w:space="0"/>
              <w:right w:val="single" w:color="auto" w:sz="4" w:space="0"/>
            </w:tcBorders>
            <w:vAlign w:val="center"/>
          </w:tcPr>
          <w:p w14:paraId="423591B0">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14:paraId="345F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177804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8" w:name="_18"/>
            <w:bookmarkEnd w:id="68"/>
            <w:r>
              <w:rPr>
                <w:rFonts w:hint="eastAsia" w:ascii="宋体" w:hAnsi="宋体" w:eastAsia="宋体" w:cs="宋体"/>
                <w:color w:val="auto"/>
                <w:sz w:val="21"/>
                <w:szCs w:val="21"/>
                <w:highlight w:val="none"/>
              </w:rPr>
              <w:t>18.1</w:t>
            </w:r>
          </w:p>
        </w:tc>
        <w:tc>
          <w:tcPr>
            <w:tcW w:w="0" w:type="auto"/>
            <w:tcBorders>
              <w:top w:val="single" w:color="auto" w:sz="4" w:space="0"/>
              <w:left w:val="single" w:color="auto" w:sz="4" w:space="0"/>
              <w:bottom w:val="single" w:color="auto" w:sz="4" w:space="0"/>
              <w:right w:val="single" w:color="auto" w:sz="4" w:space="0"/>
            </w:tcBorders>
            <w:vAlign w:val="center"/>
          </w:tcPr>
          <w:p w14:paraId="0CBADE61">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6065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B27885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9" w:name="_19.2"/>
            <w:bookmarkEnd w:id="69"/>
            <w:r>
              <w:rPr>
                <w:rFonts w:hint="eastAsia" w:ascii="宋体" w:hAnsi="宋体" w:eastAsia="宋体" w:cs="宋体"/>
                <w:color w:val="auto"/>
                <w:sz w:val="21"/>
                <w:szCs w:val="21"/>
                <w:highlight w:val="none"/>
              </w:rPr>
              <w:t>20</w:t>
            </w:r>
          </w:p>
        </w:tc>
        <w:tc>
          <w:tcPr>
            <w:tcW w:w="0" w:type="auto"/>
            <w:tcBorders>
              <w:top w:val="single" w:color="auto" w:sz="4" w:space="0"/>
              <w:left w:val="single" w:color="auto" w:sz="4" w:space="0"/>
              <w:bottom w:val="single" w:color="auto" w:sz="4" w:space="0"/>
              <w:right w:val="single" w:color="auto" w:sz="4" w:space="0"/>
            </w:tcBorders>
            <w:vAlign w:val="center"/>
          </w:tcPr>
          <w:p w14:paraId="4C31DC1E">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50310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0" w:type="auto"/>
            <w:tcBorders>
              <w:top w:val="single" w:color="auto" w:sz="4" w:space="0"/>
              <w:left w:val="single" w:color="auto" w:sz="4" w:space="0"/>
              <w:bottom w:val="single" w:color="auto" w:sz="4" w:space="0"/>
              <w:right w:val="single" w:color="auto" w:sz="4" w:space="0"/>
            </w:tcBorders>
            <w:vAlign w:val="center"/>
          </w:tcPr>
          <w:p w14:paraId="4161F70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0" w:name="_21.1"/>
            <w:bookmarkEnd w:id="70"/>
            <w:r>
              <w:rPr>
                <w:rFonts w:hint="eastAsia" w:ascii="宋体" w:hAnsi="宋体" w:eastAsia="宋体" w:cs="宋体"/>
                <w:color w:val="auto"/>
                <w:sz w:val="21"/>
                <w:szCs w:val="21"/>
                <w:highlight w:val="none"/>
              </w:rPr>
              <w:t>21.1</w:t>
            </w:r>
          </w:p>
        </w:tc>
        <w:tc>
          <w:tcPr>
            <w:tcW w:w="0" w:type="auto"/>
            <w:tcBorders>
              <w:top w:val="single" w:color="auto" w:sz="4" w:space="0"/>
              <w:left w:val="single" w:color="auto" w:sz="4" w:space="0"/>
              <w:bottom w:val="single" w:color="auto" w:sz="4" w:space="0"/>
              <w:right w:val="single" w:color="auto" w:sz="4" w:space="0"/>
            </w:tcBorders>
            <w:vAlign w:val="center"/>
          </w:tcPr>
          <w:p w14:paraId="28D8264F">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32BE13BF">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319F6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32ED2B8">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1" w:name="_23"/>
            <w:bookmarkEnd w:id="71"/>
            <w:r>
              <w:rPr>
                <w:rFonts w:hint="eastAsia" w:ascii="宋体" w:hAnsi="宋体" w:eastAsia="宋体" w:cs="宋体"/>
                <w:color w:val="auto"/>
                <w:sz w:val="21"/>
                <w:szCs w:val="21"/>
                <w:highlight w:val="none"/>
              </w:rPr>
              <w:t>23</w:t>
            </w:r>
          </w:p>
        </w:tc>
        <w:tc>
          <w:tcPr>
            <w:tcW w:w="0" w:type="auto"/>
            <w:tcBorders>
              <w:top w:val="single" w:color="auto" w:sz="4" w:space="0"/>
              <w:left w:val="single" w:color="auto" w:sz="4" w:space="0"/>
              <w:bottom w:val="single" w:color="auto" w:sz="4" w:space="0"/>
              <w:right w:val="single" w:color="auto" w:sz="4" w:space="0"/>
            </w:tcBorders>
            <w:vAlign w:val="center"/>
          </w:tcPr>
          <w:p w14:paraId="146ACA8D">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5E00B52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72B2E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533A0F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w:t>
            </w:r>
          </w:p>
        </w:tc>
        <w:tc>
          <w:tcPr>
            <w:tcW w:w="0" w:type="auto"/>
            <w:tcBorders>
              <w:top w:val="single" w:color="auto" w:sz="4" w:space="0"/>
              <w:left w:val="single" w:color="auto" w:sz="4" w:space="0"/>
              <w:bottom w:val="single" w:color="auto" w:sz="4" w:space="0"/>
              <w:right w:val="single" w:color="auto" w:sz="4" w:space="0"/>
            </w:tcBorders>
            <w:vAlign w:val="center"/>
          </w:tcPr>
          <w:p w14:paraId="5C568F45">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电子投标文件解密时间：30分钟</w:t>
            </w:r>
          </w:p>
        </w:tc>
      </w:tr>
      <w:tr w14:paraId="63643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46A1D99">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w:t>
            </w:r>
          </w:p>
        </w:tc>
        <w:tc>
          <w:tcPr>
            <w:tcW w:w="0" w:type="auto"/>
            <w:tcBorders>
              <w:top w:val="single" w:color="auto" w:sz="4" w:space="0"/>
              <w:left w:val="single" w:color="auto" w:sz="4" w:space="0"/>
              <w:bottom w:val="single" w:color="auto" w:sz="4" w:space="0"/>
              <w:right w:val="single" w:color="auto" w:sz="4" w:space="0"/>
            </w:tcBorders>
            <w:vAlign w:val="center"/>
          </w:tcPr>
          <w:p w14:paraId="30EC88B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宣布的内容：投标人名称、投标价格。</w:t>
            </w:r>
          </w:p>
        </w:tc>
      </w:tr>
      <w:tr w14:paraId="533D5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708C84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2" w:name="_25.3"/>
            <w:bookmarkEnd w:id="72"/>
            <w:r>
              <w:rPr>
                <w:rFonts w:hint="eastAsia" w:ascii="宋体" w:hAnsi="宋体" w:eastAsia="宋体" w:cs="宋体"/>
                <w:color w:val="auto"/>
                <w:sz w:val="21"/>
                <w:szCs w:val="21"/>
                <w:highlight w:val="none"/>
              </w:rPr>
              <w:t>25.3（2）</w:t>
            </w:r>
          </w:p>
        </w:tc>
        <w:tc>
          <w:tcPr>
            <w:tcW w:w="0" w:type="auto"/>
            <w:tcBorders>
              <w:top w:val="single" w:color="auto" w:sz="4" w:space="0"/>
              <w:left w:val="single" w:color="auto" w:sz="4" w:space="0"/>
              <w:bottom w:val="single" w:color="auto" w:sz="4" w:space="0"/>
              <w:right w:val="single" w:color="auto" w:sz="4" w:space="0"/>
            </w:tcBorders>
            <w:vAlign w:val="center"/>
          </w:tcPr>
          <w:p w14:paraId="7D9D9C04">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3B67146F">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tc>
      </w:tr>
      <w:tr w14:paraId="105C8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CA0960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3" w:name="_26"/>
            <w:bookmarkEnd w:id="73"/>
            <w:r>
              <w:rPr>
                <w:rFonts w:hint="eastAsia" w:ascii="宋体" w:hAnsi="宋体" w:eastAsia="宋体" w:cs="宋体"/>
                <w:color w:val="auto"/>
                <w:sz w:val="21"/>
                <w:szCs w:val="21"/>
                <w:highlight w:val="none"/>
              </w:rPr>
              <w:t>26.1</w:t>
            </w:r>
          </w:p>
        </w:tc>
        <w:tc>
          <w:tcPr>
            <w:tcW w:w="0" w:type="auto"/>
            <w:tcBorders>
              <w:top w:val="single" w:color="auto" w:sz="4" w:space="0"/>
              <w:left w:val="single" w:color="auto" w:sz="4" w:space="0"/>
              <w:bottom w:val="single" w:color="auto" w:sz="4" w:space="0"/>
              <w:right w:val="single" w:color="auto" w:sz="4" w:space="0"/>
            </w:tcBorders>
            <w:vAlign w:val="center"/>
          </w:tcPr>
          <w:p w14:paraId="750A0A5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48B2A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0F155A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4" w:name="_28.3"/>
            <w:bookmarkEnd w:id="74"/>
            <w:r>
              <w:rPr>
                <w:rFonts w:hint="eastAsia" w:ascii="宋体" w:hAnsi="宋体" w:eastAsia="宋体" w:cs="宋体"/>
                <w:color w:val="auto"/>
                <w:sz w:val="21"/>
                <w:szCs w:val="21"/>
                <w:highlight w:val="none"/>
              </w:rPr>
              <w:t>29.1</w:t>
            </w:r>
          </w:p>
        </w:tc>
        <w:tc>
          <w:tcPr>
            <w:tcW w:w="0" w:type="auto"/>
            <w:tcBorders>
              <w:top w:val="single" w:color="auto" w:sz="4" w:space="0"/>
              <w:left w:val="single" w:color="auto" w:sz="4" w:space="0"/>
              <w:bottom w:val="single" w:color="auto" w:sz="4" w:space="0"/>
              <w:right w:val="single" w:color="auto" w:sz="4" w:space="0"/>
            </w:tcBorders>
            <w:vAlign w:val="center"/>
          </w:tcPr>
          <w:p w14:paraId="6092261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1A724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vAlign w:val="center"/>
          </w:tcPr>
          <w:p w14:paraId="090B25C7">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5" w:name="_29.2.2（2）"/>
            <w:bookmarkEnd w:id="75"/>
            <w:r>
              <w:rPr>
                <w:rFonts w:hint="eastAsia" w:ascii="宋体" w:hAnsi="宋体" w:eastAsia="宋体" w:cs="宋体"/>
                <w:color w:val="auto"/>
                <w:sz w:val="21"/>
                <w:szCs w:val="21"/>
                <w:highlight w:val="none"/>
              </w:rPr>
              <w:t>29.2</w:t>
            </w:r>
          </w:p>
        </w:tc>
        <w:tc>
          <w:tcPr>
            <w:tcW w:w="0" w:type="auto"/>
            <w:tcBorders>
              <w:top w:val="single" w:color="auto" w:sz="4" w:space="0"/>
              <w:left w:val="single" w:color="auto" w:sz="4" w:space="0"/>
              <w:right w:val="single" w:color="auto" w:sz="4" w:space="0"/>
            </w:tcBorders>
            <w:vAlign w:val="center"/>
          </w:tcPr>
          <w:p w14:paraId="42F6090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商务要求评审中允许负偏离的条款数为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项。</w:t>
            </w:r>
          </w:p>
          <w:p w14:paraId="4284262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技术要求评审中允许负偏离的条款数为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auto"/>
                <w:sz w:val="21"/>
                <w:szCs w:val="21"/>
                <w:highlight w:val="none"/>
              </w:rPr>
              <w:t>项。</w:t>
            </w:r>
          </w:p>
        </w:tc>
      </w:tr>
      <w:tr w14:paraId="1D675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vAlign w:val="center"/>
          </w:tcPr>
          <w:p w14:paraId="73F55833">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0" w:type="auto"/>
            <w:tcBorders>
              <w:top w:val="single" w:color="auto" w:sz="4" w:space="0"/>
              <w:left w:val="single" w:color="auto" w:sz="4" w:space="0"/>
              <w:right w:val="single" w:color="auto" w:sz="4" w:space="0"/>
            </w:tcBorders>
            <w:vAlign w:val="center"/>
          </w:tcPr>
          <w:p w14:paraId="346D93CF">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397B1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FB3718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0" w:type="auto"/>
            <w:tcBorders>
              <w:top w:val="single" w:color="auto" w:sz="4" w:space="0"/>
              <w:left w:val="single" w:color="auto" w:sz="4" w:space="0"/>
              <w:bottom w:val="single" w:color="auto" w:sz="4" w:space="0"/>
              <w:right w:val="single" w:color="auto" w:sz="4" w:space="0"/>
            </w:tcBorders>
            <w:vAlign w:val="center"/>
          </w:tcPr>
          <w:p w14:paraId="1A62ADEC">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采用综合评分法的采购项目，采购人确定中标人时，出现中标候选人并列的情形，采购人按以下的方式确定中标人：按综合评分中服务水平、售后服务、履约能力得分高低依次确定。</w:t>
            </w:r>
          </w:p>
          <w:p w14:paraId="41089629">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7C0DA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14:paraId="587F6C3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6" w:name="_39.1"/>
            <w:bookmarkEnd w:id="76"/>
            <w:r>
              <w:rPr>
                <w:rFonts w:hint="eastAsia" w:ascii="宋体" w:hAnsi="宋体" w:eastAsia="宋体" w:cs="宋体"/>
                <w:color w:val="auto"/>
                <w:sz w:val="21"/>
                <w:szCs w:val="21"/>
                <w:highlight w:val="none"/>
              </w:rPr>
              <w:t>35.1</w:t>
            </w:r>
          </w:p>
        </w:tc>
        <w:tc>
          <w:tcPr>
            <w:tcW w:w="0" w:type="auto"/>
            <w:tcBorders>
              <w:top w:val="single" w:color="auto" w:sz="4" w:space="0"/>
              <w:left w:val="single" w:color="auto" w:sz="4" w:space="0"/>
              <w:bottom w:val="single" w:color="auto" w:sz="4" w:space="0"/>
              <w:right w:val="single" w:color="auto" w:sz="4" w:space="0"/>
            </w:tcBorders>
            <w:vAlign w:val="center"/>
          </w:tcPr>
          <w:p w14:paraId="1D47D21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tc>
      </w:tr>
      <w:tr w14:paraId="3B33C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8FC5A12">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7" w:name="_40.1"/>
            <w:bookmarkEnd w:id="77"/>
            <w:r>
              <w:rPr>
                <w:rFonts w:hint="eastAsia" w:ascii="宋体" w:hAnsi="宋体" w:eastAsia="宋体" w:cs="宋体"/>
                <w:color w:val="auto"/>
                <w:sz w:val="21"/>
                <w:szCs w:val="21"/>
                <w:highlight w:val="none"/>
              </w:rPr>
              <w:t>36.1</w:t>
            </w:r>
          </w:p>
        </w:tc>
        <w:tc>
          <w:tcPr>
            <w:tcW w:w="0" w:type="auto"/>
            <w:tcBorders>
              <w:top w:val="single" w:color="auto" w:sz="4" w:space="0"/>
              <w:left w:val="single" w:color="auto" w:sz="4" w:space="0"/>
              <w:bottom w:val="single" w:color="auto" w:sz="4" w:space="0"/>
              <w:right w:val="single" w:color="auto" w:sz="4" w:space="0"/>
            </w:tcBorders>
            <w:vAlign w:val="center"/>
          </w:tcPr>
          <w:p w14:paraId="27ED642D">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5BEF1BF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17199BC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4B815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66AD6A8">
            <w:pPr>
              <w:spacing w:line="360" w:lineRule="auto"/>
              <w:jc w:val="center"/>
              <w:rPr>
                <w:rFonts w:hint="default" w:ascii="宋体" w:hAnsi="宋体" w:eastAsia="宋体" w:cs="宋体"/>
                <w:color w:val="auto"/>
                <w:sz w:val="21"/>
                <w:szCs w:val="21"/>
                <w:highlight w:val="none"/>
                <w:lang w:val="en-US"/>
              </w:rPr>
            </w:pPr>
            <w:r>
              <w:rPr>
                <w:rFonts w:hint="eastAsia" w:ascii="宋体" w:hAnsi="宋体" w:cs="宋体"/>
                <w:szCs w:val="21"/>
                <w:lang w:val="en-US" w:eastAsia="zh-CN"/>
              </w:rPr>
              <w:t>37</w:t>
            </w:r>
          </w:p>
        </w:tc>
        <w:tc>
          <w:tcPr>
            <w:tcW w:w="9305" w:type="dxa"/>
            <w:tcBorders>
              <w:top w:val="single" w:color="auto" w:sz="4" w:space="0"/>
              <w:left w:val="single" w:color="auto" w:sz="4" w:space="0"/>
              <w:bottom w:val="single" w:color="auto" w:sz="4" w:space="0"/>
              <w:right w:val="single" w:color="auto" w:sz="4" w:space="0"/>
            </w:tcBorders>
            <w:vAlign w:val="center"/>
          </w:tcPr>
          <w:p w14:paraId="38CEA88F">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14:paraId="67933A9B">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14:paraId="769EC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5679CA7">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0" w:type="auto"/>
            <w:tcBorders>
              <w:top w:val="single" w:color="auto" w:sz="4" w:space="0"/>
              <w:left w:val="single" w:color="auto" w:sz="4" w:space="0"/>
              <w:bottom w:val="single" w:color="auto" w:sz="4" w:space="0"/>
              <w:right w:val="single" w:color="auto" w:sz="4" w:space="0"/>
            </w:tcBorders>
            <w:vAlign w:val="center"/>
          </w:tcPr>
          <w:p w14:paraId="20996DC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接收质疑函方式：以书面形式，通讯地址：</w:t>
            </w:r>
            <w:r>
              <w:rPr>
                <w:rFonts w:hint="eastAsia" w:ascii="宋体" w:hAnsi="宋体" w:cs="宋体"/>
                <w:color w:val="auto"/>
                <w:sz w:val="21"/>
                <w:szCs w:val="21"/>
                <w:highlight w:val="none"/>
                <w:lang w:val="en-US" w:eastAsia="zh-CN"/>
              </w:rPr>
              <w:t>防城港市中心区红树林大厦东塔6楼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lang w:eastAsia="zh-CN"/>
              </w:rPr>
              <w:t>0770-</w:t>
            </w:r>
            <w:r>
              <w:rPr>
                <w:rFonts w:hint="eastAsia" w:ascii="宋体" w:hAnsi="宋体" w:cs="宋体"/>
                <w:color w:val="auto"/>
                <w:sz w:val="21"/>
                <w:szCs w:val="21"/>
                <w:highlight w:val="none"/>
                <w:lang w:val="en-US" w:eastAsia="zh-CN"/>
              </w:rPr>
              <w:t>6126192</w:t>
            </w:r>
            <w:r>
              <w:rPr>
                <w:rFonts w:hint="eastAsia" w:ascii="宋体" w:hAnsi="宋体" w:eastAsia="宋体" w:cs="宋体"/>
                <w:color w:val="auto"/>
                <w:sz w:val="21"/>
                <w:szCs w:val="21"/>
                <w:highlight w:val="none"/>
              </w:rPr>
              <w:t>。</w:t>
            </w:r>
          </w:p>
          <w:p w14:paraId="223C18A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业务时间：每天上午9时00分到12时00分，下午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0分，双休日和法定节假日不办理业务。</w:t>
            </w:r>
          </w:p>
        </w:tc>
      </w:tr>
      <w:tr w14:paraId="0317E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80493ED">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78" w:name="_42"/>
            <w:bookmarkEnd w:id="78"/>
            <w:bookmarkStart w:id="79" w:name="_41"/>
            <w:bookmarkEnd w:id="79"/>
            <w:bookmarkStart w:id="80" w:name="_Hlt17709148"/>
            <w:r>
              <w:rPr>
                <w:rFonts w:hint="eastAsia" w:ascii="宋体" w:hAnsi="宋体" w:eastAsia="宋体" w:cs="宋体"/>
                <w:color w:val="auto"/>
                <w:sz w:val="21"/>
                <w:szCs w:val="21"/>
                <w:highlight w:val="none"/>
              </w:rPr>
              <w:t>3</w:t>
            </w:r>
            <w:bookmarkEnd w:id="80"/>
            <w:r>
              <w:rPr>
                <w:rFonts w:hint="eastAsia" w:ascii="宋体" w:hAnsi="宋体" w:eastAsia="宋体" w:cs="宋体"/>
                <w:color w:val="auto"/>
                <w:sz w:val="21"/>
                <w:szCs w:val="21"/>
                <w:highlight w:val="none"/>
              </w:rPr>
              <w:t>9.1</w:t>
            </w:r>
          </w:p>
        </w:tc>
        <w:tc>
          <w:tcPr>
            <w:tcW w:w="0" w:type="auto"/>
            <w:tcBorders>
              <w:top w:val="single" w:color="auto" w:sz="4" w:space="0"/>
              <w:left w:val="single" w:color="auto" w:sz="4" w:space="0"/>
              <w:bottom w:val="single" w:color="auto" w:sz="4" w:space="0"/>
              <w:right w:val="single" w:color="auto" w:sz="4" w:space="0"/>
            </w:tcBorders>
            <w:vAlign w:val="center"/>
          </w:tcPr>
          <w:p w14:paraId="3638149A">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不收取</w:t>
            </w:r>
            <w:r>
              <w:rPr>
                <w:rFonts w:hint="eastAsia" w:ascii="宋体" w:hAnsi="宋体" w:eastAsia="宋体" w:cs="宋体"/>
                <w:bCs/>
                <w:color w:val="000000" w:themeColor="text1"/>
                <w:sz w:val="21"/>
                <w:szCs w:val="21"/>
                <w:highlight w:val="none"/>
                <w14:textFill>
                  <w14:solidFill>
                    <w14:schemeClr w14:val="tx1"/>
                  </w14:solidFill>
                </w14:textFill>
              </w:rPr>
              <w:t>代理服务费</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r>
      <w:tr w14:paraId="609F6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EE484B1">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0" w:type="auto"/>
            <w:tcBorders>
              <w:top w:val="single" w:color="auto" w:sz="4" w:space="0"/>
              <w:left w:val="single" w:color="auto" w:sz="4" w:space="0"/>
              <w:bottom w:val="single" w:color="auto" w:sz="4" w:space="0"/>
              <w:right w:val="single" w:color="auto" w:sz="4" w:space="0"/>
            </w:tcBorders>
            <w:vAlign w:val="center"/>
          </w:tcPr>
          <w:p w14:paraId="4436AD9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文件的各个组成文件应互为解释，互为说明；除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投标阶段的规定，按更正公告（澄清公告）、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文件不一致时以更正公告（澄清公告）为准。按本款前述规定仍不能形成结论的，由采购人或者采购代理机构负责解释。</w:t>
            </w:r>
          </w:p>
        </w:tc>
      </w:tr>
      <w:tr w14:paraId="36CB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14:paraId="76A1A343">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0" w:type="auto"/>
            <w:tcBorders>
              <w:top w:val="single" w:color="auto" w:sz="4" w:space="0"/>
              <w:left w:val="single" w:color="auto" w:sz="4" w:space="0"/>
              <w:bottom w:val="single" w:color="auto" w:sz="4" w:space="0"/>
              <w:right w:val="single" w:color="auto" w:sz="4" w:space="0"/>
            </w:tcBorders>
            <w:vAlign w:val="center"/>
          </w:tcPr>
          <w:p w14:paraId="463C1455">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文件中描述投标人的“公章”是指根据我国对公章的管理规定，用投标人法定主体行为名称制作的印章，除本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文件有特殊规定外，投标人的财务章、部门章、分公司章、工会章、合同章、投标专用章、业务专用章及银行的转账章、现金收讫章、现金付讫章等其他形式印章均不能代替公章。</w:t>
            </w:r>
          </w:p>
          <w:p w14:paraId="5F536B2B">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2143B4DE">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3.投标人为其他组织或者自然人时，本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文件规定的法定代表人指负责人或者自然人。本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文件所称负责人是指参加投标的其他组织营业执照或者执业许可证等证照上的负责人，本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文件所称自然人指参与投标的自然人本人，且应具备独立承担民事责任能力，自然人应当为年满18岁以上成年人（十六周岁以上的未成年人，以自己的劳动收入为主要生活来源的，视为完全民事行为能力人）。</w:t>
            </w:r>
          </w:p>
          <w:p w14:paraId="577E7003">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文件中描述投标人的“签字”是指投标人的法定代表人或者委托代理人亲自在文件规定签字处亲笔写上个人的名字的行为，私章、签字章、印鉴、影印等其他形式均不能代替亲笔签字。</w:t>
            </w:r>
          </w:p>
          <w:p w14:paraId="41139EA6">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文件所称的“以上”“以下”“以内”“届满”，包括本数；所称的“不满”“超过”“以外”，不包括本数。</w:t>
            </w:r>
          </w:p>
        </w:tc>
      </w:tr>
    </w:tbl>
    <w:p w14:paraId="02D0794C">
      <w:r>
        <w:br w:type="page"/>
      </w:r>
    </w:p>
    <w:p w14:paraId="53ABC37E">
      <w:pPr>
        <w:pageBreakBefore w:val="0"/>
        <w:kinsoku/>
        <w:overflowPunct/>
        <w:topLinePunct w:val="0"/>
        <w:bidi w:val="0"/>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224332B4">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则</w:t>
      </w:r>
    </w:p>
    <w:p w14:paraId="065C0D1B">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81" w:name="_Toc254970668"/>
      <w:bookmarkStart w:id="82" w:name="_Toc254970527"/>
      <w:r>
        <w:rPr>
          <w:rFonts w:hint="eastAsia" w:ascii="宋体" w:hAnsi="宋体" w:eastAsia="宋体" w:cs="宋体"/>
          <w:color w:val="auto"/>
          <w:sz w:val="21"/>
          <w:szCs w:val="21"/>
          <w:highlight w:val="none"/>
        </w:rPr>
        <w:t>1.适用范围</w:t>
      </w:r>
      <w:bookmarkEnd w:id="81"/>
      <w:bookmarkEnd w:id="82"/>
    </w:p>
    <w:p w14:paraId="7714665F">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AABF76D">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1.2本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2E4F610C">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83" w:name="_Toc254970528"/>
      <w:bookmarkStart w:id="84" w:name="_Toc254970669"/>
      <w:r>
        <w:rPr>
          <w:rFonts w:hint="eastAsia" w:ascii="宋体" w:hAnsi="宋体" w:eastAsia="宋体" w:cs="宋体"/>
          <w:color w:val="auto"/>
          <w:sz w:val="21"/>
          <w:szCs w:val="21"/>
          <w:highlight w:val="none"/>
        </w:rPr>
        <w:t>2.定义</w:t>
      </w:r>
      <w:bookmarkEnd w:id="83"/>
      <w:bookmarkEnd w:id="84"/>
    </w:p>
    <w:p w14:paraId="185C9726">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4A7D9384">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70D72876">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6FE9EA29">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w:t>
      </w: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auto"/>
          <w:sz w:val="21"/>
          <w:szCs w:val="21"/>
          <w:highlight w:val="none"/>
        </w:rPr>
        <w:t>、参加投标竞争的法人、其他组织或者自然人。</w:t>
      </w:r>
    </w:p>
    <w:p w14:paraId="0E1B0549">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w:t>
      </w:r>
    </w:p>
    <w:p w14:paraId="5E99BB3E">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70881C9B">
      <w:pPr>
        <w:pStyle w:val="4"/>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179B0EB9">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文件中已经指明不满足则投标无效的条款，或者不能负偏离的条款，或者采购需求中带“▲”的条款。</w:t>
      </w:r>
    </w:p>
    <w:p w14:paraId="5215CAAF">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文件“采购需求”中有关条款作出的响应优于条款要求并有利于采购人的情形。</w:t>
      </w:r>
    </w:p>
    <w:p w14:paraId="1C03CCBB">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文件“采购需求”中有关条款作出的响应不满足条款要求，导致采购人要求不能得到满足的情形。</w:t>
      </w:r>
    </w:p>
    <w:p w14:paraId="0A64388A">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85" w:name="_Toc254970670"/>
      <w:bookmarkStart w:id="86" w:name="_Toc254970529"/>
    </w:p>
    <w:p w14:paraId="4F3F7462">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85"/>
      <w:bookmarkEnd w:id="86"/>
      <w:r>
        <w:rPr>
          <w:rFonts w:hint="eastAsia" w:ascii="宋体" w:hAnsi="宋体" w:eastAsia="宋体" w:cs="宋体"/>
          <w:color w:val="auto"/>
          <w:sz w:val="21"/>
          <w:szCs w:val="21"/>
          <w:highlight w:val="none"/>
        </w:rPr>
        <w:t>投标人的资格要求</w:t>
      </w:r>
    </w:p>
    <w:p w14:paraId="5AB5CBEA">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3B58D41A">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87" w:name="_Toc254970671"/>
      <w:bookmarkStart w:id="88" w:name="_Toc254970530"/>
      <w:r>
        <w:rPr>
          <w:rFonts w:hint="eastAsia" w:ascii="宋体" w:hAnsi="宋体" w:eastAsia="宋体" w:cs="宋体"/>
          <w:color w:val="auto"/>
          <w:sz w:val="21"/>
          <w:szCs w:val="21"/>
          <w:highlight w:val="none"/>
        </w:rPr>
        <w:t>4.投标委托</w:t>
      </w:r>
      <w:bookmarkEnd w:id="87"/>
      <w:bookmarkEnd w:id="88"/>
    </w:p>
    <w:p w14:paraId="70C7004D">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09F502C0">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89" w:name="_5.投标费用"/>
      <w:bookmarkEnd w:id="89"/>
      <w:bookmarkStart w:id="90" w:name="_Toc254970672"/>
      <w:bookmarkStart w:id="91" w:name="_Toc254970531"/>
      <w:r>
        <w:rPr>
          <w:rFonts w:hint="eastAsia" w:ascii="宋体" w:hAnsi="宋体" w:eastAsia="宋体" w:cs="宋体"/>
          <w:color w:val="auto"/>
          <w:sz w:val="21"/>
          <w:szCs w:val="21"/>
          <w:highlight w:val="none"/>
        </w:rPr>
        <w:t>5.投标费用</w:t>
      </w:r>
      <w:bookmarkEnd w:id="90"/>
      <w:bookmarkEnd w:id="91"/>
    </w:p>
    <w:p w14:paraId="08411538">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文件、勘查现场、编制和提交投标文件、参加澄清说明、签订合同等，不论投标结果如何，均应自行承担。</w:t>
      </w:r>
    </w:p>
    <w:p w14:paraId="38AF41C6">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294323F4">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6.1本项目不接受联合体投标。</w:t>
      </w:r>
    </w:p>
    <w:p w14:paraId="5E3987E0">
      <w:pPr>
        <w:pageBreakBefore w:val="0"/>
        <w:widowControl w:val="0"/>
        <w:kinsoku/>
        <w:wordWrap/>
        <w:overflowPunct/>
        <w:topLinePunct w:val="0"/>
        <w:autoSpaceDE/>
        <w:autoSpaceDN/>
        <w:bidi w:val="0"/>
        <w:snapToGrid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转包与分包</w:t>
      </w:r>
    </w:p>
    <w:p w14:paraId="3D52A7BA">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663046EB">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7.2本项目不允许分包。</w:t>
      </w:r>
    </w:p>
    <w:p w14:paraId="46D05295">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8.特别说明</w:t>
      </w:r>
    </w:p>
    <w:p w14:paraId="0426017C">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b/>
          <w:bCs/>
          <w:color w:val="auto"/>
          <w:kern w:val="2"/>
          <w:sz w:val="21"/>
          <w:szCs w:val="21"/>
          <w:highlight w:val="none"/>
          <w:lang w:val="en-US" w:eastAsia="zh-CN" w:bidi="ar-SA"/>
        </w:rPr>
        <w:t>其他投标无效。</w:t>
      </w:r>
    </w:p>
    <w:p w14:paraId="65277F3A">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32B999E">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非单一产品采购项目，多家投标人提供的核心产品品牌相同的，按前两款规定处理。</w:t>
      </w:r>
    </w:p>
    <w:p w14:paraId="522210AE">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8.2如果本采购文件要求提供投标人或制造商的资格、信誉、荣誉、业绩与企业认证等材料的，资格、信誉、荣誉、业绩与企业认证等必须为投标人或者制造商所拥有或自身获得。</w:t>
      </w:r>
    </w:p>
    <w:p w14:paraId="696D940B">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8.3投标人应仔细阅读采购文件的所有内容，按照采购文件的要求提交投标文件，并对所提供的全部资料的真实性承担法律责任。</w:t>
      </w:r>
    </w:p>
    <w:p w14:paraId="7A18454B">
      <w:pPr>
        <w:pStyle w:val="24"/>
        <w:pageBreakBefore w:val="0"/>
        <w:widowControl w:val="0"/>
        <w:kinsoku/>
        <w:wordWrap/>
        <w:overflowPunct/>
        <w:topLinePunct w:val="0"/>
        <w:autoSpaceDE/>
        <w:autoSpaceDN/>
        <w:bidi w:val="0"/>
        <w:spacing w:line="360" w:lineRule="exact"/>
        <w:textAlignment w:val="auto"/>
        <w:rPr>
          <w:rFonts w:hint="eastAsia"/>
        </w:rPr>
      </w:pPr>
      <w:r>
        <w:rPr>
          <w:rFonts w:hint="eastAsia" w:ascii="宋体" w:hAnsi="宋体" w:eastAsia="宋体" w:cs="宋体"/>
          <w:b w:val="0"/>
          <w:color w:val="auto"/>
          <w:kern w:val="2"/>
          <w:sz w:val="21"/>
          <w:szCs w:val="21"/>
          <w:highlight w:val="none"/>
          <w:lang w:val="en-US" w:eastAsia="zh-CN" w:bidi="ar-SA"/>
        </w:rPr>
        <w:t xml:space="preserve"> 8.4投标人在投标活动中提供任何虚假材料，将报监管部门查处；中标后发现的，中标人须依照《中华人民共和国消费者</w:t>
      </w:r>
      <w:r>
        <w:rPr>
          <w:rFonts w:hint="eastAsia"/>
        </w:rPr>
        <w:t>权益保护法》规定赔偿采购人，且民事赔偿并不免除违法投标人的行政与刑事责任。</w:t>
      </w:r>
    </w:p>
    <w:p w14:paraId="437F46DA">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33D0DABA">
      <w:pPr>
        <w:pStyle w:val="4"/>
        <w:pageBreakBefore w:val="0"/>
        <w:widowControl w:val="0"/>
        <w:kinsoku/>
        <w:wordWrap/>
        <w:overflowPunct/>
        <w:topLinePunct w:val="0"/>
        <w:autoSpaceDE/>
        <w:autoSpaceDN/>
        <w:bidi w:val="0"/>
        <w:spacing w:before="0" w:after="0" w:line="36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64C8B2D7">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17E82B4A">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367A4DA8">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861428B">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1B497444">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3FBB3B03">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02297F">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1C51CA59">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（1）不同投标人的投标文件由同一单位或者个人编制；</w:t>
      </w:r>
    </w:p>
    <w:p w14:paraId="139AA307">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（2）不同投标人委托同一单位或者个人办理投标事宜；</w:t>
      </w:r>
    </w:p>
    <w:p w14:paraId="0BD91A17">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（3）不同的投标人的投标文件载明的项目管理员为同一个人；</w:t>
      </w:r>
    </w:p>
    <w:p w14:paraId="19B28034">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（4）不同投标人的投标文件异常一致或者投标报价呈规律性差异；</w:t>
      </w:r>
    </w:p>
    <w:p w14:paraId="11F96620">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（5）不同投标人的投标文件相互混装。</w:t>
      </w:r>
    </w:p>
    <w:p w14:paraId="64B371C4">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04E07E52">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（1）供应商直接或者间接从采购人或者采购代理机构处获得其他供应商的相关信息并修改其投标文件或者投标文件；</w:t>
      </w:r>
    </w:p>
    <w:p w14:paraId="2397EAC7">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（2）供应商按照采购人或者采购代理机构的授意撤换、修改投标文件或者投标文件；</w:t>
      </w:r>
    </w:p>
    <w:p w14:paraId="71B69034">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（3）供应商之间协商报价、技术方案等投标文件或者投标文件的实质性内容；</w:t>
      </w:r>
    </w:p>
    <w:p w14:paraId="3AC08D79">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65C9AC33">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w:t>
      </w:r>
      <w:r>
        <w:rPr>
          <w:rFonts w:hint="eastAsia" w:hAnsi="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项目中事先约定轮流以高价位或者低价位中标，或者事先约定由某一特定供应商中标，然后再参加投标；</w:t>
      </w:r>
    </w:p>
    <w:p w14:paraId="64F93AD7">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7106BEBE">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345952DC">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92" w:name="_Toc254970675"/>
      <w:bookmarkStart w:id="93" w:name="_Toc254970534"/>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92"/>
      <w:bookmarkEnd w:id="93"/>
    </w:p>
    <w:p w14:paraId="6A7F4033">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文件的组成</w:t>
      </w:r>
    </w:p>
    <w:p w14:paraId="495A2A32">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26CCE4E8">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w:t>
      </w:r>
    </w:p>
    <w:p w14:paraId="3EBC845B">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04428C15">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55392FA3">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05F704F7">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3F6D5298">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文件的澄清、修改、现场考察和答疑会</w:t>
      </w:r>
    </w:p>
    <w:p w14:paraId="0C4F37E2">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文件的组成部分。</w:t>
      </w:r>
    </w:p>
    <w:p w14:paraId="2EAAF54E">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澄清或者修改的内容可能影响投标文件编制的，采购人或者采购代理机构应当在投标截止时间至少15日前，以书面形式通知所有获取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文件的潜在投标人；不足15日的，采购人或者采购代理机构应当顺延提交投标文件的截止时间。</w:t>
      </w:r>
    </w:p>
    <w:p w14:paraId="19A6AEB7">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bookmarkStart w:id="94" w:name="_Hlk53134511"/>
      <w:r>
        <w:rPr>
          <w:rFonts w:hint="eastAsia" w:ascii="宋体" w:hAnsi="宋体" w:eastAsia="宋体" w:cs="宋体"/>
          <w:color w:val="auto"/>
          <w:sz w:val="21"/>
          <w:szCs w:val="21"/>
          <w:highlight w:val="none"/>
        </w:rPr>
        <w:t>采购人或者采购代理机构可以在</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文件提供期限截止后，组织已获取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文件的潜在投标人现场考察或者召开开标前答疑会，具体详见“投标人须知前附表”。</w:t>
      </w:r>
    </w:p>
    <w:bookmarkEnd w:id="94"/>
    <w:p w14:paraId="7D49D279">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95" w:name="_Toc254970676"/>
      <w:bookmarkStart w:id="96" w:name="_Toc254970535"/>
      <w:r>
        <w:rPr>
          <w:rFonts w:hint="eastAsia" w:ascii="宋体" w:hAnsi="宋体" w:eastAsia="宋体" w:cs="宋体"/>
          <w:color w:val="auto"/>
          <w:sz w:val="21"/>
          <w:szCs w:val="21"/>
          <w:highlight w:val="none"/>
        </w:rPr>
        <w:t>三、投标文件的编制</w:t>
      </w:r>
      <w:bookmarkEnd w:id="95"/>
      <w:bookmarkEnd w:id="96"/>
    </w:p>
    <w:p w14:paraId="73AC714C">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97" w:name="_Toc254970536"/>
      <w:bookmarkStart w:id="98" w:name="_Toc254970677"/>
      <w:r>
        <w:rPr>
          <w:rFonts w:hint="eastAsia" w:ascii="宋体" w:hAnsi="宋体" w:eastAsia="宋体" w:cs="宋体"/>
          <w:color w:val="auto"/>
          <w:sz w:val="21"/>
          <w:szCs w:val="21"/>
          <w:highlight w:val="none"/>
        </w:rPr>
        <w:t>12.投标文件的编制原则</w:t>
      </w:r>
    </w:p>
    <w:p w14:paraId="087EAD89">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文件的要求编制投标文件。投标文件必须对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文件提出的要求和条件作出明确响应。</w:t>
      </w:r>
    </w:p>
    <w:p w14:paraId="27235E88">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97"/>
      <w:bookmarkEnd w:id="98"/>
    </w:p>
    <w:p w14:paraId="283A876B">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投标文件由报价文件、资格证明文件、商务文件、技术文件四部分组成。</w:t>
      </w:r>
      <w:bookmarkStart w:id="99" w:name="_13.1报价文件:_具体材料见“投标人须知前附表”。"/>
      <w:bookmarkEnd w:id="99"/>
    </w:p>
    <w:p w14:paraId="661EF40C">
      <w:pPr>
        <w:pageBreakBefore w:val="0"/>
        <w:widowControl w:val="0"/>
        <w:numPr>
          <w:ilvl w:val="0"/>
          <w:numId w:val="4"/>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报价文件：具体材料见“投标人须知前附表”。</w:t>
      </w:r>
      <w:bookmarkStart w:id="100" w:name="_13.2资格证明文件：具体材料见“投标人须知前附表”。"/>
      <w:bookmarkEnd w:id="100"/>
    </w:p>
    <w:p w14:paraId="5A195A7D">
      <w:pPr>
        <w:pageBreakBefore w:val="0"/>
        <w:widowControl w:val="0"/>
        <w:numPr>
          <w:ilvl w:val="0"/>
          <w:numId w:val="4"/>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资格证明文件：具体材料见“投标人须知前附表”。</w:t>
      </w:r>
      <w:bookmarkStart w:id="101" w:name="_13.3商务文件:_具体材料见“投标人须知前附表”。"/>
      <w:bookmarkEnd w:id="101"/>
    </w:p>
    <w:p w14:paraId="57319B54">
      <w:pPr>
        <w:pageBreakBefore w:val="0"/>
        <w:widowControl w:val="0"/>
        <w:numPr>
          <w:ilvl w:val="0"/>
          <w:numId w:val="4"/>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商务文件：具体材料见“投标人须知前附表”。</w:t>
      </w:r>
      <w:bookmarkStart w:id="102" w:name="_13.4技术文件：具体材料见“投标人须知前附表”。"/>
      <w:bookmarkEnd w:id="102"/>
    </w:p>
    <w:p w14:paraId="0A94DE1F">
      <w:pPr>
        <w:pageBreakBefore w:val="0"/>
        <w:widowControl w:val="0"/>
        <w:numPr>
          <w:ilvl w:val="0"/>
          <w:numId w:val="4"/>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技术文件：具体材料见“投标人须知前附表”。</w:t>
      </w:r>
      <w:bookmarkStart w:id="103" w:name="_13.5投标文件电子版：具体材料见“投标人须知前附表”。"/>
      <w:bookmarkEnd w:id="103"/>
      <w:bookmarkStart w:id="104" w:name="_Toc254970678"/>
      <w:bookmarkStart w:id="105" w:name="_Toc254970537"/>
    </w:p>
    <w:p w14:paraId="3D2CF7D5">
      <w:pPr>
        <w:pageBreakBefore w:val="0"/>
        <w:widowControl w:val="0"/>
        <w:numPr>
          <w:ilvl w:val="0"/>
          <w:numId w:val="5"/>
        </w:numPr>
        <w:kinsoku/>
        <w:wordWrap/>
        <w:overflowPunct/>
        <w:topLinePunct w:val="0"/>
        <w:autoSpaceDE/>
        <w:autoSpaceDN/>
        <w:bidi w:val="0"/>
        <w:snapToGrid w:val="0"/>
        <w:spacing w:line="360" w:lineRule="exact"/>
        <w:ind w:left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投标文件的语言及计量</w:t>
      </w:r>
      <w:bookmarkEnd w:id="104"/>
      <w:bookmarkEnd w:id="105"/>
    </w:p>
    <w:p w14:paraId="726A956D">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5670BB47">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EC8BB21">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6B997DFD">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文件已有明确规定的，使用</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文件规定的计量单位；</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14:paraId="2A9CAC8A">
      <w:pPr>
        <w:pStyle w:val="4"/>
        <w:pageBreakBefore w:val="0"/>
        <w:widowControl w:val="0"/>
        <w:kinsoku/>
        <w:wordWrap/>
        <w:overflowPunct/>
        <w:topLinePunct w:val="0"/>
        <w:autoSpaceDE/>
        <w:autoSpaceDN/>
        <w:bidi w:val="0"/>
        <w:spacing w:before="0" w:after="0"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33553AE3">
      <w:pPr>
        <w:pStyle w:val="13"/>
        <w:pageBreakBefore w:val="0"/>
        <w:widowControl w:val="0"/>
        <w:kinsoku/>
        <w:wordWrap/>
        <w:overflowPunct/>
        <w:topLinePunct w:val="0"/>
        <w:autoSpaceDE/>
        <w:autoSpaceDN/>
        <w:bidi w:val="0"/>
        <w:snapToGrid w:val="0"/>
        <w:spacing w:line="360" w:lineRule="exact"/>
        <w:ind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文件要求提供全部资料，或者投标人没有对</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文件作出实质性响应是投标人的风险，并可能导致其投标被拒绝。</w:t>
      </w:r>
      <w:bookmarkStart w:id="106" w:name="_Toc254970538"/>
      <w:bookmarkStart w:id="107" w:name="_Toc254970679"/>
    </w:p>
    <w:p w14:paraId="7BADFA42">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16.</w:t>
      </w:r>
      <w:r>
        <w:rPr>
          <w:rFonts w:hint="eastAsia" w:ascii="宋体" w:hAnsi="宋体" w:eastAsia="宋体" w:cs="宋体"/>
          <w:color w:val="auto"/>
          <w:sz w:val="21"/>
          <w:szCs w:val="21"/>
          <w:highlight w:val="none"/>
        </w:rPr>
        <w:t>投标报价</w:t>
      </w:r>
      <w:bookmarkEnd w:id="106"/>
      <w:bookmarkEnd w:id="107"/>
    </w:p>
    <w:p w14:paraId="4606EFF1">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bookmarkStart w:id="108" w:name="_16.2投标报价具体定义见投标人须知前附表。"/>
      <w:bookmarkEnd w:id="108"/>
    </w:p>
    <w:p w14:paraId="5DC103FD">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16.2投标报价具体包括内容详见“投标人须知前附表”。</w:t>
      </w:r>
    </w:p>
    <w:p w14:paraId="0D292A24">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71006AD8">
      <w:pPr>
        <w:pStyle w:val="13"/>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17.</w:t>
      </w:r>
      <w:r>
        <w:rPr>
          <w:rFonts w:hint="eastAsia" w:ascii="宋体" w:hAnsi="宋体" w:eastAsia="宋体" w:cs="宋体"/>
          <w:color w:val="auto"/>
          <w:sz w:val="21"/>
          <w:szCs w:val="21"/>
          <w:highlight w:val="none"/>
        </w:rPr>
        <w:t>投标有效期</w:t>
      </w:r>
      <w:bookmarkStart w:id="109" w:name="_17.1投标有效期应按“投标人须知中的前附表”规定的期限。"/>
      <w:bookmarkEnd w:id="109"/>
    </w:p>
    <w:p w14:paraId="138C4610">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AD21F54">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110" w:name="_Toc254970681"/>
      <w:bookmarkStart w:id="111" w:name="_Toc254970540"/>
      <w:r>
        <w:rPr>
          <w:rFonts w:hint="eastAsia" w:ascii="宋体" w:hAnsi="宋体" w:eastAsia="宋体" w:cs="宋体"/>
          <w:b w:val="0"/>
          <w:color w:val="auto"/>
          <w:sz w:val="21"/>
          <w:szCs w:val="21"/>
          <w:highlight w:val="none"/>
        </w:rPr>
        <w:t>投标有效期应按规定的期限作出承诺，具体详见“投标人须知前附表”。</w:t>
      </w:r>
    </w:p>
    <w:p w14:paraId="701B5C7B">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110"/>
      <w:bookmarkEnd w:id="111"/>
      <w:bookmarkStart w:id="112" w:name="_18.投标保证金"/>
      <w:bookmarkEnd w:id="112"/>
      <w:bookmarkStart w:id="113" w:name="_Toc254970682"/>
      <w:bookmarkStart w:id="114" w:name="_Toc254970541"/>
    </w:p>
    <w:p w14:paraId="7423039B">
      <w:pPr>
        <w:pStyle w:val="13"/>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lang w:val="en-US" w:eastAsia="zh-CN" w:bidi="ar-SA"/>
        </w:rPr>
        <w:t>18.</w:t>
      </w:r>
      <w:r>
        <w:rPr>
          <w:rFonts w:hint="eastAsia" w:ascii="宋体" w:hAnsi="宋体" w:eastAsia="宋体" w:cs="宋体"/>
          <w:color w:val="auto"/>
          <w:sz w:val="21"/>
          <w:szCs w:val="21"/>
          <w:highlight w:val="none"/>
        </w:rPr>
        <w:t>投标保证金</w:t>
      </w:r>
      <w:bookmarkEnd w:id="113"/>
      <w:bookmarkEnd w:id="114"/>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本项目不收取投标保证金。</w:t>
      </w:r>
      <w:bookmarkStart w:id="115" w:name="_Toc254970683"/>
      <w:bookmarkStart w:id="116" w:name="_Toc254970542"/>
    </w:p>
    <w:p w14:paraId="186223F6">
      <w:pPr>
        <w:pStyle w:val="13"/>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19.</w:t>
      </w:r>
      <w:r>
        <w:rPr>
          <w:rFonts w:hint="eastAsia" w:ascii="宋体" w:hAnsi="宋体" w:eastAsia="宋体" w:cs="宋体"/>
          <w:color w:val="auto"/>
          <w:sz w:val="21"/>
          <w:szCs w:val="21"/>
          <w:highlight w:val="none"/>
        </w:rPr>
        <w:t>投标文件的</w:t>
      </w:r>
      <w:bookmarkEnd w:id="115"/>
      <w:bookmarkEnd w:id="116"/>
      <w:r>
        <w:rPr>
          <w:rFonts w:hint="eastAsia" w:ascii="宋体" w:hAnsi="宋体" w:eastAsia="宋体" w:cs="宋体"/>
          <w:color w:val="auto"/>
          <w:sz w:val="21"/>
          <w:szCs w:val="21"/>
          <w:highlight w:val="none"/>
        </w:rPr>
        <w:t>编制</w:t>
      </w:r>
    </w:p>
    <w:p w14:paraId="58FBB36D">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进行下载），并按照本项目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文件规定的格式和顺序和</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的要求编制并加密。投标文件内容不完整、编排混乱导致投标文件被误读、漏读或者查找不到相关内容的，由此引发的后果由投标人承担。</w:t>
      </w:r>
      <w:bookmarkStart w:id="117" w:name="_19.2投标文件应按报价文件、资格证明文件、商务文件、技术文件分别编制"/>
      <w:bookmarkEnd w:id="117"/>
    </w:p>
    <w:p w14:paraId="061845F0">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19.2为确保网上操作合法、有效和安全，投标人应当在投标截止时间前完成在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的身份认证，确保在电子投标过程中能够对相关数据电文进行加密和使用电子签章。</w:t>
      </w:r>
    </w:p>
    <w:p w14:paraId="2A4AA47A">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446A2425">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1A6E1EC4">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F9F6F8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20.电子备份投标文件</w:t>
      </w:r>
    </w:p>
    <w:p w14:paraId="3BE61B0D">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电子备份投标文件是指通过“政采云电子投标客户端”在线编制生成且后缀名为“bfbs”的文件，是否接受电子备份投标文件</w:t>
      </w:r>
      <w:r>
        <w:rPr>
          <w:rFonts w:hint="eastAsia" w:ascii="宋体" w:hAnsi="宋体" w:eastAsia="宋体" w:cs="宋体"/>
          <w:bCs/>
          <w:color w:val="auto"/>
          <w:sz w:val="21"/>
          <w:szCs w:val="21"/>
          <w:highlight w:val="none"/>
        </w:rPr>
        <w:t>详见在“投标人须知前附表”。</w:t>
      </w:r>
    </w:p>
    <w:p w14:paraId="69E77C2A">
      <w:pPr>
        <w:pageBreakBefore w:val="0"/>
        <w:widowControl w:val="0"/>
        <w:numPr>
          <w:ilvl w:val="0"/>
          <w:numId w:val="6"/>
        </w:numPr>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投标文件的提交</w:t>
      </w:r>
      <w:bookmarkStart w:id="118" w:name="_21.1投标人必须在“投标人须知中的前附表”规定的投标文件接收时间和投"/>
      <w:bookmarkEnd w:id="118"/>
    </w:p>
    <w:p w14:paraId="44FEB017">
      <w:pPr>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21.1投标人必须在“投标人须知前附表”规定的</w:t>
      </w:r>
      <w:r>
        <w:rPr>
          <w:rFonts w:hint="eastAsia" w:ascii="宋体" w:hAnsi="宋体" w:eastAsia="宋体" w:cs="宋体"/>
          <w:color w:val="auto"/>
          <w:sz w:val="21"/>
          <w:szCs w:val="21"/>
          <w:highlight w:val="none"/>
        </w:rPr>
        <w:t>投标文件提交截止时间前将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w:t>
      </w:r>
    </w:p>
    <w:p w14:paraId="2D343140">
      <w:pPr>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文件要求加密的电子投标文件，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17D9BBDE">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30A50073">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bookmarkStart w:id="119" w:name="_Toc254970543"/>
      <w:bookmarkStart w:id="120" w:name="_Toc254970684"/>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（补充、修改或者撤回方式可登陆</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进入“服务中心”中查看“电子投标文件制作与投送教程”）</w:t>
      </w:r>
    </w:p>
    <w:bookmarkEnd w:id="119"/>
    <w:bookmarkEnd w:id="120"/>
    <w:p w14:paraId="2CFF91AB">
      <w:pPr>
        <w:pStyle w:val="32"/>
        <w:pageBreakBefore w:val="0"/>
        <w:widowControl w:val="0"/>
        <w:kinsoku/>
        <w:wordWrap/>
        <w:overflowPunct/>
        <w:topLinePunct w:val="0"/>
        <w:autoSpaceDE/>
        <w:autoSpaceDN/>
        <w:bidi w:val="0"/>
        <w:spacing w:before="0"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079AE69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22.3在投标截止时间后，采购人和采购代理机构对已提交的投标文件概不退回。</w:t>
      </w:r>
    </w:p>
    <w:p w14:paraId="594DF43D">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121" w:name="_Toc254970544"/>
      <w:bookmarkStart w:id="122" w:name="_Toc254970685"/>
      <w:r>
        <w:rPr>
          <w:rFonts w:hint="eastAsia" w:ascii="宋体" w:hAnsi="宋体" w:eastAsia="宋体" w:cs="宋体"/>
          <w:color w:val="auto"/>
          <w:sz w:val="21"/>
          <w:szCs w:val="21"/>
          <w:highlight w:val="none"/>
        </w:rPr>
        <w:t>四、开    标</w:t>
      </w:r>
      <w:bookmarkEnd w:id="121"/>
      <w:bookmarkEnd w:id="122"/>
    </w:p>
    <w:p w14:paraId="6EED6A8B">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23" w:name="_23.开标时间和地点"/>
      <w:bookmarkEnd w:id="123"/>
      <w:r>
        <w:rPr>
          <w:rFonts w:hint="eastAsia" w:ascii="宋体" w:hAnsi="宋体" w:eastAsia="宋体" w:cs="宋体"/>
          <w:color w:val="auto"/>
          <w:sz w:val="21"/>
          <w:szCs w:val="21"/>
          <w:highlight w:val="none"/>
        </w:rPr>
        <w:t>23.开标时间和地点</w:t>
      </w:r>
    </w:p>
    <w:p w14:paraId="053C2E7B">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开标时间及地点详见“投标人须知前附表”</w:t>
      </w:r>
    </w:p>
    <w:p w14:paraId="5BF03C2A">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6628668A">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14:paraId="6F46EDC0">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文件规定的时间通过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组织线上开标活动，所有供应商均应当准时在线参加，投标人因未在线参加开标而导致投标文件无法按时解密等一切后果由投标人自己承担。</w:t>
      </w:r>
    </w:p>
    <w:p w14:paraId="1FC41FBE">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14:paraId="5C3B35B2">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194C76D8">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远程开标大厅展示，具体详见</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w:t>
      </w:r>
    </w:p>
    <w:p w14:paraId="5601C34F">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（3）开标过程由采购代理机构如实记录，并电子留痕，由参加电子开标的各投标人代表对电子开标记录在开标记录公布后15分钟内进行校核及勘误，并线上确认是否有异议，未确认的视同认可开标结果。</w:t>
      </w:r>
    </w:p>
    <w:p w14:paraId="1D16B81E">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C592ED6">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471B3AF7">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14:paraId="48AFC0C8">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p>
    <w:p w14:paraId="708DBBC6">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12C8FC06">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文件对电子投标文件进行线上资格审查。</w:t>
      </w:r>
    </w:p>
    <w:p w14:paraId="4F40621A">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文件中载明对投标人资格要求的条件。本项目资格审查采用合格制，凡符合</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文件规定的投标人资格要求的投标人均通过资格审查。</w:t>
      </w:r>
    </w:p>
    <w:p w14:paraId="5DE67539">
      <w:pPr>
        <w:pStyle w:val="4"/>
        <w:pageBreakBefore w:val="0"/>
        <w:widowControl w:val="0"/>
        <w:numPr>
          <w:ilvl w:val="4"/>
          <w:numId w:val="0"/>
        </w:numPr>
        <w:kinsoku/>
        <w:wordWrap/>
        <w:overflowPunct/>
        <w:topLinePunct w:val="0"/>
        <w:autoSpaceDE/>
        <w:autoSpaceDN/>
        <w:bidi w:val="0"/>
        <w:spacing w:before="0" w:after="0" w:line="360" w:lineRule="exact"/>
        <w:ind w:firstLine="422" w:firstLineChars="200"/>
        <w:textAlignment w:val="auto"/>
        <w:rPr>
          <w:rFonts w:hint="eastAsia" w:ascii="宋体" w:hAnsi="宋体" w:eastAsia="宋体" w:cs="宋体"/>
          <w:color w:val="auto"/>
          <w:sz w:val="21"/>
          <w:szCs w:val="21"/>
          <w:highlight w:val="none"/>
        </w:rPr>
      </w:pPr>
      <w:bookmarkStart w:id="124" w:name="_25.3_投标人有下列情形之一的，资格审查不通过而导致其投标无效："/>
      <w:bookmarkEnd w:id="124"/>
      <w:r>
        <w:rPr>
          <w:rFonts w:hint="eastAsia" w:ascii="宋体" w:hAnsi="宋体" w:eastAsia="宋体" w:cs="宋体"/>
          <w:color w:val="auto"/>
          <w:sz w:val="21"/>
          <w:szCs w:val="21"/>
          <w:highlight w:val="none"/>
        </w:rPr>
        <w:t>25.3投标人有下列情形之一的，资格审查不通过，作无效投标处理：</w:t>
      </w:r>
    </w:p>
    <w:p w14:paraId="484DCA20">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w:t>
      </w:r>
      <w:r>
        <w:rPr>
          <w:rFonts w:hint="eastAsia"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文件中规定的资格要求的；</w:t>
      </w:r>
    </w:p>
    <w:p w14:paraId="6DD512EF">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已与“信用中国”网站、中国政府采购网实现数据对接，可直接在线查询）</w:t>
      </w:r>
    </w:p>
    <w:p w14:paraId="401AA96F">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8989FD6">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14:paraId="7E365D09">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14:paraId="1696D191">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7073774D">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六、评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p>
    <w:p w14:paraId="04C258C0">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25" w:name="_26.组建评标委员会"/>
      <w:bookmarkEnd w:id="125"/>
      <w:r>
        <w:rPr>
          <w:rFonts w:hint="eastAsia" w:ascii="宋体" w:hAnsi="宋体" w:eastAsia="宋体" w:cs="宋体"/>
          <w:color w:val="auto"/>
          <w:sz w:val="21"/>
          <w:szCs w:val="21"/>
          <w:highlight w:val="none"/>
        </w:rPr>
        <w:t>26.组建评标委员会</w:t>
      </w:r>
    </w:p>
    <w:p w14:paraId="0E37E9D4">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26.1评标委员会由采购人代表和评审专家组成，具体人数详见“投标人须知前附表”，其中评审专家不得少于成员总数的三分之二。</w:t>
      </w:r>
    </w:p>
    <w:p w14:paraId="36AF7BBB">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26.2参加过采购项目前期咨询论证的专家，不得参加该采购项目的评审活动。</w:t>
      </w:r>
    </w:p>
    <w:p w14:paraId="2982749F">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3672CA76">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69D6FCD7">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2DD586DB">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364B45D3">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3CE04FF">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26" w:name="_28.3评标方法。本项目将按须知前附表规定的评标办法进行评标，具体评标"/>
      <w:bookmarkEnd w:id="126"/>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79F97FA9">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8994F06">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14:paraId="6EE08A73">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4FFA9F19">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1C2C8C61">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29.2商务/技术要求允许负偏离的条款数详见“投标人须知前附表”。</w:t>
      </w:r>
    </w:p>
    <w:p w14:paraId="4658741D">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29.3中标候选人推荐数量详见“投标人须知前附表”。</w:t>
      </w:r>
    </w:p>
    <w:p w14:paraId="40F0D48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29.4电子交易活动的中止。采购过程中出现以下情形，导致电子交易平台无法正常运行，或者无法保证电子交易的公平、公正和安全时，采购代理机构可以中止电子交易活动：</w:t>
      </w:r>
    </w:p>
    <w:p w14:paraId="4F949FF6">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（1）电子交易平台发生故障而无法登录访问的；</w:t>
      </w:r>
    </w:p>
    <w:p w14:paraId="45D12D70">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1A0521A3">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3F32D033">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（4）病毒发作导致不能进行正常操作的；</w:t>
      </w:r>
    </w:p>
    <w:p w14:paraId="450ADE8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5824FB7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19413AF">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127" w:name="_Toc254970687"/>
      <w:bookmarkStart w:id="128" w:name="_Toc254970546"/>
      <w:r>
        <w:rPr>
          <w:rFonts w:hint="eastAsia" w:ascii="宋体" w:hAnsi="宋体" w:eastAsia="宋体" w:cs="宋体"/>
          <w:color w:val="auto"/>
          <w:sz w:val="21"/>
          <w:szCs w:val="21"/>
          <w:highlight w:val="none"/>
        </w:rPr>
        <w:t>七、</w:t>
      </w:r>
      <w:bookmarkEnd w:id="127"/>
      <w:bookmarkEnd w:id="128"/>
      <w:r>
        <w:rPr>
          <w:rFonts w:hint="eastAsia" w:ascii="宋体" w:hAnsi="宋体" w:eastAsia="宋体" w:cs="宋体"/>
          <w:color w:val="auto"/>
          <w:sz w:val="21"/>
          <w:szCs w:val="21"/>
          <w:highlight w:val="none"/>
        </w:rPr>
        <w:t>中标和合同</w:t>
      </w:r>
    </w:p>
    <w:p w14:paraId="4F194709">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21B1CFCB">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831C273">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35C6007">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5B3A2BF6">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文件作实质响应的供应商不足三家的；</w:t>
      </w:r>
    </w:p>
    <w:p w14:paraId="33D2ECAC">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FA7330E">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44C25623">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5B564E7F">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306D3286">
      <w:pPr>
        <w:pageBreakBefore w:val="0"/>
        <w:widowControl w:val="0"/>
        <w:numPr>
          <w:ilvl w:val="0"/>
          <w:numId w:val="7"/>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结果公告</w:t>
      </w:r>
    </w:p>
    <w:p w14:paraId="5BBA251B">
      <w:pPr>
        <w:pageBreakBefore w:val="0"/>
        <w:widowControl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color w:val="FF0000"/>
          <w:sz w:val="21"/>
          <w:szCs w:val="21"/>
          <w:highlight w:val="none"/>
        </w:rPr>
      </w:pPr>
      <w:r>
        <w:rPr>
          <w:rFonts w:hint="eastAsia" w:ascii="宋体" w:hAnsi="宋体" w:eastAsia="宋体" w:cs="宋体"/>
          <w:b w:val="0"/>
          <w:color w:val="auto"/>
          <w:sz w:val="21"/>
          <w:szCs w:val="21"/>
          <w:highlight w:val="none"/>
        </w:rPr>
        <w:t>31.1</w:t>
      </w:r>
      <w:r>
        <w:rPr>
          <w:rFonts w:hint="eastAsia" w:ascii="宋体" w:hAnsi="宋体" w:eastAsia="宋体" w:cs="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w:t>
      </w:r>
      <w:r>
        <w:rPr>
          <w:rFonts w:hint="eastAsia" w:ascii="宋体" w:hAnsi="宋体" w:cs="宋体"/>
          <w:b w:val="0"/>
          <w:color w:val="000000" w:themeColor="text1"/>
          <w:sz w:val="21"/>
          <w:szCs w:val="21"/>
          <w:highlight w:val="none"/>
          <w:lang w:eastAsia="zh-CN"/>
          <w14:textFill>
            <w14:solidFill>
              <w14:schemeClr w14:val="tx1"/>
            </w14:solidFill>
          </w14:textFill>
        </w:rPr>
        <w:t>采购</w:t>
      </w:r>
      <w:r>
        <w:rPr>
          <w:rFonts w:hint="eastAsia" w:ascii="宋体" w:hAnsi="宋体" w:eastAsia="宋体" w:cs="宋体"/>
          <w:b w:val="0"/>
          <w:color w:val="000000" w:themeColor="text1"/>
          <w:sz w:val="21"/>
          <w:szCs w:val="21"/>
          <w:highlight w:val="none"/>
          <w14:textFill>
            <w14:solidFill>
              <w14:schemeClr w14:val="tx1"/>
            </w14:solidFill>
          </w14:textFill>
        </w:rPr>
        <w:t>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746CE14">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57A4888F">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2979519">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3B2FC29A">
      <w:pPr>
        <w:pStyle w:val="4"/>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4D2DD757">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43515859">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14:paraId="4BC19598">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429C401A">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文件要求，具备履行合同能力的中标人。</w:t>
      </w:r>
    </w:p>
    <w:p w14:paraId="4B3200A3">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33AF77B0">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bookmarkStart w:id="129" w:name="_39.1中标人须于签订合同前按本须知前附表规定的金额转账或电汇到指定账"/>
      <w:bookmarkEnd w:id="129"/>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p w14:paraId="48F8A17A">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14207130">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bookmarkStart w:id="130" w:name="_40.1投标人接到中标通知书后，按须知前附表规定向采购人出示相关资格证"/>
      <w:bookmarkEnd w:id="130"/>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36.1签订电子采购合同：中标人领取电子中标通知书后，</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zh-CN"/>
        </w:rPr>
        <w:t>规定的日期、时间、地点，由法定代表人或其授权代表与采购人代表签订电子采购合同。</w:t>
      </w:r>
    </w:p>
    <w:p w14:paraId="1DE60727">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6CACEE2">
      <w:pPr>
        <w:pStyle w:val="4"/>
        <w:pageBreakBefore w:val="0"/>
        <w:widowControl w:val="0"/>
        <w:numPr>
          <w:ilvl w:val="4"/>
          <w:numId w:val="0"/>
        </w:numPr>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550854A9">
      <w:pPr>
        <w:pStyle w:val="4"/>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C9C9B6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B299D8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文件没有约定的条件或不合理的要求，作为签订合同的条件；也不得协商另行订立背离</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文件和合同实质性内容的协议。</w:t>
      </w:r>
    </w:p>
    <w:p w14:paraId="4413904F">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4C159454">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26DA856D">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31" w:name="_41.政府采购合同公告"/>
      <w:bookmarkEnd w:id="131"/>
      <w:r>
        <w:rPr>
          <w:rFonts w:hint="eastAsia" w:ascii="宋体" w:hAnsi="宋体" w:eastAsia="宋体" w:cs="宋体"/>
          <w:color w:val="auto"/>
          <w:sz w:val="21"/>
          <w:szCs w:val="21"/>
          <w:highlight w:val="none"/>
        </w:rPr>
        <w:t>37.政府采购合同公告</w:t>
      </w:r>
    </w:p>
    <w:p w14:paraId="2C19F669">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1306F0F">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38.询问、质疑和投诉</w:t>
      </w:r>
    </w:p>
    <w:p w14:paraId="46570B76">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279D984C">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EBCF6F2">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文件提出质疑的，为收到</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文件之日或者</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文件公告期限届满之日；</w:t>
      </w:r>
    </w:p>
    <w:p w14:paraId="2946C651">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607B96CC">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4602DF61">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 w:val="0"/>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235B2F51">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03762FAD">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088D43DB">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24B3D14D">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193A6D8E">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36C0216E">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03D277B7">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4E81EFFA">
      <w:pPr>
        <w:pStyle w:val="4"/>
        <w:pageBreakBefore w:val="0"/>
        <w:widowControl w:val="0"/>
        <w:kinsoku/>
        <w:wordWrap/>
        <w:overflowPunct/>
        <w:topLinePunct w:val="0"/>
        <w:autoSpaceDE/>
        <w:autoSpaceDN/>
        <w:bidi w:val="0"/>
        <w:snapToGrid w:val="0"/>
        <w:spacing w:before="0" w:after="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2046FB8B">
      <w:pPr>
        <w:pStyle w:val="13"/>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文件提出的质疑，依法通过澄清或者修改可以继续开展采购活动的，澄清或者修改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文件后继续开展采购活动；否则应当修改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文件后重新开展采购活动。</w:t>
      </w:r>
    </w:p>
    <w:p w14:paraId="5216A957">
      <w:pPr>
        <w:pStyle w:val="13"/>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A0B7847">
      <w:pPr>
        <w:pStyle w:val="13"/>
        <w:pageBreakBefore w:val="0"/>
        <w:widowControl w:val="0"/>
        <w:kinsoku/>
        <w:wordWrap/>
        <w:overflowPunct/>
        <w:topLinePunct w:val="0"/>
        <w:autoSpaceDE/>
        <w:autoSpaceDN/>
        <w:bidi w:val="0"/>
        <w:snapToGrid w:val="0"/>
        <w:spacing w:line="36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18543A6D">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D6872A3">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p>
    <w:p w14:paraId="782B488C">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2" w:name="_42.代理服务费"/>
      <w:bookmarkEnd w:id="132"/>
      <w:r>
        <w:rPr>
          <w:rFonts w:hint="eastAsia" w:ascii="宋体" w:hAnsi="宋体" w:eastAsia="宋体" w:cs="宋体"/>
          <w:color w:val="000000" w:themeColor="text1"/>
          <w:sz w:val="21"/>
          <w:szCs w:val="21"/>
          <w:highlight w:val="none"/>
          <w14:textFill>
            <w14:solidFill>
              <w14:schemeClr w14:val="tx1"/>
            </w14:solidFill>
          </w14:textFill>
        </w:rPr>
        <w:t>39.代理服务费</w:t>
      </w:r>
    </w:p>
    <w:p w14:paraId="59181182">
      <w:pPr>
        <w:pStyle w:val="5"/>
        <w:pageBreakBefore w:val="0"/>
        <w:widowControl w:val="0"/>
        <w:kinsoku/>
        <w:wordWrap/>
        <w:overflowPunct/>
        <w:topLinePunct w:val="0"/>
        <w:autoSpaceDE/>
        <w:autoSpaceDN/>
        <w:bidi w:val="0"/>
        <w:spacing w:line="360" w:lineRule="exac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本项目不收取代理服务费</w:t>
      </w:r>
    </w:p>
    <w:p w14:paraId="6C4CA920">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40.需要补充的其他内容</w:t>
      </w:r>
    </w:p>
    <w:p w14:paraId="0532EDA4">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文件解释规则详见“投标人须知前附表”。</w:t>
      </w:r>
    </w:p>
    <w:p w14:paraId="1C022626">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72B75168">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w:t>
      </w:r>
      <w:bookmarkStart w:id="133" w:name="_Hlk65857140"/>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文件所称</w:t>
      </w:r>
      <w:r>
        <w:rPr>
          <w:rFonts w:hint="eastAsia" w:hAnsi="宋体" w:cs="宋体"/>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color w:val="000000" w:themeColor="text1"/>
          <w:sz w:val="21"/>
          <w:szCs w:val="21"/>
          <w:highlight w:val="none"/>
          <w14:textFill>
            <w14:solidFill>
              <w14:schemeClr w14:val="tx1"/>
            </w14:solidFill>
          </w14:textFill>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28546A32">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51908E47">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730E388C">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B483082">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在货物采购项目中，供应商提供的货物既有中小企业制造货物，也有大型企业制造货物的，不享受本</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786F9A73">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依据本</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文件规定享受扶持政策获得政府采购合同的，小微企业不得将合同分包给大中型企业，中型企业不得将合同分包给大型企业。</w:t>
      </w:r>
      <w:bookmarkEnd w:id="133"/>
    </w:p>
    <w:p w14:paraId="09F3E1A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2BAC1D75">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附件1：</w:t>
      </w:r>
    </w:p>
    <w:p w14:paraId="574BD13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广西壮族自治区政府采购项目合同验收书（格式）</w:t>
      </w:r>
    </w:p>
    <w:p w14:paraId="52E195B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p>
    <w:p w14:paraId="36510E2D">
      <w:pPr>
        <w:pageBreakBefore w:val="0"/>
        <w:widowControl/>
        <w:kinsoku/>
        <w:overflowPunct/>
        <w:topLinePunct w:val="0"/>
        <w:bidi w:val="0"/>
        <w:snapToGrid w:val="0"/>
        <w:spacing w:line="24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政府采购项目中标人（</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提供的货物（或者工程、服务）进行了验收，验收情况如下：</w:t>
      </w:r>
    </w:p>
    <w:tbl>
      <w:tblPr>
        <w:tblStyle w:val="21"/>
        <w:tblW w:w="8951"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5366142">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DF871B2">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42AD09D8">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5DAD4FB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365823F">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4772FEA0">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605B4065">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6E705126">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184ADA37">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14:paraId="2AAAC97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9838F0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5CB839B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04B48909">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16204F1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466D79E7">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15759D8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B034FA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5E1A49D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33A9758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6AAC92D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50C3F8A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2B77241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DDF774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37C5214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6C702EA9">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621A501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1F31903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7391169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11385A2">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369" w:type="dxa"/>
            <w:gridSpan w:val="2"/>
            <w:tcBorders>
              <w:top w:val="nil"/>
              <w:left w:val="nil"/>
              <w:bottom w:val="single" w:color="auto" w:sz="8" w:space="0"/>
              <w:right w:val="single" w:color="auto" w:sz="8" w:space="0"/>
            </w:tcBorders>
            <w:vAlign w:val="center"/>
          </w:tcPr>
          <w:p w14:paraId="5F00FE4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3116ED9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637F256E">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58A64882">
            <w:pPr>
              <w:pageBreakBefore w:val="0"/>
              <w:widowControl/>
              <w:kinsoku/>
              <w:overflowPunct/>
              <w:topLinePunct w:val="0"/>
              <w:bidi w:val="0"/>
              <w:snapToGrid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6F37A0D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E07F58F">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93BD1A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17F91FDB">
            <w:pPr>
              <w:pageBreakBefore w:val="0"/>
              <w:widowControl/>
              <w:kinsoku/>
              <w:overflowPunct/>
              <w:topLinePunct w:val="0"/>
              <w:bidi w:val="0"/>
              <w:snapToGrid w:val="0"/>
              <w:spacing w:before="100" w:beforeAutospacing="1" w:after="100" w:afterAutospacing="1" w:line="240" w:lineRule="auto"/>
              <w:ind w:firstLine="4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6B177C4C">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7CF01F0">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77CB2B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21" w:type="dxa"/>
            <w:gridSpan w:val="2"/>
            <w:tcBorders>
              <w:top w:val="nil"/>
              <w:left w:val="nil"/>
              <w:bottom w:val="single" w:color="auto" w:sz="8" w:space="0"/>
              <w:right w:val="single" w:color="auto" w:sz="8" w:space="0"/>
            </w:tcBorders>
            <w:vAlign w:val="center"/>
          </w:tcPr>
          <w:p w14:paraId="1126068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26DF1C6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619" w:type="dxa"/>
            <w:gridSpan w:val="2"/>
            <w:tcBorders>
              <w:top w:val="nil"/>
              <w:left w:val="nil"/>
              <w:bottom w:val="single" w:color="auto" w:sz="8" w:space="0"/>
              <w:right w:val="single" w:color="auto" w:sz="8" w:space="0"/>
            </w:tcBorders>
            <w:vAlign w:val="center"/>
          </w:tcPr>
          <w:p w14:paraId="5663DE0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26574457">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769E36">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E3FA8D0">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文件、投标文件及验收方案等进行验收；并核对中标人在安装调试等方面是否违反合同约定或者服务规范要求、提供的质量保证证明材料是否齐全、应有的配件及附件是否达到合同约定等。可附件)</w:t>
            </w:r>
          </w:p>
        </w:tc>
      </w:tr>
      <w:tr w14:paraId="09FE7851">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656353">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328F252F">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08D1057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423F389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7322" w:type="dxa"/>
            <w:gridSpan w:val="7"/>
            <w:tcBorders>
              <w:top w:val="nil"/>
              <w:left w:val="nil"/>
              <w:bottom w:val="single" w:color="auto" w:sz="8" w:space="0"/>
              <w:right w:val="single" w:color="auto" w:sz="8" w:space="0"/>
            </w:tcBorders>
            <w:vAlign w:val="center"/>
          </w:tcPr>
          <w:p w14:paraId="3205B0E9">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2824C667">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p>
        </w:tc>
      </w:tr>
      <w:tr w14:paraId="00D54DB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5B44A8">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4951DA1B">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835ADA">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监督人员或者其他相关人员签字：</w:t>
            </w:r>
          </w:p>
          <w:p w14:paraId="57571F48">
            <w:pPr>
              <w:pageBreakBefore w:val="0"/>
              <w:widowControl/>
              <w:kinsoku/>
              <w:overflowPunct/>
              <w:topLinePunct w:val="0"/>
              <w:bidi w:val="0"/>
              <w:spacing w:before="100" w:beforeAutospacing="1" w:after="100" w:afterAutospacing="1" w:line="240" w:lineRule="auto"/>
              <w:ind w:firstLine="7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或者受邀机构的意见（盖章）：</w:t>
            </w:r>
          </w:p>
        </w:tc>
      </w:tr>
      <w:tr w14:paraId="2DE192F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B9C495F">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中标人负责人签字或者盖章：</w:t>
            </w:r>
          </w:p>
          <w:p w14:paraId="6D3B76F5">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p>
          <w:p w14:paraId="6EE5D430">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799" w:type="dxa"/>
            <w:gridSpan w:val="4"/>
            <w:tcBorders>
              <w:top w:val="nil"/>
              <w:left w:val="nil"/>
              <w:bottom w:val="single" w:color="auto" w:sz="8" w:space="0"/>
              <w:right w:val="single" w:color="auto" w:sz="8" w:space="0"/>
            </w:tcBorders>
            <w:vAlign w:val="center"/>
          </w:tcPr>
          <w:p w14:paraId="4EE9B95D">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采购人或者受托机构的意见（盖章）：</w:t>
            </w:r>
          </w:p>
          <w:p w14:paraId="7C72E1F6">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p>
          <w:p w14:paraId="5AA64F23">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62FC1B00">
      <w:pPr>
        <w:rPr>
          <w:rFonts w:hint="eastAsia"/>
        </w:rPr>
      </w:pPr>
      <w:r>
        <w:rPr>
          <w:rFonts w:hint="eastAsia"/>
        </w:rPr>
        <w:br w:type="page"/>
      </w:r>
    </w:p>
    <w:p w14:paraId="064263AE">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w:t>
      </w:r>
    </w:p>
    <w:p w14:paraId="480C45C4">
      <w:pPr>
        <w:rPr>
          <w:rFonts w:hint="eastAsia"/>
        </w:rPr>
      </w:pPr>
    </w:p>
    <w:p w14:paraId="3ACAA001">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34" w:name="_Toc28361_WPSOffice_Level2"/>
      <w:r>
        <w:rPr>
          <w:rFonts w:hint="eastAsia" w:ascii="宋体" w:hAnsi="宋体" w:eastAsia="宋体" w:cs="宋体"/>
          <w:b/>
          <w:bCs/>
          <w:color w:val="auto"/>
          <w:kern w:val="0"/>
          <w:sz w:val="21"/>
          <w:szCs w:val="21"/>
          <w:highlight w:val="none"/>
        </w:rPr>
        <w:t>大中小微型企业划分标准</w:t>
      </w:r>
      <w:bookmarkEnd w:id="134"/>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3A04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3CCA7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0A73C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578CD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36FFF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44C6A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10011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2727E5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7B9FE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7E86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285AA6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2F69D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3DBC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5937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1F8DB7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4DE58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6BFE2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22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7464C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17A77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C737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A29E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E715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1DD6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19951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3D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C5A7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20B4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A364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D05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AAF12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5FCFD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73F2B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B0A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4040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78B57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0240A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E0FB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09468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5B9A1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06EB3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D7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0F300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34D2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03FAB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0242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0A4C9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129B8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28F3A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A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A5FD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0ECBE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B99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ACF8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1A39A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1F4F0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3F470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3878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CD9D0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7C6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1ABF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3B0B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F7A03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5D1FF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1B130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5D3C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A57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71F4A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FDBB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21B74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469E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6082D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021BA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0CE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454A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46B7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3028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8A89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67B37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05DA9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10532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5E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59FA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2A267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7AD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3F69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070C4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1066A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D122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46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AAF9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7B66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BF7B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20AB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D042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63532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4F4F71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EF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0AC1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6E01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7735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1322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5275E18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3E9A5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0C601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FAB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01E3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823E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4BF9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F582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5EF78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7340B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59AF4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2AE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7B1B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2E0535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5269C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E2AA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4FED5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0552B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A8628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CBE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25AA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E967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F759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D897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2B70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E89F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FC0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73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0E70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2B070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031C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A1B4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5FA66B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332D6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B43C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8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709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FD820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6C6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65C2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1949E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30026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586D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A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5BD1E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7E5E9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8FBD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F93E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A191D1D">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26870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6037F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B73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BADE1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A1E9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5B6B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9B34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20A05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55B138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7C2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08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946C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65031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2822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485B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578D2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657A8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CC94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5C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8F1F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A554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4D17B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EDCE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5A64E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64827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3AD78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FE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C6E8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4B3EB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817E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2DCB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A67636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77FD8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3973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FE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D549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10C0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08DA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D60D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62DCD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15651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4B103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8F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56D2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0916C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34F97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31FA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5891F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452D5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74EF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2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A586D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D2AA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5417E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F543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67D5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2365C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4F8CD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45ED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26ED1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69802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A5CB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7B0D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4266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39A0C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22CF6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27F0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3C0E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C5C9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195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052A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6DA49AC3">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5A45E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11C4F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63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A2F1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38885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5E8D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BD649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172F07F">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941F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1A535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AB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1370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724E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379AF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062B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18B7F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683F0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7DDC2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4F64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3409A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12A9A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AE2F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D209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7FAFA75">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6296B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9368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D5FF707">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675ED8DB">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737A8890">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411D684">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AC2017">
      <w:r>
        <w:br w:type="page"/>
      </w:r>
    </w:p>
    <w:p w14:paraId="2C345488">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0"/>
          <w:szCs w:val="40"/>
          <w:highlight w:val="none"/>
          <w:lang w:val="en-US" w:eastAsia="zh-CN"/>
        </w:rPr>
      </w:pPr>
      <w:bookmarkStart w:id="135" w:name="_Toc2191"/>
      <w:bookmarkStart w:id="136" w:name="_Toc9297"/>
      <w:r>
        <w:rPr>
          <w:rFonts w:hint="eastAsia" w:ascii="宋体" w:hAnsi="宋体" w:eastAsia="宋体" w:cs="宋体"/>
          <w:b/>
          <w:bCs/>
          <w:color w:val="auto"/>
          <w:kern w:val="44"/>
          <w:sz w:val="40"/>
          <w:szCs w:val="40"/>
          <w:lang w:val="en-US" w:eastAsia="zh-CN" w:bidi="ar-SA"/>
        </w:rPr>
        <w:t xml:space="preserve">第四章 </w:t>
      </w:r>
      <w:r>
        <w:rPr>
          <w:rFonts w:hint="eastAsia" w:ascii="宋体" w:hAnsi="宋体" w:eastAsia="宋体" w:cs="宋体"/>
          <w:color w:val="auto"/>
          <w:sz w:val="40"/>
          <w:szCs w:val="40"/>
          <w:highlight w:val="none"/>
          <w:lang w:val="en-US" w:eastAsia="zh-CN"/>
        </w:rPr>
        <w:t>评标方法及评标标准</w:t>
      </w:r>
      <w:bookmarkEnd w:id="135"/>
      <w:bookmarkEnd w:id="136"/>
    </w:p>
    <w:p w14:paraId="632277A7">
      <w:pPr>
        <w:pStyle w:val="3"/>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一、评标方法</w:t>
      </w:r>
    </w:p>
    <w:p w14:paraId="3EAA6670">
      <w:pPr>
        <w:pStyle w:val="13"/>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文件全部实质性要求，且按照评审因素的量化指标评审得分最高的投标人为中标候选人的评标方法。</w:t>
      </w:r>
    </w:p>
    <w:p w14:paraId="131281DF">
      <w:pPr>
        <w:pStyle w:val="13"/>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文件全部实质性要求，且投标报价最低的投标人为中标候选人的评标方法。</w:t>
      </w:r>
    </w:p>
    <w:p w14:paraId="20C48D91">
      <w:pPr>
        <w:pStyle w:val="3"/>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二、评标程序</w:t>
      </w:r>
    </w:p>
    <w:p w14:paraId="6F9A7CEA">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0A0FAA4E">
      <w:pPr>
        <w:pStyle w:val="13"/>
        <w:pageBreakBefore w:val="0"/>
        <w:widowControl w:val="0"/>
        <w:kinsoku/>
        <w:wordWrap/>
        <w:overflowPunct/>
        <w:topLinePunct w:val="0"/>
        <w:autoSpaceDE/>
        <w:autoSpaceDN/>
        <w:bidi w:val="0"/>
        <w:adjustRightInd/>
        <w:snapToGrid w:val="0"/>
        <w:spacing w:line="240" w:lineRule="auto"/>
        <w:ind w:left="1" w:firstLine="42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w:t>
      </w:r>
      <w:r>
        <w:rPr>
          <w:rFonts w:hint="eastAsia" w:hAnsi="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文件的实质性要求。</w:t>
      </w:r>
    </w:p>
    <w:p w14:paraId="45580BBB">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2FB3683B">
      <w:pPr>
        <w:pageBreakBefore w:val="0"/>
        <w:widowControl w:val="0"/>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文件的任何实质性要求和条件的负偏离，将被视为投标无效。</w:t>
      </w:r>
    </w:p>
    <w:p w14:paraId="08436876">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D572BA5">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5CCCBC7C">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文件标明的币种报价的；</w:t>
      </w:r>
    </w:p>
    <w:p w14:paraId="1517602C">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文件相应分标规定最高限价，或者超出相应分标采购预算金额的；</w:t>
      </w:r>
    </w:p>
    <w:p w14:paraId="244AE28B">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文件允许有备选方案或者其他约定的除外）；</w:t>
      </w:r>
    </w:p>
    <w:p w14:paraId="7B5E40A3">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14:paraId="586EE2CE">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14:paraId="53A30BED">
      <w:pPr>
        <w:pStyle w:val="5"/>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文件要求实质性不一致的。</w:t>
      </w:r>
    </w:p>
    <w:p w14:paraId="4D0EC778">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089E9DFC">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文件要求签署、盖章的；</w:t>
      </w:r>
    </w:p>
    <w:p w14:paraId="1E03F04D">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7597FA4C">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4B7A329E">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4DDD6231">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文件要求的；</w:t>
      </w:r>
    </w:p>
    <w:p w14:paraId="71095AF6">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153D55A1">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3F4108B7">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50D702FA">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文件标注的项目名称或者项目编号不一致的；</w:t>
      </w:r>
    </w:p>
    <w:p w14:paraId="4576EBE0">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文件明确不允许分包，投标文件拟分包的；</w:t>
      </w:r>
    </w:p>
    <w:p w14:paraId="3386C92F">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未响应</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文件实质性要求的；</w:t>
      </w:r>
    </w:p>
    <w:p w14:paraId="2FD790BC">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文件规定的其他无效情形。</w:t>
      </w:r>
    </w:p>
    <w:p w14:paraId="1914E78F">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29181259">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625266D4">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C1893C3">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529B3519">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7" w:name="_Hlk71706244"/>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文件未载明允许提供备选（替代）投标方案或明确不允许提供备选（替代）投标方案时，投标人提供了备选（替代）投标方案的；</w:t>
      </w:r>
      <w:bookmarkEnd w:id="137"/>
    </w:p>
    <w:p w14:paraId="2CBBC140">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w:t>
      </w:r>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文件实质性要求的。</w:t>
      </w:r>
    </w:p>
    <w:p w14:paraId="33C207A6">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197FE835">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发布电子澄清函，要求投标人在规定时间内作出必要的澄清、说明或者补正。投标人在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34981E6">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CB27222">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1D2751E0">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10B115C5">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4.1投标文件报价出现前后不一致的，按照下列规定修正：</w:t>
      </w:r>
    </w:p>
    <w:p w14:paraId="4D0EE01D">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29B1D4AC">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54C1A896">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1BE72D41">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4DB9E098">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04A4BCF1">
      <w:pPr>
        <w:pStyle w:val="4"/>
        <w:pageBreakBefore w:val="0"/>
        <w:widowControl w:val="0"/>
        <w:kinsoku/>
        <w:wordWrap/>
        <w:overflowPunct/>
        <w:topLinePunct w:val="0"/>
        <w:autoSpaceDE/>
        <w:autoSpaceDN/>
        <w:bidi w:val="0"/>
        <w:adjustRightInd/>
        <w:spacing w:before="0" w:after="0" w:line="240" w:lineRule="auto"/>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0121C07C">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0B5CD357">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03F1DA28">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8F6A049">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文件中规定的评标方法及评标标准，对符合性审查合格的投标文件进行商务和技术评估，综合比较与评价。</w:t>
      </w:r>
    </w:p>
    <w:p w14:paraId="6F12C5B2">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501530BD">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1470DE7E">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文件中规定的评标方法和标准计算各投标人的报价得分。在计算过程中，不得去掉最高报价或者最低报价。</w:t>
      </w:r>
    </w:p>
    <w:p w14:paraId="4494339C">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447E5980">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0A51B879">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0CDB462">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5.2采用最低评标价法的</w:t>
      </w:r>
    </w:p>
    <w:p w14:paraId="38387B84">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文件中规定的评标方法及评标标准，对符合性审查合格的投标文件报价进行比较。</w:t>
      </w:r>
    </w:p>
    <w:p w14:paraId="266BF5E9">
      <w:pPr>
        <w:pageBreakBefore w:val="0"/>
        <w:widowControl w:val="0"/>
        <w:kinsoku/>
        <w:wordWrap/>
        <w:overflowPunct/>
        <w:topLinePunct w:val="0"/>
        <w:autoSpaceDE/>
        <w:autoSpaceDN/>
        <w:bidi w:val="0"/>
        <w:adjustRightInd/>
        <w:snapToGrid w:val="0"/>
        <w:spacing w:line="240" w:lineRule="auto"/>
        <w:ind w:firstLine="399" w:firstLineChars="202"/>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委员会认为投标人的报价明显高于其他通过符合性审查投标人的报价，有可能影响配送产品质量或者服务质量或者不能诚信履约的，应当要求其在评标现场合理的时间内提供书面说明，必要时提交相关证明材料；</w:t>
      </w:r>
      <w:r>
        <w:rPr>
          <w:rFonts w:hint="eastAsia" w:ascii="宋体" w:hAnsi="宋体" w:eastAsia="宋体" w:cs="宋体"/>
          <w:b/>
          <w:color w:val="auto"/>
          <w:spacing w:val="-6"/>
          <w:sz w:val="21"/>
          <w:szCs w:val="21"/>
          <w:highlight w:val="none"/>
        </w:rPr>
        <w:t>投标人不能证明其报价合理性的，评标委员会将其作为无效投标处理</w:t>
      </w:r>
      <w:r>
        <w:rPr>
          <w:rFonts w:hint="eastAsia" w:ascii="宋体" w:hAnsi="宋体" w:eastAsia="宋体" w:cs="宋体"/>
          <w:color w:val="auto"/>
          <w:spacing w:val="-6"/>
          <w:sz w:val="21"/>
          <w:szCs w:val="21"/>
          <w:highlight w:val="none"/>
        </w:rPr>
        <w:t>。</w:t>
      </w:r>
    </w:p>
    <w:p w14:paraId="78100FD3">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6515A156">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679BCF6">
      <w:pPr>
        <w:pStyle w:val="3"/>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评标标准</w:t>
      </w:r>
    </w:p>
    <w:p w14:paraId="16BDD6D6">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w:t>
      </w:r>
      <w:r>
        <w:rPr>
          <w:rFonts w:hint="eastAsia" w:ascii="宋体" w:hAnsi="宋体" w:cs="宋体"/>
          <w:b/>
          <w:bCs/>
          <w:color w:val="auto"/>
          <w:szCs w:val="21"/>
        </w:rPr>
        <w:t>评标原则</w:t>
      </w:r>
    </w:p>
    <w:p w14:paraId="28746368">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一</w:t>
      </w:r>
      <w:r>
        <w:rPr>
          <w:rFonts w:hint="eastAsia" w:ascii="宋体" w:hAnsi="宋体" w:cs="宋体"/>
          <w:color w:val="auto"/>
          <w:szCs w:val="21"/>
          <w:lang w:eastAsia="zh-CN"/>
        </w:rPr>
        <w:t>）</w:t>
      </w:r>
      <w:r>
        <w:rPr>
          <w:rFonts w:hint="eastAsia" w:ascii="宋体" w:hAnsi="宋体" w:cs="宋体"/>
          <w:color w:val="auto"/>
          <w:szCs w:val="21"/>
        </w:rPr>
        <w:t>评委构成：本招标采购项目的评标委员会由采购人代表和有关技术、经济等方面的专家组成，成员人数应当为五人以上单数。其中，技术、经济等方面的专家不得少于成员总数的三分之二。</w:t>
      </w:r>
    </w:p>
    <w:p w14:paraId="36F24E0B">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二</w:t>
      </w:r>
      <w:r>
        <w:rPr>
          <w:rFonts w:hint="eastAsia" w:ascii="宋体" w:hAnsi="宋体" w:cs="宋体"/>
          <w:color w:val="auto"/>
          <w:szCs w:val="21"/>
          <w:lang w:eastAsia="zh-CN"/>
        </w:rPr>
        <w:t>）</w:t>
      </w:r>
      <w:r>
        <w:rPr>
          <w:rFonts w:hint="eastAsia" w:ascii="宋体" w:hAnsi="宋体" w:cs="宋体"/>
          <w:color w:val="auto"/>
          <w:szCs w:val="21"/>
        </w:rPr>
        <w:t>评标依据：评委将以招投标文件为评标依据，对投标人的内容按百分制打分。</w:t>
      </w:r>
    </w:p>
    <w:p w14:paraId="2CB87E0E">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三</w:t>
      </w:r>
      <w:r>
        <w:rPr>
          <w:rFonts w:hint="eastAsia" w:ascii="宋体" w:hAnsi="宋体" w:cs="宋体"/>
          <w:color w:val="auto"/>
          <w:szCs w:val="21"/>
          <w:lang w:eastAsia="zh-CN"/>
        </w:rPr>
        <w:t>）</w:t>
      </w:r>
      <w:r>
        <w:rPr>
          <w:rFonts w:hint="eastAsia" w:ascii="宋体" w:hAnsi="宋体" w:cs="宋体"/>
          <w:color w:val="auto"/>
          <w:szCs w:val="21"/>
        </w:rPr>
        <w:t>评标方式：以封闭方式进行。</w:t>
      </w:r>
    </w:p>
    <w:p w14:paraId="53526DB1">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b/>
          <w:bCs/>
          <w:color w:val="auto"/>
          <w:szCs w:val="21"/>
        </w:rPr>
        <w:t>评标方法</w:t>
      </w:r>
    </w:p>
    <w:p w14:paraId="28DDDA83">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（一）对进入详评的，采用百分制综合评分法。</w:t>
      </w:r>
    </w:p>
    <w:p w14:paraId="0A118385">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（二）计分办法（按四舍五入取至百分位）：</w:t>
      </w:r>
    </w:p>
    <w:p w14:paraId="3D6FFEC2">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Cs/>
          <w:color w:val="auto"/>
          <w:sz w:val="21"/>
          <w:szCs w:val="21"/>
          <w:lang w:eastAsia="zh-CN"/>
        </w:rPr>
      </w:pPr>
      <w:r>
        <w:rPr>
          <w:rFonts w:hint="eastAsia" w:hAnsi="宋体" w:eastAsia="宋体" w:cs="宋体"/>
          <w:bCs/>
          <w:color w:val="auto"/>
          <w:sz w:val="21"/>
          <w:szCs w:val="21"/>
          <w:lang w:eastAsia="zh-CN"/>
        </w:rPr>
        <w:t>（</w:t>
      </w:r>
      <w:r>
        <w:rPr>
          <w:rFonts w:hint="eastAsia" w:ascii="宋体" w:hAnsi="宋体" w:eastAsia="宋体" w:cs="宋体"/>
          <w:bCs/>
          <w:color w:val="auto"/>
          <w:sz w:val="21"/>
          <w:szCs w:val="21"/>
        </w:rPr>
        <w:t>以下各项评审因素仅作为参考，制作招标文件时，评审因素应当与相应的商务条件和采购需求对应</w:t>
      </w:r>
      <w:r>
        <w:rPr>
          <w:rFonts w:hint="eastAsia" w:ascii="宋体" w:hAnsi="宋体" w:eastAsia="宋体" w:cs="宋体"/>
          <w:bCs/>
          <w:color w:val="auto"/>
          <w:sz w:val="21"/>
          <w:szCs w:val="21"/>
          <w:lang w:eastAsia="zh-CN"/>
        </w:rPr>
        <w:t>。</w:t>
      </w:r>
      <w:r>
        <w:rPr>
          <w:rFonts w:hint="eastAsia" w:hAnsi="宋体" w:eastAsia="宋体" w:cs="宋体"/>
          <w:bCs/>
          <w:color w:val="auto"/>
          <w:sz w:val="21"/>
          <w:szCs w:val="21"/>
          <w:lang w:eastAsia="zh-CN"/>
        </w:rPr>
        <w:t>）</w:t>
      </w:r>
    </w:p>
    <w:tbl>
      <w:tblPr>
        <w:tblStyle w:val="21"/>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388"/>
        <w:gridCol w:w="7505"/>
        <w:gridCol w:w="20"/>
      </w:tblGrid>
      <w:tr w14:paraId="79B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3" w:hRule="atLeast"/>
          <w:tblHeade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68D7FC31">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7BE72EE6">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评分项目</w:t>
            </w:r>
          </w:p>
        </w:tc>
        <w:tc>
          <w:tcPr>
            <w:tcW w:w="7505" w:type="dxa"/>
            <w:tcBorders>
              <w:top w:val="single" w:color="auto" w:sz="4" w:space="0"/>
              <w:left w:val="single" w:color="auto" w:sz="4" w:space="0"/>
              <w:bottom w:val="single" w:color="auto" w:sz="4" w:space="0"/>
              <w:right w:val="single" w:color="auto" w:sz="4" w:space="0"/>
            </w:tcBorders>
            <w:noWrap w:val="0"/>
            <w:vAlign w:val="center"/>
          </w:tcPr>
          <w:p w14:paraId="49CBBDB3">
            <w:pPr>
              <w:keepNext w:val="0"/>
              <w:keepLines w:val="0"/>
              <w:pageBreakBefore w:val="0"/>
              <w:kinsoku/>
              <w:wordWrap/>
              <w:overflowPunct/>
              <w:topLinePunct w:val="0"/>
              <w:autoSpaceDE/>
              <w:autoSpaceDN/>
              <w:bidi w:val="0"/>
              <w:spacing w:line="360" w:lineRule="exact"/>
              <w:jc w:val="center"/>
              <w:rPr>
                <w:rFonts w:hint="eastAsia"/>
                <w:lang w:val="en-US" w:eastAsia="zh-CN"/>
              </w:rPr>
            </w:pPr>
            <w:r>
              <w:rPr>
                <w:rFonts w:hint="eastAsia" w:ascii="宋体" w:hAnsi="宋体" w:eastAsia="宋体" w:cs="宋体"/>
                <w:color w:val="auto"/>
                <w:sz w:val="21"/>
                <w:szCs w:val="21"/>
                <w:lang w:val="en-US" w:eastAsia="zh-CN"/>
              </w:rPr>
              <w:t>评分细则</w:t>
            </w:r>
          </w:p>
        </w:tc>
      </w:tr>
      <w:tr w14:paraId="76E8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D09C65F">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6ACD58B1">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价格分</w:t>
            </w:r>
          </w:p>
          <w:p w14:paraId="2ED0CAB4">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hAnsi="宋体" w:eastAsia="宋体" w:cs="宋体"/>
                <w:b/>
                <w:bCs/>
                <w:color w:val="auto"/>
                <w:sz w:val="21"/>
                <w:szCs w:val="21"/>
                <w:lang w:val="en-US" w:eastAsia="zh-CN"/>
              </w:rPr>
              <w:t>满分15</w:t>
            </w:r>
            <w:r>
              <w:rPr>
                <w:rFonts w:hint="eastAsia" w:ascii="宋体" w:hAnsi="宋体" w:eastAsia="宋体" w:cs="宋体"/>
                <w:b/>
                <w:bCs/>
                <w:color w:val="auto"/>
                <w:sz w:val="21"/>
                <w:szCs w:val="21"/>
                <w:lang w:val="en-US" w:eastAsia="zh-CN"/>
              </w:rPr>
              <w:t>分）</w:t>
            </w:r>
          </w:p>
        </w:tc>
        <w:tc>
          <w:tcPr>
            <w:tcW w:w="7505" w:type="dxa"/>
            <w:tcBorders>
              <w:top w:val="single" w:color="auto" w:sz="4" w:space="0"/>
              <w:left w:val="single" w:color="auto" w:sz="4" w:space="0"/>
              <w:bottom w:val="single" w:color="auto" w:sz="4" w:space="0"/>
              <w:right w:val="single" w:color="auto" w:sz="4" w:space="0"/>
            </w:tcBorders>
            <w:noWrap w:val="0"/>
            <w:vAlign w:val="center"/>
          </w:tcPr>
          <w:p w14:paraId="17FACBB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1.评审价为供应商的最后报价进行政策性扣除后的价格，评审价只是作为评审时使用。最终成交供应商的成交金额等于最后报价（如有修正，以确认修正后的最后报价为准）。</w:t>
            </w:r>
          </w:p>
          <w:p w14:paraId="51C4674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2.政府采购政策性扣除计算方法</w:t>
            </w:r>
            <w:r>
              <w:rPr>
                <w:rFonts w:hint="eastAsia" w:ascii="宋体" w:hAnsi="宋体" w:eastAsia="宋体" w:cs="宋体"/>
                <w:color w:val="auto"/>
                <w:sz w:val="21"/>
                <w:szCs w:val="21"/>
                <w:lang w:eastAsia="zh-CN"/>
              </w:rPr>
              <w:t>。</w:t>
            </w:r>
          </w:p>
          <w:p w14:paraId="36F4082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（1）按照财库〔2020〕46号文件、财库〔2022〕19号文件及《广西壮族自治区财政厅</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广西壮族自治区工业和信息化厅关于转发财政部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工业和信息化部政府采购促进中小企业发展管理办法的通知》（桂财采〔2021〕70号）等文件要求，响应文件中提供《中小企业声明函》，且服务全部由符合政策要求的小型、微型企业承接的，对其最后报价给予20%的扣除。</w:t>
            </w:r>
          </w:p>
          <w:p w14:paraId="69E8D0B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含新疆生产建设兵团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出具的属于监狱企业的证明文件。不重复享受政策。</w:t>
            </w:r>
          </w:p>
          <w:p w14:paraId="3156B39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BB9E8F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（4）政策性扣除计算方法。</w:t>
            </w:r>
          </w:p>
          <w:p w14:paraId="3967193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被评定为监狱企业或者残疾人福利性单位或者其服务全部由符合政策要求的小型、微型企业承接的，该供应商的最后报价给予20%的扣除，扣除后的价格为评审价，即评审价=最后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审价，即评审价=最后报价×（1-6%）。</w:t>
            </w:r>
          </w:p>
          <w:p w14:paraId="04A30EC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（5）除上述情况外，评审价＝最后报价。</w:t>
            </w:r>
          </w:p>
          <w:p w14:paraId="7585C46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（6）以进入比较与评价环节的最低的评审价为基准价，基准价得分为</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14:paraId="282296D9">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（7）价格分计算公式：</w:t>
            </w:r>
          </w:p>
          <w:p w14:paraId="24A8932E">
            <w:pPr>
              <w:keepNext w:val="0"/>
              <w:keepLines w:val="0"/>
              <w:pageBreakBefore w:val="0"/>
              <w:kinsoku/>
              <w:wordWrap/>
              <w:overflowPunct/>
              <w:topLinePunct w:val="0"/>
              <w:autoSpaceDE/>
              <w:autoSpaceDN/>
              <w:bidi w:val="0"/>
              <w:spacing w:line="360" w:lineRule="exact"/>
              <w:rPr>
                <w:rFonts w:hint="default"/>
                <w:lang w:val="en-US" w:eastAsia="zh-CN"/>
              </w:rPr>
            </w:pPr>
            <w:r>
              <w:rPr>
                <w:rFonts w:hint="eastAsia" w:ascii="宋体" w:hAnsi="宋体" w:eastAsia="宋体" w:cs="宋体"/>
                <w:color w:val="auto"/>
                <w:sz w:val="21"/>
                <w:szCs w:val="21"/>
              </w:rPr>
              <w:t>报价得分=（基准价/评审价）×</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r>
      <w:tr w14:paraId="1A63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36" w:type="dxa"/>
            <w:vAlign w:val="center"/>
          </w:tcPr>
          <w:p w14:paraId="4BCD5370">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szCs w:val="21"/>
              </w:rPr>
            </w:pPr>
            <w:r>
              <w:rPr>
                <w:rFonts w:hint="eastAsia" w:ascii="宋体" w:hAnsi="宋体" w:cs="宋体"/>
                <w:b/>
                <w:szCs w:val="21"/>
              </w:rPr>
              <w:t>2</w:t>
            </w:r>
          </w:p>
        </w:tc>
        <w:tc>
          <w:tcPr>
            <w:tcW w:w="1388" w:type="dxa"/>
            <w:vAlign w:val="center"/>
          </w:tcPr>
          <w:p w14:paraId="794F2333">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szCs w:val="21"/>
              </w:rPr>
            </w:pPr>
            <w:r>
              <w:rPr>
                <w:rFonts w:hint="eastAsia" w:ascii="宋体" w:hAnsi="宋体" w:cs="宋体"/>
                <w:b/>
                <w:szCs w:val="21"/>
              </w:rPr>
              <w:t>技术分（满分</w:t>
            </w:r>
            <w:r>
              <w:rPr>
                <w:rFonts w:hint="eastAsia" w:ascii="宋体" w:hAnsi="宋体" w:cs="宋体"/>
                <w:b/>
                <w:szCs w:val="21"/>
                <w:lang w:val="en-US" w:eastAsia="zh-CN"/>
              </w:rPr>
              <w:t>65</w:t>
            </w:r>
            <w:r>
              <w:rPr>
                <w:rFonts w:hint="eastAsia" w:ascii="宋体" w:hAnsi="宋体" w:cs="宋体"/>
                <w:b/>
                <w:szCs w:val="21"/>
              </w:rPr>
              <w:t>分）</w:t>
            </w:r>
          </w:p>
        </w:tc>
        <w:tc>
          <w:tcPr>
            <w:tcW w:w="7525" w:type="dxa"/>
            <w:gridSpan w:val="2"/>
            <w:vAlign w:val="center"/>
          </w:tcPr>
          <w:p w14:paraId="47D695F7">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szCs w:val="21"/>
              </w:rPr>
            </w:pPr>
            <w:r>
              <w:rPr>
                <w:rFonts w:hint="eastAsia" w:ascii="宋体" w:hAnsi="宋体" w:cs="Tahoma"/>
                <w:b/>
                <w:kern w:val="0"/>
                <w:szCs w:val="21"/>
              </w:rPr>
              <w:t>评审因素</w:t>
            </w:r>
          </w:p>
        </w:tc>
      </w:tr>
      <w:tr w14:paraId="5433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vAlign w:val="center"/>
          </w:tcPr>
          <w:p w14:paraId="07959E5A">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szCs w:val="21"/>
              </w:rPr>
            </w:pPr>
            <w:r>
              <w:rPr>
                <w:rFonts w:hint="eastAsia" w:ascii="宋体" w:hAnsi="宋体" w:cs="宋体"/>
                <w:b/>
                <w:bCs/>
                <w:szCs w:val="21"/>
              </w:rPr>
              <w:t>2.1</w:t>
            </w:r>
          </w:p>
        </w:tc>
        <w:tc>
          <w:tcPr>
            <w:tcW w:w="1388" w:type="dxa"/>
            <w:vAlign w:val="center"/>
          </w:tcPr>
          <w:p w14:paraId="411AA952">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服务管理措施          （满分</w:t>
            </w:r>
            <w:r>
              <w:rPr>
                <w:rFonts w:hint="eastAsia" w:ascii="宋体" w:hAnsi="宋体" w:cs="宋体"/>
                <w:b/>
                <w:bCs/>
                <w:kern w:val="0"/>
                <w:szCs w:val="21"/>
                <w:lang w:val="en-US" w:eastAsia="zh-CN"/>
              </w:rPr>
              <w:t>20</w:t>
            </w:r>
            <w:r>
              <w:rPr>
                <w:rFonts w:hint="eastAsia" w:ascii="宋体" w:hAnsi="宋体" w:cs="宋体"/>
                <w:b/>
                <w:bCs/>
                <w:kern w:val="0"/>
                <w:szCs w:val="21"/>
              </w:rPr>
              <w:t>分）</w:t>
            </w:r>
          </w:p>
        </w:tc>
        <w:tc>
          <w:tcPr>
            <w:tcW w:w="7525" w:type="dxa"/>
            <w:gridSpan w:val="2"/>
            <w:vAlign w:val="center"/>
          </w:tcPr>
          <w:p w14:paraId="77906173">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一档（3分）：提供的服务管理措施简单，内容不具体。</w:t>
            </w:r>
          </w:p>
          <w:p w14:paraId="28D3A536">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二档（8分）：</w:t>
            </w:r>
            <w:r>
              <w:rPr>
                <w:rFonts w:hint="eastAsia"/>
                <w:szCs w:val="21"/>
              </w:rPr>
              <w:t>提供的</w:t>
            </w:r>
            <w:r>
              <w:rPr>
                <w:rFonts w:hint="eastAsia" w:ascii="宋体" w:hAnsi="宋体" w:cs="宋体"/>
                <w:bCs/>
                <w:kern w:val="0"/>
                <w:szCs w:val="21"/>
              </w:rPr>
              <w:t>服务管理措施有各服务区域的管理措施。</w:t>
            </w:r>
          </w:p>
          <w:p w14:paraId="3D782002">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三档（12分）：</w:t>
            </w:r>
            <w:r>
              <w:rPr>
                <w:rFonts w:hint="eastAsia"/>
                <w:szCs w:val="21"/>
              </w:rPr>
              <w:t>提供的</w:t>
            </w:r>
            <w:r>
              <w:rPr>
                <w:rFonts w:hint="eastAsia" w:ascii="宋体" w:hAnsi="宋体" w:cs="宋体"/>
                <w:bCs/>
                <w:kern w:val="0"/>
                <w:szCs w:val="21"/>
              </w:rPr>
              <w:t xml:space="preserve">服务管理措施能针对项目需求制定保洁、保安服务总体要求与目标，有详细的各服务区域的管理措施、保洁、保安服务工作流程管理。 </w:t>
            </w:r>
          </w:p>
          <w:p w14:paraId="6EB67329">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四档（16分）：</w:t>
            </w:r>
            <w:r>
              <w:rPr>
                <w:rFonts w:hint="eastAsia"/>
                <w:szCs w:val="21"/>
              </w:rPr>
              <w:t>提供的</w:t>
            </w:r>
            <w:r>
              <w:rPr>
                <w:rFonts w:hint="eastAsia" w:ascii="宋体" w:hAnsi="宋体" w:cs="宋体"/>
                <w:bCs/>
                <w:kern w:val="0"/>
                <w:szCs w:val="21"/>
              </w:rPr>
              <w:t xml:space="preserve">服务管理措施能针对项目需求制定的保洁、保安服务总体要求与目标，有各服务区域的管理措施，能提供保洁、保安员工作管理计划，保洁、保安服务工作流程管理，轮岗管理制度，交接工作管理安排。 </w:t>
            </w:r>
          </w:p>
          <w:p w14:paraId="61506895">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五档（20分）：</w:t>
            </w:r>
            <w:r>
              <w:rPr>
                <w:rFonts w:hint="eastAsia"/>
                <w:szCs w:val="21"/>
              </w:rPr>
              <w:t>提供的</w:t>
            </w:r>
            <w:r>
              <w:rPr>
                <w:rFonts w:hint="eastAsia" w:ascii="宋体" w:hAnsi="宋体" w:cs="宋体"/>
                <w:bCs/>
                <w:kern w:val="0"/>
                <w:szCs w:val="21"/>
              </w:rPr>
              <w:t>服务管理措施能针对项目需求制定保洁、保安服务总体要求与目标，有各服务区域的管理措施，能提供保安员工作管理计划，保洁、保安服务工作流程管理，轮岗管理制度，交接接管方案（方案应包含设施设备接管、人员交接、档案交接、交接时效），保洁院感防控措施，明确服务人员的职责和权限，配备接收投诉人员、协调处理人员，有健全的管理机制。</w:t>
            </w:r>
          </w:p>
          <w:p w14:paraId="14A31920">
            <w:pPr>
              <w:pStyle w:val="33"/>
              <w:keepNext w:val="0"/>
              <w:keepLines w:val="0"/>
              <w:pageBreakBefore w:val="0"/>
              <w:kinsoku/>
              <w:wordWrap/>
              <w:overflowPunct/>
              <w:topLinePunct w:val="0"/>
              <w:autoSpaceDE/>
              <w:autoSpaceDN/>
              <w:bidi w:val="0"/>
              <w:spacing w:line="360" w:lineRule="exact"/>
              <w:ind w:firstLine="0" w:firstLineChars="0"/>
            </w:pPr>
            <w:r>
              <w:rPr>
                <w:rFonts w:hint="eastAsia" w:ascii="宋体" w:hAnsi="宋体" w:eastAsia="宋体" w:cs="宋体"/>
                <w:b/>
                <w:bCs w:val="0"/>
                <w:spacing w:val="0"/>
                <w:sz w:val="21"/>
                <w:szCs w:val="21"/>
              </w:rPr>
              <w:t>注：未提供的得0分。</w:t>
            </w:r>
          </w:p>
        </w:tc>
      </w:tr>
      <w:tr w14:paraId="6C7D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vAlign w:val="center"/>
          </w:tcPr>
          <w:p w14:paraId="6BBFF48F">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szCs w:val="21"/>
              </w:rPr>
            </w:pPr>
            <w:r>
              <w:rPr>
                <w:rFonts w:hint="eastAsia" w:ascii="宋体" w:hAnsi="宋体" w:cs="宋体"/>
                <w:b/>
                <w:bCs/>
                <w:szCs w:val="21"/>
              </w:rPr>
              <w:t>2.2</w:t>
            </w:r>
          </w:p>
        </w:tc>
        <w:tc>
          <w:tcPr>
            <w:tcW w:w="1388" w:type="dxa"/>
            <w:tcMar>
              <w:left w:w="57" w:type="dxa"/>
              <w:right w:w="57" w:type="dxa"/>
            </w:tcMar>
            <w:vAlign w:val="center"/>
          </w:tcPr>
          <w:p w14:paraId="7218D277">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管理规章制度及考核管理办法（满分1</w:t>
            </w:r>
            <w:r>
              <w:rPr>
                <w:rFonts w:hint="eastAsia" w:ascii="宋体" w:hAnsi="宋体" w:cs="宋体"/>
                <w:b/>
                <w:bCs/>
                <w:kern w:val="0"/>
                <w:szCs w:val="21"/>
                <w:lang w:val="en-US" w:eastAsia="zh-CN"/>
              </w:rPr>
              <w:t>0</w:t>
            </w:r>
            <w:r>
              <w:rPr>
                <w:rFonts w:hint="eastAsia" w:ascii="宋体" w:hAnsi="宋体" w:cs="宋体"/>
                <w:b/>
                <w:bCs/>
                <w:kern w:val="0"/>
                <w:szCs w:val="21"/>
              </w:rPr>
              <w:t>分）</w:t>
            </w:r>
          </w:p>
        </w:tc>
        <w:tc>
          <w:tcPr>
            <w:tcW w:w="7525" w:type="dxa"/>
            <w:gridSpan w:val="2"/>
            <w:vAlign w:val="center"/>
          </w:tcPr>
          <w:p w14:paraId="55DE6CD6">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 xml:space="preserve">一档（3分）：具有内部管理构架、管理运作制度及人员服务考核制度，实行3个月一次的考核管理。 </w:t>
            </w:r>
          </w:p>
          <w:p w14:paraId="084A78F4">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二档（</w:t>
            </w:r>
            <w:r>
              <w:rPr>
                <w:rFonts w:hint="eastAsia" w:ascii="宋体" w:hAnsi="宋体" w:cs="宋体"/>
                <w:bCs/>
                <w:kern w:val="0"/>
                <w:szCs w:val="21"/>
                <w:lang w:val="en-US" w:eastAsia="zh-CN"/>
              </w:rPr>
              <w:t>5</w:t>
            </w:r>
            <w:r>
              <w:rPr>
                <w:rFonts w:hint="eastAsia" w:ascii="宋体" w:hAnsi="宋体" w:cs="宋体"/>
                <w:bCs/>
                <w:kern w:val="0"/>
                <w:szCs w:val="21"/>
              </w:rPr>
              <w:t xml:space="preserve">分）：具有内部管理构架、管理运作制度、管理规章制度及人员服务考核制度，实行二个月一次的考核管理，对考核不合格的人员进行整顿及加强管理，有保安人员监督机制、奖惩制度。 </w:t>
            </w:r>
          </w:p>
          <w:p w14:paraId="3C498FDD">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三档（</w:t>
            </w:r>
            <w:r>
              <w:rPr>
                <w:rFonts w:hint="eastAsia" w:ascii="宋体" w:hAnsi="宋体" w:cs="宋体"/>
                <w:bCs/>
                <w:kern w:val="0"/>
                <w:szCs w:val="21"/>
                <w:lang w:val="en-US" w:eastAsia="zh-CN"/>
              </w:rPr>
              <w:t>8</w:t>
            </w:r>
            <w:r>
              <w:rPr>
                <w:rFonts w:hint="eastAsia" w:ascii="宋体" w:hAnsi="宋体" w:cs="宋体"/>
                <w:bCs/>
                <w:kern w:val="0"/>
                <w:szCs w:val="21"/>
              </w:rPr>
              <w:t>分）：具有内部管理构架、管理运作制度及标准、管理规章制度、考勤管理制度、人员服务考核制度，实行一个月一次的考核管理， 有简单的对考核不合格的人员进行整顿及加强管理措施，有保安人员监督机制、奖惩机制等。</w:t>
            </w:r>
          </w:p>
          <w:p w14:paraId="22C48F36">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四档（</w:t>
            </w:r>
            <w:r>
              <w:rPr>
                <w:rFonts w:hint="eastAsia" w:ascii="宋体" w:hAnsi="宋体" w:cs="宋体"/>
                <w:bCs/>
                <w:kern w:val="0"/>
                <w:szCs w:val="21"/>
                <w:lang w:val="en-US" w:eastAsia="zh-CN"/>
              </w:rPr>
              <w:t>10</w:t>
            </w:r>
            <w:r>
              <w:rPr>
                <w:rFonts w:hint="eastAsia" w:ascii="宋体" w:hAnsi="宋体" w:cs="宋体"/>
                <w:bCs/>
                <w:kern w:val="0"/>
                <w:szCs w:val="21"/>
              </w:rPr>
              <w:t>分）：具有内部管理构架、管理运作制度及标准、管理规章制度、考勤管理制度、档案管理制度、人员服务考核制度，实行半个月一次的考核管理，有对考核不合格的人员进行整顿及加强管理的详细措施，有保洁、保安人员监督机制，奖惩机制，保洁、</w:t>
            </w:r>
            <w:r>
              <w:rPr>
                <w:rFonts w:hint="eastAsia" w:ascii="宋体" w:hAnsi="宋体" w:cs="宋体"/>
                <w:bCs/>
                <w:kern w:val="0"/>
                <w:szCs w:val="21"/>
                <w:lang w:eastAsia="zh-CN"/>
              </w:rPr>
              <w:t>秩序员</w:t>
            </w:r>
            <w:r>
              <w:rPr>
                <w:rFonts w:hint="eastAsia" w:ascii="宋体" w:hAnsi="宋体" w:cs="宋体"/>
                <w:bCs/>
                <w:kern w:val="0"/>
                <w:szCs w:val="21"/>
              </w:rPr>
              <w:t>自我约束机制等。</w:t>
            </w:r>
          </w:p>
          <w:p w14:paraId="7D97646F">
            <w:pPr>
              <w:pStyle w:val="33"/>
              <w:keepNext w:val="0"/>
              <w:keepLines w:val="0"/>
              <w:pageBreakBefore w:val="0"/>
              <w:kinsoku/>
              <w:wordWrap/>
              <w:overflowPunct/>
              <w:topLinePunct w:val="0"/>
              <w:autoSpaceDE/>
              <w:autoSpaceDN/>
              <w:bidi w:val="0"/>
              <w:spacing w:line="360" w:lineRule="exact"/>
              <w:ind w:firstLine="0" w:firstLineChars="0"/>
            </w:pPr>
            <w:r>
              <w:rPr>
                <w:rFonts w:hint="eastAsia" w:ascii="宋体" w:hAnsi="宋体" w:eastAsia="宋体" w:cs="宋体"/>
                <w:b/>
                <w:bCs w:val="0"/>
                <w:spacing w:val="0"/>
                <w:sz w:val="21"/>
                <w:szCs w:val="21"/>
              </w:rPr>
              <w:t>注：未提供的得0分。</w:t>
            </w:r>
          </w:p>
        </w:tc>
      </w:tr>
      <w:tr w14:paraId="2F35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vAlign w:val="center"/>
          </w:tcPr>
          <w:p w14:paraId="180D408A">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szCs w:val="21"/>
              </w:rPr>
            </w:pPr>
            <w:r>
              <w:rPr>
                <w:rFonts w:hint="eastAsia" w:ascii="宋体" w:hAnsi="宋体" w:cs="宋体"/>
                <w:b/>
                <w:bCs/>
                <w:szCs w:val="21"/>
              </w:rPr>
              <w:t>2.3</w:t>
            </w:r>
          </w:p>
        </w:tc>
        <w:tc>
          <w:tcPr>
            <w:tcW w:w="1388" w:type="dxa"/>
            <w:tcMar>
              <w:left w:w="57" w:type="dxa"/>
              <w:right w:w="57" w:type="dxa"/>
            </w:tcMar>
            <w:vAlign w:val="center"/>
          </w:tcPr>
          <w:p w14:paraId="5C8170C9">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服务质量保障方案（满分15分）</w:t>
            </w:r>
          </w:p>
        </w:tc>
        <w:tc>
          <w:tcPr>
            <w:tcW w:w="7525" w:type="dxa"/>
            <w:gridSpan w:val="2"/>
            <w:vAlign w:val="center"/>
          </w:tcPr>
          <w:p w14:paraId="1BB9646B">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 xml:space="preserve">一档（3分）：提供有基本的服务质量保障方案，提供有保洁、保安服务质量标准，方案基本符合项目需求。 </w:t>
            </w:r>
          </w:p>
          <w:p w14:paraId="4899734E">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 xml:space="preserve">二档（7分）：提供有完善的服务质量保障方案，提供有保洁、保安服务质量标准，方案中有针对本项目建立的检查及监督机制，方案符合项目需求。 </w:t>
            </w:r>
          </w:p>
          <w:p w14:paraId="10E4683E">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三档（11分）：提供有完善的服务质量保障方案，提供有保洁、保安服务质量标准，方案中有针对本项目建立的检查及监督机制，能说明各级别检查及监督机制的主要职责及检查程序，方案完全满足项目需求。</w:t>
            </w:r>
          </w:p>
          <w:p w14:paraId="25EF8911">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四档（15分）：提供有合理、完善的服务质量保障方案，提供保安、保安服务质量标准，方案中有针对本项目建立的检查及监督机制，能说明各级别检查及监督机制的主要职责及检查程序，并提供完善的服务保障措施，保证保洁、</w:t>
            </w:r>
            <w:r>
              <w:rPr>
                <w:rFonts w:hint="eastAsia" w:ascii="宋体" w:hAnsi="宋体" w:cs="宋体"/>
                <w:bCs/>
                <w:kern w:val="0"/>
                <w:szCs w:val="21"/>
                <w:lang w:eastAsia="zh-CN"/>
              </w:rPr>
              <w:t>秩序员</w:t>
            </w:r>
            <w:r>
              <w:rPr>
                <w:rFonts w:hint="eastAsia" w:ascii="宋体" w:hAnsi="宋体" w:cs="宋体"/>
                <w:bCs/>
                <w:kern w:val="0"/>
                <w:szCs w:val="21"/>
              </w:rPr>
              <w:t>的服务质量。</w:t>
            </w:r>
          </w:p>
          <w:p w14:paraId="134793B1">
            <w:pPr>
              <w:pStyle w:val="33"/>
              <w:keepNext w:val="0"/>
              <w:keepLines w:val="0"/>
              <w:pageBreakBefore w:val="0"/>
              <w:kinsoku/>
              <w:wordWrap/>
              <w:overflowPunct/>
              <w:topLinePunct w:val="0"/>
              <w:autoSpaceDE/>
              <w:autoSpaceDN/>
              <w:bidi w:val="0"/>
              <w:spacing w:line="360" w:lineRule="exact"/>
              <w:ind w:firstLine="0" w:firstLineChars="0"/>
            </w:pPr>
            <w:r>
              <w:rPr>
                <w:rFonts w:hint="eastAsia" w:ascii="宋体" w:hAnsi="宋体" w:eastAsia="宋体" w:cs="宋体"/>
                <w:b/>
                <w:bCs w:val="0"/>
                <w:spacing w:val="0"/>
                <w:sz w:val="21"/>
                <w:szCs w:val="21"/>
              </w:rPr>
              <w:t>注：未提供的得0分。</w:t>
            </w:r>
          </w:p>
        </w:tc>
      </w:tr>
      <w:tr w14:paraId="22CA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vAlign w:val="center"/>
          </w:tcPr>
          <w:p w14:paraId="6AE0DCAF">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szCs w:val="21"/>
              </w:rPr>
            </w:pPr>
            <w:r>
              <w:rPr>
                <w:rFonts w:hint="eastAsia" w:ascii="宋体" w:hAnsi="宋体" w:cs="宋体"/>
                <w:b/>
                <w:bCs/>
                <w:szCs w:val="21"/>
              </w:rPr>
              <w:t>2.4</w:t>
            </w:r>
          </w:p>
        </w:tc>
        <w:tc>
          <w:tcPr>
            <w:tcW w:w="1388" w:type="dxa"/>
            <w:tcMar>
              <w:left w:w="57" w:type="dxa"/>
              <w:right w:w="57" w:type="dxa"/>
            </w:tcMar>
            <w:vAlign w:val="center"/>
          </w:tcPr>
          <w:p w14:paraId="28357FCA">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岗前培训方案</w:t>
            </w:r>
          </w:p>
          <w:p w14:paraId="47C94DBB">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（满分10分）</w:t>
            </w:r>
          </w:p>
        </w:tc>
        <w:tc>
          <w:tcPr>
            <w:tcW w:w="7525" w:type="dxa"/>
            <w:gridSpan w:val="2"/>
            <w:vAlign w:val="center"/>
          </w:tcPr>
          <w:p w14:paraId="36E0AAEE">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一档（2分）：拟订有保洁、</w:t>
            </w:r>
            <w:r>
              <w:rPr>
                <w:rFonts w:hint="eastAsia" w:ascii="宋体" w:hAnsi="宋体" w:cs="宋体"/>
                <w:bCs/>
                <w:kern w:val="0"/>
                <w:szCs w:val="21"/>
                <w:lang w:eastAsia="zh-CN"/>
              </w:rPr>
              <w:t>秩序员</w:t>
            </w:r>
            <w:r>
              <w:rPr>
                <w:rFonts w:hint="eastAsia" w:ascii="宋体" w:hAnsi="宋体" w:cs="宋体"/>
                <w:bCs/>
                <w:kern w:val="0"/>
                <w:szCs w:val="21"/>
              </w:rPr>
              <w:t xml:space="preserve">培训计划，每三个月实行一次培训活动，有培训目标、培训内容。 </w:t>
            </w:r>
          </w:p>
          <w:p w14:paraId="03345FD2">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二档（5分）：拟订有保洁、</w:t>
            </w:r>
            <w:r>
              <w:rPr>
                <w:rFonts w:hint="eastAsia" w:ascii="宋体" w:hAnsi="宋体" w:cs="宋体"/>
                <w:bCs/>
                <w:kern w:val="0"/>
                <w:szCs w:val="21"/>
                <w:lang w:eastAsia="zh-CN"/>
              </w:rPr>
              <w:t>秩序员</w:t>
            </w:r>
            <w:r>
              <w:rPr>
                <w:rFonts w:hint="eastAsia" w:ascii="宋体" w:hAnsi="宋体" w:cs="宋体"/>
                <w:bCs/>
                <w:kern w:val="0"/>
                <w:szCs w:val="21"/>
              </w:rPr>
              <w:t xml:space="preserve">培训计划，每二个月实行一次培训活动，有培训目标、培训内容、培训方式，包含保洁、安保理论知识及专业技能培训，有不少于2种培训方式。 </w:t>
            </w:r>
          </w:p>
          <w:p w14:paraId="30400991">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三档（7分）：拟订有保洁、</w:t>
            </w:r>
            <w:r>
              <w:rPr>
                <w:rFonts w:hint="eastAsia" w:ascii="宋体" w:hAnsi="宋体" w:cs="宋体"/>
                <w:bCs/>
                <w:kern w:val="0"/>
                <w:szCs w:val="21"/>
                <w:lang w:eastAsia="zh-CN"/>
              </w:rPr>
              <w:t>秩序员</w:t>
            </w:r>
            <w:r>
              <w:rPr>
                <w:rFonts w:hint="eastAsia" w:ascii="宋体" w:hAnsi="宋体" w:cs="宋体"/>
                <w:bCs/>
                <w:kern w:val="0"/>
                <w:szCs w:val="21"/>
              </w:rPr>
              <w:t>培训计划，每一个月实行一次培训活动，有培训目标、培训内容、培训方式，包含保洁、安保理论知识及专业技能培训，有不少于3种培训方式，制定有培训考核办法及考核标准。</w:t>
            </w:r>
          </w:p>
          <w:p w14:paraId="500DECCE">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四档（10分）：拟订有保洁、</w:t>
            </w:r>
            <w:r>
              <w:rPr>
                <w:rFonts w:hint="eastAsia" w:ascii="宋体" w:hAnsi="宋体" w:cs="宋体"/>
                <w:bCs/>
                <w:kern w:val="0"/>
                <w:szCs w:val="21"/>
                <w:lang w:eastAsia="zh-CN"/>
              </w:rPr>
              <w:t>秩序员</w:t>
            </w:r>
            <w:r>
              <w:rPr>
                <w:rFonts w:hint="eastAsia" w:ascii="宋体" w:hAnsi="宋体" w:cs="宋体"/>
                <w:bCs/>
                <w:kern w:val="0"/>
                <w:szCs w:val="21"/>
              </w:rPr>
              <w:t>培训计划，每半个月实行一次培训活动，有培训目标、培训内容、培训方式，包含保洁、安保理论知识及专业技能培训，有不少于4种培训方式，制定有详细的培训考核办法及考核标准。</w:t>
            </w:r>
          </w:p>
          <w:p w14:paraId="42FE89F9">
            <w:pPr>
              <w:pStyle w:val="33"/>
              <w:keepNext w:val="0"/>
              <w:keepLines w:val="0"/>
              <w:pageBreakBefore w:val="0"/>
              <w:kinsoku/>
              <w:wordWrap/>
              <w:overflowPunct/>
              <w:topLinePunct w:val="0"/>
              <w:autoSpaceDE/>
              <w:autoSpaceDN/>
              <w:bidi w:val="0"/>
              <w:spacing w:line="360" w:lineRule="exact"/>
              <w:ind w:firstLine="0" w:firstLineChars="0"/>
            </w:pPr>
            <w:r>
              <w:rPr>
                <w:rFonts w:hint="eastAsia" w:ascii="宋体" w:hAnsi="宋体" w:eastAsia="宋体" w:cs="宋体"/>
                <w:b/>
                <w:bCs w:val="0"/>
                <w:spacing w:val="0"/>
                <w:sz w:val="21"/>
                <w:szCs w:val="21"/>
              </w:rPr>
              <w:t>注：未提供的得0分。</w:t>
            </w:r>
          </w:p>
        </w:tc>
      </w:tr>
      <w:tr w14:paraId="78B6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vAlign w:val="center"/>
          </w:tcPr>
          <w:p w14:paraId="1849106F">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szCs w:val="21"/>
              </w:rPr>
            </w:pPr>
            <w:r>
              <w:rPr>
                <w:rFonts w:hint="eastAsia" w:ascii="宋体" w:hAnsi="宋体" w:cs="宋体"/>
                <w:b/>
                <w:bCs/>
                <w:szCs w:val="21"/>
              </w:rPr>
              <w:t>2.5</w:t>
            </w:r>
          </w:p>
        </w:tc>
        <w:tc>
          <w:tcPr>
            <w:tcW w:w="1388" w:type="dxa"/>
            <w:tcMar>
              <w:left w:w="57" w:type="dxa"/>
              <w:right w:w="57" w:type="dxa"/>
            </w:tcMar>
            <w:vAlign w:val="center"/>
          </w:tcPr>
          <w:p w14:paraId="54428A13">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应急预案</w:t>
            </w:r>
          </w:p>
          <w:p w14:paraId="59470812">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kern w:val="0"/>
                <w:szCs w:val="21"/>
              </w:rPr>
            </w:pPr>
            <w:r>
              <w:rPr>
                <w:rFonts w:hint="eastAsia" w:ascii="宋体" w:hAnsi="宋体" w:cs="宋体"/>
                <w:b/>
                <w:bCs/>
                <w:kern w:val="0"/>
                <w:szCs w:val="21"/>
              </w:rPr>
              <w:t>（满分10分）</w:t>
            </w:r>
          </w:p>
        </w:tc>
        <w:tc>
          <w:tcPr>
            <w:tcW w:w="7525" w:type="dxa"/>
            <w:gridSpan w:val="2"/>
            <w:vAlign w:val="center"/>
          </w:tcPr>
          <w:p w14:paraId="1ACF0E71">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 xml:space="preserve">一档（2分）：具有基本的应急组织措施，提供应急人员安排及应急人员岗位职责、应急人员调配计划及人员计划（安排）表。 </w:t>
            </w:r>
          </w:p>
          <w:p w14:paraId="34BCBBE0">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 xml:space="preserve">二档（5分）：具有应急组织措施，提供应急人员安排及应急人员岗位职责、应急人员调配计划及人员计划（安排）表，能提出对消防管理、治安事件、卫生事件的解决措施。 </w:t>
            </w:r>
          </w:p>
          <w:p w14:paraId="62F232D6">
            <w:pPr>
              <w:keepNext w:val="0"/>
              <w:keepLines w:val="0"/>
              <w:pageBreakBefore w:val="0"/>
              <w:widowControl/>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三档（7分）：具有应急组织措施，提供应急人员安排及应急人员岗位职责、应急人员调配计划及人员计划（安排）表，能提出对消防管理、治安事件、卫生事件、自然灾害事件、意外事件等突发事件的解决措施，能对应急情况发生的问题立即响应，提供处理完成时间。</w:t>
            </w:r>
          </w:p>
          <w:p w14:paraId="0620BF13">
            <w:pPr>
              <w:pStyle w:val="8"/>
              <w:keepNext w:val="0"/>
              <w:keepLines w:val="0"/>
              <w:pageBreakBefore w:val="0"/>
              <w:kinsoku/>
              <w:wordWrap/>
              <w:overflowPunct/>
              <w:topLinePunct w:val="0"/>
              <w:autoSpaceDE/>
              <w:autoSpaceDN/>
              <w:bidi w:val="0"/>
              <w:spacing w:line="360" w:lineRule="exact"/>
              <w:rPr>
                <w:rFonts w:hint="eastAsia" w:ascii="宋体" w:hAnsi="宋体" w:cs="宋体"/>
                <w:bCs/>
                <w:kern w:val="0"/>
                <w:szCs w:val="21"/>
              </w:rPr>
            </w:pPr>
            <w:r>
              <w:rPr>
                <w:rFonts w:hint="eastAsia" w:ascii="宋体" w:hAnsi="宋体" w:cs="宋体"/>
                <w:bCs/>
                <w:kern w:val="0"/>
                <w:szCs w:val="21"/>
              </w:rPr>
              <w:t>四档（10分）：具有应急组织措施，提供应急人员安排及应急人员岗位职责、应急人员调配计划及人员计划（安排）表，能提出对消防管理、治安事件、卫生事件、自然灾害事件、意外事件等突发事件的解决措施，能对应急情况发生的问题立即响应，提供处理完成时间及应急事件处理方案。</w:t>
            </w:r>
          </w:p>
          <w:p w14:paraId="7849058B">
            <w:pPr>
              <w:pStyle w:val="18"/>
              <w:keepNext w:val="0"/>
              <w:keepLines w:val="0"/>
              <w:pageBreakBefore w:val="0"/>
              <w:kinsoku/>
              <w:wordWrap/>
              <w:overflowPunct/>
              <w:topLinePunct w:val="0"/>
              <w:autoSpaceDE/>
              <w:autoSpaceDN/>
              <w:bidi w:val="0"/>
              <w:spacing w:line="360" w:lineRule="exact"/>
              <w:ind w:left="0" w:leftChars="0"/>
            </w:pPr>
            <w:r>
              <w:rPr>
                <w:rFonts w:hint="eastAsia" w:ascii="宋体" w:hAnsi="宋体" w:cs="宋体"/>
                <w:b/>
                <w:kern w:val="0"/>
                <w:szCs w:val="21"/>
              </w:rPr>
              <w:t>注：未提供的得0分。</w:t>
            </w:r>
          </w:p>
        </w:tc>
      </w:tr>
      <w:tr w14:paraId="1043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shd w:val="clear" w:color="auto" w:fill="auto"/>
            <w:vAlign w:val="center"/>
          </w:tcPr>
          <w:p w14:paraId="544150E7">
            <w:pPr>
              <w:keepNext w:val="0"/>
              <w:keepLines w:val="0"/>
              <w:pageBreakBefore w:val="0"/>
              <w:widowControl/>
              <w:kinsoku/>
              <w:wordWrap/>
              <w:overflowPunct/>
              <w:topLinePunct w:val="0"/>
              <w:autoSpaceDE/>
              <w:autoSpaceDN/>
              <w:bidi w:val="0"/>
              <w:spacing w:line="360" w:lineRule="exact"/>
              <w:jc w:val="center"/>
              <w:rPr>
                <w:rFonts w:hint="eastAsia" w:ascii="宋体" w:hAnsi="宋体" w:cs="Courier New"/>
                <w:b/>
                <w:bCs/>
                <w:szCs w:val="21"/>
              </w:rPr>
            </w:pPr>
            <w:r>
              <w:rPr>
                <w:rFonts w:hint="eastAsia" w:ascii="宋体" w:hAnsi="宋体" w:cs="Courier New"/>
                <w:b/>
                <w:bCs/>
                <w:szCs w:val="21"/>
              </w:rPr>
              <w:t>3</w:t>
            </w:r>
          </w:p>
        </w:tc>
        <w:tc>
          <w:tcPr>
            <w:tcW w:w="1388" w:type="dxa"/>
            <w:shd w:val="clear" w:color="auto" w:fill="auto"/>
            <w:tcMar>
              <w:left w:w="57" w:type="dxa"/>
              <w:right w:w="57" w:type="dxa"/>
            </w:tcMar>
            <w:vAlign w:val="center"/>
          </w:tcPr>
          <w:p w14:paraId="468D0F69">
            <w:pPr>
              <w:keepNext w:val="0"/>
              <w:keepLines w:val="0"/>
              <w:pageBreakBefore w:val="0"/>
              <w:widowControl/>
              <w:kinsoku/>
              <w:wordWrap/>
              <w:overflowPunct/>
              <w:topLinePunct w:val="0"/>
              <w:autoSpaceDE/>
              <w:autoSpaceDN/>
              <w:bidi w:val="0"/>
              <w:spacing w:line="360" w:lineRule="exact"/>
              <w:jc w:val="center"/>
              <w:rPr>
                <w:rFonts w:hint="eastAsia" w:ascii="宋体" w:hAnsi="宋体" w:cs="Courier New"/>
                <w:b/>
                <w:bCs/>
                <w:szCs w:val="21"/>
              </w:rPr>
            </w:pPr>
            <w:r>
              <w:rPr>
                <w:rFonts w:hint="eastAsia" w:ascii="宋体" w:hAnsi="宋体" w:cs="Courier New"/>
                <w:b/>
                <w:bCs/>
                <w:szCs w:val="21"/>
              </w:rPr>
              <w:t>商务分（满分</w:t>
            </w:r>
            <w:r>
              <w:rPr>
                <w:rFonts w:hint="eastAsia" w:ascii="宋体" w:hAnsi="宋体" w:cs="Courier New"/>
                <w:b/>
                <w:bCs/>
                <w:szCs w:val="21"/>
                <w:lang w:val="en-US" w:eastAsia="zh-CN"/>
              </w:rPr>
              <w:t>20</w:t>
            </w:r>
            <w:r>
              <w:rPr>
                <w:rFonts w:hint="eastAsia" w:ascii="宋体" w:hAnsi="宋体" w:cs="Courier New"/>
                <w:b/>
                <w:bCs/>
                <w:szCs w:val="21"/>
              </w:rPr>
              <w:t>分）</w:t>
            </w:r>
          </w:p>
        </w:tc>
        <w:tc>
          <w:tcPr>
            <w:tcW w:w="7525" w:type="dxa"/>
            <w:gridSpan w:val="2"/>
            <w:shd w:val="clear" w:color="auto" w:fill="auto"/>
            <w:vAlign w:val="center"/>
          </w:tcPr>
          <w:p w14:paraId="1797B6F1">
            <w:pPr>
              <w:keepNext w:val="0"/>
              <w:keepLines w:val="0"/>
              <w:pageBreakBefore w:val="0"/>
              <w:widowControl/>
              <w:kinsoku/>
              <w:wordWrap/>
              <w:overflowPunct/>
              <w:topLinePunct w:val="0"/>
              <w:autoSpaceDE/>
              <w:autoSpaceDN/>
              <w:bidi w:val="0"/>
              <w:spacing w:line="360" w:lineRule="exact"/>
              <w:jc w:val="center"/>
              <w:rPr>
                <w:rFonts w:hint="eastAsia" w:ascii="宋体" w:hAnsi="宋体" w:cs="宋体"/>
                <w:b/>
                <w:szCs w:val="21"/>
              </w:rPr>
            </w:pPr>
            <w:r>
              <w:rPr>
                <w:rFonts w:hint="eastAsia" w:ascii="宋体" w:hAnsi="宋体" w:cs="Tahoma"/>
                <w:b/>
                <w:kern w:val="0"/>
                <w:szCs w:val="21"/>
              </w:rPr>
              <w:t>评审因素</w:t>
            </w:r>
          </w:p>
        </w:tc>
      </w:tr>
      <w:tr w14:paraId="3083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shd w:val="clear" w:color="auto" w:fill="auto"/>
            <w:vAlign w:val="center"/>
          </w:tcPr>
          <w:p w14:paraId="509374D9">
            <w:pPr>
              <w:keepNext w:val="0"/>
              <w:keepLines w:val="0"/>
              <w:pageBreakBefore w:val="0"/>
              <w:widowControl/>
              <w:kinsoku/>
              <w:wordWrap/>
              <w:overflowPunct/>
              <w:topLinePunct w:val="0"/>
              <w:autoSpaceDE/>
              <w:autoSpaceDN/>
              <w:bidi w:val="0"/>
              <w:spacing w:line="360" w:lineRule="exact"/>
              <w:jc w:val="center"/>
              <w:rPr>
                <w:rFonts w:hint="eastAsia" w:ascii="宋体" w:hAnsi="宋体" w:cs="Courier New"/>
                <w:b/>
                <w:bCs/>
                <w:szCs w:val="21"/>
              </w:rPr>
            </w:pPr>
            <w:r>
              <w:rPr>
                <w:rFonts w:hint="eastAsia" w:ascii="宋体" w:hAnsi="宋体" w:cs="Courier New"/>
                <w:b/>
                <w:bCs/>
                <w:szCs w:val="21"/>
              </w:rPr>
              <w:t>3.1</w:t>
            </w:r>
          </w:p>
        </w:tc>
        <w:tc>
          <w:tcPr>
            <w:tcW w:w="1388" w:type="dxa"/>
            <w:shd w:val="clear" w:color="auto" w:fill="auto"/>
            <w:tcMar>
              <w:left w:w="57" w:type="dxa"/>
              <w:right w:w="57" w:type="dxa"/>
            </w:tcMar>
            <w:vAlign w:val="center"/>
          </w:tcPr>
          <w:p w14:paraId="40810A9D">
            <w:pPr>
              <w:keepNext w:val="0"/>
              <w:keepLines w:val="0"/>
              <w:pageBreakBefore w:val="0"/>
              <w:widowControl/>
              <w:kinsoku/>
              <w:wordWrap/>
              <w:overflowPunct/>
              <w:topLinePunct w:val="0"/>
              <w:autoSpaceDE/>
              <w:autoSpaceDN/>
              <w:bidi w:val="0"/>
              <w:spacing w:line="360" w:lineRule="exact"/>
              <w:jc w:val="center"/>
              <w:rPr>
                <w:rFonts w:hint="eastAsia" w:ascii="宋体" w:hAnsi="宋体" w:cs="宋体"/>
                <w:b/>
                <w:bCs/>
                <w:szCs w:val="21"/>
              </w:rPr>
            </w:pPr>
            <w:r>
              <w:rPr>
                <w:rFonts w:hint="eastAsia" w:ascii="宋体" w:hAnsi="宋体" w:cs="宋体"/>
                <w:b/>
                <w:bCs/>
                <w:szCs w:val="21"/>
              </w:rPr>
              <w:t>人员配置分</w:t>
            </w:r>
            <w:r>
              <w:rPr>
                <w:rFonts w:hint="eastAsia" w:ascii="宋体" w:hAnsi="宋体" w:cs="宋体"/>
                <w:b/>
                <w:kern w:val="0"/>
                <w:szCs w:val="21"/>
              </w:rPr>
              <w:t>（满分</w:t>
            </w:r>
            <w:r>
              <w:rPr>
                <w:rFonts w:hint="eastAsia" w:ascii="宋体" w:hAnsi="宋体" w:cs="宋体"/>
                <w:b/>
                <w:kern w:val="0"/>
                <w:szCs w:val="21"/>
                <w:lang w:val="en-US" w:eastAsia="zh-CN"/>
              </w:rPr>
              <w:t>16</w:t>
            </w:r>
            <w:r>
              <w:rPr>
                <w:rFonts w:hint="eastAsia" w:ascii="宋体" w:hAnsi="宋体" w:cs="宋体"/>
                <w:b/>
                <w:kern w:val="0"/>
                <w:szCs w:val="21"/>
              </w:rPr>
              <w:t>分）</w:t>
            </w:r>
          </w:p>
        </w:tc>
        <w:tc>
          <w:tcPr>
            <w:tcW w:w="7525" w:type="dxa"/>
            <w:gridSpan w:val="2"/>
            <w:shd w:val="clear" w:color="auto" w:fill="auto"/>
            <w:vAlign w:val="center"/>
          </w:tcPr>
          <w:p w14:paraId="32948361">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rPr>
            </w:pPr>
            <w:r>
              <w:rPr>
                <w:rFonts w:hint="eastAsia" w:ascii="宋体" w:hAnsi="宋体" w:cs="宋体"/>
                <w:color w:val="auto"/>
              </w:rPr>
              <w:t>1、</w:t>
            </w:r>
            <w:r>
              <w:rPr>
                <w:rFonts w:hint="eastAsia" w:ascii="宋体" w:hAnsi="宋体" w:cs="宋体"/>
                <w:color w:val="auto"/>
                <w:lang w:val="en-US" w:eastAsia="zh-CN"/>
              </w:rPr>
              <w:t>拟</w:t>
            </w:r>
            <w:r>
              <w:rPr>
                <w:rFonts w:hint="eastAsia" w:ascii="宋体" w:hAnsi="宋体" w:cs="宋体"/>
                <w:color w:val="auto"/>
              </w:rPr>
              <w:t>投入本项目的</w:t>
            </w:r>
            <w:r>
              <w:rPr>
                <w:rFonts w:hint="eastAsia" w:ascii="宋体" w:hAnsi="宋体" w:cs="宋体"/>
                <w:color w:val="auto"/>
                <w:lang w:eastAsia="zh-CN"/>
              </w:rPr>
              <w:t>保洁绿化部长（</w:t>
            </w:r>
            <w:r>
              <w:rPr>
                <w:rFonts w:hint="eastAsia" w:ascii="宋体" w:hAnsi="宋体" w:cs="宋体"/>
                <w:color w:val="auto"/>
                <w:lang w:val="en-US" w:eastAsia="zh-CN"/>
              </w:rPr>
              <w:t>项目经理</w:t>
            </w:r>
            <w:r>
              <w:rPr>
                <w:rFonts w:hint="eastAsia" w:ascii="宋体" w:hAnsi="宋体" w:cs="宋体"/>
                <w:color w:val="auto"/>
                <w:lang w:eastAsia="zh-CN"/>
              </w:rPr>
              <w:t>）</w:t>
            </w:r>
            <w:r>
              <w:rPr>
                <w:rFonts w:hint="eastAsia" w:ascii="宋体" w:hAnsi="宋体" w:cs="宋体"/>
                <w:color w:val="auto"/>
              </w:rPr>
              <w:t>具有</w:t>
            </w:r>
            <w:r>
              <w:rPr>
                <w:rFonts w:hint="eastAsia" w:ascii="宋体" w:hAnsi="宋体" w:cs="宋体"/>
                <w:color w:val="auto"/>
                <w:lang w:val="en-US" w:eastAsia="zh-CN"/>
              </w:rPr>
              <w:t>本科</w:t>
            </w:r>
            <w:r>
              <w:rPr>
                <w:rFonts w:hint="eastAsia" w:ascii="宋体" w:hAnsi="宋体" w:cs="宋体"/>
                <w:color w:val="auto"/>
              </w:rPr>
              <w:t>及以上学历的得</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s="宋体"/>
                <w:color w:val="auto"/>
                <w:lang w:val="en-US" w:eastAsia="zh-CN"/>
              </w:rPr>
              <w:t>满分1分；拟</w:t>
            </w:r>
            <w:r>
              <w:rPr>
                <w:rFonts w:hint="eastAsia" w:ascii="宋体" w:hAnsi="宋体" w:cs="宋体"/>
                <w:color w:val="auto"/>
              </w:rPr>
              <w:t>投入本项目的</w:t>
            </w:r>
            <w:r>
              <w:rPr>
                <w:rFonts w:hint="eastAsia" w:ascii="宋体" w:hAnsi="宋体" w:cs="宋体"/>
                <w:color w:val="auto"/>
                <w:lang w:val="en-US" w:eastAsia="zh-CN"/>
              </w:rPr>
              <w:t>保洁绿化部长（项目经理）、保洁组长、秩序队长</w:t>
            </w:r>
            <w:r>
              <w:rPr>
                <w:rFonts w:hint="eastAsia" w:ascii="宋体" w:hAnsi="宋体" w:cs="宋体"/>
                <w:color w:val="auto"/>
              </w:rPr>
              <w:t>具有</w:t>
            </w:r>
            <w:r>
              <w:rPr>
                <w:rFonts w:hint="eastAsia" w:ascii="宋体" w:hAnsi="宋体" w:cs="宋体"/>
                <w:color w:val="auto"/>
                <w:lang w:val="en-US" w:eastAsia="zh-CN"/>
              </w:rPr>
              <w:t>相关的</w:t>
            </w:r>
            <w:r>
              <w:rPr>
                <w:rFonts w:hint="eastAsia" w:ascii="宋体" w:hAnsi="宋体" w:cs="宋体"/>
                <w:color w:val="auto"/>
              </w:rPr>
              <w:t>管理服务经验2年以上的</w:t>
            </w:r>
            <w:r>
              <w:rPr>
                <w:rFonts w:hint="eastAsia" w:ascii="宋体" w:hAnsi="宋体" w:cs="宋体"/>
                <w:color w:val="auto"/>
                <w:lang w:val="en-US" w:eastAsia="zh-CN"/>
              </w:rPr>
              <w:t>每人</w:t>
            </w:r>
            <w:r>
              <w:rPr>
                <w:rFonts w:hint="eastAsia" w:ascii="宋体" w:hAnsi="宋体" w:cs="宋体"/>
                <w:color w:val="auto"/>
              </w:rPr>
              <w:t>得1分</w:t>
            </w:r>
            <w:r>
              <w:rPr>
                <w:rFonts w:hint="eastAsia" w:ascii="宋体" w:hAnsi="宋体" w:cs="宋体"/>
                <w:color w:val="auto"/>
                <w:lang w:eastAsia="zh-CN"/>
              </w:rPr>
              <w:t>，</w:t>
            </w:r>
            <w:r>
              <w:rPr>
                <w:rFonts w:hint="eastAsia" w:ascii="宋体" w:hAnsi="宋体" w:cs="宋体"/>
                <w:color w:val="auto"/>
              </w:rPr>
              <w:t>满分</w:t>
            </w:r>
            <w:r>
              <w:rPr>
                <w:rFonts w:hint="eastAsia" w:ascii="宋体" w:hAnsi="宋体" w:cs="宋体"/>
                <w:color w:val="auto"/>
                <w:lang w:val="en-US" w:eastAsia="zh-CN"/>
              </w:rPr>
              <w:t>3</w:t>
            </w:r>
            <w:r>
              <w:rPr>
                <w:rFonts w:hint="eastAsia" w:ascii="宋体" w:hAnsi="宋体" w:cs="宋体"/>
                <w:color w:val="auto"/>
              </w:rPr>
              <w:t>分</w:t>
            </w:r>
            <w:r>
              <w:rPr>
                <w:rFonts w:hint="eastAsia" w:ascii="宋体" w:hAnsi="宋体" w:cs="宋体"/>
                <w:color w:val="auto"/>
                <w:lang w:eastAsia="zh-CN"/>
              </w:rPr>
              <w:t>；</w:t>
            </w:r>
            <w:r>
              <w:rPr>
                <w:rFonts w:hint="eastAsia" w:ascii="宋体" w:hAnsi="宋体" w:cs="宋体"/>
                <w:color w:val="auto"/>
                <w:lang w:val="en-US" w:eastAsia="zh-CN"/>
              </w:rPr>
              <w:t>本项满分4分</w:t>
            </w:r>
            <w:r>
              <w:rPr>
                <w:rFonts w:hint="eastAsia" w:ascii="宋体" w:hAnsi="宋体" w:cs="宋体"/>
                <w:color w:val="auto"/>
              </w:rPr>
              <w:t>。</w:t>
            </w:r>
            <w:r>
              <w:rPr>
                <w:rFonts w:hint="eastAsia" w:ascii="宋体" w:hAnsi="宋体" w:cs="宋体"/>
                <w:b/>
                <w:bCs/>
                <w:color w:val="auto"/>
              </w:rPr>
              <w:t>（须提供学历证书、聘任为管理岗位的服务合同关键页扫描件等相关证明材料，否则不得分）</w:t>
            </w:r>
          </w:p>
          <w:p w14:paraId="3A283789">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rPr>
            </w:pPr>
            <w:r>
              <w:rPr>
                <w:rFonts w:hint="eastAsia" w:ascii="宋体" w:hAnsi="宋体" w:cs="宋体"/>
                <w:color w:val="auto"/>
              </w:rPr>
              <w:t>2、拟投入本项目的</w:t>
            </w:r>
            <w:r>
              <w:rPr>
                <w:rFonts w:hint="eastAsia" w:ascii="宋体" w:hAnsi="宋体" w:cs="宋体"/>
                <w:color w:val="auto"/>
                <w:lang w:val="en-US" w:eastAsia="zh-CN"/>
              </w:rPr>
              <w:t>保洁</w:t>
            </w:r>
            <w:r>
              <w:rPr>
                <w:rFonts w:hint="eastAsia" w:ascii="宋体" w:hAnsi="宋体" w:cs="宋体"/>
                <w:color w:val="auto"/>
              </w:rPr>
              <w:t>人员</w:t>
            </w:r>
            <w:r>
              <w:rPr>
                <w:rFonts w:hint="eastAsia" w:ascii="宋体" w:hAnsi="宋体" w:cs="宋体"/>
                <w:color w:val="auto"/>
                <w:lang w:eastAsia="zh-CN"/>
              </w:rPr>
              <w:t>：</w:t>
            </w:r>
            <w:r>
              <w:rPr>
                <w:rFonts w:hint="eastAsia" w:ascii="宋体" w:hAnsi="宋体" w:cs="宋体"/>
                <w:color w:val="auto"/>
              </w:rPr>
              <w:t>持有园林</w:t>
            </w:r>
            <w:r>
              <w:rPr>
                <w:rFonts w:hint="eastAsia" w:ascii="宋体" w:hAnsi="宋体" w:cs="宋体"/>
                <w:color w:val="auto"/>
                <w:lang w:val="en-US" w:eastAsia="zh-CN"/>
              </w:rPr>
              <w:t>绿化</w:t>
            </w:r>
            <w:r>
              <w:rPr>
                <w:rFonts w:hint="eastAsia" w:ascii="宋体" w:hAnsi="宋体" w:cs="宋体"/>
                <w:color w:val="auto"/>
              </w:rPr>
              <w:t>工程师证书</w:t>
            </w:r>
            <w:r>
              <w:rPr>
                <w:rFonts w:hint="eastAsia" w:ascii="宋体" w:hAnsi="宋体" w:cs="宋体"/>
                <w:color w:val="auto"/>
                <w:lang w:val="en-US" w:eastAsia="zh-CN"/>
              </w:rPr>
              <w:t>的</w:t>
            </w:r>
            <w:r>
              <w:rPr>
                <w:rFonts w:hint="eastAsia" w:ascii="宋体" w:hAnsi="宋体" w:cs="宋体"/>
                <w:color w:val="auto"/>
              </w:rPr>
              <w:t>，每人得</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s="宋体"/>
                <w:color w:val="auto"/>
                <w:lang w:val="en-US" w:eastAsia="zh-CN"/>
              </w:rPr>
              <w:t>满分2分；</w:t>
            </w:r>
            <w:r>
              <w:rPr>
                <w:rFonts w:hint="eastAsia" w:ascii="宋体" w:hAnsi="宋体" w:cs="宋体"/>
                <w:color w:val="auto"/>
              </w:rPr>
              <w:t>持有</w:t>
            </w:r>
            <w:r>
              <w:rPr>
                <w:rFonts w:hint="eastAsia" w:ascii="宋体" w:hAnsi="宋体" w:cs="宋体"/>
                <w:color w:val="auto"/>
                <w:lang w:val="en-US" w:eastAsia="zh-CN"/>
              </w:rPr>
              <w:t>医疗垃圾处理工程师证书的，每人得1分，满分2分；</w:t>
            </w:r>
            <w:r>
              <w:rPr>
                <w:rFonts w:hint="eastAsia" w:ascii="宋体" w:hAnsi="宋体" w:cs="宋体"/>
                <w:color w:val="auto"/>
              </w:rPr>
              <w:t>本项满分</w:t>
            </w:r>
            <w:r>
              <w:rPr>
                <w:rFonts w:hint="eastAsia" w:ascii="宋体" w:hAnsi="宋体" w:cs="宋体"/>
                <w:color w:val="auto"/>
                <w:lang w:val="en-US" w:eastAsia="zh-CN"/>
              </w:rPr>
              <w:t>4</w:t>
            </w:r>
            <w:r>
              <w:rPr>
                <w:rFonts w:hint="eastAsia" w:ascii="宋体" w:hAnsi="宋体" w:cs="宋体"/>
                <w:color w:val="auto"/>
              </w:rPr>
              <w:t>分。</w:t>
            </w:r>
            <w:r>
              <w:rPr>
                <w:rFonts w:hint="eastAsia" w:ascii="宋体" w:hAnsi="宋体" w:cs="宋体"/>
                <w:b/>
                <w:bCs/>
                <w:color w:val="auto"/>
              </w:rPr>
              <w:t>（须提供相关证件</w:t>
            </w:r>
            <w:r>
              <w:rPr>
                <w:rFonts w:hint="eastAsia" w:ascii="宋体" w:hAnsi="宋体" w:cs="宋体"/>
                <w:b/>
                <w:bCs/>
                <w:color w:val="auto"/>
                <w:lang w:val="en-US" w:eastAsia="zh-CN"/>
              </w:rPr>
              <w:t>及身份证</w:t>
            </w:r>
            <w:r>
              <w:rPr>
                <w:rFonts w:hint="eastAsia" w:ascii="宋体" w:hAnsi="宋体" w:cs="宋体"/>
                <w:b/>
                <w:bCs/>
                <w:color w:val="auto"/>
              </w:rPr>
              <w:t>扫描件，否则不得分）</w:t>
            </w:r>
          </w:p>
          <w:p w14:paraId="47557469">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rPr>
            </w:pPr>
            <w:r>
              <w:rPr>
                <w:rFonts w:hint="eastAsia" w:ascii="宋体" w:hAnsi="宋体" w:cs="宋体"/>
                <w:color w:val="auto"/>
                <w:lang w:val="en-US" w:eastAsia="zh-CN"/>
              </w:rPr>
              <w:t>3</w:t>
            </w:r>
            <w:r>
              <w:rPr>
                <w:rFonts w:hint="eastAsia" w:ascii="宋体" w:hAnsi="宋体" w:cs="宋体"/>
                <w:color w:val="auto"/>
              </w:rPr>
              <w:t>、投入本项目的</w:t>
            </w:r>
            <w:r>
              <w:rPr>
                <w:rFonts w:hint="eastAsia" w:ascii="宋体" w:hAnsi="宋体" w:cs="宋体"/>
                <w:color w:val="auto"/>
                <w:lang w:val="en-US" w:eastAsia="zh-CN"/>
              </w:rPr>
              <w:t>秩序员持</w:t>
            </w:r>
            <w:r>
              <w:rPr>
                <w:rFonts w:hint="eastAsia" w:ascii="宋体" w:hAnsi="宋体" w:cs="宋体"/>
                <w:color w:val="auto"/>
              </w:rPr>
              <w:t>有保安员证的</w:t>
            </w:r>
            <w:r>
              <w:rPr>
                <w:rFonts w:hint="eastAsia" w:ascii="宋体" w:hAnsi="宋体" w:cs="宋体"/>
                <w:color w:val="auto"/>
                <w:lang w:eastAsia="zh-CN"/>
              </w:rPr>
              <w:t>，</w:t>
            </w:r>
            <w:r>
              <w:rPr>
                <w:rFonts w:hint="eastAsia" w:ascii="宋体" w:hAnsi="宋体" w:cs="宋体"/>
                <w:color w:val="auto"/>
              </w:rPr>
              <w:t>每人得</w:t>
            </w:r>
            <w:r>
              <w:rPr>
                <w:rFonts w:hint="eastAsia" w:ascii="宋体" w:hAnsi="宋体" w:cs="宋体"/>
                <w:color w:val="auto"/>
                <w:lang w:val="en-US" w:eastAsia="zh-CN"/>
              </w:rPr>
              <w:t>0.5</w:t>
            </w:r>
            <w:r>
              <w:rPr>
                <w:rFonts w:hint="eastAsia" w:ascii="宋体" w:hAnsi="宋体" w:cs="宋体"/>
                <w:color w:val="auto"/>
              </w:rPr>
              <w:t>分，</w:t>
            </w:r>
            <w:r>
              <w:rPr>
                <w:rFonts w:hint="eastAsia" w:ascii="宋体" w:hAnsi="宋体" w:cs="宋体"/>
                <w:color w:val="auto"/>
                <w:lang w:val="en-US" w:eastAsia="zh-CN"/>
              </w:rPr>
              <w:t>本项</w:t>
            </w:r>
            <w:r>
              <w:rPr>
                <w:rFonts w:hint="eastAsia" w:ascii="宋体" w:hAnsi="宋体" w:cs="宋体"/>
                <w:color w:val="auto"/>
              </w:rPr>
              <w:t>满分</w:t>
            </w:r>
            <w:r>
              <w:rPr>
                <w:rFonts w:hint="eastAsia" w:ascii="宋体" w:hAnsi="宋体" w:cs="宋体"/>
                <w:color w:val="auto"/>
                <w:lang w:val="en-US" w:eastAsia="zh-CN"/>
              </w:rPr>
              <w:t>2</w:t>
            </w:r>
            <w:r>
              <w:rPr>
                <w:rFonts w:hint="eastAsia" w:ascii="宋体" w:hAnsi="宋体" w:cs="宋体"/>
                <w:color w:val="auto"/>
              </w:rPr>
              <w:t>分。</w:t>
            </w:r>
            <w:r>
              <w:rPr>
                <w:rFonts w:hint="eastAsia" w:ascii="宋体" w:hAnsi="宋体" w:cs="宋体"/>
                <w:b/>
                <w:bCs/>
                <w:color w:val="auto"/>
              </w:rPr>
              <w:t>（提供相关证件</w:t>
            </w:r>
            <w:r>
              <w:rPr>
                <w:rFonts w:hint="eastAsia" w:ascii="宋体" w:hAnsi="宋体" w:cs="宋体"/>
                <w:b/>
                <w:bCs/>
                <w:color w:val="auto"/>
                <w:lang w:val="en-US" w:eastAsia="zh-CN"/>
              </w:rPr>
              <w:t>及身份证</w:t>
            </w:r>
            <w:r>
              <w:rPr>
                <w:rFonts w:hint="eastAsia" w:ascii="宋体" w:hAnsi="宋体" w:cs="宋体"/>
                <w:b/>
                <w:bCs/>
                <w:color w:val="auto"/>
              </w:rPr>
              <w:t>扫描件，否则不得分</w:t>
            </w:r>
            <w:r>
              <w:rPr>
                <w:rFonts w:hint="eastAsia" w:ascii="宋体" w:hAnsi="宋体" w:cs="宋体"/>
                <w:color w:val="auto"/>
              </w:rPr>
              <w:t>）</w:t>
            </w:r>
          </w:p>
          <w:p w14:paraId="3B743CEA">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kern w:val="0"/>
                <w:szCs w:val="21"/>
              </w:rPr>
            </w:pPr>
            <w:r>
              <w:rPr>
                <w:rFonts w:hint="eastAsia" w:ascii="宋体" w:hAnsi="宋体" w:cs="宋体"/>
                <w:color w:val="auto"/>
                <w:lang w:val="en-US" w:eastAsia="zh-CN"/>
              </w:rPr>
              <w:t>4</w:t>
            </w:r>
            <w:r>
              <w:rPr>
                <w:rFonts w:hint="eastAsia" w:ascii="宋体" w:hAnsi="宋体" w:cs="宋体"/>
                <w:color w:val="auto"/>
              </w:rPr>
              <w:t>、拟投入本项目的</w:t>
            </w:r>
            <w:r>
              <w:rPr>
                <w:rFonts w:hint="eastAsia" w:ascii="宋体" w:hAnsi="宋体" w:cs="宋体"/>
                <w:b w:val="0"/>
                <w:bCs w:val="0"/>
                <w:color w:val="auto"/>
                <w:lang w:val="en-US" w:eastAsia="zh-CN"/>
              </w:rPr>
              <w:t>秩序员兼顾</w:t>
            </w:r>
            <w:r>
              <w:rPr>
                <w:rFonts w:hint="eastAsia" w:ascii="宋体" w:hAnsi="宋体" w:cs="宋体"/>
                <w:color w:val="auto"/>
              </w:rPr>
              <w:t>消控室人员持有</w:t>
            </w:r>
            <w:r>
              <w:rPr>
                <w:rFonts w:hint="eastAsia" w:ascii="宋体" w:hAnsi="宋体" w:cs="宋体"/>
                <w:color w:val="auto"/>
                <w:lang w:val="en-US" w:eastAsia="zh-CN"/>
              </w:rPr>
              <w:t>国家认可的</w:t>
            </w:r>
            <w:r>
              <w:rPr>
                <w:rFonts w:hint="eastAsia" w:ascii="宋体" w:hAnsi="宋体" w:cs="宋体"/>
                <w:color w:val="auto"/>
              </w:rPr>
              <w:t>中级及以上消防设施操作员证书的，</w:t>
            </w:r>
            <w:r>
              <w:rPr>
                <w:rFonts w:hint="eastAsia" w:ascii="宋体" w:hAnsi="宋体" w:cs="宋体"/>
                <w:color w:val="auto"/>
                <w:lang w:val="en-US" w:eastAsia="zh-CN"/>
              </w:rPr>
              <w:t>每人</w:t>
            </w:r>
            <w:r>
              <w:rPr>
                <w:rFonts w:hint="eastAsia" w:ascii="宋体" w:hAnsi="宋体" w:cs="宋体"/>
                <w:color w:val="auto"/>
              </w:rPr>
              <w:t>得1分，本项满分</w:t>
            </w:r>
            <w:r>
              <w:rPr>
                <w:rFonts w:hint="eastAsia" w:ascii="宋体" w:hAnsi="宋体" w:cs="宋体"/>
                <w:color w:val="auto"/>
                <w:lang w:val="en-US" w:eastAsia="zh-CN"/>
              </w:rPr>
              <w:t>6</w:t>
            </w:r>
            <w:r>
              <w:rPr>
                <w:rFonts w:hint="eastAsia" w:ascii="宋体" w:hAnsi="宋体" w:cs="宋体"/>
                <w:color w:val="auto"/>
              </w:rPr>
              <w:t>分。</w:t>
            </w:r>
            <w:r>
              <w:rPr>
                <w:rFonts w:hint="eastAsia" w:ascii="宋体" w:hAnsi="宋体" w:cs="宋体"/>
                <w:b/>
                <w:bCs/>
                <w:color w:val="auto"/>
              </w:rPr>
              <w:t>（提供相关证件</w:t>
            </w:r>
            <w:r>
              <w:rPr>
                <w:rFonts w:hint="eastAsia" w:ascii="宋体" w:hAnsi="宋体" w:cs="宋体"/>
                <w:b/>
                <w:bCs/>
                <w:color w:val="auto"/>
                <w:lang w:val="en-US" w:eastAsia="zh-CN"/>
              </w:rPr>
              <w:t>及身份证</w:t>
            </w:r>
            <w:r>
              <w:rPr>
                <w:rFonts w:hint="eastAsia" w:ascii="宋体" w:hAnsi="宋体" w:cs="宋体"/>
                <w:b/>
                <w:bCs/>
                <w:color w:val="auto"/>
              </w:rPr>
              <w:t>扫描件，否则不得分）</w:t>
            </w:r>
          </w:p>
        </w:tc>
      </w:tr>
      <w:tr w14:paraId="4F5E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shd w:val="clear" w:color="auto" w:fill="auto"/>
            <w:vAlign w:val="center"/>
          </w:tcPr>
          <w:p w14:paraId="22FDDD99">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szCs w:val="21"/>
              </w:rPr>
            </w:pPr>
            <w:r>
              <w:rPr>
                <w:rFonts w:hint="eastAsia" w:ascii="宋体" w:hAnsi="宋体" w:cs="宋体"/>
                <w:b/>
                <w:bCs/>
                <w:szCs w:val="21"/>
              </w:rPr>
              <w:t>3.2</w:t>
            </w:r>
          </w:p>
        </w:tc>
        <w:tc>
          <w:tcPr>
            <w:tcW w:w="1388" w:type="dxa"/>
            <w:shd w:val="clear" w:color="auto" w:fill="auto"/>
            <w:tcMar>
              <w:left w:w="57" w:type="dxa"/>
              <w:right w:w="57" w:type="dxa"/>
            </w:tcMar>
            <w:vAlign w:val="center"/>
          </w:tcPr>
          <w:p w14:paraId="40D7DC15">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kern w:val="0"/>
                <w:szCs w:val="21"/>
              </w:rPr>
            </w:pPr>
            <w:r>
              <w:rPr>
                <w:rFonts w:hint="eastAsia" w:ascii="宋体" w:hAnsi="宋体" w:cs="宋体"/>
                <w:b/>
                <w:kern w:val="0"/>
                <w:szCs w:val="21"/>
              </w:rPr>
              <w:t>业绩分</w:t>
            </w:r>
          </w:p>
          <w:p w14:paraId="6B9B878A">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Cs/>
                <w:kern w:val="0"/>
                <w:szCs w:val="21"/>
              </w:rPr>
            </w:pPr>
            <w:r>
              <w:rPr>
                <w:rFonts w:hint="eastAsia" w:ascii="宋体" w:hAnsi="宋体" w:cs="宋体"/>
                <w:b/>
                <w:kern w:val="0"/>
                <w:szCs w:val="21"/>
              </w:rPr>
              <w:t>（满分</w:t>
            </w:r>
            <w:r>
              <w:rPr>
                <w:rFonts w:hint="eastAsia" w:ascii="宋体" w:hAnsi="宋体" w:cs="宋体"/>
                <w:b/>
                <w:kern w:val="0"/>
                <w:szCs w:val="21"/>
                <w:lang w:val="en-US" w:eastAsia="zh-CN"/>
              </w:rPr>
              <w:t>4</w:t>
            </w:r>
            <w:r>
              <w:rPr>
                <w:rFonts w:hint="eastAsia" w:ascii="宋体" w:hAnsi="宋体" w:cs="宋体"/>
                <w:b/>
                <w:kern w:val="0"/>
                <w:szCs w:val="21"/>
              </w:rPr>
              <w:t>分）</w:t>
            </w:r>
          </w:p>
        </w:tc>
        <w:tc>
          <w:tcPr>
            <w:tcW w:w="7525" w:type="dxa"/>
            <w:gridSpan w:val="2"/>
            <w:shd w:val="clear" w:color="auto" w:fill="auto"/>
            <w:vAlign w:val="top"/>
          </w:tcPr>
          <w:p w14:paraId="5AD50E41">
            <w:pPr>
              <w:keepNext w:val="0"/>
              <w:keepLines w:val="0"/>
              <w:pageBreakBefore w:val="0"/>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Cs/>
                <w:kern w:val="0"/>
                <w:szCs w:val="21"/>
              </w:rPr>
              <w:t>202</w:t>
            </w:r>
            <w:r>
              <w:rPr>
                <w:rFonts w:hint="eastAsia" w:ascii="宋体" w:hAnsi="宋体" w:cs="宋体"/>
                <w:bCs/>
                <w:kern w:val="0"/>
                <w:szCs w:val="21"/>
                <w:lang w:val="en-US" w:eastAsia="zh-CN"/>
              </w:rPr>
              <w:t>3</w:t>
            </w:r>
            <w:r>
              <w:rPr>
                <w:rFonts w:hint="eastAsia" w:ascii="宋体" w:hAnsi="宋体" w:cs="宋体"/>
                <w:bCs/>
                <w:kern w:val="0"/>
                <w:szCs w:val="21"/>
              </w:rPr>
              <w:t>年1月1日至提交响应文件截止时间止，供应商提供同类服务内容业绩的相关证明材料（以中标、成交通知书或签订的采购合同扫描件为准并能清晰反映所提供的服务类型、种类、金额，否则将不予计分；同一个编号的项目有两个或两个以上的分标中标的只算一次），每提供一个得</w:t>
            </w:r>
            <w:r>
              <w:rPr>
                <w:rFonts w:hint="eastAsia" w:ascii="宋体" w:hAnsi="宋体" w:cs="宋体"/>
                <w:bCs/>
                <w:kern w:val="0"/>
                <w:szCs w:val="21"/>
                <w:lang w:val="en-US" w:eastAsia="zh-CN"/>
              </w:rPr>
              <w:t>2</w:t>
            </w:r>
            <w:r>
              <w:rPr>
                <w:rFonts w:hint="eastAsia" w:ascii="宋体" w:hAnsi="宋体" w:cs="宋体"/>
                <w:bCs/>
                <w:kern w:val="0"/>
                <w:szCs w:val="21"/>
              </w:rPr>
              <w:t>分，满分</w:t>
            </w:r>
            <w:r>
              <w:rPr>
                <w:rFonts w:hint="eastAsia" w:ascii="宋体" w:hAnsi="宋体" w:cs="宋体"/>
                <w:bCs/>
                <w:kern w:val="0"/>
                <w:szCs w:val="21"/>
                <w:lang w:val="en-US" w:eastAsia="zh-CN"/>
              </w:rPr>
              <w:t>4</w:t>
            </w:r>
            <w:r>
              <w:rPr>
                <w:rFonts w:hint="eastAsia" w:ascii="宋体" w:hAnsi="宋体" w:cs="宋体"/>
                <w:bCs/>
                <w:kern w:val="0"/>
                <w:szCs w:val="21"/>
              </w:rPr>
              <w:t>分。</w:t>
            </w:r>
            <w:r>
              <w:rPr>
                <w:rFonts w:hint="eastAsia" w:ascii="宋体" w:hAnsi="宋体" w:cs="宋体"/>
                <w:b/>
                <w:bCs w:val="0"/>
                <w:kern w:val="0"/>
                <w:szCs w:val="21"/>
              </w:rPr>
              <w:t>（需提供相关证明材料扫描件并加盖单位公章（CA签章），否则不得分）</w:t>
            </w:r>
          </w:p>
        </w:tc>
      </w:tr>
      <w:tr w14:paraId="5451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49" w:type="dxa"/>
            <w:gridSpan w:val="4"/>
            <w:shd w:val="clear" w:color="auto" w:fill="auto"/>
            <w:vAlign w:val="center"/>
          </w:tcPr>
          <w:p w14:paraId="065BE558">
            <w:pPr>
              <w:keepNext w:val="0"/>
              <w:keepLines w:val="0"/>
              <w:pageBreakBefore w:val="0"/>
              <w:kinsoku/>
              <w:wordWrap/>
              <w:overflowPunct/>
              <w:topLinePunct w:val="0"/>
              <w:autoSpaceDE/>
              <w:autoSpaceDN/>
              <w:bidi w:val="0"/>
              <w:snapToGrid w:val="0"/>
              <w:spacing w:line="360" w:lineRule="exact"/>
              <w:rPr>
                <w:rFonts w:hint="eastAsia" w:ascii="宋体" w:hAnsi="宋体" w:cs="宋体"/>
                <w:bCs/>
                <w:kern w:val="0"/>
                <w:szCs w:val="21"/>
              </w:rPr>
            </w:pPr>
            <w:r>
              <w:rPr>
                <w:rFonts w:hint="eastAsia" w:ascii="宋体" w:hAnsi="宋体" w:cs="宋体"/>
                <w:b/>
                <w:bCs/>
                <w:sz w:val="24"/>
              </w:rPr>
              <w:t>总得分=1+2+3</w:t>
            </w:r>
          </w:p>
        </w:tc>
      </w:tr>
    </w:tbl>
    <w:p w14:paraId="140087D9">
      <w:pPr>
        <w:keepNext w:val="0"/>
        <w:keepLines w:val="0"/>
        <w:pageBreakBefore w:val="0"/>
        <w:widowControl w:val="0"/>
        <w:kinsoku/>
        <w:wordWrap/>
        <w:overflowPunct/>
        <w:topLinePunct w:val="0"/>
        <w:autoSpaceDE/>
        <w:autoSpaceDN/>
        <w:bidi w:val="0"/>
        <w:adjustRightInd/>
        <w:snapToGrid w:val="0"/>
        <w:spacing w:line="240" w:lineRule="auto"/>
        <w:ind w:firstLine="426" w:firstLineChars="202"/>
        <w:jc w:val="left"/>
        <w:textAlignment w:val="auto"/>
        <w:rPr>
          <w:rFonts w:hint="eastAsia" w:ascii="宋体" w:hAnsi="宋体" w:cs="宋体"/>
          <w:b/>
          <w:bCs/>
          <w:color w:val="auto"/>
          <w:szCs w:val="21"/>
        </w:rPr>
      </w:pPr>
    </w:p>
    <w:p w14:paraId="75AF7E96">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color w:val="auto"/>
          <w:szCs w:val="21"/>
        </w:rPr>
      </w:pPr>
      <w:r>
        <w:rPr>
          <w:rFonts w:hint="eastAsia" w:ascii="宋体" w:hAnsi="宋体" w:cs="宋体"/>
          <w:b/>
          <w:bCs/>
          <w:color w:val="auto"/>
          <w:szCs w:val="21"/>
        </w:rPr>
        <w:t>三、中标候选人推荐原则</w:t>
      </w:r>
    </w:p>
    <w:p w14:paraId="0EFC933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14:paraId="0E7C6D5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38E33248">
      <w:pPr>
        <w:pStyle w:val="24"/>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cs="宋体"/>
          <w:color w:val="auto"/>
          <w:szCs w:val="21"/>
        </w:rPr>
      </w:pPr>
      <w:r>
        <w:rPr>
          <w:rFonts w:hint="eastAsia" w:ascii="宋体" w:hAnsi="宋体" w:cs="宋体"/>
          <w:color w:val="auto"/>
          <w:szCs w:val="21"/>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28412D">
      <w:pPr>
        <w:rPr>
          <w:rFonts w:hint="eastAsia" w:ascii="宋体" w:hAnsi="宋体" w:cs="宋体"/>
          <w:color w:val="auto"/>
          <w:szCs w:val="21"/>
        </w:rPr>
      </w:pPr>
      <w:r>
        <w:rPr>
          <w:rFonts w:hint="eastAsia" w:ascii="宋体" w:hAnsi="宋体" w:cs="宋体"/>
          <w:color w:val="auto"/>
          <w:szCs w:val="21"/>
        </w:rPr>
        <w:br w:type="page"/>
      </w:r>
    </w:p>
    <w:p w14:paraId="714C5A48">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38" w:name="_Toc4121"/>
      <w:bookmarkStart w:id="139" w:name="_Toc971"/>
      <w:r>
        <w:rPr>
          <w:rFonts w:hint="eastAsia" w:ascii="宋体" w:hAnsi="宋体" w:eastAsia="宋体" w:cs="宋体"/>
          <w:b/>
          <w:bCs/>
          <w:color w:val="auto"/>
          <w:kern w:val="44"/>
          <w:sz w:val="44"/>
          <w:szCs w:val="44"/>
          <w:lang w:val="en-US" w:eastAsia="zh-CN" w:bidi="ar-SA"/>
        </w:rPr>
        <w:t xml:space="preserve">第五章 </w:t>
      </w:r>
      <w:r>
        <w:rPr>
          <w:rFonts w:hint="eastAsia" w:ascii="宋体" w:hAnsi="宋体" w:eastAsia="宋体" w:cs="宋体"/>
          <w:color w:val="auto"/>
          <w:sz w:val="44"/>
          <w:szCs w:val="44"/>
          <w:highlight w:val="none"/>
          <w:lang w:val="en-US" w:eastAsia="zh-CN"/>
        </w:rPr>
        <w:t>拟签订的合同文本</w:t>
      </w:r>
      <w:bookmarkEnd w:id="138"/>
      <w:bookmarkEnd w:id="139"/>
    </w:p>
    <w:p w14:paraId="380953A7">
      <w:pPr>
        <w:pStyle w:val="2"/>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40" w:name="_Toc18478"/>
      <w:bookmarkStart w:id="141" w:name="_Toc1521"/>
      <w:bookmarkStart w:id="142" w:name="_Toc2695"/>
      <w:bookmarkStart w:id="143" w:name="_Toc12316"/>
      <w:bookmarkStart w:id="144" w:name="_Toc19470"/>
      <w:bookmarkStart w:id="145" w:name="_Toc3136"/>
      <w:bookmarkStart w:id="146" w:name="_Toc6256"/>
      <w:r>
        <w:rPr>
          <w:rFonts w:hint="eastAsia" w:ascii="宋体" w:hAnsi="宋体" w:eastAsia="宋体" w:cs="宋体"/>
          <w:color w:val="auto"/>
          <w:sz w:val="24"/>
          <w:szCs w:val="24"/>
          <w:highlight w:val="none"/>
        </w:rPr>
        <w:t>拟签订的合同文本</w:t>
      </w:r>
      <w:bookmarkEnd w:id="140"/>
      <w:bookmarkEnd w:id="141"/>
      <w:bookmarkEnd w:id="142"/>
      <w:bookmarkEnd w:id="143"/>
      <w:bookmarkEnd w:id="144"/>
      <w:bookmarkEnd w:id="145"/>
      <w:bookmarkEnd w:id="146"/>
    </w:p>
    <w:p w14:paraId="3A51929F">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甲方（采购人）：                                      合同编号：</w:t>
      </w:r>
    </w:p>
    <w:p w14:paraId="23137B21">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乙方（中标人）：                                      签订地点：</w:t>
      </w:r>
    </w:p>
    <w:p w14:paraId="28044632">
      <w:pPr>
        <w:pStyle w:val="13"/>
        <w:pageBreakBefore w:val="0"/>
        <w:kinsoku/>
        <w:overflowPunct/>
        <w:topLinePunct w:val="0"/>
        <w:bidi w:val="0"/>
        <w:spacing w:line="240" w:lineRule="auto"/>
        <w:ind w:firstLine="420" w:firstLineChars="200"/>
        <w:rPr>
          <w:rFonts w:hAnsi="宋体"/>
          <w:bCs/>
          <w:sz w:val="21"/>
        </w:rPr>
      </w:pPr>
    </w:p>
    <w:p w14:paraId="7A2927BC">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根据《中华人民共和国政府采购法》、《中华人民共和国</w:t>
      </w:r>
      <w:r>
        <w:rPr>
          <w:rFonts w:hint="eastAsia" w:ascii="宋体" w:hAnsi="宋体"/>
          <w:szCs w:val="21"/>
          <w:lang w:val="en-US" w:eastAsia="zh-CN"/>
        </w:rPr>
        <w:t>民法典</w:t>
      </w:r>
      <w:r>
        <w:rPr>
          <w:rFonts w:hint="eastAsia" w:ascii="宋体" w:hAnsi="宋体"/>
          <w:szCs w:val="21"/>
        </w:rPr>
        <w:t>》</w:t>
      </w:r>
      <w:r>
        <w:rPr>
          <w:rFonts w:hint="eastAsia" w:ascii="宋体" w:hAnsi="宋体"/>
          <w:szCs w:val="21"/>
          <w:lang w:val="en-US" w:eastAsia="zh-CN"/>
        </w:rPr>
        <w:t>以及</w:t>
      </w:r>
      <w:r>
        <w:rPr>
          <w:rFonts w:hint="eastAsia" w:ascii="宋体" w:hAnsi="宋体" w:cs="宋体"/>
          <w:color w:val="auto"/>
          <w:kern w:val="0"/>
          <w:szCs w:val="21"/>
          <w:highlight w:val="none"/>
        </w:rPr>
        <w:t>国家和地方政府有关物业管理的法律、法规和政策规定</w:t>
      </w:r>
      <w:r>
        <w:rPr>
          <w:rFonts w:hint="eastAsia" w:ascii="宋体" w:hAnsi="宋体"/>
          <w:szCs w:val="21"/>
        </w:rPr>
        <w:t>，为保证所购的服务质量，明确双方的权利义务，甲乙双方在平等、自愿、协商一致的基础上，就有关事宜达成如下协议：</w:t>
      </w:r>
    </w:p>
    <w:p w14:paraId="7ACE99F7">
      <w:pPr>
        <w:pageBreakBefore w:val="0"/>
        <w:kinsoku/>
        <w:overflowPunct/>
        <w:topLinePunct w:val="0"/>
        <w:bidi w:val="0"/>
        <w:spacing w:line="240" w:lineRule="auto"/>
        <w:ind w:firstLine="422" w:firstLineChars="200"/>
        <w:rPr>
          <w:rFonts w:hint="default" w:ascii="宋体" w:hAnsi="宋体"/>
          <w:b/>
          <w:bCs/>
          <w:szCs w:val="21"/>
          <w:lang w:val="en-US" w:eastAsia="zh-CN"/>
        </w:rPr>
      </w:pPr>
      <w:r>
        <w:rPr>
          <w:rFonts w:hint="eastAsia" w:ascii="宋体" w:hAnsi="宋体"/>
          <w:b/>
          <w:bCs/>
          <w:szCs w:val="21"/>
          <w:lang w:val="en-US" w:eastAsia="zh-CN"/>
        </w:rPr>
        <w:t>一、合同内容</w:t>
      </w:r>
    </w:p>
    <w:p w14:paraId="6185697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依据采购文件（含补充、修改文件）和乙方的投标文件（含澄清、补充文件）</w:t>
      </w:r>
      <w:r>
        <w:rPr>
          <w:rFonts w:hint="eastAsia" w:ascii="宋体" w:hAnsi="宋体"/>
          <w:szCs w:val="21"/>
          <w:lang w:val="en-US" w:eastAsia="zh-CN"/>
        </w:rPr>
        <w:t>内容</w:t>
      </w:r>
      <w:r>
        <w:rPr>
          <w:rFonts w:hint="eastAsia" w:ascii="宋体" w:hAnsi="宋体"/>
          <w:szCs w:val="21"/>
        </w:rPr>
        <w:t>，乙方向甲方提供物业管理服务。</w:t>
      </w:r>
    </w:p>
    <w:p w14:paraId="561AD004">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二、</w:t>
      </w:r>
      <w:r>
        <w:rPr>
          <w:rFonts w:hint="eastAsia" w:hAnsi="宋体"/>
          <w:b/>
          <w:bCs/>
          <w:sz w:val="21"/>
        </w:rPr>
        <w:t>物业基本情况</w:t>
      </w:r>
    </w:p>
    <w:p w14:paraId="0F57CFA6">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 xml:space="preserve">1、物业名称：             </w:t>
      </w:r>
    </w:p>
    <w:p w14:paraId="721757FF">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 xml:space="preserve">2、座落位置：                                     </w:t>
      </w:r>
    </w:p>
    <w:p w14:paraId="1733D3F5">
      <w:pPr>
        <w:pageBreakBefore w:val="0"/>
        <w:kinsoku/>
        <w:overflowPunct/>
        <w:topLinePunct w:val="0"/>
        <w:bidi w:val="0"/>
        <w:spacing w:line="240" w:lineRule="auto"/>
        <w:ind w:firstLine="420" w:firstLineChars="200"/>
        <w:rPr>
          <w:rFonts w:ascii="宋体" w:hAnsi="宋体"/>
          <w:bCs/>
          <w:szCs w:val="21"/>
        </w:rPr>
      </w:pPr>
      <w:r>
        <w:rPr>
          <w:rFonts w:hint="eastAsia" w:ascii="宋体" w:hAnsi="宋体"/>
          <w:szCs w:val="21"/>
        </w:rPr>
        <w:t xml:space="preserve">3、物业管理范围：   </w:t>
      </w:r>
      <w:r>
        <w:rPr>
          <w:rFonts w:hint="eastAsia" w:ascii="宋体" w:hAnsi="宋体"/>
          <w:bCs/>
          <w:szCs w:val="21"/>
        </w:rPr>
        <w:t xml:space="preserve">      </w:t>
      </w:r>
      <w:r>
        <w:rPr>
          <w:rFonts w:hint="eastAsia" w:ascii="宋体" w:hAnsi="宋体"/>
          <w:bCs/>
          <w:szCs w:val="21"/>
          <w:lang w:eastAsia="zh-CN"/>
        </w:rPr>
        <w:t>（</w:t>
      </w:r>
      <w:r>
        <w:rPr>
          <w:rFonts w:hint="eastAsia" w:ascii="宋体" w:hAnsi="宋体"/>
          <w:bCs/>
          <w:szCs w:val="21"/>
        </w:rPr>
        <w:t>具体物业范围及构成</w:t>
      </w:r>
      <w:r>
        <w:rPr>
          <w:rFonts w:hint="eastAsia" w:ascii="宋体" w:hAnsi="宋体"/>
          <w:bCs/>
          <w:szCs w:val="21"/>
          <w:lang w:val="en-US" w:eastAsia="zh-CN"/>
        </w:rPr>
        <w:t>详</w:t>
      </w:r>
      <w:r>
        <w:rPr>
          <w:rFonts w:hint="eastAsia" w:ascii="宋体" w:hAnsi="宋体"/>
          <w:bCs/>
          <w:szCs w:val="21"/>
        </w:rPr>
        <w:t>见本项目招标文件中第二章《采购需求》的相关内容。</w:t>
      </w:r>
      <w:r>
        <w:rPr>
          <w:rFonts w:hint="eastAsia" w:ascii="宋体" w:hAnsi="宋体"/>
          <w:bCs/>
          <w:szCs w:val="21"/>
          <w:lang w:eastAsia="zh-CN"/>
        </w:rPr>
        <w:t>）</w:t>
      </w:r>
      <w:r>
        <w:rPr>
          <w:rFonts w:hint="eastAsia" w:ascii="宋体" w:hAnsi="宋体"/>
          <w:bCs/>
          <w:szCs w:val="21"/>
        </w:rPr>
        <w:t xml:space="preserve">                                      </w:t>
      </w:r>
    </w:p>
    <w:p w14:paraId="149B7A20">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三</w:t>
      </w:r>
      <w:r>
        <w:rPr>
          <w:rFonts w:hint="eastAsia" w:hAnsi="宋体"/>
          <w:b/>
          <w:bCs/>
          <w:sz w:val="21"/>
        </w:rPr>
        <w:t>、</w:t>
      </w:r>
      <w:r>
        <w:rPr>
          <w:rFonts w:hint="eastAsia" w:hAnsi="宋体"/>
          <w:b/>
          <w:bCs/>
          <w:sz w:val="21"/>
          <w:lang w:val="en-US" w:eastAsia="zh-CN"/>
        </w:rPr>
        <w:t>物业</w:t>
      </w:r>
      <w:r>
        <w:rPr>
          <w:rFonts w:hint="eastAsia" w:hAnsi="宋体"/>
          <w:b/>
          <w:bCs/>
          <w:sz w:val="21"/>
        </w:rPr>
        <w:t>管理</w:t>
      </w:r>
      <w:r>
        <w:rPr>
          <w:rFonts w:hint="eastAsia" w:hAnsi="宋体"/>
          <w:b/>
          <w:bCs/>
          <w:sz w:val="21"/>
          <w:lang w:val="en-US" w:eastAsia="zh-CN"/>
        </w:rPr>
        <w:t>服务内容</w:t>
      </w:r>
    </w:p>
    <w:p w14:paraId="05DEE80D">
      <w:pPr>
        <w:pageBreakBefore w:val="0"/>
        <w:kinsoku/>
        <w:overflowPunct/>
        <w:topLinePunct w:val="0"/>
        <w:bidi w:val="0"/>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1、            ；</w:t>
      </w:r>
    </w:p>
    <w:p w14:paraId="049E07E2">
      <w:pPr>
        <w:pageBreakBefore w:val="0"/>
        <w:numPr>
          <w:ilvl w:val="0"/>
          <w:numId w:val="10"/>
        </w:numPr>
        <w:kinsoku/>
        <w:overflowPunct/>
        <w:topLinePunct w:val="0"/>
        <w:bidi w:val="0"/>
        <w:spacing w:line="240" w:lineRule="auto"/>
        <w:ind w:firstLine="420" w:firstLineChars="200"/>
        <w:rPr>
          <w:rFonts w:ascii="宋体" w:hAnsi="宋体"/>
          <w:szCs w:val="21"/>
        </w:rPr>
      </w:pPr>
      <w:r>
        <w:rPr>
          <w:rFonts w:hint="eastAsia" w:ascii="宋体" w:hAnsi="宋体"/>
          <w:szCs w:val="21"/>
          <w:lang w:val="en-US" w:eastAsia="zh-CN"/>
        </w:rPr>
        <w:t xml:space="preserve">           ；</w:t>
      </w:r>
      <w:r>
        <w:rPr>
          <w:rFonts w:hint="eastAsia" w:ascii="宋体" w:hAnsi="宋体"/>
          <w:szCs w:val="21"/>
        </w:rPr>
        <w:t xml:space="preserve">  </w:t>
      </w:r>
    </w:p>
    <w:p w14:paraId="4DD2ECDE">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szCs w:val="21"/>
          <w:lang w:val="en-US" w:eastAsia="zh-CN"/>
        </w:rPr>
        <w:t>3、</w:t>
      </w:r>
      <w:r>
        <w:rPr>
          <w:rFonts w:hint="eastAsia" w:ascii="宋体" w:hAnsi="宋体" w:cs="宋体"/>
          <w:color w:val="auto"/>
          <w:kern w:val="0"/>
          <w:szCs w:val="21"/>
          <w:highlight w:val="none"/>
        </w:rPr>
        <w:t>具体服务内容包含招标文件的《采购需求》、投标文件的《服务方案》和乙方的所有承诺服务内容；</w:t>
      </w:r>
    </w:p>
    <w:p w14:paraId="77F10E72">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四</w:t>
      </w:r>
      <w:r>
        <w:rPr>
          <w:rFonts w:hint="eastAsia" w:hAnsi="宋体"/>
          <w:b/>
          <w:bCs/>
          <w:sz w:val="21"/>
        </w:rPr>
        <w:t>、物业管理质量</w:t>
      </w:r>
    </w:p>
    <w:p w14:paraId="5E137A6B">
      <w:pPr>
        <w:pStyle w:val="13"/>
        <w:pageBreakBefore w:val="0"/>
        <w:kinsoku/>
        <w:overflowPunct/>
        <w:topLinePunct w:val="0"/>
        <w:bidi w:val="0"/>
        <w:spacing w:line="240" w:lineRule="auto"/>
        <w:ind w:firstLine="420" w:firstLineChars="200"/>
        <w:rPr>
          <w:rFonts w:hint="eastAsia" w:hAnsi="宋体"/>
          <w:b/>
          <w:bCs/>
          <w:sz w:val="21"/>
        </w:rPr>
      </w:pPr>
      <w:r>
        <w:rPr>
          <w:rFonts w:hint="eastAsia" w:hAnsi="宋体"/>
          <w:sz w:val="21"/>
        </w:rPr>
        <w:t>乙方提供的服务质量标准按国家和地方政府的规定和本合同约定的物业服务质量要求及乙方在投标文件中的承诺执行。</w:t>
      </w:r>
    </w:p>
    <w:p w14:paraId="350E29A2">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五</w:t>
      </w:r>
      <w:r>
        <w:rPr>
          <w:rFonts w:hint="eastAsia" w:hAnsi="宋体"/>
          <w:b/>
          <w:bCs/>
          <w:sz w:val="21"/>
        </w:rPr>
        <w:t>、</w:t>
      </w:r>
      <w:r>
        <w:rPr>
          <w:rFonts w:hint="eastAsia" w:hAnsi="宋体"/>
          <w:b/>
          <w:bCs/>
          <w:sz w:val="21"/>
          <w:lang w:val="en-US" w:eastAsia="zh-CN"/>
        </w:rPr>
        <w:t>物业</w:t>
      </w:r>
      <w:r>
        <w:rPr>
          <w:rFonts w:hint="eastAsia" w:hAnsi="宋体"/>
          <w:b/>
          <w:bCs/>
          <w:sz w:val="21"/>
        </w:rPr>
        <w:t>管理</w:t>
      </w:r>
      <w:r>
        <w:rPr>
          <w:rFonts w:hint="eastAsia" w:hAnsi="宋体"/>
          <w:b/>
          <w:bCs/>
          <w:sz w:val="21"/>
          <w:lang w:val="en-US" w:eastAsia="zh-CN"/>
        </w:rPr>
        <w:t>服务</w:t>
      </w:r>
      <w:r>
        <w:rPr>
          <w:rFonts w:hint="eastAsia" w:hAnsi="宋体"/>
          <w:b/>
          <w:bCs/>
          <w:sz w:val="21"/>
        </w:rPr>
        <w:t>期限</w:t>
      </w:r>
    </w:p>
    <w:p w14:paraId="1C0977BA">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lang w:val="en-US" w:eastAsia="zh-CN"/>
        </w:rPr>
        <w:t>乙方提供物业</w:t>
      </w:r>
      <w:r>
        <w:rPr>
          <w:rFonts w:hint="eastAsia" w:ascii="宋体" w:hAnsi="宋体"/>
          <w:szCs w:val="21"/>
        </w:rPr>
        <w:t>管理</w:t>
      </w:r>
      <w:r>
        <w:rPr>
          <w:rFonts w:hint="eastAsia" w:ascii="宋体" w:hAnsi="宋体"/>
          <w:szCs w:val="21"/>
          <w:lang w:val="en-US" w:eastAsia="zh-CN"/>
        </w:rPr>
        <w:t>服务的</w:t>
      </w:r>
      <w:r>
        <w:rPr>
          <w:rFonts w:hint="eastAsia" w:ascii="宋体" w:hAnsi="宋体"/>
          <w:szCs w:val="21"/>
        </w:rPr>
        <w:t>期限为</w:t>
      </w:r>
      <w:r>
        <w:rPr>
          <w:rFonts w:hint="eastAsia" w:ascii="宋体" w:hAnsi="宋体"/>
          <w:szCs w:val="21"/>
          <w:lang w:val="en-US" w:eastAsia="zh-CN"/>
        </w:rPr>
        <w:t>3年，即</w:t>
      </w:r>
      <w:r>
        <w:rPr>
          <w:rFonts w:hint="eastAsia" w:ascii="宋体" w:hAnsi="宋体"/>
          <w:szCs w:val="21"/>
        </w:rPr>
        <w:t>自    年  月  日至   年  月  日止。在此期间未履行合同，不遵守承诺或达不到甲方要求，甲方有权解除合同，其一切责任由乙方负责，乙方不得以任何理由向甲方提出任何索赔要求。</w:t>
      </w:r>
    </w:p>
    <w:p w14:paraId="236B5E9F">
      <w:pPr>
        <w:pageBreakBefore w:val="0"/>
        <w:numPr>
          <w:ilvl w:val="0"/>
          <w:numId w:val="0"/>
        </w:numPr>
        <w:kinsoku/>
        <w:overflowPunct/>
        <w:topLinePunct w:val="0"/>
        <w:bidi w:val="0"/>
        <w:spacing w:line="240" w:lineRule="auto"/>
        <w:ind w:firstLine="422" w:firstLineChars="200"/>
        <w:rPr>
          <w:rFonts w:hint="eastAsia" w:ascii="宋体" w:hAnsi="宋体"/>
          <w:color w:val="auto"/>
          <w:szCs w:val="21"/>
        </w:rPr>
      </w:pPr>
      <w:r>
        <w:rPr>
          <w:rFonts w:hint="eastAsia" w:ascii="宋体" w:hAnsi="宋体" w:cs="Times New Roman"/>
          <w:b/>
          <w:bCs/>
          <w:color w:val="auto"/>
          <w:kern w:val="2"/>
          <w:sz w:val="21"/>
          <w:szCs w:val="21"/>
          <w:lang w:val="en-US" w:eastAsia="zh-CN" w:bidi="ar-SA"/>
        </w:rPr>
        <w:t>六</w:t>
      </w:r>
      <w:r>
        <w:rPr>
          <w:rFonts w:hint="eastAsia" w:ascii="宋体" w:hAnsi="宋体" w:eastAsia="宋体" w:cs="Times New Roman"/>
          <w:b/>
          <w:bCs/>
          <w:color w:val="auto"/>
          <w:kern w:val="2"/>
          <w:sz w:val="21"/>
          <w:szCs w:val="21"/>
          <w:lang w:val="en-US" w:eastAsia="zh-CN" w:bidi="ar-SA"/>
        </w:rPr>
        <w:t>、</w:t>
      </w:r>
      <w:r>
        <w:rPr>
          <w:rFonts w:hint="eastAsia" w:ascii="宋体" w:hAnsi="宋体"/>
          <w:b/>
          <w:bCs/>
          <w:color w:val="auto"/>
          <w:szCs w:val="21"/>
        </w:rPr>
        <w:t>支付</w:t>
      </w:r>
      <w:r>
        <w:rPr>
          <w:rFonts w:hint="eastAsia" w:ascii="宋体" w:hAnsi="宋体"/>
          <w:b/>
          <w:bCs/>
          <w:color w:val="auto"/>
          <w:szCs w:val="21"/>
          <w:lang w:val="en-US" w:eastAsia="zh-CN"/>
        </w:rPr>
        <w:t>时间</w:t>
      </w:r>
      <w:r>
        <w:rPr>
          <w:rFonts w:hint="eastAsia" w:ascii="宋体" w:hAnsi="宋体"/>
          <w:b/>
          <w:bCs/>
          <w:color w:val="auto"/>
          <w:szCs w:val="21"/>
        </w:rPr>
        <w:t>及付款方式</w:t>
      </w:r>
      <w:r>
        <w:rPr>
          <w:rFonts w:hint="eastAsia" w:ascii="宋体" w:hAnsi="宋体"/>
          <w:color w:val="auto"/>
          <w:szCs w:val="21"/>
        </w:rPr>
        <w:t>：</w:t>
      </w:r>
    </w:p>
    <w:p w14:paraId="0B5BF2A5">
      <w:pPr>
        <w:pageBreakBefore w:val="0"/>
        <w:numPr>
          <w:ilvl w:val="0"/>
          <w:numId w:val="0"/>
        </w:numPr>
        <w:kinsoku/>
        <w:overflowPunct/>
        <w:topLinePunct w:val="0"/>
        <w:bidi w:val="0"/>
        <w:spacing w:line="240" w:lineRule="auto"/>
        <w:ind w:firstLine="420" w:firstLineChars="200"/>
        <w:rPr>
          <w:rFonts w:hint="default" w:ascii="宋体" w:hAnsi="宋体" w:eastAsia="宋体" w:cs="Times New Roman"/>
          <w:color w:val="auto"/>
          <w:sz w:val="21"/>
          <w:szCs w:val="21"/>
          <w:lang w:val="en-US" w:bidi="zh-CN"/>
        </w:rPr>
      </w:pPr>
      <w:r>
        <w:rPr>
          <w:rFonts w:hint="eastAsia"/>
          <w:color w:val="auto"/>
          <w:lang w:val="en-US" w:eastAsia="zh-CN"/>
        </w:rPr>
        <w:t>乙方圆满完成上月服务内容后，结合考核实际和工作情况，次月15日前按月以银行转账方式支付服务费用，乙方应当向甲方开具合法有效的增值税发票。</w:t>
      </w:r>
    </w:p>
    <w:p w14:paraId="1C1379DF">
      <w:pPr>
        <w:pStyle w:val="13"/>
        <w:pageBreakBefore w:val="0"/>
        <w:kinsoku/>
        <w:overflowPunct/>
        <w:topLinePunct w:val="0"/>
        <w:bidi w:val="0"/>
        <w:spacing w:line="240" w:lineRule="auto"/>
        <w:ind w:firstLine="422" w:firstLineChars="200"/>
        <w:rPr>
          <w:rFonts w:hAnsi="宋体"/>
          <w:b/>
          <w:bCs/>
          <w:color w:val="000000" w:themeColor="text1"/>
          <w:sz w:val="21"/>
          <w14:textFill>
            <w14:solidFill>
              <w14:schemeClr w14:val="tx1"/>
            </w14:solidFill>
          </w14:textFill>
        </w:rPr>
      </w:pPr>
      <w:r>
        <w:rPr>
          <w:rFonts w:hint="eastAsia" w:hAnsi="宋体"/>
          <w:b/>
          <w:bCs/>
          <w:color w:val="000000" w:themeColor="text1"/>
          <w:sz w:val="21"/>
          <w:lang w:val="en-US" w:eastAsia="zh-CN"/>
          <w14:textFill>
            <w14:solidFill>
              <w14:schemeClr w14:val="tx1"/>
            </w14:solidFill>
          </w14:textFill>
        </w:rPr>
        <w:t>七</w:t>
      </w:r>
      <w:r>
        <w:rPr>
          <w:rFonts w:hint="eastAsia" w:hAnsi="宋体"/>
          <w:b/>
          <w:bCs/>
          <w:color w:val="000000" w:themeColor="text1"/>
          <w:sz w:val="21"/>
          <w14:textFill>
            <w14:solidFill>
              <w14:schemeClr w14:val="tx1"/>
            </w14:solidFill>
          </w14:textFill>
        </w:rPr>
        <w:t>、履约保证金的支付</w:t>
      </w:r>
    </w:p>
    <w:p w14:paraId="5527F28C">
      <w:pPr>
        <w:pStyle w:val="13"/>
        <w:pageBreakBefore w:val="0"/>
        <w:kinsoku/>
        <w:overflowPunct/>
        <w:topLinePunct w:val="0"/>
        <w:bidi w:val="0"/>
        <w:spacing w:line="240" w:lineRule="auto"/>
        <w:ind w:firstLine="420" w:firstLineChars="200"/>
        <w:rPr>
          <w:rFonts w:hint="eastAsia" w:ascii="宋体" w:hAnsi="宋体" w:cs="Times New Roman" w:eastAsiaTheme="minorEastAsia"/>
          <w:color w:val="000000" w:themeColor="text1"/>
          <w:kern w:val="2"/>
          <w:sz w:val="21"/>
          <w:szCs w:val="21"/>
          <w:lang w:val="en-US" w:eastAsia="zh-CN" w:bidi="zh-CN"/>
          <w14:textFill>
            <w14:solidFill>
              <w14:schemeClr w14:val="tx1"/>
            </w14:solidFill>
          </w14:textFill>
        </w:rPr>
      </w:pPr>
      <w:r>
        <w:rPr>
          <w:rFonts w:hint="eastAsia" w:ascii="宋体" w:hAnsi="宋体" w:cs="Times New Roman" w:eastAsiaTheme="minorEastAsia"/>
          <w:color w:val="000000" w:themeColor="text1"/>
          <w:kern w:val="2"/>
          <w:sz w:val="21"/>
          <w:szCs w:val="21"/>
          <w:lang w:val="en-US" w:eastAsia="zh-CN" w:bidi="zh-CN"/>
          <w14:textFill>
            <w14:solidFill>
              <w14:schemeClr w14:val="tx1"/>
            </w14:solidFill>
          </w14:textFill>
        </w:rPr>
        <w:t>无履约保证金。</w:t>
      </w:r>
    </w:p>
    <w:p w14:paraId="02BA8B4A">
      <w:pPr>
        <w:pStyle w:val="13"/>
        <w:pageBreakBefore w:val="0"/>
        <w:kinsoku/>
        <w:overflowPunct/>
        <w:topLinePunct w:val="0"/>
        <w:bidi w:val="0"/>
        <w:spacing w:line="240" w:lineRule="auto"/>
        <w:ind w:firstLine="422" w:firstLineChars="200"/>
        <w:rPr>
          <w:rFonts w:hAnsi="宋体"/>
          <w:b/>
          <w:bCs/>
          <w:sz w:val="21"/>
        </w:rPr>
      </w:pPr>
      <w:r>
        <w:rPr>
          <w:rFonts w:hint="eastAsia" w:hAnsi="宋体"/>
          <w:b/>
          <w:bCs/>
          <w:color w:val="000000" w:themeColor="text1"/>
          <w:sz w:val="21"/>
          <w:lang w:val="en-US" w:eastAsia="zh-CN"/>
          <w14:textFill>
            <w14:solidFill>
              <w14:schemeClr w14:val="tx1"/>
            </w14:solidFill>
          </w14:textFill>
        </w:rPr>
        <w:t>八</w:t>
      </w:r>
      <w:r>
        <w:rPr>
          <w:rFonts w:hint="eastAsia" w:hAnsi="宋体"/>
          <w:b/>
          <w:bCs/>
          <w:sz w:val="21"/>
        </w:rPr>
        <w:t>、</w:t>
      </w:r>
      <w:r>
        <w:rPr>
          <w:rFonts w:hAnsi="宋体"/>
          <w:b/>
          <w:bCs/>
          <w:sz w:val="21"/>
        </w:rPr>
        <w:t>双方权利义务</w:t>
      </w:r>
    </w:p>
    <w:p w14:paraId="148E56D4">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rPr>
        <w:t>（一）甲方的权利和义务</w:t>
      </w:r>
    </w:p>
    <w:p w14:paraId="144A0E0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1、代表和维护产权人、使用人的合法权益。积极协助乙方做好物业管理工作。</w:t>
      </w:r>
    </w:p>
    <w:p w14:paraId="57A010B5">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2、审定乙方制定的物业管理制度及实施细则，并监督使用人遵守。</w:t>
      </w:r>
    </w:p>
    <w:p w14:paraId="0201A1D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3、审定乙方提出的物业管理年度计划、年度费用概预算、决算报告等。抽查物业管理经费的使用情况。</w:t>
      </w:r>
    </w:p>
    <w:p w14:paraId="243E8536">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4、对乙方的物业管理实施监督检查，每年进行</w:t>
      </w:r>
      <w:r>
        <w:rPr>
          <w:rFonts w:hint="eastAsia" w:ascii="宋体" w:hAnsi="宋体"/>
          <w:szCs w:val="21"/>
          <w:lang w:val="en-US" w:eastAsia="zh-CN"/>
        </w:rPr>
        <w:t>___</w:t>
      </w:r>
      <w:r>
        <w:rPr>
          <w:rFonts w:hint="eastAsia" w:ascii="宋体" w:hAnsi="宋体"/>
          <w:szCs w:val="21"/>
        </w:rPr>
        <w:t>次全面的考核评定，考核实施细则按照采购文件规定执行，甲乙双方可进一步协商完善。</w:t>
      </w:r>
    </w:p>
    <w:p w14:paraId="05EFED3C">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5、在合同生效之日起10日内向乙方提供</w:t>
      </w:r>
      <w:r>
        <w:rPr>
          <w:rFonts w:hint="eastAsia" w:ascii="宋体" w:hAnsi="宋体"/>
          <w:szCs w:val="21"/>
          <w:lang w:val="en-US" w:eastAsia="zh-CN"/>
        </w:rPr>
        <w:t>_____</w:t>
      </w:r>
      <w:r>
        <w:rPr>
          <w:rFonts w:hint="eastAsia" w:ascii="宋体" w:hAnsi="宋体"/>
          <w:szCs w:val="21"/>
        </w:rPr>
        <w:t>平方米建筑面积的办公用房，由乙方无偿使用，水、电、通讯等费用由</w:t>
      </w:r>
      <w:r>
        <w:rPr>
          <w:rFonts w:hint="eastAsia" w:ascii="宋体" w:hAnsi="宋体"/>
          <w:szCs w:val="21"/>
          <w:u w:val="single"/>
        </w:rPr>
        <w:t xml:space="preserve">    </w:t>
      </w:r>
      <w:r>
        <w:rPr>
          <w:rFonts w:hint="eastAsia" w:ascii="宋体" w:hAnsi="宋体"/>
          <w:szCs w:val="21"/>
        </w:rPr>
        <w:t>承担。</w:t>
      </w:r>
    </w:p>
    <w:p w14:paraId="46243A98">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6、负责对物业设施、设备进行清点、核查，在合同生效之日起20日内与乙方办理交接验收手续，移交相关的物业及其附属设施、设备、物业管理的原始资料和技术档案（工程建设竣工资料）等，并在乙方管理期满时予以收回。</w:t>
      </w:r>
    </w:p>
    <w:p w14:paraId="6C37E8B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7、依照本合同约定，按时支付物业管理费。</w:t>
      </w:r>
    </w:p>
    <w:p w14:paraId="7A080D14">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rPr>
        <w:t>（二）乙方的权利和义务</w:t>
      </w:r>
    </w:p>
    <w:p w14:paraId="07FC2131">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1、不得将物业管理项目转让给他人；未经甲方同意，也不得将项目分包给他人。</w:t>
      </w:r>
    </w:p>
    <w:p w14:paraId="180FF64A">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2、严格遵守有关法律法规和采购文件的规定，对物业实行专业规范、安全高质的管理。</w:t>
      </w:r>
    </w:p>
    <w:p w14:paraId="530C6A6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3、接受物业管理行政主管部门和甲方的监督、指导。</w:t>
      </w:r>
    </w:p>
    <w:p w14:paraId="6308FE9B">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4、制定物业管理的各项办法、规章制度及岗位责任。建立健全本项目的物业管理档案，及时记载有关变动情况。</w:t>
      </w:r>
    </w:p>
    <w:p w14:paraId="25883CA5">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5、拟定物业管理年度计划、费用概预算决算，每半年向甲方上报财务开支情况并作出说明。</w:t>
      </w:r>
    </w:p>
    <w:p w14:paraId="257CEE0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6、对管理范围内的物业和公用设施不得擅自占用或改变使用功能，如需在本物业内改扩建完善配套项目，须报甲方和有关部门批准后方可实施。</w:t>
      </w:r>
    </w:p>
    <w:p w14:paraId="39DDCE7F">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7、对业主和使用人违反制度的行为，针对具体行为并根据情节轻重，采取批评、规劝、警告、制止等措施。</w:t>
      </w:r>
    </w:p>
    <w:p w14:paraId="4EFBD9B9">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8、对其员工管理应符合当地政府的有关规定及甲方有关的要求。员工证件应齐全，包括身份证等，有关证件复印件乙方应送甲方备案。乙方员工食宿自行安排。</w:t>
      </w:r>
    </w:p>
    <w:p w14:paraId="720CF7EA">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9、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14:paraId="16AEA66B">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10、本合同终止时，乙方须向甲方移交原委托管理的全部物业及其各类管理档案、财务等资料；移交其管理范围内的全部公共财产，并接受甲方指定专业机构的移交审核。向甲方移交时，要确保各项设施的性能良好。</w:t>
      </w:r>
    </w:p>
    <w:p w14:paraId="668B6D65">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11、有权按时从甲方处支取物业管理费。</w:t>
      </w:r>
    </w:p>
    <w:p w14:paraId="1451284A">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九</w:t>
      </w:r>
      <w:r>
        <w:rPr>
          <w:rFonts w:hint="eastAsia" w:hAnsi="宋体"/>
          <w:b/>
          <w:bCs/>
          <w:sz w:val="21"/>
        </w:rPr>
        <w:t>、违约责任</w:t>
      </w:r>
    </w:p>
    <w:p w14:paraId="4E2DAFDC">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1、如因乙方管理不善，造成重大经济损失，经有关部门认定，甲方有权终止本合同，并追究乙方的经济责任。</w:t>
      </w:r>
    </w:p>
    <w:p w14:paraId="4EB4F5C1">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乙方未完成合同规定的各项管理目标，甲方可发出警告或整改通知，甲方连续二次或半年内三次发出警告或整改通知而又无彻底改善的，视为乙方无能力继续履行合同，甲方有权终止合同，并没收其履约保证金</w:t>
      </w:r>
      <w:r>
        <w:rPr>
          <w:rFonts w:hint="eastAsia" w:ascii="宋体" w:hAnsi="宋体"/>
          <w:szCs w:val="21"/>
          <w:lang w:eastAsia="zh-CN"/>
        </w:rPr>
        <w:t>，</w:t>
      </w:r>
      <w:r>
        <w:rPr>
          <w:rFonts w:hint="eastAsia" w:ascii="宋体" w:hAnsi="宋体" w:cs="宋体"/>
          <w:color w:val="auto"/>
          <w:kern w:val="0"/>
          <w:szCs w:val="21"/>
          <w:highlight w:val="none"/>
        </w:rPr>
        <w:t>且无需支付合同解除后的合同后续费用</w:t>
      </w:r>
      <w:r>
        <w:rPr>
          <w:rFonts w:hint="eastAsia" w:ascii="宋体" w:hAnsi="宋体"/>
          <w:szCs w:val="21"/>
        </w:rPr>
        <w:t>。</w:t>
      </w:r>
    </w:p>
    <w:p w14:paraId="6AE2202C">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3、乙方不能按时履行合同约定的，每延误一天应向甲方偿付不能按时履行部分款项</w:t>
      </w:r>
      <w:r>
        <w:rPr>
          <w:rFonts w:hint="eastAsia" w:ascii="宋体" w:hAnsi="宋体"/>
          <w:color w:val="000000" w:themeColor="text1"/>
          <w:szCs w:val="21"/>
          <w:u w:val="single"/>
          <w14:textFill>
            <w14:solidFill>
              <w14:schemeClr w14:val="tx1"/>
            </w14:solidFill>
          </w14:textFill>
        </w:rPr>
        <w:t>百分比</w:t>
      </w:r>
      <w:r>
        <w:rPr>
          <w:rFonts w:hint="eastAsia" w:ascii="宋体" w:hAnsi="宋体"/>
          <w:color w:val="000000" w:themeColor="text1"/>
          <w:szCs w:val="21"/>
          <w14:textFill>
            <w14:solidFill>
              <w14:schemeClr w14:val="tx1"/>
            </w14:solidFill>
          </w14:textFill>
        </w:rPr>
        <w:t>的违约金。</w:t>
      </w:r>
    </w:p>
    <w:p w14:paraId="498DB049">
      <w:pPr>
        <w:pageBreakBefore w:val="0"/>
        <w:kinsoku/>
        <w:overflowPunct/>
        <w:topLinePunct w:val="0"/>
        <w:bidi w:val="0"/>
        <w:spacing w:line="240" w:lineRule="auto"/>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4、甲方不能按照本合同约定的价款和支付方式如期支付，每逾期一天，应支付逾期部分总价款2‰</w:t>
      </w:r>
      <w:r>
        <w:rPr>
          <w:rFonts w:hint="eastAsia" w:ascii="宋体" w:hAnsi="宋体"/>
          <w:szCs w:val="21"/>
        </w:rPr>
        <w:t>的违约金。</w:t>
      </w:r>
    </w:p>
    <w:p w14:paraId="288F498C">
      <w:pPr>
        <w:pStyle w:val="24"/>
        <w:spacing w:line="400" w:lineRule="exact"/>
        <w:rPr>
          <w:rFonts w:hint="eastAsia" w:ascii="宋体" w:hAnsi="宋体" w:eastAsia="宋体"/>
          <w:szCs w:val="21"/>
          <w:lang w:val="en-US" w:eastAsia="zh-CN"/>
        </w:rPr>
      </w:pPr>
      <w:r>
        <w:rPr>
          <w:rFonts w:hint="eastAsia" w:ascii="宋体" w:hAnsi="宋体" w:eastAsia="宋体"/>
          <w:szCs w:val="21"/>
          <w:lang w:val="en-US" w:eastAsia="zh-CN"/>
        </w:rPr>
        <w:t>5、乙方不得将本合同项目转包或分包给第三方，否则甲方有权单方终止本合同，乙方应承担因此给甲方造成的经济损失，包括但不限于依法应重新招标产生的各项费用、甲方向乙方追偿而支出的律师费、诉讼费等。</w:t>
      </w:r>
    </w:p>
    <w:p w14:paraId="53B47459">
      <w:pPr>
        <w:pStyle w:val="13"/>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十</w:t>
      </w:r>
      <w:r>
        <w:rPr>
          <w:rFonts w:hint="eastAsia" w:hAnsi="宋体"/>
          <w:b/>
          <w:bCs/>
          <w:sz w:val="21"/>
        </w:rPr>
        <w:t>、其他事项</w:t>
      </w:r>
    </w:p>
    <w:p w14:paraId="13368581">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如遇突发或重大事件，乙方管理人员应在第一时间报告甲方有关部门，乙方项目负责人应在第一时间到达现场，适时处理或协助处理有关问题，甲方如认为情况危及到甲方的安定管理，乙方应无条件同意甲方直接调配乙方资源直至危机结束。</w:t>
      </w:r>
    </w:p>
    <w:p w14:paraId="515431D0">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2、委托管理楼宇内的设施，每年被盗率不得超过</w:t>
      </w:r>
      <w:r>
        <w:rPr>
          <w:rFonts w:hint="eastAsia" w:ascii="宋体" w:hAnsi="宋体"/>
          <w:color w:val="000000" w:themeColor="text1"/>
          <w:szCs w:val="21"/>
          <w14:textFill>
            <w14:solidFill>
              <w14:schemeClr w14:val="tx1"/>
            </w14:solidFill>
          </w14:textFill>
        </w:rPr>
        <w:t>1‰</w:t>
      </w:r>
      <w:r>
        <w:rPr>
          <w:rFonts w:hint="eastAsia" w:ascii="宋体" w:hAnsi="宋体"/>
          <w:szCs w:val="21"/>
        </w:rPr>
        <w:t>件，超过此比率的，由乙方全额赔偿。委托管理区域内发生人身伤害事故，按照物业管理有关的法律、法规、文件规定，乙方承担相应的管理责任。</w:t>
      </w:r>
    </w:p>
    <w:p w14:paraId="43527F03">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3、乙方人员必须严格遵守操作规程，如因违反操作规程而造成甲方财物损失的，乙方应负全部赔偿责任。</w:t>
      </w:r>
      <w:r>
        <w:rPr>
          <w:rFonts w:ascii="宋体" w:hAnsi="宋体"/>
          <w:szCs w:val="21"/>
        </w:rPr>
        <w:t>因房屋建筑质量、设备设施质量或安装技术等原因，达不到使用功能，造成重大事故的，由甲方承担责任并作善后处理，产生质量事故的直接原因，以政府主管部门的鉴定为准。</w:t>
      </w:r>
    </w:p>
    <w:p w14:paraId="21B4BEFB">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4、由于乙方原因而损坏甲方财产的，由乙方负责赔偿。因甲方原因，造成乙方未完成规定管理目标或直接造成乙方经济损失的，甲方应给予乙方相应补偿。</w:t>
      </w:r>
    </w:p>
    <w:p w14:paraId="345F7E21">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一</w:t>
      </w:r>
      <w:r>
        <w:rPr>
          <w:rFonts w:hint="eastAsia" w:ascii="宋体" w:hAnsi="宋体"/>
          <w:b/>
          <w:color w:val="000000" w:themeColor="text1"/>
          <w:szCs w:val="21"/>
          <w14:textFill>
            <w14:solidFill>
              <w14:schemeClr w14:val="tx1"/>
            </w14:solidFill>
          </w14:textFill>
        </w:rPr>
        <w:t>、不可抗力</w:t>
      </w:r>
      <w:r>
        <w:rPr>
          <w:rFonts w:hint="eastAsia" w:ascii="宋体" w:hAnsi="宋体"/>
          <w:color w:val="000000" w:themeColor="text1"/>
          <w:szCs w:val="21"/>
          <w14:textFill>
            <w14:solidFill>
              <w14:schemeClr w14:val="tx1"/>
            </w14:solidFill>
          </w14:textFill>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7BE97524">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、本合同的其他组成文件：</w:t>
      </w:r>
    </w:p>
    <w:p w14:paraId="424CC2A6">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1、采购文件（含补充、修改文件）</w:t>
      </w:r>
    </w:p>
    <w:p w14:paraId="236FB01B">
      <w:pPr>
        <w:pageBreakBefore w:val="0"/>
        <w:kinsoku/>
        <w:overflowPunct/>
        <w:topLinePunct w:val="0"/>
        <w:bidi w:val="0"/>
        <w:spacing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2、乙方的投标文件（含澄清、补充文件）</w:t>
      </w:r>
    </w:p>
    <w:p w14:paraId="680A0A9A">
      <w:pPr>
        <w:spacing w:line="240" w:lineRule="auto"/>
        <w:ind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Times New Roman"/>
          <w:color w:val="000000" w:themeColor="text1"/>
          <w:kern w:val="2"/>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投标承诺书；</w:t>
      </w:r>
    </w:p>
    <w:p w14:paraId="51020EF5">
      <w:pPr>
        <w:spacing w:line="240" w:lineRule="auto"/>
        <w:ind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Times New Roman"/>
          <w:color w:val="000000" w:themeColor="text1"/>
          <w:kern w:val="2"/>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中标通知书。</w:t>
      </w:r>
    </w:p>
    <w:p w14:paraId="084E3F51">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三</w:t>
      </w:r>
      <w:r>
        <w:rPr>
          <w:rFonts w:hint="eastAsia" w:ascii="宋体" w:hAnsi="宋体"/>
          <w:b/>
          <w:color w:val="000000" w:themeColor="text1"/>
          <w:szCs w:val="21"/>
          <w14:textFill>
            <w14:solidFill>
              <w14:schemeClr w14:val="tx1"/>
            </w14:solidFill>
          </w14:textFill>
        </w:rPr>
        <w:t>、合同补充和修改</w:t>
      </w:r>
      <w:r>
        <w:rPr>
          <w:rFonts w:hint="eastAsia" w:ascii="宋体" w:hAnsi="宋体"/>
          <w:color w:val="000000" w:themeColor="text1"/>
          <w:szCs w:val="21"/>
          <w14:textFill>
            <w14:solidFill>
              <w14:schemeClr w14:val="tx1"/>
            </w14:solidFill>
          </w14:textFill>
        </w:rPr>
        <w:t>：对合同条款作任何改动或偏离，增加补充条款，均须由甲、乙双方签订书面的补充合同。</w:t>
      </w:r>
    </w:p>
    <w:p w14:paraId="7EB0A39B">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四</w:t>
      </w:r>
      <w:r>
        <w:rPr>
          <w:rFonts w:hint="eastAsia" w:ascii="宋体" w:hAnsi="宋体"/>
          <w:b/>
          <w:color w:val="000000" w:themeColor="text1"/>
          <w:szCs w:val="21"/>
          <w14:textFill>
            <w14:solidFill>
              <w14:schemeClr w14:val="tx1"/>
            </w14:solidFill>
          </w14:textFill>
        </w:rPr>
        <w:t>、违约终止合同</w:t>
      </w:r>
    </w:p>
    <w:p w14:paraId="36379321">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1、在乙方收到甲方发出的违约通知后</w:t>
      </w:r>
      <w:r>
        <w:rPr>
          <w:rFonts w:hint="eastAsia" w:ascii="宋体" w:hAnsi="宋体"/>
          <w:color w:val="000000" w:themeColor="text1"/>
          <w:szCs w:val="21"/>
          <w:u w:val="single"/>
          <w14:textFill>
            <w14:solidFill>
              <w14:schemeClr w14:val="tx1"/>
            </w14:solidFill>
          </w14:textFill>
        </w:rPr>
        <w:t>10</w:t>
      </w:r>
      <w:r>
        <w:rPr>
          <w:rFonts w:hint="eastAsia" w:ascii="宋体" w:hAnsi="宋体"/>
          <w:color w:val="000000" w:themeColor="text1"/>
          <w:szCs w:val="21"/>
          <w14:textFill>
            <w14:solidFill>
              <w14:schemeClr w14:val="tx1"/>
            </w14:solidFill>
          </w14:textFill>
        </w:rPr>
        <w:t>天内，乙方仍未纠正其下述任何一种违约行为，甲方可向乙方发出终止合同通知，终止部分或全部合同，由此带来的一切损失由乙方承担：</w:t>
      </w:r>
    </w:p>
    <w:p w14:paraId="7FF4CEBB">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（1）乙方未能在合同规定的期限内及时进场；</w:t>
      </w:r>
    </w:p>
    <w:p w14:paraId="2D86E0C9">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（2）乙方提供的服务质量不符合合同规定，且未及时纠正的；</w:t>
      </w:r>
    </w:p>
    <w:p w14:paraId="050662C6">
      <w:pPr>
        <w:pageBreakBefore w:val="0"/>
        <w:kinsoku/>
        <w:overflowPunct/>
        <w:topLinePunct w:val="0"/>
        <w:bidi w:val="0"/>
        <w:spacing w:line="24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乙方违法转包、分包的；</w:t>
      </w:r>
    </w:p>
    <w:p w14:paraId="7116DFB4">
      <w:pPr>
        <w:pageBreakBefore w:val="0"/>
        <w:kinsoku/>
        <w:overflowPunct/>
        <w:topLinePunct w:val="0"/>
        <w:bidi w:val="0"/>
        <w:spacing w:line="24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4）其他合同或招标文件约定的甲方有权单独解除合同的情形</w:t>
      </w:r>
      <w:r>
        <w:rPr>
          <w:rFonts w:hint="eastAsia" w:ascii="宋体" w:hAnsi="宋体"/>
          <w:color w:val="000000" w:themeColor="text1"/>
          <w:szCs w:val="21"/>
          <w:lang w:eastAsia="zh-CN"/>
          <w14:textFill>
            <w14:solidFill>
              <w14:schemeClr w14:val="tx1"/>
            </w14:solidFill>
          </w14:textFill>
        </w:rPr>
        <w:t>。</w:t>
      </w:r>
    </w:p>
    <w:p w14:paraId="54F2AFA6">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2、甲方终止部分合同，甲方可以按适当的条件和方式采购类似的由于乙方未交付部分的服务；乙方应承担甲方购买类似服务的额外费用并继续履行合同中未终止的部分。</w:t>
      </w:r>
    </w:p>
    <w:p w14:paraId="2C69AE2D">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五</w:t>
      </w:r>
      <w:r>
        <w:rPr>
          <w:rFonts w:hint="eastAsia" w:ascii="宋体" w:hAnsi="宋体"/>
          <w:b/>
          <w:color w:val="000000" w:themeColor="text1"/>
          <w:szCs w:val="21"/>
          <w14:textFill>
            <w14:solidFill>
              <w14:schemeClr w14:val="tx1"/>
            </w14:solidFill>
          </w14:textFill>
        </w:rPr>
        <w:t>、破产终止合同</w:t>
      </w:r>
    </w:p>
    <w:p w14:paraId="3562B24E">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1、当乙方破产或无清偿能力时，乙方应书面通知甲方终止合同，在甲方知情而未收到乙方终止合同书面通知时，甲方亦可书面通知乙方终止合同。</w:t>
      </w:r>
    </w:p>
    <w:p w14:paraId="42AD9D66">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2、因不可抗力的自然灾害原因造成自然终止合同时按破产终止合同办法终止合同。</w:t>
      </w:r>
    </w:p>
    <w:p w14:paraId="6441AA79">
      <w:pPr>
        <w:pageBreakBefore w:val="0"/>
        <w:kinsoku/>
        <w:overflowPunct/>
        <w:topLinePunct w:val="0"/>
        <w:bidi w:val="0"/>
        <w:spacing w:line="24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争议解决</w:t>
      </w:r>
      <w:r>
        <w:rPr>
          <w:rFonts w:hint="eastAsia" w:ascii="宋体" w:hAnsi="宋体"/>
          <w:color w:val="000000" w:themeColor="text1"/>
          <w:szCs w:val="21"/>
          <w14:textFill>
            <w14:solidFill>
              <w14:schemeClr w14:val="tx1"/>
            </w14:solidFill>
          </w14:textFill>
        </w:rPr>
        <w:t>：如发生合同纠纷，甲、乙双方协商解决；协商不成时，可提请政府采购管理部门调解；调解不成，双方约定向甲方所在地人民法院提起</w:t>
      </w:r>
      <w:r>
        <w:rPr>
          <w:rFonts w:hint="eastAsia" w:ascii="宋体" w:hAnsi="宋体"/>
          <w:color w:val="000000" w:themeColor="text1"/>
          <w:szCs w:val="21"/>
          <w:lang w:val="en-US" w:eastAsia="zh-CN"/>
          <w14:textFill>
            <w14:solidFill>
              <w14:schemeClr w14:val="tx1"/>
            </w14:solidFill>
          </w14:textFill>
        </w:rPr>
        <w:t>诉讼。</w:t>
      </w:r>
      <w:r>
        <w:rPr>
          <w:rFonts w:hint="eastAsia" w:ascii="宋体" w:hAnsi="宋体"/>
          <w:color w:val="000000" w:themeColor="text1"/>
          <w:szCs w:val="21"/>
          <w14:textFill>
            <w14:solidFill>
              <w14:schemeClr w14:val="tx1"/>
            </w14:solidFill>
          </w14:textFill>
        </w:rPr>
        <w:t xml:space="preserve">                    。</w:t>
      </w:r>
    </w:p>
    <w:p w14:paraId="5CEF2AA4">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、未尽事宜</w:t>
      </w:r>
      <w:r>
        <w:rPr>
          <w:rFonts w:hint="eastAsia" w:ascii="宋体" w:hAnsi="宋体"/>
          <w:color w:val="000000" w:themeColor="text1"/>
          <w:szCs w:val="21"/>
          <w14:textFill>
            <w14:solidFill>
              <w14:schemeClr w14:val="tx1"/>
            </w14:solidFill>
          </w14:textFill>
        </w:rPr>
        <w:t>：合同如有未尽事宜，须经甲、乙方双方共同协商，作出补充约定；补充约定与本合同具有同等效力。</w:t>
      </w:r>
    </w:p>
    <w:p w14:paraId="327A5083">
      <w:pPr>
        <w:pageBreakBefore w:val="0"/>
        <w:kinsoku/>
        <w:overflowPunct/>
        <w:topLinePunct w:val="0"/>
        <w:bidi w:val="0"/>
        <w:spacing w:line="24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八</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其他</w:t>
      </w:r>
      <w:r>
        <w:rPr>
          <w:rFonts w:hint="eastAsia" w:ascii="宋体" w:hAnsi="宋体"/>
          <w:b/>
          <w:color w:val="000000" w:themeColor="text1"/>
          <w:szCs w:val="21"/>
          <w14:textFill>
            <w14:solidFill>
              <w14:schemeClr w14:val="tx1"/>
            </w14:solidFill>
          </w14:textFill>
        </w:rPr>
        <w:t>：</w:t>
      </w:r>
    </w:p>
    <w:p w14:paraId="2B0C3EE2">
      <w:pPr>
        <w:pageBreakBefore w:val="0"/>
        <w:numPr>
          <w:ilvl w:val="0"/>
          <w:numId w:val="11"/>
        </w:numPr>
        <w:kinsoku/>
        <w:overflowPunct/>
        <w:topLinePunct w:val="0"/>
        <w:bidi w:val="0"/>
        <w:spacing w:line="400" w:lineRule="exact"/>
        <w:ind w:firstLine="420" w:firstLineChars="200"/>
        <w:rPr>
          <w:rFonts w:hint="eastAsia" w:ascii="宋体" w:hAnsi="宋体"/>
          <w:szCs w:val="21"/>
        </w:rPr>
      </w:pPr>
      <w:r>
        <w:rPr>
          <w:rFonts w:hint="eastAsia" w:ascii="宋体" w:hAnsi="宋体"/>
          <w:szCs w:val="21"/>
        </w:rPr>
        <w:t>本合同一式四份，甲方、乙方各一份，政府采购管理部门一份，采购代理机构一份。本合同经甲、乙双方</w:t>
      </w:r>
      <w:r>
        <w:rPr>
          <w:rFonts w:hint="eastAsia" w:ascii="宋体" w:hAnsi="宋体"/>
          <w:szCs w:val="21"/>
          <w:lang w:val="en-US" w:eastAsia="zh-CN"/>
        </w:rPr>
        <w:t>法定代表人或授权代表签字并加</w:t>
      </w:r>
      <w:r>
        <w:rPr>
          <w:rFonts w:hint="eastAsia" w:ascii="宋体" w:hAnsi="宋体"/>
          <w:szCs w:val="21"/>
        </w:rPr>
        <w:t>盖</w:t>
      </w:r>
      <w:r>
        <w:rPr>
          <w:rFonts w:hint="eastAsia" w:ascii="宋体" w:hAnsi="宋体"/>
          <w:szCs w:val="21"/>
          <w:lang w:val="en-US" w:eastAsia="zh-CN"/>
        </w:rPr>
        <w:t>双方公</w:t>
      </w:r>
      <w:r>
        <w:rPr>
          <w:rFonts w:hint="eastAsia" w:ascii="宋体" w:hAnsi="宋体"/>
          <w:szCs w:val="21"/>
        </w:rPr>
        <w:t>章后生效。</w:t>
      </w:r>
    </w:p>
    <w:p w14:paraId="7564882C">
      <w:pPr>
        <w:pStyle w:val="24"/>
        <w:numPr>
          <w:ilvl w:val="0"/>
          <w:numId w:val="11"/>
        </w:numPr>
        <w:spacing w:line="400" w:lineRule="exact"/>
        <w:rPr>
          <w:rFonts w:hint="eastAsia" w:ascii="宋体" w:hAnsi="宋体" w:eastAsia="宋体"/>
          <w:szCs w:val="21"/>
        </w:rPr>
      </w:pPr>
      <w:r>
        <w:rPr>
          <w:rFonts w:hint="eastAsia" w:ascii="宋体" w:hAnsi="宋体" w:eastAsia="宋体"/>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tbl>
      <w:tblPr>
        <w:tblStyle w:val="21"/>
        <w:tblW w:w="8573" w:type="dxa"/>
        <w:tblInd w:w="108" w:type="dxa"/>
        <w:tblLayout w:type="fixed"/>
        <w:tblCellMar>
          <w:top w:w="0" w:type="dxa"/>
          <w:left w:w="108" w:type="dxa"/>
          <w:bottom w:w="0" w:type="dxa"/>
          <w:right w:w="108" w:type="dxa"/>
        </w:tblCellMar>
      </w:tblPr>
      <w:tblGrid>
        <w:gridCol w:w="4664"/>
        <w:gridCol w:w="3909"/>
      </w:tblGrid>
      <w:tr w14:paraId="385763D1">
        <w:tblPrEx>
          <w:tblCellMar>
            <w:top w:w="0" w:type="dxa"/>
            <w:left w:w="108" w:type="dxa"/>
            <w:bottom w:w="0" w:type="dxa"/>
            <w:right w:w="108" w:type="dxa"/>
          </w:tblCellMar>
        </w:tblPrEx>
        <w:trPr>
          <w:cantSplit/>
          <w:trHeight w:val="2608" w:hRule="atLeast"/>
        </w:trPr>
        <w:tc>
          <w:tcPr>
            <w:tcW w:w="4664" w:type="dxa"/>
            <w:noWrap w:val="0"/>
            <w:vAlign w:val="top"/>
          </w:tcPr>
          <w:p w14:paraId="7C271C66">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甲方（盖章）</w:t>
            </w:r>
          </w:p>
          <w:p w14:paraId="213D88CC">
            <w:pPr>
              <w:pStyle w:val="13"/>
              <w:pageBreakBefore w:val="0"/>
              <w:kinsoku/>
              <w:overflowPunct/>
              <w:topLinePunct w:val="0"/>
              <w:bidi w:val="0"/>
              <w:spacing w:line="240" w:lineRule="auto"/>
              <w:ind w:firstLine="420" w:firstLineChars="200"/>
              <w:rPr>
                <w:rFonts w:hAnsi="宋体"/>
                <w:bCs/>
                <w:sz w:val="21"/>
              </w:rPr>
            </w:pPr>
          </w:p>
          <w:p w14:paraId="40ED6DAA">
            <w:pPr>
              <w:pStyle w:val="13"/>
              <w:pageBreakBefore w:val="0"/>
              <w:kinsoku/>
              <w:overflowPunct/>
              <w:topLinePunct w:val="0"/>
              <w:bidi w:val="0"/>
              <w:spacing w:line="240" w:lineRule="auto"/>
              <w:ind w:firstLine="420" w:firstLineChars="200"/>
              <w:rPr>
                <w:rFonts w:hAnsi="宋体"/>
                <w:bCs/>
                <w:sz w:val="21"/>
              </w:rPr>
            </w:pPr>
          </w:p>
          <w:p w14:paraId="10112CB5">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lang w:val="en-US" w:eastAsia="zh-CN"/>
              </w:rPr>
              <w:t>法定代表人/</w:t>
            </w:r>
            <w:r>
              <w:rPr>
                <w:rFonts w:hint="eastAsia" w:hAnsi="宋体"/>
                <w:bCs/>
                <w:sz w:val="21"/>
              </w:rPr>
              <w:t>授权代表（签字）：</w:t>
            </w:r>
          </w:p>
          <w:p w14:paraId="067B73B9">
            <w:pPr>
              <w:pStyle w:val="13"/>
              <w:pageBreakBefore w:val="0"/>
              <w:kinsoku/>
              <w:overflowPunct/>
              <w:topLinePunct w:val="0"/>
              <w:bidi w:val="0"/>
              <w:spacing w:line="240" w:lineRule="auto"/>
              <w:ind w:firstLine="420" w:firstLineChars="200"/>
              <w:rPr>
                <w:rFonts w:hAnsi="宋体"/>
                <w:bCs/>
                <w:sz w:val="21"/>
              </w:rPr>
            </w:pPr>
          </w:p>
          <w:p w14:paraId="13EC2CE2">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联系电话：</w:t>
            </w:r>
          </w:p>
          <w:p w14:paraId="10ED73D6">
            <w:pPr>
              <w:pStyle w:val="13"/>
              <w:pageBreakBefore w:val="0"/>
              <w:kinsoku/>
              <w:overflowPunct/>
              <w:topLinePunct w:val="0"/>
              <w:bidi w:val="0"/>
              <w:spacing w:line="240" w:lineRule="auto"/>
              <w:ind w:firstLine="420" w:firstLineChars="200"/>
              <w:rPr>
                <w:rFonts w:hAnsi="宋体"/>
                <w:bCs/>
                <w:sz w:val="21"/>
              </w:rPr>
            </w:pPr>
          </w:p>
          <w:p w14:paraId="219EC245">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单位地址：</w:t>
            </w:r>
          </w:p>
          <w:p w14:paraId="3DB6D992">
            <w:pPr>
              <w:pStyle w:val="13"/>
              <w:pageBreakBefore w:val="0"/>
              <w:kinsoku/>
              <w:overflowPunct/>
              <w:topLinePunct w:val="0"/>
              <w:bidi w:val="0"/>
              <w:spacing w:line="240" w:lineRule="auto"/>
              <w:ind w:firstLine="420" w:firstLineChars="200"/>
              <w:rPr>
                <w:rFonts w:hAnsi="宋体"/>
                <w:bCs/>
                <w:sz w:val="21"/>
              </w:rPr>
            </w:pPr>
          </w:p>
          <w:p w14:paraId="5B56E50E">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签订时间：</w:t>
            </w:r>
          </w:p>
        </w:tc>
        <w:tc>
          <w:tcPr>
            <w:tcW w:w="3909" w:type="dxa"/>
            <w:noWrap w:val="0"/>
            <w:vAlign w:val="top"/>
          </w:tcPr>
          <w:p w14:paraId="1BA27D51">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乙方（盖章）</w:t>
            </w:r>
          </w:p>
          <w:p w14:paraId="14484597">
            <w:pPr>
              <w:pStyle w:val="13"/>
              <w:pageBreakBefore w:val="0"/>
              <w:kinsoku/>
              <w:overflowPunct/>
              <w:topLinePunct w:val="0"/>
              <w:bidi w:val="0"/>
              <w:spacing w:line="240" w:lineRule="auto"/>
              <w:ind w:firstLine="420" w:firstLineChars="200"/>
              <w:rPr>
                <w:rFonts w:hAnsi="宋体"/>
                <w:bCs/>
                <w:sz w:val="21"/>
              </w:rPr>
            </w:pPr>
          </w:p>
          <w:p w14:paraId="1AF20BDD">
            <w:pPr>
              <w:pStyle w:val="13"/>
              <w:pageBreakBefore w:val="0"/>
              <w:kinsoku/>
              <w:overflowPunct/>
              <w:topLinePunct w:val="0"/>
              <w:bidi w:val="0"/>
              <w:spacing w:line="240" w:lineRule="auto"/>
              <w:ind w:firstLine="420" w:firstLineChars="200"/>
              <w:rPr>
                <w:rFonts w:hAnsi="宋体"/>
                <w:bCs/>
                <w:sz w:val="21"/>
              </w:rPr>
            </w:pPr>
          </w:p>
          <w:p w14:paraId="7170B95C">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lang w:val="en-US" w:eastAsia="zh-CN"/>
              </w:rPr>
              <w:t>法定代表人/</w:t>
            </w:r>
            <w:r>
              <w:rPr>
                <w:rFonts w:hint="eastAsia" w:hAnsi="宋体"/>
                <w:bCs/>
                <w:sz w:val="21"/>
              </w:rPr>
              <w:t>授权代表（签字）：</w:t>
            </w:r>
          </w:p>
          <w:p w14:paraId="77C4CC53">
            <w:pPr>
              <w:pStyle w:val="13"/>
              <w:pageBreakBefore w:val="0"/>
              <w:kinsoku/>
              <w:overflowPunct/>
              <w:topLinePunct w:val="0"/>
              <w:bidi w:val="0"/>
              <w:spacing w:line="240" w:lineRule="auto"/>
              <w:ind w:firstLine="420" w:firstLineChars="200"/>
              <w:rPr>
                <w:rFonts w:hAnsi="宋体"/>
                <w:bCs/>
                <w:sz w:val="21"/>
              </w:rPr>
            </w:pPr>
          </w:p>
          <w:p w14:paraId="07891816">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联系电话：</w:t>
            </w:r>
          </w:p>
          <w:p w14:paraId="02DA99D2">
            <w:pPr>
              <w:pStyle w:val="13"/>
              <w:pageBreakBefore w:val="0"/>
              <w:kinsoku/>
              <w:overflowPunct/>
              <w:topLinePunct w:val="0"/>
              <w:bidi w:val="0"/>
              <w:spacing w:line="240" w:lineRule="auto"/>
              <w:ind w:firstLine="420" w:firstLineChars="200"/>
              <w:rPr>
                <w:rFonts w:hAnsi="宋体"/>
                <w:bCs/>
                <w:sz w:val="21"/>
              </w:rPr>
            </w:pPr>
          </w:p>
          <w:p w14:paraId="28597D57">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单位地址：</w:t>
            </w:r>
          </w:p>
          <w:p w14:paraId="46AF4E83">
            <w:pPr>
              <w:pStyle w:val="13"/>
              <w:pageBreakBefore w:val="0"/>
              <w:kinsoku/>
              <w:overflowPunct/>
              <w:topLinePunct w:val="0"/>
              <w:bidi w:val="0"/>
              <w:spacing w:line="240" w:lineRule="auto"/>
              <w:ind w:firstLine="420" w:firstLineChars="200"/>
              <w:rPr>
                <w:rFonts w:hAnsi="宋体"/>
                <w:bCs/>
                <w:sz w:val="21"/>
              </w:rPr>
            </w:pPr>
          </w:p>
          <w:p w14:paraId="2CE249CE">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开户银行：</w:t>
            </w:r>
          </w:p>
          <w:p w14:paraId="233F21FE">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账    号：</w:t>
            </w:r>
          </w:p>
          <w:p w14:paraId="161BFB2B">
            <w:pPr>
              <w:pStyle w:val="13"/>
              <w:pageBreakBefore w:val="0"/>
              <w:kinsoku/>
              <w:overflowPunct/>
              <w:topLinePunct w:val="0"/>
              <w:bidi w:val="0"/>
              <w:spacing w:line="240" w:lineRule="auto"/>
              <w:ind w:firstLine="420" w:firstLineChars="200"/>
              <w:rPr>
                <w:rFonts w:hAnsi="宋体"/>
                <w:bCs/>
                <w:sz w:val="21"/>
              </w:rPr>
            </w:pPr>
          </w:p>
          <w:p w14:paraId="05B5CF72">
            <w:pPr>
              <w:pStyle w:val="13"/>
              <w:pageBreakBefore w:val="0"/>
              <w:kinsoku/>
              <w:overflowPunct/>
              <w:topLinePunct w:val="0"/>
              <w:bidi w:val="0"/>
              <w:spacing w:line="240" w:lineRule="auto"/>
              <w:ind w:firstLine="420" w:firstLineChars="200"/>
              <w:rPr>
                <w:rFonts w:hAnsi="宋体"/>
                <w:bCs/>
                <w:sz w:val="21"/>
              </w:rPr>
            </w:pPr>
            <w:r>
              <w:rPr>
                <w:rFonts w:hint="eastAsia" w:hAnsi="宋体"/>
                <w:bCs/>
                <w:sz w:val="21"/>
              </w:rPr>
              <w:t>签订时间：</w:t>
            </w:r>
          </w:p>
          <w:p w14:paraId="52F398F2">
            <w:pPr>
              <w:pStyle w:val="13"/>
              <w:pageBreakBefore w:val="0"/>
              <w:kinsoku/>
              <w:overflowPunct/>
              <w:topLinePunct w:val="0"/>
              <w:bidi w:val="0"/>
              <w:spacing w:line="240" w:lineRule="auto"/>
              <w:ind w:firstLine="420" w:firstLineChars="200"/>
              <w:rPr>
                <w:rFonts w:hAnsi="宋体"/>
                <w:bCs/>
                <w:sz w:val="21"/>
              </w:rPr>
            </w:pPr>
          </w:p>
        </w:tc>
      </w:tr>
    </w:tbl>
    <w:p w14:paraId="713154A2">
      <w:pPr>
        <w:rPr>
          <w:rFonts w:hint="eastAsia" w:ascii="宋体" w:hAnsi="宋体" w:cs="宋体"/>
          <w:color w:val="auto"/>
          <w:szCs w:val="21"/>
          <w:lang w:val="en-US" w:eastAsia="zh-CN"/>
        </w:rPr>
      </w:pPr>
      <w:r>
        <w:rPr>
          <w:rFonts w:hint="eastAsia" w:ascii="宋体" w:hAnsi="宋体" w:cs="宋体"/>
          <w:color w:val="auto"/>
          <w:szCs w:val="21"/>
          <w:lang w:val="en-US" w:eastAsia="zh-CN"/>
        </w:rPr>
        <w:br w:type="page"/>
      </w:r>
    </w:p>
    <w:p w14:paraId="3D948CA2">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47" w:name="_Toc16478"/>
      <w:bookmarkStart w:id="148" w:name="_Toc9058"/>
      <w:r>
        <w:rPr>
          <w:rFonts w:hint="eastAsia" w:ascii="宋体" w:hAnsi="宋体" w:eastAsia="宋体" w:cs="宋体"/>
          <w:b/>
          <w:bCs/>
          <w:color w:val="auto"/>
          <w:kern w:val="44"/>
          <w:sz w:val="44"/>
          <w:szCs w:val="44"/>
          <w:lang w:val="en-US" w:eastAsia="zh-CN" w:bidi="ar-SA"/>
        </w:rPr>
        <w:t xml:space="preserve">第六章 </w:t>
      </w:r>
      <w:r>
        <w:rPr>
          <w:rFonts w:hint="eastAsia" w:ascii="宋体" w:hAnsi="宋体" w:eastAsia="宋体" w:cs="宋体"/>
          <w:color w:val="auto"/>
          <w:sz w:val="44"/>
          <w:szCs w:val="44"/>
          <w:highlight w:val="none"/>
          <w:lang w:val="en-US" w:eastAsia="zh-CN"/>
        </w:rPr>
        <w:t>投标文件格式</w:t>
      </w:r>
      <w:bookmarkEnd w:id="147"/>
      <w:bookmarkEnd w:id="148"/>
    </w:p>
    <w:p w14:paraId="5A8F403A">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72AB0642">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49" w:name="_Toc19686836"/>
      <w:r>
        <w:rPr>
          <w:rFonts w:hint="eastAsia" w:ascii="宋体" w:hAnsi="宋体" w:eastAsia="宋体" w:cs="宋体"/>
          <w:b/>
          <w:color w:val="auto"/>
          <w:sz w:val="32"/>
          <w:szCs w:val="32"/>
          <w:highlight w:val="none"/>
        </w:rPr>
        <w:t>一、报价文件格式</w:t>
      </w:r>
      <w:bookmarkEnd w:id="149"/>
    </w:p>
    <w:p w14:paraId="1B393BC3">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1.报价文件封面格式： </w:t>
      </w:r>
    </w:p>
    <w:p w14:paraId="45281D2A">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14:paraId="21893D4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14:paraId="21DFD8FC">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2CF62771">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p>
    <w:p w14:paraId="66114DE9">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  价  文  件</w:t>
      </w:r>
    </w:p>
    <w:p w14:paraId="51A98956">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F6124BF">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A93283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EEC689F">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206B27D">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14:paraId="572D2DF7">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272A781D">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项目编号： </w:t>
      </w:r>
    </w:p>
    <w:p w14:paraId="6E293833">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14:paraId="719FFBE4">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4DB0859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149ACE3F">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0DC1841B">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5D9F3154">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24DE86BB">
      <w:pPr>
        <w:pStyle w:val="5"/>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7ADACAE5">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8"/>
          <w:szCs w:val="28"/>
          <w:highlight w:val="none"/>
        </w:rPr>
        <w:t xml:space="preserve">  年  月  日</w:t>
      </w:r>
    </w:p>
    <w:p w14:paraId="2F45A561">
      <w:pPr>
        <w:rPr>
          <w:rFonts w:hint="eastAsia"/>
        </w:rPr>
      </w:pPr>
      <w:r>
        <w:rPr>
          <w:rFonts w:hint="eastAsia" w:ascii="宋体" w:hAnsi="宋体" w:eastAsia="宋体" w:cs="宋体"/>
          <w:color w:val="auto"/>
          <w:sz w:val="21"/>
          <w:szCs w:val="21"/>
          <w:highlight w:val="none"/>
        </w:rPr>
        <w:br w:type="page"/>
      </w:r>
    </w:p>
    <w:p w14:paraId="669B682A">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2.</w:t>
      </w:r>
      <w:r>
        <w:rPr>
          <w:rFonts w:hint="eastAsia" w:ascii="宋体" w:hAnsi="宋体" w:eastAsia="宋体" w:cs="宋体"/>
          <w:b/>
          <w:bCs/>
          <w:color w:val="auto"/>
          <w:sz w:val="30"/>
          <w:szCs w:val="30"/>
          <w:highlight w:val="none"/>
        </w:rPr>
        <w:t>报价文件目录</w:t>
      </w:r>
    </w:p>
    <w:p w14:paraId="1C81E7D5">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51626897">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30"/>
          <w:szCs w:val="30"/>
          <w:highlight w:val="none"/>
        </w:rPr>
        <w:t>3.投标函格式：</w:t>
      </w:r>
    </w:p>
    <w:p w14:paraId="7A3A8D38">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 标 函</w:t>
      </w:r>
    </w:p>
    <w:p w14:paraId="500C2579">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4E441C3">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公告，签字代表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（姓名）经正式授权并代表投标人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（投标人名称）提交投标文件。</w:t>
      </w:r>
    </w:p>
    <w:p w14:paraId="6CDD7B44">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据此函，我方宣布同意如下：</w:t>
      </w:r>
    </w:p>
    <w:p w14:paraId="616EEC0C">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1.我方已详细审查全部“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文件”，包括修改文件（如有的话）以及全部参考资料和有关附件，已经了解我方对于</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文件、采购过程、采购结果有依法进行询问、质疑、投诉的权利及相关渠道和要求。</w:t>
      </w:r>
    </w:p>
    <w:p w14:paraId="37831ABD">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2.我方在投标之前已经完全理解并接受</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文件的各项规定和要求，对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文件的合理性、合法性不再有异议。</w:t>
      </w:r>
    </w:p>
    <w:p w14:paraId="02C01733">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F63D5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4.如中标，本投标文件至本项目合同履行完毕止均保持有效，我方将按“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文件”及政府采购法律、法规的规定履行合同责任和义务。</w:t>
      </w:r>
    </w:p>
    <w:p w14:paraId="06BB40D4">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5.我方同意按照贵方要求提供与投标有关的一切数据或者资料。</w:t>
      </w:r>
    </w:p>
    <w:p w14:paraId="5D3D6FF9">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6.我方向贵方提交的所有投标文件、资料都是准确的和真实的。</w:t>
      </w:r>
    </w:p>
    <w:p w14:paraId="6F6BEA62">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7.以上事项如有虚假或者隐瞒，我方愿意承担一切后果，并不再寻求任何旨在减轻或者免除法律责任的辩解。</w:t>
      </w:r>
    </w:p>
    <w:p w14:paraId="51A1BEC3">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54E0849">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0D130FCF">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CDBB07D">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9.与本投标有关的一切正式往来信函请寄：</w:t>
      </w:r>
    </w:p>
    <w:p w14:paraId="1D1350D7">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14:paraId="28883AF0">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14:paraId="3AAF5110">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56939A34">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银行帐号：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2E2B14">
      <w:pPr>
        <w:pStyle w:val="8"/>
        <w:pageBreakBefore w:val="0"/>
        <w:kinsoku/>
        <w:overflowPunct/>
        <w:topLinePunct w:val="0"/>
        <w:bidi w:val="0"/>
        <w:spacing w:line="240" w:lineRule="auto"/>
        <w:rPr>
          <w:rFonts w:hint="eastAsia" w:ascii="宋体" w:hAnsi="宋体" w:eastAsia="宋体" w:cs="宋体"/>
          <w:color w:val="auto"/>
          <w:sz w:val="24"/>
          <w:szCs w:val="24"/>
          <w:highlight w:val="none"/>
        </w:rPr>
      </w:pPr>
    </w:p>
    <w:p w14:paraId="13F043D7">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_______ </w:t>
      </w:r>
    </w:p>
    <w:p w14:paraId="1687D938">
      <w:pPr>
        <w:pStyle w:val="13"/>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投标人名称（公章）：</w:t>
      </w:r>
    </w:p>
    <w:p w14:paraId="5D38C351">
      <w:pPr>
        <w:pStyle w:val="13"/>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CC030C">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lang w:eastAsia="zh-CN"/>
        </w:rPr>
      </w:pPr>
      <w:r>
        <w:rPr>
          <w:rFonts w:hint="eastAsia"/>
          <w:lang w:val="en-US" w:eastAsia="zh-CN"/>
        </w:rPr>
        <w:br w:type="page"/>
      </w:r>
      <w:r>
        <w:rPr>
          <w:rFonts w:hint="eastAsia" w:ascii="宋体" w:hAnsi="宋体" w:eastAsia="宋体" w:cs="宋体"/>
          <w:b/>
          <w:color w:val="auto"/>
          <w:sz w:val="30"/>
          <w:szCs w:val="30"/>
          <w:highlight w:val="none"/>
        </w:rPr>
        <w:t>4.</w:t>
      </w:r>
      <w:r>
        <w:rPr>
          <w:rFonts w:hint="eastAsia" w:ascii="宋体" w:hAnsi="宋体" w:eastAsia="宋体" w:cs="宋体"/>
          <w:b/>
          <w:color w:val="auto"/>
          <w:sz w:val="30"/>
          <w:szCs w:val="30"/>
          <w:highlight w:val="none"/>
          <w:lang w:eastAsia="zh-CN"/>
        </w:rPr>
        <w:t>开标一览表</w:t>
      </w:r>
    </w:p>
    <w:p w14:paraId="0B3E1EDE">
      <w:pPr>
        <w:pageBreakBefore w:val="0"/>
        <w:kinsoku/>
        <w:overflowPunct/>
        <w:topLinePunct w:val="0"/>
        <w:bidi w:val="0"/>
        <w:snapToGrid w:val="0"/>
        <w:spacing w:before="50" w:after="50" w:line="24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开标一览表</w:t>
      </w:r>
    </w:p>
    <w:p w14:paraId="01336012">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rPr>
      </w:pPr>
    </w:p>
    <w:p w14:paraId="20DCC5AA">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u w:val="single"/>
        </w:rPr>
        <w:t xml:space="preserve">      </w:t>
      </w:r>
    </w:p>
    <w:p w14:paraId="35C86E99">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w:t>
      </w:r>
      <w:r>
        <w:rPr>
          <w:rFonts w:hint="eastAsia" w:ascii="宋体" w:hAnsi="宋体" w:cs="宋体"/>
          <w:color w:val="auto"/>
          <w:sz w:val="21"/>
          <w:szCs w:val="21"/>
          <w:highlight w:val="none"/>
          <w:lang w:val="en-US" w:eastAsia="zh-CN"/>
        </w:rPr>
        <w:t>元</w:t>
      </w:r>
    </w:p>
    <w:tbl>
      <w:tblPr>
        <w:tblStyle w:val="21"/>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7FF3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46B32FD">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EEA3812">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6BE7B28C">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5E2599C4">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5A6A5A2A">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8E4FC5C">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备注</w:t>
            </w:r>
          </w:p>
        </w:tc>
      </w:tr>
      <w:tr w14:paraId="3600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1F9B7A82">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9064D72">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367C8F7B">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7B25EFCD">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42882C6F">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E807D18">
            <w:pPr>
              <w:pageBreakBefore w:val="0"/>
              <w:kinsoku/>
              <w:overflowPunct/>
              <w:topLinePunct w:val="0"/>
              <w:bidi w:val="0"/>
              <w:spacing w:line="240" w:lineRule="auto"/>
              <w:rPr>
                <w:rFonts w:hint="eastAsia" w:ascii="宋体" w:hAnsi="宋体" w:cs="宋体"/>
                <w:color w:val="auto"/>
                <w:sz w:val="24"/>
              </w:rPr>
            </w:pPr>
          </w:p>
        </w:tc>
      </w:tr>
      <w:tr w14:paraId="4E82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56DA93C5">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2D5CCB3A">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66D78F4F">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11017A1B">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344B1478">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2B4CE326">
            <w:pPr>
              <w:pageBreakBefore w:val="0"/>
              <w:kinsoku/>
              <w:overflowPunct/>
              <w:topLinePunct w:val="0"/>
              <w:bidi w:val="0"/>
              <w:spacing w:line="240" w:lineRule="auto"/>
              <w:rPr>
                <w:rFonts w:hint="eastAsia" w:ascii="宋体" w:hAnsi="宋体" w:cs="宋体"/>
                <w:color w:val="auto"/>
                <w:sz w:val="24"/>
              </w:rPr>
            </w:pPr>
          </w:p>
        </w:tc>
      </w:tr>
      <w:tr w14:paraId="1634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E811F75">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0891D96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11AA6718">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3D070AC9">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486A8A7F">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04941F29">
            <w:pPr>
              <w:pageBreakBefore w:val="0"/>
              <w:kinsoku/>
              <w:overflowPunct/>
              <w:topLinePunct w:val="0"/>
              <w:bidi w:val="0"/>
              <w:spacing w:line="240" w:lineRule="auto"/>
              <w:rPr>
                <w:rFonts w:hint="eastAsia" w:ascii="宋体" w:hAnsi="宋体" w:cs="宋体"/>
                <w:color w:val="auto"/>
                <w:sz w:val="24"/>
              </w:rPr>
            </w:pPr>
          </w:p>
        </w:tc>
      </w:tr>
      <w:tr w14:paraId="487B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75C0078E">
            <w:pPr>
              <w:pageBreakBefore w:val="0"/>
              <w:kinsoku/>
              <w:overflowPunct/>
              <w:topLinePunct w:val="0"/>
              <w:bidi w:val="0"/>
              <w:snapToGrid w:val="0"/>
              <w:spacing w:before="50" w:after="50" w:line="240" w:lineRule="auto"/>
              <w:rPr>
                <w:rFonts w:hint="eastAsia" w:ascii="宋体" w:hAnsi="宋体" w:cs="宋体"/>
                <w:color w:val="auto"/>
                <w:sz w:val="24"/>
              </w:rPr>
            </w:pPr>
            <w:r>
              <w:rPr>
                <w:rFonts w:hint="eastAsia" w:ascii="宋体" w:hAnsi="宋体" w:cs="宋体"/>
                <w:color w:val="auto"/>
                <w:sz w:val="24"/>
              </w:rPr>
              <w:t>合计金额大写：人民币（￥）</w:t>
            </w:r>
          </w:p>
        </w:tc>
      </w:tr>
    </w:tbl>
    <w:p w14:paraId="1536A691">
      <w:pPr>
        <w:pageBreakBefore w:val="0"/>
        <w:kinsoku/>
        <w:overflowPunct/>
        <w:topLinePunct w:val="0"/>
        <w:bidi w:val="0"/>
        <w:snapToGrid w:val="0"/>
        <w:spacing w:before="50" w:after="50" w:line="240" w:lineRule="auto"/>
        <w:jc w:val="left"/>
        <w:rPr>
          <w:rFonts w:hint="eastAsia" w:ascii="宋体" w:hAnsi="宋体" w:eastAsia="宋体" w:cs="宋体"/>
          <w:color w:val="auto"/>
          <w:sz w:val="21"/>
          <w:szCs w:val="21"/>
          <w:highlight w:val="none"/>
        </w:rPr>
      </w:pPr>
    </w:p>
    <w:p w14:paraId="290CE798">
      <w:pPr>
        <w:pageBreakBefore w:val="0"/>
        <w:kinsoku/>
        <w:overflowPunct/>
        <w:topLinePunct w:val="0"/>
        <w:bidi w:val="0"/>
        <w:snapToGrid w:val="0"/>
        <w:spacing w:before="50" w:after="50" w:line="240" w:lineRule="auto"/>
        <w:jc w:val="left"/>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eastAsia="zh-CN"/>
        </w:rPr>
        <w:t>：</w:t>
      </w:r>
      <w:r>
        <w:rPr>
          <w:rFonts w:hint="eastAsia" w:ascii="宋体" w:hAnsi="宋体" w:cs="宋体"/>
          <w:color w:val="auto"/>
          <w:sz w:val="24"/>
        </w:rPr>
        <w:t xml:space="preserve"> </w:t>
      </w:r>
    </w:p>
    <w:p w14:paraId="2509A5B1">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1.投标人的开标一览表必须加盖投标人公章并由法定代表人或者委托代理人签字，</w:t>
      </w:r>
      <w:r>
        <w:rPr>
          <w:rFonts w:hint="eastAsia" w:ascii="宋体" w:hAnsi="宋体" w:cs="宋体"/>
          <w:b/>
          <w:color w:val="auto"/>
          <w:sz w:val="24"/>
        </w:rPr>
        <w:t>否则其投标作无效标处理</w:t>
      </w:r>
      <w:r>
        <w:rPr>
          <w:rFonts w:hint="eastAsia" w:ascii="宋体" w:hAnsi="宋体" w:cs="宋体"/>
          <w:color w:val="auto"/>
          <w:sz w:val="24"/>
        </w:rPr>
        <w:t>。</w:t>
      </w:r>
    </w:p>
    <w:p w14:paraId="5E7DCB58">
      <w:pPr>
        <w:pageBreakBefore w:val="0"/>
        <w:kinsoku/>
        <w:overflowPunct/>
        <w:topLinePunct w:val="0"/>
        <w:bidi w:val="0"/>
        <w:snapToGrid w:val="0"/>
        <w:spacing w:before="50" w:after="50" w:line="24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报价一经涂改，应在涂改处加盖投标人公章或者由法定代表人或者委托代理人签字或者盖章</w:t>
      </w:r>
      <w:r>
        <w:rPr>
          <w:rFonts w:hint="eastAsia" w:ascii="宋体" w:hAnsi="宋体" w:cs="宋体"/>
          <w:b/>
          <w:color w:val="auto"/>
          <w:sz w:val="24"/>
        </w:rPr>
        <w:t>，否则其投标作无效标处理。</w:t>
      </w:r>
    </w:p>
    <w:p w14:paraId="4FC45823">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3.如为联合体投标，“投标人名称”处必须列明联合体各方名称，并标注联合体牵头人名称，</w:t>
      </w:r>
      <w:r>
        <w:rPr>
          <w:rFonts w:hint="eastAsia" w:ascii="宋体" w:hAnsi="宋体" w:cs="宋体"/>
          <w:b/>
          <w:color w:val="auto"/>
          <w:sz w:val="24"/>
        </w:rPr>
        <w:t>否则其投标作无效标处理。</w:t>
      </w:r>
    </w:p>
    <w:p w14:paraId="54CC1569">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4.如为联合体投标，盖章处须加盖联合体各方公章，</w:t>
      </w:r>
      <w:r>
        <w:rPr>
          <w:rFonts w:hint="eastAsia" w:ascii="宋体" w:hAnsi="宋体" w:cs="宋体"/>
          <w:b/>
          <w:color w:val="auto"/>
          <w:sz w:val="24"/>
        </w:rPr>
        <w:t>否则其投标作无效标处理。</w:t>
      </w:r>
    </w:p>
    <w:p w14:paraId="59C24A3A">
      <w:pPr>
        <w:pageBreakBefore w:val="0"/>
        <w:kinsoku/>
        <w:overflowPunct/>
        <w:topLinePunct w:val="0"/>
        <w:bidi w:val="0"/>
        <w:snapToGrid w:val="0"/>
        <w:spacing w:before="50" w:after="50" w:line="240" w:lineRule="auto"/>
        <w:ind w:firstLine="480" w:firstLineChars="200"/>
        <w:rPr>
          <w:rFonts w:hint="eastAsia" w:ascii="宋体" w:hAnsi="宋体" w:cs="宋体"/>
          <w:color w:val="auto"/>
          <w:sz w:val="24"/>
        </w:rPr>
      </w:pPr>
      <w:r>
        <w:rPr>
          <w:rFonts w:hint="eastAsia" w:ascii="宋体" w:hAnsi="宋体" w:cs="宋体"/>
          <w:color w:val="auto"/>
          <w:sz w:val="24"/>
        </w:rPr>
        <w:t>5.如有多分标，按分标分别提供开标一览表，</w:t>
      </w:r>
      <w:r>
        <w:rPr>
          <w:rFonts w:hint="eastAsia" w:ascii="宋体" w:hAnsi="宋体" w:cs="宋体"/>
          <w:b/>
          <w:color w:val="auto"/>
          <w:sz w:val="24"/>
        </w:rPr>
        <w:t>否则投标无效。</w:t>
      </w:r>
    </w:p>
    <w:p w14:paraId="7F922366">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p>
    <w:p w14:paraId="478DD1DC">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14:paraId="6029E2AB">
      <w:pPr>
        <w:pageBreakBefore w:val="0"/>
        <w:kinsoku/>
        <w:overflowPunct/>
        <w:topLinePunct w:val="0"/>
        <w:bidi w:val="0"/>
        <w:snapToGrid w:val="0"/>
        <w:spacing w:before="50" w:after="50" w:line="240" w:lineRule="auto"/>
        <w:ind w:left="-3" w:leftChars="-72" w:right="-817" w:rightChars="-389" w:hanging="148" w:hangingChars="62"/>
        <w:rPr>
          <w:rFonts w:hint="eastAsia" w:ascii="宋体" w:hAnsi="宋体" w:cs="宋体"/>
          <w:color w:val="auto"/>
          <w:sz w:val="24"/>
        </w:rPr>
      </w:pPr>
    </w:p>
    <w:p w14:paraId="55E654E7">
      <w:pPr>
        <w:pageBreakBefore w:val="0"/>
        <w:kinsoku/>
        <w:overflowPunct/>
        <w:topLinePunct w:val="0"/>
        <w:bidi w:val="0"/>
        <w:snapToGrid w:val="0"/>
        <w:spacing w:before="50" w:after="50" w:line="240" w:lineRule="auto"/>
        <w:ind w:left="-3" w:leftChars="-15" w:right="-817" w:rightChars="-389" w:hanging="28" w:hangingChars="12"/>
        <w:rPr>
          <w:rFonts w:hint="eastAsia" w:ascii="宋体" w:hAnsi="宋体" w:cs="宋体"/>
          <w:color w:val="auto"/>
          <w:sz w:val="24"/>
        </w:rPr>
      </w:pPr>
      <w:r>
        <w:rPr>
          <w:rFonts w:hint="eastAsia" w:ascii="宋体" w:hAnsi="宋体" w:cs="宋体"/>
          <w:color w:val="auto"/>
          <w:sz w:val="24"/>
        </w:rPr>
        <w:t>投标人（盖公章）：                                 日期：    年   月   日</w:t>
      </w:r>
    </w:p>
    <w:p w14:paraId="4EE14D10">
      <w:pPr>
        <w:rPr>
          <w:rFonts w:hint="eastAsia"/>
        </w:rPr>
      </w:pPr>
      <w:r>
        <w:rPr>
          <w:rFonts w:hint="eastAsia" w:ascii="宋体" w:hAnsi="宋体" w:cs="宋体"/>
          <w:color w:val="auto"/>
          <w:sz w:val="24"/>
        </w:rPr>
        <w:br w:type="page"/>
      </w:r>
    </w:p>
    <w:p w14:paraId="186E1E33">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50" w:name="_Toc19686837"/>
      <w:r>
        <w:rPr>
          <w:rFonts w:hint="eastAsia" w:ascii="宋体" w:hAnsi="宋体" w:eastAsia="宋体" w:cs="宋体"/>
          <w:b/>
          <w:color w:val="auto"/>
          <w:sz w:val="32"/>
          <w:szCs w:val="32"/>
          <w:highlight w:val="none"/>
        </w:rPr>
        <w:t>二、资格证明文件格式</w:t>
      </w:r>
      <w:bookmarkEnd w:id="150"/>
    </w:p>
    <w:p w14:paraId="0899EB95">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 xml:space="preserve">资格证明文件封面格式： </w:t>
      </w:r>
    </w:p>
    <w:p w14:paraId="5F047F15">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14:paraId="44284E21">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62ECA18D">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p>
    <w:p w14:paraId="7BFAB3AF">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格</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证</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明</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14:paraId="359E885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594823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7F05184">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7923F4F">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09EEBD0">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B3E7B83">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B47F30E">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0B4D73F">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6FE7BD1C">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0396A6F4">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68D9309F">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14:paraId="1CC9976A">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52424857">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5A16D303">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2AC471F7">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21AFC191">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1B4BC7F4">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23F42AB7">
      <w:pPr>
        <w:pStyle w:val="5"/>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14:paraId="2049606E">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15F6657">
      <w:pPr>
        <w:rPr>
          <w:rFonts w:hint="eastAsia"/>
          <w:lang w:val="en-US" w:eastAsia="zh-CN"/>
        </w:rPr>
      </w:pPr>
      <w:r>
        <w:rPr>
          <w:rFonts w:hint="eastAsia"/>
          <w:lang w:val="en-US" w:eastAsia="zh-CN"/>
        </w:rPr>
        <w:br w:type="page"/>
      </w:r>
    </w:p>
    <w:p w14:paraId="6197E3B9">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资格证明文件目录</w:t>
      </w:r>
    </w:p>
    <w:p w14:paraId="6DEA33BF">
      <w:pPr>
        <w:pageBreakBefore w:val="0"/>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054DD74E">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99E338D">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防城港市政府采购供应商信用承诺函</w:t>
      </w:r>
    </w:p>
    <w:p w14:paraId="5DD36995">
      <w:pPr>
        <w:pStyle w:val="15"/>
        <w:pageBreakBefore w:val="0"/>
        <w:kinsoku/>
        <w:overflowPunct/>
        <w:topLinePunct w:val="0"/>
        <w:bidi w:val="0"/>
        <w:spacing w:line="240" w:lineRule="auto"/>
        <w:rPr>
          <w:rFonts w:hint="eastAsia" w:ascii="宋体" w:hAnsi="宋体" w:eastAsia="宋体" w:cs="宋体"/>
          <w:color w:val="auto"/>
          <w:sz w:val="21"/>
          <w:szCs w:val="21"/>
          <w:highlight w:val="none"/>
        </w:rPr>
      </w:pPr>
    </w:p>
    <w:p w14:paraId="3C7C2071">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防城港市政府采购供应商信用承诺函</w:t>
      </w:r>
    </w:p>
    <w:p w14:paraId="485D96E0">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705FA071">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 ：</w:t>
      </w:r>
    </w:p>
    <w:p w14:paraId="3A072276">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我方自愿参加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w:t>
      </w:r>
      <w:r>
        <w:rPr>
          <w:rFonts w:hint="eastAsia" w:ascii="宋体" w:hAnsi="宋体" w:eastAsia="宋体" w:cs="宋体"/>
          <w:color w:val="auto"/>
          <w:sz w:val="24"/>
          <w:szCs w:val="24"/>
          <w:highlight w:val="none"/>
        </w:rPr>
        <w:t xml:space="preserve">）的政府采购活动，严格遵守《中华人民共和国政府采购法》及相关法律法规，依法诚信经营，无条件遵守本次政府采购活动的各项规定，并郑重承诺： </w:t>
      </w:r>
    </w:p>
    <w:p w14:paraId="73BFD98B">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1.我方具有符合采购文件资格要求的财务状况报告。 </w:t>
      </w:r>
    </w:p>
    <w:p w14:paraId="02772582">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2.我方具有符合采购文件资格要求的依法缴纳税收和社会保障资金的良好记录。 </w:t>
      </w:r>
    </w:p>
    <w:p w14:paraId="3C2348E8">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3.我方参加政府采购活动前三年内在经营活动中没有重大违法记录。 </w:t>
      </w:r>
    </w:p>
    <w:p w14:paraId="29EA9D53">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我方对以上承诺内容的真实性负责。如有虚假，将依法承担相应责任。</w:t>
      </w:r>
    </w:p>
    <w:p w14:paraId="74EE7167">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14:paraId="2BECE58A">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14:paraId="255856BD">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3C0CC069">
      <w:pPr>
        <w:pageBreakBefore w:val="0"/>
        <w:kinsoku/>
        <w:overflowPunct/>
        <w:topLinePunct w:val="0"/>
        <w:bidi w:val="0"/>
        <w:spacing w:line="24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p>
    <w:p w14:paraId="68F54F52">
      <w:pPr>
        <w:pageBreakBefore w:val="0"/>
        <w:kinsoku/>
        <w:overflowPunct/>
        <w:topLinePunct w:val="0"/>
        <w:bidi w:val="0"/>
        <w:spacing w:line="24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法定代表人或授权代表(签名)：</w:t>
      </w:r>
      <w:r>
        <w:rPr>
          <w:rFonts w:hint="eastAsia" w:ascii="宋体" w:hAnsi="宋体" w:eastAsia="宋体" w:cs="宋体"/>
          <w:color w:val="auto"/>
          <w:sz w:val="24"/>
          <w:szCs w:val="24"/>
          <w:highlight w:val="none"/>
          <w:u w:val="single"/>
        </w:rPr>
        <w:t xml:space="preserve">                </w:t>
      </w:r>
    </w:p>
    <w:p w14:paraId="194B5B4E">
      <w:pPr>
        <w:pageBreakBefore w:val="0"/>
        <w:kinsoku/>
        <w:overflowPunct/>
        <w:topLinePunct w:val="0"/>
        <w:bidi w:val="0"/>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BEDAF52">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p>
    <w:p w14:paraId="5B365EC3">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（采购）文件要求，按无效投标（响应）处理。</w:t>
      </w:r>
    </w:p>
    <w:p w14:paraId="4A647282">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2.供应商的法定代表人（其他组织的为负责人）或者授权代表的签名或盖章应真实、有效，如由授权代表签名或盖章的，应提供“法定代表人授权书”。</w:t>
      </w:r>
    </w:p>
    <w:p w14:paraId="45D6EE57">
      <w:pPr>
        <w:rPr>
          <w:rFonts w:hint="eastAsia"/>
          <w:lang w:val="en-US" w:eastAsia="zh-CN"/>
        </w:rPr>
      </w:pPr>
      <w:r>
        <w:rPr>
          <w:rFonts w:hint="eastAsia"/>
          <w:lang w:val="en-US" w:eastAsia="zh-CN"/>
        </w:rPr>
        <w:br w:type="page"/>
      </w:r>
    </w:p>
    <w:p w14:paraId="34727AA3">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投标人直接控股、管理关系信息表</w:t>
      </w:r>
    </w:p>
    <w:p w14:paraId="195EADF8">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p>
    <w:p w14:paraId="62A1FABA">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投标人直接控股股东信息表</w:t>
      </w:r>
    </w:p>
    <w:tbl>
      <w:tblPr>
        <w:tblStyle w:val="21"/>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8DB6C5B">
        <w:tblPrEx>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158395">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E89831">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DED1F1">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E06DEC">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4DFE46">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48AA9D32">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5FC06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42C0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4D8BE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612CF">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8029F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19B75C34">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1147E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85D3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8929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7AAEC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B1664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77234491">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DD7F98">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D7DAC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2B1D52">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3DBD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40EFD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30CEC793">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1840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69CE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5D963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60BB0D">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E31E9A">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14:paraId="2D077B9F">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B60350">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1C31DB">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44B89184">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3.供应商不存在直接控股股东的，则在“</w:t>
      </w:r>
      <w:r>
        <w:rPr>
          <w:rFonts w:hint="eastAsia" w:ascii="宋体" w:hAnsi="宋体" w:eastAsia="宋体" w:cs="宋体"/>
          <w:b/>
          <w:bCs/>
          <w:color w:val="auto"/>
          <w:kern w:val="0"/>
          <w:sz w:val="24"/>
          <w:szCs w:val="24"/>
          <w:highlight w:val="none"/>
        </w:rPr>
        <w:t>直接控股股东名称</w:t>
      </w:r>
      <w:r>
        <w:rPr>
          <w:rFonts w:hint="eastAsia" w:ascii="宋体" w:hAnsi="宋体" w:eastAsia="宋体" w:cs="宋体"/>
          <w:color w:val="auto"/>
          <w:sz w:val="24"/>
          <w:szCs w:val="24"/>
          <w:highlight w:val="none"/>
        </w:rPr>
        <w:t>”中填“无”。</w:t>
      </w:r>
    </w:p>
    <w:p w14:paraId="1BA54C3F">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744264D3">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16454DC0">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14:paraId="7B8AEA44">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081088C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14:paraId="7E03207A">
      <w:pPr>
        <w:rPr>
          <w:rFonts w:hint="eastAsia"/>
          <w:lang w:val="en-US" w:eastAsia="zh-CN"/>
        </w:rPr>
      </w:pPr>
      <w:r>
        <w:rPr>
          <w:rFonts w:hint="eastAsia"/>
          <w:lang w:val="en-US" w:eastAsia="zh-CN"/>
        </w:rPr>
        <w:br w:type="page"/>
      </w:r>
    </w:p>
    <w:p w14:paraId="69EC45B6">
      <w:pPr>
        <w:keepNext w:val="0"/>
        <w:keepLines w:val="0"/>
        <w:pageBreakBefore w:val="0"/>
        <w:widowControl w:val="0"/>
        <w:kinsoku/>
        <w:wordWrap/>
        <w:overflowPunct/>
        <w:topLinePunct w:val="0"/>
        <w:autoSpaceDE/>
        <w:autoSpaceDN/>
        <w:bidi w:val="0"/>
        <w:adjustRightInd/>
        <w:snapToGrid w:val="0"/>
        <w:spacing w:after="157" w:afterLines="50"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投标人直接管理关系信息表</w:t>
      </w:r>
    </w:p>
    <w:tbl>
      <w:tblPr>
        <w:tblStyle w:val="21"/>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0B0C036F">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706CA0">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7405D1">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110C09">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851EE0">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01C9F2C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4160FF">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EB0C4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A2F66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F31ED">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2E4E6EC6">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152C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6349D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41A6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A143C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6377DBC7">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76DB52">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5ACF1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1B8FB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D6AE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379D01CA">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86C20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FBAF9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2FC8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62A63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14:paraId="05E8EB8E">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385DEB5">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59E818CE">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42FA8472">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3.供应商不存在直接管理关系的，则在“</w:t>
      </w:r>
      <w:r>
        <w:rPr>
          <w:rFonts w:hint="eastAsia" w:ascii="宋体" w:hAnsi="宋体" w:eastAsia="宋体" w:cs="宋体"/>
          <w:b/>
          <w:bCs/>
          <w:color w:val="auto"/>
          <w:kern w:val="0"/>
          <w:sz w:val="24"/>
          <w:szCs w:val="24"/>
          <w:highlight w:val="none"/>
        </w:rPr>
        <w:t>直接管理关系单位名称</w:t>
      </w:r>
      <w:r>
        <w:rPr>
          <w:rFonts w:hint="eastAsia" w:ascii="宋体" w:hAnsi="宋体" w:eastAsia="宋体" w:cs="宋体"/>
          <w:color w:val="auto"/>
          <w:sz w:val="24"/>
          <w:szCs w:val="24"/>
          <w:highlight w:val="none"/>
        </w:rPr>
        <w:t>”中填“无”。</w:t>
      </w:r>
    </w:p>
    <w:p w14:paraId="1B024AA8">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7FE7C286">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059FE5C6">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36E604A7">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14:paraId="5E92D3FA">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000BFF51">
      <w:pPr>
        <w:pageBreakBefore w:val="0"/>
        <w:kinsoku/>
        <w:overflowPunct/>
        <w:topLinePunct w:val="0"/>
        <w:bidi w:val="0"/>
        <w:snapToGrid w:val="0"/>
        <w:spacing w:line="240" w:lineRule="auto"/>
        <w:ind w:right="480" w:firstLine="24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14:paraId="395AB2CC">
      <w:pPr>
        <w:rPr>
          <w:rFonts w:hint="eastAsia"/>
          <w:lang w:val="en-US" w:eastAsia="zh-CN"/>
        </w:rPr>
      </w:pPr>
      <w:r>
        <w:rPr>
          <w:rFonts w:hint="eastAsia"/>
          <w:lang w:val="en-US" w:eastAsia="zh-CN"/>
        </w:rPr>
        <w:br w:type="page"/>
      </w:r>
    </w:p>
    <w:p w14:paraId="79073F3B">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投标声明</w:t>
      </w:r>
    </w:p>
    <w:p w14:paraId="0A6BF496">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75045936">
      <w:pPr>
        <w:pageBreakBefore w:val="0"/>
        <w:kinsoku/>
        <w:overflowPunct/>
        <w:topLinePunct w:val="0"/>
        <w:bidi w:val="0"/>
        <w:snapToGrid w:val="0"/>
        <w:spacing w:before="50" w:after="120" w:afterLines="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投标声明</w:t>
      </w:r>
    </w:p>
    <w:p w14:paraId="163DC183">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6A8D2272">
      <w:pPr>
        <w:pageBreakBefore w:val="0"/>
        <w:kinsoku/>
        <w:overflowPunct/>
        <w:topLinePunct w:val="0"/>
        <w:bidi w:val="0"/>
        <w:spacing w:line="240" w:lineRule="auto"/>
        <w:ind w:firstLine="523" w:firstLineChars="218"/>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我方参加贵单位组织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）的政府采购活动。我方在此郑重声明：</w:t>
      </w:r>
    </w:p>
    <w:p w14:paraId="05CC6D83">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6E66AF">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2.我方不是为本次采购项目提供整体设计、规范编制或者项目管理、监理、检测等服务的供应商。</w:t>
      </w:r>
    </w:p>
    <w:p w14:paraId="61FA74B6">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我方承诺符合《中华人民共和国政府采购法》第二十二条规定：</w:t>
      </w:r>
    </w:p>
    <w:p w14:paraId="0FD15324">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4B7679D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22CBED46">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620AD94A">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10EC9E73">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3522C433">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55972EEF">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4.以上事项如有虚假或者隐瞒，我方愿意承担一切后果，并不再寻求任何旨在减轻或者免除法律责任的辩解。</w:t>
      </w:r>
    </w:p>
    <w:p w14:paraId="6E7BC890">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特此承诺。</w:t>
      </w:r>
    </w:p>
    <w:p w14:paraId="371FF0C0">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14:paraId="67676074">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r>
        <w:rPr>
          <w:rFonts w:hint="eastAsia" w:ascii="宋体" w:hAnsi="宋体" w:eastAsia="宋体" w:cs="宋体"/>
          <w:color w:val="auto"/>
          <w:sz w:val="24"/>
          <w:szCs w:val="24"/>
          <w:highlight w:val="none"/>
          <w:u w:val="single"/>
        </w:rPr>
        <w:t xml:space="preserve">                 </w:t>
      </w:r>
    </w:p>
    <w:p w14:paraId="13F81023">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年    月    日</w:t>
      </w:r>
    </w:p>
    <w:p w14:paraId="5040D465">
      <w:pPr>
        <w:rPr>
          <w:rFonts w:hint="eastAsia"/>
          <w:lang w:val="en-US" w:eastAsia="zh-CN"/>
        </w:rPr>
      </w:pPr>
      <w:r>
        <w:rPr>
          <w:rFonts w:hint="eastAsia"/>
          <w:lang w:val="en-US" w:eastAsia="zh-CN"/>
        </w:rPr>
        <w:br w:type="page"/>
      </w:r>
    </w:p>
    <w:p w14:paraId="33F851D5">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中小企业声明函或监狱企业证明材料或</w:t>
      </w:r>
      <w:r>
        <w:rPr>
          <w:rFonts w:hint="eastAsia" w:ascii="宋体" w:hAnsi="宋体" w:eastAsia="宋体" w:cs="宋体"/>
          <w:b/>
          <w:color w:val="auto"/>
          <w:sz w:val="30"/>
          <w:szCs w:val="30"/>
          <w:highlight w:val="none"/>
          <w:lang w:val="en-US" w:eastAsia="zh-CN"/>
        </w:rPr>
        <w:t>残疾人福利性单位</w:t>
      </w:r>
      <w:r>
        <w:rPr>
          <w:rFonts w:hint="eastAsia" w:ascii="宋体" w:hAnsi="宋体" w:eastAsia="宋体" w:cs="宋体"/>
          <w:b/>
          <w:color w:val="auto"/>
          <w:sz w:val="30"/>
          <w:szCs w:val="30"/>
          <w:highlight w:val="none"/>
        </w:rPr>
        <w:t>声明函</w:t>
      </w:r>
    </w:p>
    <w:p w14:paraId="7F5D7099">
      <w:pPr>
        <w:pStyle w:val="15"/>
        <w:pageBreakBefore w:val="0"/>
        <w:kinsoku/>
        <w:overflowPunct/>
        <w:topLinePunct w:val="0"/>
        <w:bidi w:val="0"/>
        <w:spacing w:line="240" w:lineRule="auto"/>
        <w:rPr>
          <w:rFonts w:hint="eastAsia" w:ascii="宋体" w:hAnsi="宋体" w:eastAsia="宋体" w:cs="宋体"/>
          <w:color w:val="auto"/>
          <w:sz w:val="21"/>
          <w:szCs w:val="21"/>
          <w:highlight w:val="none"/>
        </w:rPr>
      </w:pPr>
    </w:p>
    <w:p w14:paraId="61D60755">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eastAsia="zh-CN"/>
        </w:rPr>
        <w:t>中小</w:t>
      </w:r>
      <w:r>
        <w:rPr>
          <w:rFonts w:hint="eastAsia" w:ascii="宋体" w:hAnsi="宋体" w:eastAsia="宋体" w:cs="宋体"/>
          <w:b/>
          <w:color w:val="auto"/>
          <w:sz w:val="28"/>
          <w:szCs w:val="28"/>
          <w:highlight w:val="none"/>
        </w:rPr>
        <w:t>企业声明函格式</w:t>
      </w:r>
    </w:p>
    <w:p w14:paraId="3860B4C8">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3DCB01F1">
      <w:pPr>
        <w:pageBreakBefore w:val="0"/>
        <w:kinsoku/>
        <w:overflowPunct/>
        <w:topLinePunct w:val="0"/>
        <w:bidi w:val="0"/>
        <w:spacing w:line="240" w:lineRule="auto"/>
        <w:ind w:left="-426" w:leftChars="-203" w:right="142" w:firstLine="480" w:firstLineChars="200"/>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14:paraId="1D7D6C2C">
      <w:pPr>
        <w:pageBreakBefore w:val="0"/>
        <w:tabs>
          <w:tab w:val="left" w:pos="1384"/>
          <w:tab w:val="left" w:pos="4562"/>
          <w:tab w:val="left" w:pos="6803"/>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1.</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10AEF711">
      <w:pPr>
        <w:pageBreakBefore w:val="0"/>
        <w:tabs>
          <w:tab w:val="left" w:pos="1065"/>
          <w:tab w:val="left" w:pos="6477"/>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2.</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6F9676E5">
      <w:pPr>
        <w:pageBreakBefore w:val="0"/>
        <w:kinsoku/>
        <w:overflowPunct/>
        <w:topLinePunct w:val="0"/>
        <w:bidi w:val="0"/>
        <w:spacing w:line="240" w:lineRule="auto"/>
        <w:ind w:left="142" w:right="142"/>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 xml:space="preserve">…… </w:t>
      </w:r>
    </w:p>
    <w:p w14:paraId="23D6E2A2">
      <w:pPr>
        <w:pageBreakBefore w:val="0"/>
        <w:kinsoku/>
        <w:overflowPunct/>
        <w:topLinePunct w:val="0"/>
        <w:bidi w:val="0"/>
        <w:spacing w:line="240" w:lineRule="auto"/>
        <w:ind w:left="-405" w:leftChars="-193" w:right="142" w:firstLine="453" w:firstLineChars="189"/>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14:paraId="608D337D">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14:paraId="7E9123BF">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40C89790">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企业名称（</w:t>
      </w:r>
      <w:r>
        <w:rPr>
          <w:rFonts w:hint="eastAsia" w:ascii="宋体" w:hAnsi="宋体" w:eastAsia="宋体" w:cs="宋体"/>
          <w:color w:val="auto"/>
          <w:sz w:val="24"/>
          <w:szCs w:val="24"/>
          <w:highlight w:val="none"/>
        </w:rPr>
        <w:t>公章</w:t>
      </w:r>
      <w:r>
        <w:rPr>
          <w:rFonts w:hint="eastAsia" w:ascii="宋体" w:hAnsi="宋体" w:eastAsia="宋体" w:cs="宋体"/>
          <w:color w:val="auto"/>
          <w:kern w:val="24"/>
          <w:sz w:val="24"/>
          <w:szCs w:val="24"/>
          <w:highlight w:val="none"/>
        </w:rPr>
        <w:t>）：</w:t>
      </w:r>
    </w:p>
    <w:p w14:paraId="62B3876B">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日 期：</w:t>
      </w:r>
    </w:p>
    <w:p w14:paraId="5BF72BEE">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0B50B4EC">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5BC060E4">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B232D74">
      <w:pPr>
        <w:rPr>
          <w:rFonts w:hint="eastAsia" w:ascii="宋体" w:hAnsi="宋体" w:eastAsia="宋体" w:cs="宋体"/>
          <w:b/>
          <w:color w:val="auto"/>
          <w:spacing w:val="6"/>
          <w:sz w:val="21"/>
          <w:szCs w:val="21"/>
          <w:highlight w:val="none"/>
        </w:rPr>
      </w:pPr>
      <w:r>
        <w:rPr>
          <w:rFonts w:hint="eastAsia"/>
          <w:lang w:val="en-US" w:eastAsia="zh-CN"/>
        </w:rPr>
        <w:br w:type="page"/>
      </w:r>
    </w:p>
    <w:p w14:paraId="33294A99">
      <w:pPr>
        <w:pageBreakBefore w:val="0"/>
        <w:kinsoku/>
        <w:overflowPunct/>
        <w:topLinePunct w:val="0"/>
        <w:bidi w:val="0"/>
        <w:spacing w:line="240" w:lineRule="auto"/>
        <w:jc w:val="center"/>
        <w:rPr>
          <w:rFonts w:hint="eastAsia" w:ascii="宋体" w:hAnsi="宋体" w:eastAsia="宋体" w:cs="宋体"/>
          <w:b/>
          <w:bCs w:val="0"/>
          <w:color w:val="auto"/>
          <w:spacing w:val="6"/>
          <w:sz w:val="28"/>
          <w:szCs w:val="28"/>
          <w:highlight w:val="none"/>
        </w:rPr>
      </w:pPr>
      <w:r>
        <w:rPr>
          <w:rFonts w:hint="eastAsia" w:ascii="宋体" w:hAnsi="宋体" w:eastAsia="宋体" w:cs="宋体"/>
          <w:b/>
          <w:bCs w:val="0"/>
          <w:color w:val="auto"/>
          <w:spacing w:val="6"/>
          <w:sz w:val="28"/>
          <w:szCs w:val="28"/>
          <w:highlight w:val="none"/>
        </w:rPr>
        <w:t>残疾人福利性单位声明函</w:t>
      </w:r>
    </w:p>
    <w:p w14:paraId="59BE36DE">
      <w:pPr>
        <w:pageBreakBefore w:val="0"/>
        <w:kinsoku/>
        <w:overflowPunct/>
        <w:topLinePunct w:val="0"/>
        <w:bidi w:val="0"/>
        <w:spacing w:line="240" w:lineRule="auto"/>
        <w:contextualSpacing/>
        <w:rPr>
          <w:rFonts w:hint="eastAsia" w:ascii="宋体" w:hAnsi="宋体" w:eastAsia="宋体" w:cs="宋体"/>
          <w:bCs/>
          <w:color w:val="auto"/>
          <w:spacing w:val="6"/>
          <w:sz w:val="24"/>
          <w:szCs w:val="24"/>
          <w:highlight w:val="none"/>
        </w:rPr>
      </w:pPr>
    </w:p>
    <w:p w14:paraId="74830C2C">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4"/>
          <w:szCs w:val="24"/>
          <w:highlight w:val="none"/>
        </w:rPr>
        <w:t>疾人福利性单位制造的货物（不包括使用非残疾人福利性单位注册商标的货物）。</w:t>
      </w:r>
    </w:p>
    <w:p w14:paraId="3B91AA1C">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0B14CA5">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p>
    <w:p w14:paraId="2427F613">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p>
    <w:p w14:paraId="201BBA75">
      <w:pPr>
        <w:pageBreakBefore w:val="0"/>
        <w:tabs>
          <w:tab w:val="left" w:pos="4860"/>
        </w:tabs>
        <w:kinsoku/>
        <w:overflowPunct/>
        <w:topLinePunct w:val="0"/>
        <w:bidi w:val="0"/>
        <w:spacing w:line="240" w:lineRule="auto"/>
        <w:ind w:right="1560" w:firstLine="504" w:firstLineChars="200"/>
        <w:contextualSpacing/>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z w:val="24"/>
          <w:szCs w:val="24"/>
          <w:highlight w:val="none"/>
        </w:rPr>
        <w:t>公章</w:t>
      </w:r>
      <w:r>
        <w:rPr>
          <w:rFonts w:hint="eastAsia" w:ascii="宋体" w:hAnsi="宋体" w:eastAsia="宋体" w:cs="宋体"/>
          <w:color w:val="auto"/>
          <w:spacing w:val="6"/>
          <w:sz w:val="24"/>
          <w:szCs w:val="24"/>
          <w:highlight w:val="none"/>
        </w:rPr>
        <w:t>）：</w:t>
      </w:r>
    </w:p>
    <w:p w14:paraId="5B68138A">
      <w:pPr>
        <w:pageBreakBefore w:val="0"/>
        <w:tabs>
          <w:tab w:val="left" w:pos="4860"/>
        </w:tabs>
        <w:kinsoku/>
        <w:overflowPunct/>
        <w:topLinePunct w:val="0"/>
        <w:bidi w:val="0"/>
        <w:spacing w:line="240" w:lineRule="auto"/>
        <w:ind w:right="1560" w:firstLine="504" w:firstLineChars="200"/>
        <w:contextualSpacing/>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14:paraId="42E15531">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14:paraId="067B04FC">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14:paraId="4C6A9C45">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14:paraId="226293BE">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3D1C1D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23FBE02">
      <w:pPr>
        <w:spacing w:line="500" w:lineRule="exact"/>
        <w:jc w:val="left"/>
        <w:rPr>
          <w:rFonts w:hint="eastAsia" w:ascii="宋体" w:hAnsi="宋体" w:eastAsia="宋体" w:cs="宋体"/>
          <w:b/>
          <w:sz w:val="30"/>
          <w:szCs w:val="30"/>
          <w:lang w:eastAsia="zh-CN"/>
        </w:rPr>
      </w:pPr>
      <w:r>
        <w:rPr>
          <w:rFonts w:hint="eastAsia" w:ascii="宋体" w:hAnsi="宋体" w:eastAsia="宋体" w:cs="宋体"/>
          <w:b/>
          <w:sz w:val="30"/>
          <w:szCs w:val="30"/>
          <w:lang w:val="en-US" w:eastAsia="zh-CN"/>
        </w:rPr>
        <w:t>7.</w:t>
      </w:r>
      <w:r>
        <w:rPr>
          <w:rFonts w:hint="eastAsia" w:ascii="宋体" w:hAnsi="宋体" w:eastAsia="宋体" w:cs="宋体"/>
          <w:b/>
          <w:sz w:val="30"/>
          <w:szCs w:val="30"/>
          <w:lang w:eastAsia="zh-CN"/>
        </w:rPr>
        <w:t>具备履行合同所必需的设备和专业技术能力的证明材料</w:t>
      </w:r>
    </w:p>
    <w:p w14:paraId="2046C653">
      <w:pPr>
        <w:jc w:val="both"/>
        <w:rPr>
          <w:rFonts w:hint="eastAsia" w:ascii="宋体" w:hAnsi="宋体" w:cs="Times New Roman"/>
          <w:kern w:val="2"/>
          <w:sz w:val="24"/>
          <w:szCs w:val="24"/>
          <w:lang w:val="en-US" w:eastAsia="zh-CN" w:bidi="ar-SA"/>
        </w:rPr>
      </w:pPr>
    </w:p>
    <w:p w14:paraId="2D49BBE5">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0245305E">
      <w:pPr>
        <w:rPr>
          <w:rFonts w:hint="eastAsia"/>
          <w:lang w:val="en-US" w:eastAsia="zh-CN"/>
        </w:rPr>
      </w:pPr>
      <w:r>
        <w:rPr>
          <w:rFonts w:hint="eastAsia"/>
          <w:lang w:val="en-US" w:eastAsia="zh-CN"/>
        </w:rPr>
        <w:br w:type="page"/>
      </w:r>
    </w:p>
    <w:p w14:paraId="121FE618">
      <w:pPr>
        <w:pageBreakBefore w:val="0"/>
        <w:kinsoku/>
        <w:overflowPunct/>
        <w:topLinePunct w:val="0"/>
        <w:bidi w:val="0"/>
        <w:spacing w:line="24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三、商务文件格式</w:t>
      </w:r>
    </w:p>
    <w:p w14:paraId="0725DFEE">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1.商务文件封面格式： </w:t>
      </w:r>
    </w:p>
    <w:p w14:paraId="20929946">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14:paraId="68FE5823">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1CB41B3F">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44"/>
          <w:szCs w:val="44"/>
          <w:highlight w:val="none"/>
        </w:rPr>
      </w:pPr>
    </w:p>
    <w:p w14:paraId="1BEAA051">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44"/>
          <w:szCs w:val="44"/>
          <w:highlight w:val="none"/>
        </w:rPr>
        <w:t>商  务  文  件</w:t>
      </w:r>
    </w:p>
    <w:p w14:paraId="2F6BDF44">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A8AF921">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7A0B333">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FBD86DE">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393CE0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A1159CD">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AABF1D6">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7C07C65E">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0A6E8B3E">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5F15B191">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14:paraId="11FCE121">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0E956700">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15B37957">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5942FEF2">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743B7CF2">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0AF04224">
      <w:pPr>
        <w:pStyle w:val="5"/>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14:paraId="727E6D83">
      <w:pPr>
        <w:pageBreakBefore w:val="0"/>
        <w:kinsoku/>
        <w:overflowPunct/>
        <w:topLinePunct w:val="0"/>
        <w:bidi w:val="0"/>
        <w:snapToGrid w:val="0"/>
        <w:spacing w:before="120" w:beforeLines="50" w:after="50" w:line="24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0D9C87C1">
      <w:pPr>
        <w:rPr>
          <w:rFonts w:hint="eastAsia"/>
          <w:lang w:val="en-US" w:eastAsia="zh-CN"/>
        </w:rPr>
      </w:pPr>
      <w:r>
        <w:rPr>
          <w:rFonts w:hint="eastAsia"/>
          <w:lang w:val="en-US" w:eastAsia="zh-CN"/>
        </w:rPr>
        <w:br w:type="page"/>
      </w:r>
    </w:p>
    <w:p w14:paraId="3084E173">
      <w:pPr>
        <w:pageBreakBefore w:val="0"/>
        <w:kinsoku/>
        <w:overflowPunct/>
        <w:topLinePunct w:val="0"/>
        <w:bidi w:val="0"/>
        <w:snapToGrid w:val="0"/>
        <w:spacing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2.商务文件目录</w:t>
      </w:r>
    </w:p>
    <w:p w14:paraId="683BA2EA">
      <w:pPr>
        <w:pageBreakBefore w:val="0"/>
        <w:kinsoku/>
        <w:overflowPunct/>
        <w:topLinePunct w:val="0"/>
        <w:bidi w:val="0"/>
        <w:snapToGrid w:val="0"/>
        <w:spacing w:before="50" w:after="120" w:afterLines="50" w:line="24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19173402">
      <w:pPr>
        <w:rPr>
          <w:rFonts w:hint="eastAsia"/>
          <w:lang w:val="en-US" w:eastAsia="zh-CN"/>
        </w:rPr>
      </w:pPr>
      <w:r>
        <w:rPr>
          <w:rFonts w:hint="eastAsia"/>
          <w:lang w:val="en-US" w:eastAsia="zh-CN"/>
        </w:rPr>
        <w:br w:type="page"/>
      </w:r>
    </w:p>
    <w:p w14:paraId="6D4D462B">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3.投标人参加本项目无围标串标行为的承诺</w:t>
      </w:r>
    </w:p>
    <w:p w14:paraId="2010C273">
      <w:pPr>
        <w:pageBreakBefore w:val="0"/>
        <w:kinsoku/>
        <w:overflowPunct/>
        <w:topLinePunct w:val="0"/>
        <w:bidi w:val="0"/>
        <w:snapToGrid w:val="0"/>
        <w:spacing w:before="120" w:beforeLines="50" w:after="50" w:line="240" w:lineRule="auto"/>
        <w:jc w:val="left"/>
        <w:rPr>
          <w:rFonts w:hint="eastAsia" w:ascii="宋体" w:hAnsi="宋体" w:eastAsia="宋体" w:cs="宋体"/>
          <w:b/>
          <w:bCs w:val="0"/>
          <w:color w:val="auto"/>
          <w:sz w:val="28"/>
          <w:szCs w:val="28"/>
          <w:highlight w:val="none"/>
        </w:rPr>
      </w:pPr>
    </w:p>
    <w:p w14:paraId="6895A5B9">
      <w:pPr>
        <w:pageBreakBefore w:val="0"/>
        <w:kinsoku/>
        <w:overflowPunct/>
        <w:topLinePunct w:val="0"/>
        <w:bidi w:val="0"/>
        <w:spacing w:line="240" w:lineRule="auto"/>
        <w:ind w:left="420"/>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pacing w:val="-11"/>
          <w:sz w:val="28"/>
          <w:szCs w:val="28"/>
          <w:highlight w:val="none"/>
        </w:rPr>
        <w:t>投标人参加本项目无围标串标行为的承诺函</w:t>
      </w:r>
    </w:p>
    <w:p w14:paraId="471A985D">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p>
    <w:p w14:paraId="5AC24458">
      <w:pPr>
        <w:pageBreakBefore w:val="0"/>
        <w:kinsoku/>
        <w:overflowPunct/>
        <w:topLinePunct w:val="0"/>
        <w:bidi w:val="0"/>
        <w:spacing w:line="24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一、我方承诺无下列相互串通投标的情形：</w:t>
      </w:r>
    </w:p>
    <w:p w14:paraId="396C8E54">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2A967F20">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47E9FF91">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14:paraId="53252DCE">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6D614543">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2C18AF3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14:paraId="560D0C91">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14:paraId="0C3CA9E5">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14:paraId="2DE214A9">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14:paraId="2AA6460E">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14:paraId="178E6C49">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14:paraId="3CAE186D">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项目中事先约定轮流以高价位或者低价位中标，或者事先约定由某一特定投标人中标，然后再参加投标；</w:t>
      </w:r>
    </w:p>
    <w:p w14:paraId="125678A5">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14:paraId="145CDDED">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14:paraId="6D58338F">
      <w:pPr>
        <w:pageBreakBefore w:val="0"/>
        <w:kinsoku/>
        <w:overflowPunct/>
        <w:topLinePunct w:val="0"/>
        <w:bidi w:val="0"/>
        <w:spacing w:line="240" w:lineRule="auto"/>
        <w:ind w:firstLine="472" w:firstLineChars="196"/>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14:paraId="33836D5B">
      <w:pPr>
        <w:pStyle w:val="13"/>
        <w:pageBreakBefore w:val="0"/>
        <w:kinsoku/>
        <w:overflowPunct/>
        <w:topLinePunct w:val="0"/>
        <w:bidi w:val="0"/>
        <w:spacing w:line="240" w:lineRule="auto"/>
        <w:ind w:firstLine="6840" w:firstLineChars="2850"/>
        <w:contextualSpacing/>
        <w:rPr>
          <w:rFonts w:hint="eastAsia" w:ascii="宋体" w:hAnsi="宋体" w:eastAsia="宋体" w:cs="宋体"/>
          <w:color w:val="auto"/>
          <w:sz w:val="24"/>
          <w:szCs w:val="24"/>
          <w:highlight w:val="none"/>
        </w:rPr>
      </w:pPr>
    </w:p>
    <w:p w14:paraId="466C1393">
      <w:pPr>
        <w:pStyle w:val="13"/>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79FF1D49">
      <w:pPr>
        <w:pStyle w:val="13"/>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F13AA21">
      <w:pPr>
        <w:rPr>
          <w:rFonts w:hint="eastAsia"/>
          <w:lang w:val="en-US" w:eastAsia="zh-CN"/>
        </w:rPr>
      </w:pPr>
      <w:r>
        <w:rPr>
          <w:rFonts w:hint="eastAsia"/>
          <w:lang w:val="en-US" w:eastAsia="zh-CN"/>
        </w:rPr>
        <w:br w:type="page"/>
      </w:r>
    </w:p>
    <w:p w14:paraId="35E65A68">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4.法定代表人身份证明</w:t>
      </w:r>
    </w:p>
    <w:p w14:paraId="3332CA65">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color w:val="auto"/>
          <w:sz w:val="21"/>
          <w:szCs w:val="21"/>
          <w:highlight w:val="none"/>
        </w:rPr>
      </w:pPr>
    </w:p>
    <w:p w14:paraId="17E45FCB">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法定代表人身份证明</w:t>
      </w:r>
    </w:p>
    <w:p w14:paraId="0B823734">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459C9F14">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4851C0A">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04D4B930">
      <w:pPr>
        <w:pageBreakBefore w:val="0"/>
        <w:kinsoku/>
        <w:overflowPunct/>
        <w:topLinePunct w:val="0"/>
        <w:bidi w:val="0"/>
        <w:spacing w:line="240" w:lineRule="auto"/>
        <w:ind w:left="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1157807F">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65C3C1F">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w:t>
      </w:r>
    </w:p>
    <w:p w14:paraId="6D8C7684">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4504918">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692BBADB">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446E8E01">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361B6AB8">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2FC16A37">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6BCDE2F4">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p>
    <w:p w14:paraId="75E572A2">
      <w:pPr>
        <w:pageBreakBefore w:val="0"/>
        <w:kinsoku/>
        <w:overflowPunct/>
        <w:topLinePunct w:val="0"/>
        <w:bidi w:val="0"/>
        <w:snapToGrid w:val="0"/>
        <w:spacing w:before="120" w:beforeLines="50" w:after="50"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D3D3309">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4"/>
          <w:szCs w:val="24"/>
          <w:highlight w:val="none"/>
        </w:rPr>
      </w:pPr>
    </w:p>
    <w:p w14:paraId="35BA6234">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注：自然人投标的无需提供</w:t>
      </w:r>
    </w:p>
    <w:p w14:paraId="5A334040">
      <w:pPr>
        <w:rPr>
          <w:rFonts w:hint="eastAsia"/>
          <w:lang w:val="en-US" w:eastAsia="zh-CN"/>
        </w:rPr>
      </w:pPr>
      <w:r>
        <w:rPr>
          <w:rFonts w:hint="eastAsia"/>
          <w:lang w:val="en-US" w:eastAsia="zh-CN"/>
        </w:rPr>
        <w:br w:type="page"/>
      </w:r>
    </w:p>
    <w:p w14:paraId="4EE3E6B5">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5.授权委托书格式</w:t>
      </w:r>
    </w:p>
    <w:p w14:paraId="370F97F9">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78ED8922">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授权委托书</w:t>
      </w:r>
    </w:p>
    <w:p w14:paraId="1BDD002B">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（如有委托时）</w:t>
      </w:r>
    </w:p>
    <w:p w14:paraId="43B39E44">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316FA830">
      <w:pPr>
        <w:pageBreakBefore w:val="0"/>
        <w:kinsoku/>
        <w:overflowPunct/>
        <w:topLinePunct w:val="0"/>
        <w:bidi w:val="0"/>
        <w:spacing w:line="24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665B8772">
      <w:pPr>
        <w:pageBreakBefore w:val="0"/>
        <w:kinsoku/>
        <w:overflowPunct/>
        <w:topLinePunct w:val="0"/>
        <w:bidi w:val="0"/>
        <w:spacing w:line="240" w:lineRule="auto"/>
        <w:ind w:firstLine="566" w:firstLineChars="236"/>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项目的投标活动，并代表我方全权办理针对上述项目的所有采购程序和环节的具体事务和签署相关文件。</w:t>
      </w:r>
    </w:p>
    <w:p w14:paraId="18D23072">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我方对委托代理人的签字或者电子签名事项负全部责任。</w:t>
      </w:r>
    </w:p>
    <w:p w14:paraId="30CE9E30">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本授权书自签署之日起生效，在撤销授权的书面通知以前，本授权书一直有效。委托代理人在授权书有效期内签署的所有文件不因授权的撤销而失效。</w:t>
      </w:r>
    </w:p>
    <w:p w14:paraId="7CB2E80E">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0A5249C8">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附：法定代表人身份证明及委托代理人有效身份证正反面复印件</w:t>
      </w:r>
    </w:p>
    <w:p w14:paraId="13055443">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14:paraId="7029F07B">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5D41F4F">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35B0D16A">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6A02CB09">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8EA9E3D">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75FB9C9A">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2AB8212">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bookmarkStart w:id="151" w:name="_Hlk65851555"/>
      <w:bookmarkStart w:id="152" w:name="_Hlk65851620"/>
      <w:r>
        <w:rPr>
          <w:rFonts w:hint="eastAsia" w:ascii="宋体" w:hAnsi="宋体" w:eastAsia="宋体" w:cs="宋体"/>
          <w:color w:val="auto"/>
          <w:sz w:val="24"/>
          <w:szCs w:val="24"/>
          <w:highlight w:val="none"/>
        </w:rPr>
        <w:t>法定代表人必须在授权委托书上签字或者盖章或者电子签名，</w:t>
      </w:r>
      <w:bookmarkEnd w:id="151"/>
      <w:r>
        <w:rPr>
          <w:rFonts w:hint="eastAsia" w:ascii="宋体" w:hAnsi="宋体" w:eastAsia="宋体" w:cs="宋体"/>
          <w:color w:val="auto"/>
          <w:sz w:val="24"/>
          <w:szCs w:val="24"/>
          <w:highlight w:val="none"/>
        </w:rPr>
        <w:t>委托代理人必须在授权委托书上签字或者电子签名，</w:t>
      </w:r>
      <w:r>
        <w:rPr>
          <w:rFonts w:hint="eastAsia" w:ascii="宋体" w:hAnsi="宋体" w:eastAsia="宋体" w:cs="宋体"/>
          <w:b/>
          <w:bCs/>
          <w:color w:val="auto"/>
          <w:sz w:val="24"/>
          <w:szCs w:val="24"/>
          <w:highlight w:val="none"/>
        </w:rPr>
        <w:t>否则按无效投标处理</w:t>
      </w:r>
      <w:r>
        <w:rPr>
          <w:rFonts w:hint="eastAsia" w:ascii="宋体" w:hAnsi="宋体" w:eastAsia="宋体" w:cs="宋体"/>
          <w:color w:val="auto"/>
          <w:sz w:val="24"/>
          <w:szCs w:val="24"/>
          <w:highlight w:val="none"/>
        </w:rPr>
        <w:t>；</w:t>
      </w:r>
      <w:bookmarkEnd w:id="152"/>
    </w:p>
    <w:p w14:paraId="127253C0">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2.法人、其他组织投标时“我方”是指“我单位”，自然人投标时“我方”是指“本人”。</w:t>
      </w:r>
    </w:p>
    <w:p w14:paraId="7982C5D3">
      <w:pPr>
        <w:rPr>
          <w:rFonts w:hint="eastAsia"/>
          <w:lang w:val="en-US" w:eastAsia="zh-CN"/>
        </w:rPr>
      </w:pPr>
      <w:r>
        <w:rPr>
          <w:rFonts w:hint="eastAsia"/>
          <w:lang w:val="en-US" w:eastAsia="zh-CN"/>
        </w:rPr>
        <w:br w:type="page"/>
      </w:r>
    </w:p>
    <w:p w14:paraId="792DB423">
      <w:pPr>
        <w:pageBreakBefore w:val="0"/>
        <w:numPr>
          <w:ilvl w:val="0"/>
          <w:numId w:val="12"/>
        </w:numPr>
        <w:kinsoku/>
        <w:overflowPunct/>
        <w:topLinePunct w:val="0"/>
        <w:bidi w:val="0"/>
        <w:spacing w:line="24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商务要求偏离表格式</w:t>
      </w:r>
    </w:p>
    <w:p w14:paraId="3FA8ECDF">
      <w:pPr>
        <w:spacing w:line="500" w:lineRule="exact"/>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商务要求偏离表</w:t>
      </w:r>
    </w:p>
    <w:p w14:paraId="72F7A79C">
      <w:pPr>
        <w:pageBreakBefore w:val="0"/>
        <w:numPr>
          <w:ilvl w:val="0"/>
          <w:numId w:val="0"/>
        </w:numPr>
        <w:kinsoku/>
        <w:overflowPunct/>
        <w:topLinePunct w:val="0"/>
        <w:bidi w:val="0"/>
        <w:spacing w:line="240" w:lineRule="auto"/>
        <w:rPr>
          <w:rFonts w:hint="eastAsia" w:ascii="宋体" w:hAnsi="宋体" w:eastAsia="宋体" w:cs="宋体"/>
          <w:b/>
          <w:color w:val="auto"/>
          <w:sz w:val="30"/>
          <w:szCs w:val="30"/>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C2A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4CD15E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14:paraId="7F440498">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14:paraId="6F36802F">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2181" w:type="dxa"/>
            <w:vAlign w:val="center"/>
          </w:tcPr>
          <w:p w14:paraId="6F546DCF">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1934" w:type="dxa"/>
            <w:vAlign w:val="center"/>
          </w:tcPr>
          <w:p w14:paraId="79F1198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293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E79261">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14:paraId="4BF437F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14:paraId="62DB1827">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14:paraId="4D61B4BF">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14:paraId="418D6D8F">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14:paraId="5EAC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89B6BC0">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27F9FA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257A92C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56AD5E3C">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639345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60C5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55B99A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594F0D6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10B2168A">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033DE39C">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578BB8A9">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461A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6FA58F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1B8D8A5C">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66D45D9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6EAD4BE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4860EA6B">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1A0B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DFF2A9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5E07884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59C936E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FAB7F6B">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4B66C494">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3193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B6F15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1D5E4A2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760FF49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2C1EF9F0">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DC8DB65">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14:paraId="43CDE82F">
      <w:pPr>
        <w:pStyle w:val="7"/>
        <w:pageBreakBefore w:val="0"/>
        <w:kinsoku/>
        <w:overflowPunct/>
        <w:topLinePunct w:val="0"/>
        <w:bidi w:val="0"/>
        <w:spacing w:line="240" w:lineRule="auto"/>
        <w:rPr>
          <w:rFonts w:hint="eastAsia" w:ascii="宋体" w:hAnsi="宋体" w:eastAsia="宋体" w:cs="宋体"/>
          <w:color w:val="auto"/>
          <w:sz w:val="24"/>
          <w:szCs w:val="24"/>
          <w:highlight w:val="none"/>
        </w:rPr>
      </w:pPr>
    </w:p>
    <w:p w14:paraId="2634E5C7">
      <w:pPr>
        <w:pStyle w:val="7"/>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8F5EB24">
      <w:pPr>
        <w:pStyle w:val="12"/>
        <w:pageBreakBefore w:val="0"/>
        <w:kinsoku/>
        <w:overflowPunct/>
        <w:topLinePunct w:val="0"/>
        <w:bidi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文件“第二章 采购需求”中的商务要求逐条作明确的投标响应，并作出偏离说明。</w:t>
      </w:r>
    </w:p>
    <w:p w14:paraId="2444251E">
      <w:pPr>
        <w:pStyle w:val="7"/>
        <w:pageBreakBefore w:val="0"/>
        <w:kinsoku/>
        <w:overflowPunct/>
        <w:topLinePunct w:val="0"/>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2.投标人应根据自身的承诺，对照</w:t>
      </w:r>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文件要求在“偏离说明”中注明“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”或者“</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”。既不属于“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”也不属于“</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”即为“</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w:t>
      </w:r>
    </w:p>
    <w:p w14:paraId="0A1CAA61">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4C178AE4">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0A7900CC">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投标人名称（</w:t>
      </w:r>
      <w:r>
        <w:rPr>
          <w:rFonts w:hint="eastAsia" w:ascii="宋体" w:hAnsi="宋体" w:eastAsia="宋体" w:cs="宋体"/>
          <w:color w:val="auto"/>
          <w:sz w:val="24"/>
          <w:szCs w:val="24"/>
          <w:highlight w:val="none"/>
        </w:rPr>
        <w:t>公章</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w:t>
      </w:r>
    </w:p>
    <w:p w14:paraId="710796B9">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4"/>
          <w:szCs w:val="24"/>
          <w:highlight w:val="none"/>
        </w:rPr>
        <w:t>日  期：</w:t>
      </w:r>
      <w:r>
        <w:rPr>
          <w:rFonts w:hint="eastAsia" w:ascii="宋体" w:hAnsi="宋体" w:eastAsia="宋体" w:cs="宋体"/>
          <w:color w:val="auto"/>
          <w:spacing w:val="20"/>
          <w:sz w:val="24"/>
          <w:szCs w:val="24"/>
          <w:highlight w:val="none"/>
          <w:u w:val="single"/>
        </w:rPr>
        <w:t xml:space="preserve">         </w:t>
      </w:r>
    </w:p>
    <w:p w14:paraId="26ECAA2F">
      <w:pPr>
        <w:numPr>
          <w:ilvl w:val="0"/>
          <w:numId w:val="0"/>
        </w:numPr>
        <w:ind w:leftChars="0"/>
        <w:rPr>
          <w:rFonts w:hint="eastAsia"/>
          <w:lang w:val="en-US" w:eastAsia="zh-CN"/>
        </w:rPr>
        <w:sectPr>
          <w:footerReference r:id="rId6"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br w:type="page"/>
      </w:r>
    </w:p>
    <w:p w14:paraId="51D210D7">
      <w:pPr>
        <w:pageBreakBefore w:val="0"/>
        <w:numPr>
          <w:ilvl w:val="0"/>
          <w:numId w:val="0"/>
        </w:numPr>
        <w:kinsoku/>
        <w:overflowPunct/>
        <w:topLinePunct w:val="0"/>
        <w:bidi w:val="0"/>
        <w:spacing w:line="240" w:lineRule="auto"/>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7.服务承诺</w:t>
      </w:r>
    </w:p>
    <w:p w14:paraId="0F510CC9">
      <w:pPr>
        <w:pageBreakBefore w:val="0"/>
        <w:kinsoku/>
        <w:overflowPunct/>
        <w:topLinePunct w:val="0"/>
        <w:bidi w:val="0"/>
        <w:spacing w:line="240" w:lineRule="auto"/>
        <w:jc w:val="center"/>
        <w:rPr>
          <w:rFonts w:hint="eastAsia" w:ascii="宋体" w:hAnsi="宋体" w:cs="Times New Roman"/>
          <w:b/>
          <w:bCs/>
          <w:kern w:val="2"/>
          <w:sz w:val="24"/>
          <w:szCs w:val="24"/>
          <w:lang w:val="en-US" w:eastAsia="zh-CN" w:bidi="ar-SA"/>
        </w:rPr>
      </w:pPr>
    </w:p>
    <w:p w14:paraId="2C603959">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6E3EEA00">
      <w:pPr>
        <w:numPr>
          <w:ilvl w:val="0"/>
          <w:numId w:val="0"/>
        </w:numPr>
        <w:ind w:leftChars="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447E938E">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四、技术文件格式</w:t>
      </w:r>
    </w:p>
    <w:p w14:paraId="2DDC6C6B">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1.技术文件封面格式： </w:t>
      </w:r>
    </w:p>
    <w:p w14:paraId="556CD71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p>
    <w:p w14:paraId="1CB608A6">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790FE017">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p>
    <w:p w14:paraId="24E48E9D">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术</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文</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件</w:t>
      </w:r>
    </w:p>
    <w:p w14:paraId="7F1C2902">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6306BE4">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E5496D6">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7AAE3A1">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587013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D7020E3">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FDE30C0">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C4A7AE4">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14:paraId="5CD3C01F">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102D339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3229512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14:paraId="3859E35B">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分标：</w:t>
      </w:r>
      <w:r>
        <w:rPr>
          <w:rFonts w:hint="eastAsia" w:ascii="宋体" w:hAnsi="宋体" w:eastAsia="宋体" w:cs="宋体"/>
          <w:bCs/>
          <w:color w:val="auto"/>
          <w:sz w:val="28"/>
          <w:szCs w:val="28"/>
          <w:highlight w:val="none"/>
        </w:rPr>
        <w:t xml:space="preserve"> </w:t>
      </w:r>
    </w:p>
    <w:p w14:paraId="263231C2">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199F21F5">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1D1D80B2">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E31B08E">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0F1B4C17">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02F3FB6">
      <w:pPr>
        <w:rPr>
          <w:rFonts w:hint="eastAsia"/>
          <w:lang w:val="en-US" w:eastAsia="zh-CN"/>
        </w:rPr>
      </w:pPr>
      <w:r>
        <w:rPr>
          <w:rFonts w:hint="eastAsia"/>
          <w:lang w:val="en-US" w:eastAsia="zh-CN"/>
        </w:rPr>
        <w:br w:type="page"/>
      </w:r>
    </w:p>
    <w:p w14:paraId="2C04568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2.技术文件目录</w:t>
      </w:r>
    </w:p>
    <w:p w14:paraId="27DA1C0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4DFE5214">
      <w:pPr>
        <w:rPr>
          <w:rFonts w:hint="eastAsia"/>
          <w:lang w:val="en-US" w:eastAsia="zh-CN"/>
        </w:rPr>
      </w:pPr>
      <w:r>
        <w:rPr>
          <w:rFonts w:hint="eastAsia"/>
          <w:lang w:val="en-US" w:eastAsia="zh-CN"/>
        </w:rPr>
        <w:br w:type="page"/>
      </w:r>
    </w:p>
    <w:p w14:paraId="215E2BEA">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3.技术要求偏离表格式</w:t>
      </w:r>
    </w:p>
    <w:p w14:paraId="7FF77065">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79AAC45B">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技术要求偏离表</w:t>
      </w:r>
    </w:p>
    <w:p w14:paraId="4592B6A1">
      <w:pPr>
        <w:pageBreakBefore w:val="0"/>
        <w:kinsoku/>
        <w:overflowPunct/>
        <w:topLinePunct w:val="0"/>
        <w:bidi w:val="0"/>
        <w:spacing w:line="240" w:lineRule="auto"/>
        <w:rPr>
          <w:rFonts w:hint="eastAsia" w:ascii="宋体" w:hAnsi="宋体" w:eastAsia="宋体" w:cs="宋体"/>
          <w:color w:val="auto"/>
          <w:kern w:val="0"/>
          <w:sz w:val="21"/>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ED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E73FB0B">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14:paraId="7F29BE5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14:paraId="0762EB13">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c>
          <w:tcPr>
            <w:tcW w:w="2181" w:type="dxa"/>
            <w:vAlign w:val="center"/>
          </w:tcPr>
          <w:p w14:paraId="2E176846">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vAlign w:val="center"/>
          </w:tcPr>
          <w:p w14:paraId="414F81C9">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0DC1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23B379">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14:paraId="232FD3D4">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14:paraId="3FDAA539">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14:paraId="70189943">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14:paraId="03A6ABFE">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14:paraId="6B94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02A744">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F83D5EB">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43E9A93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52977D1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3E2B4A2">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6F54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A9FAB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226B80D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3A06099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5F05DAB4">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757D17AD">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7966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E0EE2A">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12AB3224">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281D27B7">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6A4A592A">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267A090C">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4AB6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DC8422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36ABDE2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051A1A9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09A5D4A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36BEA1F4">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5E05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AEC1093">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5CF3A1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7AC00537">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2B73055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39573A29">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14:paraId="47254525">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p>
    <w:p w14:paraId="6A73C693">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76388C7B">
      <w:pPr>
        <w:pageBreakBefore w:val="0"/>
        <w:kinsoku/>
        <w:overflowPunct/>
        <w:topLinePunct w:val="0"/>
        <w:bidi w:val="0"/>
        <w:spacing w:line="24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文件“第二章 采购需求”中的“技术要求”</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作明确的投标响应，并作出偏离说明。</w:t>
      </w:r>
    </w:p>
    <w:p w14:paraId="4424B56B">
      <w:pPr>
        <w:pageBreakBefore w:val="0"/>
        <w:kinsoku/>
        <w:overflowPunct/>
        <w:topLinePunct w:val="0"/>
        <w:bidi w:val="0"/>
        <w:spacing w:line="240" w:lineRule="auto"/>
        <w:contextualSpacing/>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2.投标人应根据自身的承诺，对照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文件要求，在“偏离说明”中注明“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”或者“</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”。既不属于“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”也不属于“</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”即为“</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w:t>
      </w:r>
    </w:p>
    <w:p w14:paraId="722D9B78">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30EA8E55">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4039F13A">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03706490">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3D05D31B">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14:paraId="54B2620D">
      <w:pPr>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val="en-US" w:eastAsia="zh-CN"/>
        </w:rPr>
        <w:br w:type="page"/>
      </w:r>
    </w:p>
    <w:p w14:paraId="607B7E3C">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4.服务方案</w:t>
      </w:r>
    </w:p>
    <w:p w14:paraId="0BB3CF48">
      <w:pPr>
        <w:rPr>
          <w:rFonts w:hint="eastAsia"/>
          <w:sz w:val="24"/>
          <w:szCs w:val="24"/>
          <w:lang w:val="en-US" w:eastAsia="zh-CN"/>
        </w:rPr>
      </w:pPr>
    </w:p>
    <w:p w14:paraId="766D6F1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2CB0C5AD">
      <w:pPr>
        <w:rPr>
          <w:rFonts w:hint="default"/>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7DD74156">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4.项目实施人员一览表格式</w:t>
      </w:r>
    </w:p>
    <w:p w14:paraId="2508DEEC">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627911BB">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项目实施人员一览表</w:t>
      </w:r>
    </w:p>
    <w:p w14:paraId="39D7577B">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611"/>
        <w:gridCol w:w="4888"/>
        <w:gridCol w:w="922"/>
        <w:gridCol w:w="1698"/>
        <w:gridCol w:w="1232"/>
      </w:tblGrid>
      <w:tr w14:paraId="590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E626C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0" w:type="auto"/>
            <w:vAlign w:val="center"/>
          </w:tcPr>
          <w:p w14:paraId="3B6D4A4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0" w:type="auto"/>
            <w:vAlign w:val="center"/>
          </w:tcPr>
          <w:p w14:paraId="3039970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专业技术资格（职称）或者职业资格或者执业资格证或者其他证书</w:t>
            </w:r>
          </w:p>
        </w:tc>
        <w:tc>
          <w:tcPr>
            <w:tcW w:w="0" w:type="auto"/>
            <w:vAlign w:val="center"/>
          </w:tcPr>
          <w:p w14:paraId="1356A7C4">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0" w:type="auto"/>
            <w:vAlign w:val="center"/>
          </w:tcPr>
          <w:p w14:paraId="74A39C85">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参加本单位工作时间</w:t>
            </w:r>
          </w:p>
        </w:tc>
        <w:tc>
          <w:tcPr>
            <w:tcW w:w="0" w:type="auto"/>
            <w:vAlign w:val="center"/>
          </w:tcPr>
          <w:p w14:paraId="7E00D00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劳动合同编号</w:t>
            </w:r>
          </w:p>
        </w:tc>
      </w:tr>
      <w:tr w14:paraId="6AC2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C56DA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01E7C26">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178B676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942B42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4EB7DAB5">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31A0FD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14:paraId="2772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45BA47">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1ED2410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4B9C8457">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A9F247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B98E71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D683D86">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14:paraId="7F07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96EFBB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53EAD00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570EAEF4">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5FBFA62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5D818A46">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8AFC0B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bl>
    <w:p w14:paraId="73CA4F5D">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4"/>
          <w:szCs w:val="24"/>
          <w:highlight w:val="none"/>
        </w:rPr>
      </w:pPr>
    </w:p>
    <w:p w14:paraId="1DA9437D">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834CB1E">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1.在填写时，如本表格不适合投标单位的实际情况，可根据本表格式自行制表填写。</w:t>
      </w:r>
    </w:p>
    <w:p w14:paraId="16408912">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2.投标人应当附本表所列证书的复印件并加盖投标人公章。</w:t>
      </w:r>
    </w:p>
    <w:p w14:paraId="473F7772">
      <w:pPr>
        <w:pageBreakBefore w:val="0"/>
        <w:kinsoku/>
        <w:overflowPunct/>
        <w:topLinePunct w:val="0"/>
        <w:bidi w:val="0"/>
        <w:spacing w:line="240" w:lineRule="auto"/>
        <w:contextualSpacing/>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0BCD244E">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14:paraId="510217EE">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7D5ABF0B">
      <w:pPr>
        <w:rPr>
          <w:rFonts w:hint="eastAsia"/>
          <w:lang w:val="en-US" w:eastAsia="zh-CN"/>
        </w:rPr>
      </w:pPr>
      <w:r>
        <w:rPr>
          <w:rFonts w:hint="eastAsia"/>
          <w:lang w:val="en-US" w:eastAsia="zh-CN"/>
        </w:rPr>
        <w:br w:type="page"/>
      </w:r>
    </w:p>
    <w:p w14:paraId="58D4F7AB">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t>五、其他文书、文件格式</w:t>
      </w:r>
    </w:p>
    <w:p w14:paraId="5514E874">
      <w:pPr>
        <w:pageBreakBefore w:val="0"/>
        <w:kinsoku/>
        <w:overflowPunct/>
        <w:topLinePunct w:val="0"/>
        <w:bidi w:val="0"/>
        <w:spacing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1.质疑函（格式）</w:t>
      </w:r>
    </w:p>
    <w:p w14:paraId="765911BD">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质疑函（格式）</w:t>
      </w:r>
    </w:p>
    <w:p w14:paraId="09C39FE2">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2C04F39">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11A656">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6FAFC4C">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4B6F298">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7E5C0C4">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B19349">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ABDB6DA">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749F188">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F692F38">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BC6773F">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AC30C13">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4B8D877">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68AB955D">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237912C2">
      <w:pPr>
        <w:pStyle w:val="13"/>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□采购结果   </w:t>
      </w:r>
    </w:p>
    <w:p w14:paraId="3E7BCCFE">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8CB82FD">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981B89A">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F587F6F">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A6EBB89">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2E12849">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7AAF408">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3FA831C">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8A63483">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0951EC25">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8650465">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607C8D5">
      <w:pPr>
        <w:pStyle w:val="13"/>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p>
    <w:p w14:paraId="10B9D957">
      <w:pPr>
        <w:pStyle w:val="13"/>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2B035FA">
      <w:pPr>
        <w:pStyle w:val="13"/>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3DF660F">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724475">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EB11715">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CA38490">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30E0C7D">
      <w:pPr>
        <w:pStyle w:val="13"/>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1045F535">
      <w:pPr>
        <w:rPr>
          <w:rFonts w:hint="eastAsia"/>
          <w:lang w:val="en-US" w:eastAsia="zh-CN"/>
        </w:rPr>
      </w:pPr>
      <w:r>
        <w:rPr>
          <w:rFonts w:hint="eastAsia"/>
          <w:lang w:val="en-US" w:eastAsia="zh-CN"/>
        </w:rPr>
        <w:br w:type="page"/>
      </w:r>
    </w:p>
    <w:p w14:paraId="652710E8">
      <w:pPr>
        <w:pageBreakBefore w:val="0"/>
        <w:kinsoku/>
        <w:overflowPunct/>
        <w:topLinePunct w:val="0"/>
        <w:bidi w:val="0"/>
        <w:spacing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2.投诉书（格式）</w:t>
      </w:r>
    </w:p>
    <w:p w14:paraId="12D6E17D">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投诉书（格式）</w:t>
      </w:r>
    </w:p>
    <w:p w14:paraId="3CC8B46F">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87265D2">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27A6095">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D1B903">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5A84E3C5">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5ADE58">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1794BB8">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FB279C8">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598234F">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3FDF2B0">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38CB048">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299E795">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04AC071">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E2DE8A7">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DAE4450">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2A9585E">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3D45070B">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065983D">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2788FD9A">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E16C7C4">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E52BA85">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C9147CD">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2284970">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962AB92">
      <w:pPr>
        <w:pStyle w:val="13"/>
        <w:pageBreakBefore w:val="0"/>
        <w:kinsoku/>
        <w:overflowPunct/>
        <w:topLinePunct w:val="0"/>
        <w:bidi w:val="0"/>
        <w:spacing w:line="24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1C05BFF">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4C7CFBE">
      <w:pPr>
        <w:pStyle w:val="13"/>
        <w:pageBreakBefore w:val="0"/>
        <w:kinsoku/>
        <w:overflowPunct/>
        <w:topLinePunct w:val="0"/>
        <w:bidi w:val="0"/>
        <w:spacing w:line="240" w:lineRule="auto"/>
        <w:ind w:left="25" w:lef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A9D9FD3">
      <w:pPr>
        <w:pStyle w:val="13"/>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498F3C">
      <w:pPr>
        <w:pStyle w:val="13"/>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6AFCAC9">
      <w:pPr>
        <w:pStyle w:val="13"/>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E7DA0D7">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BB000F9">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3D41AAB">
      <w:pPr>
        <w:pStyle w:val="13"/>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0487C94">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93C6A98">
      <w:pPr>
        <w:pStyle w:val="13"/>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1B1CAF6">
      <w:pPr>
        <w:pStyle w:val="13"/>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4BC4F8F">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7F264E">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4D7E03">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7216154">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BF0D8DC">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36554663">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FDDA4CD">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31154401">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BC38DBF">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3553808E">
      <w:pPr>
        <w:pStyle w:val="13"/>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4C9A252">
      <w:pPr>
        <w:pStyle w:val="13"/>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0334AC93">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7E3EDF">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C1A8E1F">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578836F">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FE77724">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307CD288"/>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EA26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13BB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13BB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C8F9">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1719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1719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C3EE">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D772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8D772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897F">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0C272"/>
    <w:multiLevelType w:val="singleLevel"/>
    <w:tmpl w:val="CF50C272"/>
    <w:lvl w:ilvl="0" w:tentative="0">
      <w:start w:val="1"/>
      <w:numFmt w:val="decimal"/>
      <w:suff w:val="nothing"/>
      <w:lvlText w:val="（%1）"/>
      <w:lvlJc w:val="left"/>
    </w:lvl>
  </w:abstractNum>
  <w:abstractNum w:abstractNumId="1">
    <w:nsid w:val="EAE71651"/>
    <w:multiLevelType w:val="singleLevel"/>
    <w:tmpl w:val="EAE71651"/>
    <w:lvl w:ilvl="0" w:tentative="0">
      <w:start w:val="14"/>
      <w:numFmt w:val="decimal"/>
      <w:lvlText w:val="%1."/>
      <w:lvlJc w:val="left"/>
      <w:pPr>
        <w:tabs>
          <w:tab w:val="left" w:pos="312"/>
        </w:tabs>
      </w:pPr>
    </w:lvl>
  </w:abstractNum>
  <w:abstractNum w:abstractNumId="2">
    <w:nsid w:val="F6BEBEDD"/>
    <w:multiLevelType w:val="singleLevel"/>
    <w:tmpl w:val="F6BEBEDD"/>
    <w:lvl w:ilvl="0" w:tentative="0">
      <w:start w:val="6"/>
      <w:numFmt w:val="decimal"/>
      <w:lvlText w:val="%1."/>
      <w:lvlJc w:val="left"/>
      <w:pPr>
        <w:tabs>
          <w:tab w:val="left" w:pos="312"/>
        </w:tabs>
      </w:pPr>
    </w:lvl>
  </w:abstractNum>
  <w:abstractNum w:abstractNumId="3">
    <w:nsid w:val="FAF085C6"/>
    <w:multiLevelType w:val="singleLevel"/>
    <w:tmpl w:val="FAF085C6"/>
    <w:lvl w:ilvl="0" w:tentative="0">
      <w:start w:val="21"/>
      <w:numFmt w:val="decimal"/>
      <w:lvlText w:val="%1."/>
      <w:lvlJc w:val="left"/>
      <w:pPr>
        <w:tabs>
          <w:tab w:val="left" w:pos="312"/>
        </w:tabs>
      </w:pPr>
    </w:lvl>
  </w:abstractNum>
  <w:abstractNum w:abstractNumId="4">
    <w:nsid w:val="FDB17BBD"/>
    <w:multiLevelType w:val="singleLevel"/>
    <w:tmpl w:val="FDB17BBD"/>
    <w:lvl w:ilvl="0" w:tentative="0">
      <w:start w:val="2"/>
      <w:numFmt w:val="decimal"/>
      <w:suff w:val="space"/>
      <w:lvlText w:val="%1、"/>
      <w:lvlJc w:val="left"/>
    </w:lvl>
  </w:abstractNum>
  <w:abstractNum w:abstractNumId="5">
    <w:nsid w:val="FFBF38EA"/>
    <w:multiLevelType w:val="singleLevel"/>
    <w:tmpl w:val="FFBF38EA"/>
    <w:lvl w:ilvl="0" w:tentative="0">
      <w:start w:val="1"/>
      <w:numFmt w:val="decimal"/>
      <w:suff w:val="nothing"/>
      <w:lvlText w:val="%1、"/>
      <w:lvlJc w:val="left"/>
    </w:lvl>
  </w:abstractNum>
  <w:abstractNum w:abstractNumId="6">
    <w:nsid w:val="1867B968"/>
    <w:multiLevelType w:val="singleLevel"/>
    <w:tmpl w:val="1867B968"/>
    <w:lvl w:ilvl="0" w:tentative="0">
      <w:start w:val="4"/>
      <w:numFmt w:val="chineseCounting"/>
      <w:suff w:val="nothing"/>
      <w:lvlText w:val="（%1）"/>
      <w:lvlJc w:val="left"/>
      <w:rPr>
        <w:rFonts w:hint="eastAsia"/>
      </w:rPr>
    </w:lvl>
  </w:abstractNum>
  <w:abstractNum w:abstractNumId="7">
    <w:nsid w:val="202502F8"/>
    <w:multiLevelType w:val="singleLevel"/>
    <w:tmpl w:val="202502F8"/>
    <w:lvl w:ilvl="0" w:tentative="0">
      <w:start w:val="31"/>
      <w:numFmt w:val="decimal"/>
      <w:lvlText w:val="%1."/>
      <w:lvlJc w:val="left"/>
      <w:pPr>
        <w:tabs>
          <w:tab w:val="left" w:pos="312"/>
        </w:tabs>
      </w:p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74754351"/>
    <w:multiLevelType w:val="singleLevel"/>
    <w:tmpl w:val="74754351"/>
    <w:lvl w:ilvl="0" w:tentative="0">
      <w:start w:val="1"/>
      <w:numFmt w:val="chineseCounting"/>
      <w:suff w:val="nothing"/>
      <w:lvlText w:val="（%1）"/>
      <w:lvlJc w:val="left"/>
      <w:rPr>
        <w:rFonts w:hint="eastAsia"/>
      </w:rPr>
    </w:lvl>
  </w:abstractNum>
  <w:num w:numId="1">
    <w:abstractNumId w:val="8"/>
  </w:num>
  <w:num w:numId="2">
    <w:abstractNumId w:val="11"/>
  </w:num>
  <w:num w:numId="3">
    <w:abstractNumId w:val="6"/>
  </w:num>
  <w:num w:numId="4">
    <w:abstractNumId w:val="0"/>
  </w:num>
  <w:num w:numId="5">
    <w:abstractNumId w:val="1"/>
  </w:num>
  <w:num w:numId="6">
    <w:abstractNumId w:val="3"/>
  </w:num>
  <w:num w:numId="7">
    <w:abstractNumId w:val="7"/>
  </w:num>
  <w:num w:numId="8">
    <w:abstractNumId w:val="9"/>
  </w:num>
  <w:num w:numId="9">
    <w:abstractNumId w:val="10"/>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F104C"/>
    <w:rsid w:val="007F405A"/>
    <w:rsid w:val="077F358D"/>
    <w:rsid w:val="0CE43467"/>
    <w:rsid w:val="10593779"/>
    <w:rsid w:val="17B36104"/>
    <w:rsid w:val="1A277DD2"/>
    <w:rsid w:val="1E436338"/>
    <w:rsid w:val="1F0E58E1"/>
    <w:rsid w:val="21FC728C"/>
    <w:rsid w:val="271651E8"/>
    <w:rsid w:val="287A25A4"/>
    <w:rsid w:val="3A7572F2"/>
    <w:rsid w:val="3BED123C"/>
    <w:rsid w:val="3D356C89"/>
    <w:rsid w:val="40BE32FF"/>
    <w:rsid w:val="547E6648"/>
    <w:rsid w:val="5FE71D9B"/>
    <w:rsid w:val="62AC31F3"/>
    <w:rsid w:val="62C751DF"/>
    <w:rsid w:val="64DF104C"/>
    <w:rsid w:val="69C32DBF"/>
    <w:rsid w:val="739D1164"/>
    <w:rsid w:val="7662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5"/>
    <w:basedOn w:val="1"/>
    <w:next w:val="5"/>
    <w:qFormat/>
    <w:uiPriority w:val="0"/>
    <w:pPr>
      <w:keepNext/>
      <w:keepLines/>
      <w:numPr>
        <w:ilvl w:val="4"/>
        <w:numId w:val="1"/>
      </w:numPr>
      <w:spacing w:before="280" w:after="290" w:line="376" w:lineRule="auto"/>
      <w:outlineLvl w:val="4"/>
    </w:pPr>
    <w:rPr>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annotation text"/>
    <w:basedOn w:val="1"/>
    <w:unhideWhenUsed/>
    <w:qFormat/>
    <w:uiPriority w:val="0"/>
    <w:pPr>
      <w:jc w:val="left"/>
    </w:pPr>
  </w:style>
  <w:style w:type="paragraph" w:styleId="7">
    <w:name w:val="Body Text 3"/>
    <w:basedOn w:val="1"/>
    <w:qFormat/>
    <w:uiPriority w:val="0"/>
    <w:pPr>
      <w:spacing w:line="500" w:lineRule="exact"/>
    </w:pPr>
    <w:rPr>
      <w:b/>
      <w:bCs/>
      <w:kern w:val="0"/>
      <w:sz w:val="24"/>
    </w:rPr>
  </w:style>
  <w:style w:type="paragraph" w:styleId="8">
    <w:name w:val="Body Text"/>
    <w:basedOn w:val="1"/>
    <w:next w:val="9"/>
    <w:unhideWhenUsed/>
    <w:qFormat/>
    <w:uiPriority w:val="0"/>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next w:val="14"/>
    <w:qFormat/>
    <w:uiPriority w:val="0"/>
    <w:rPr>
      <w:rFonts w:ascii="宋体" w:hAnsi="Courier New" w:cs="Courier New"/>
      <w:szCs w:val="21"/>
    </w:rPr>
  </w:style>
  <w:style w:type="paragraph" w:customStyle="1" w:styleId="14">
    <w:name w:val="TOC 标题2"/>
    <w:next w:val="1"/>
    <w:qFormat/>
    <w:uiPriority w:val="0"/>
    <w:pPr>
      <w:wordWrap w:val="0"/>
    </w:pPr>
    <w:rPr>
      <w:rFonts w:ascii="Times New Roman" w:hAnsi="Times New Roman" w:eastAsia="宋体" w:cs="Times New Roman"/>
      <w:sz w:val="32"/>
      <w:lang w:val="en-US" w:eastAsia="zh-CN" w:bidi="ar-SA"/>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Title"/>
    <w:basedOn w:val="1"/>
    <w:next w:val="1"/>
    <w:qFormat/>
    <w:uiPriority w:val="0"/>
    <w:pPr>
      <w:widowControl w:val="0"/>
      <w:adjustRightInd/>
      <w:snapToGrid/>
      <w:spacing w:before="60" w:after="120" w:line="560" w:lineRule="exact"/>
      <w:jc w:val="center"/>
      <w:outlineLvl w:val="0"/>
    </w:pPr>
    <w:rPr>
      <w:rFonts w:ascii="Times New Roman" w:hAnsi="Times New Roman" w:eastAsia="方正小标宋简体"/>
      <w:bCs/>
      <w:kern w:val="2"/>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样式 0正文 + 首行缩进:  2 字符1"/>
    <w:basedOn w:val="1"/>
    <w:qFormat/>
    <w:uiPriority w:val="99"/>
    <w:pPr>
      <w:spacing w:line="360" w:lineRule="auto"/>
      <w:ind w:firstLine="200" w:firstLineChars="200"/>
    </w:pPr>
    <w:rPr>
      <w:szCs w:val="20"/>
    </w:rPr>
  </w:style>
  <w:style w:type="paragraph" w:customStyle="1" w:styleId="25">
    <w:name w:val="&gt;公告 正文"/>
    <w:qFormat/>
    <w:uiPriority w:val="0"/>
    <w:pPr>
      <w:spacing w:line="360" w:lineRule="auto"/>
      <w:ind w:firstLine="480" w:firstLineChars="200"/>
    </w:pPr>
    <w:rPr>
      <w:rFonts w:ascii="宋体" w:hAnsi="宋体" w:eastAsia="宋体" w:cs="Times New Roman"/>
      <w:kern w:val="2"/>
      <w:sz w:val="21"/>
      <w:szCs w:val="21"/>
      <w:lang w:val="en-US" w:eastAsia="zh-CN" w:bidi="ar-SA"/>
    </w:rPr>
  </w:style>
  <w:style w:type="paragraph" w:customStyle="1" w:styleId="26">
    <w:name w:val="Table Text"/>
    <w:basedOn w:val="1"/>
    <w:semiHidden/>
    <w:qFormat/>
    <w:uiPriority w:val="0"/>
    <w:rPr>
      <w:rFonts w:ascii="宋体" w:hAnsi="宋体" w:cs="宋体"/>
      <w:szCs w:val="21"/>
      <w:lang w:eastAsia="en-US"/>
    </w:rPr>
  </w:style>
  <w:style w:type="paragraph" w:customStyle="1" w:styleId="27">
    <w:name w:val="null3"/>
    <w:qFormat/>
    <w:uiPriority w:val="0"/>
    <w:rPr>
      <w:rFonts w:hint="eastAsia" w:ascii="Calibri" w:hAnsi="Calibri" w:eastAsia="宋体" w:cs="Times New Roman"/>
      <w:lang w:val="en-US" w:eastAsia="zh-Hans" w:bidi="ar-SA"/>
    </w:rPr>
  </w:style>
  <w:style w:type="character" w:customStyle="1" w:styleId="28">
    <w:name w:val="NormalCharacter"/>
    <w:qFormat/>
    <w:uiPriority w:val="0"/>
  </w:style>
  <w:style w:type="table" w:customStyle="1" w:styleId="29">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30">
    <w:name w:val="1"/>
    <w:basedOn w:val="1"/>
    <w:next w:val="31"/>
    <w:qFormat/>
    <w:uiPriority w:val="0"/>
    <w:rPr>
      <w:rFonts w:ascii="宋体" w:hAnsi="Courier New"/>
      <w:szCs w:val="20"/>
    </w:rPr>
  </w:style>
  <w:style w:type="paragraph" w:customStyle="1" w:styleId="31">
    <w:name w:val="纯文本1"/>
    <w:basedOn w:val="1"/>
    <w:qFormat/>
    <w:uiPriority w:val="0"/>
    <w:rPr>
      <w:rFonts w:ascii="宋体" w:hAnsi="Courier New" w:cs="Century"/>
      <w:szCs w:val="21"/>
    </w:rPr>
  </w:style>
  <w:style w:type="paragraph" w:customStyle="1" w:styleId="32">
    <w:name w:val="正文2"/>
    <w:basedOn w:val="1"/>
    <w:qFormat/>
    <w:uiPriority w:val="0"/>
    <w:pPr>
      <w:adjustRightInd w:val="0"/>
      <w:spacing w:before="156" w:line="360" w:lineRule="auto"/>
      <w:ind w:firstLine="510" w:firstLineChars="200"/>
    </w:pPr>
    <w:rPr>
      <w:sz w:val="24"/>
      <w:szCs w:val="20"/>
    </w:rPr>
  </w:style>
  <w:style w:type="paragraph" w:customStyle="1" w:styleId="33">
    <w:name w:val="表格文字"/>
    <w:basedOn w:val="12"/>
    <w:next w:val="8"/>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2899</Words>
  <Characters>3068</Characters>
  <Lines>0</Lines>
  <Paragraphs>0</Paragraphs>
  <TotalTime>10</TotalTime>
  <ScaleCrop>false</ScaleCrop>
  <LinksUpToDate>false</LinksUpToDate>
  <CharactersWithSpaces>3120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2026-01-08T01:38:00Z</dcterms:created>
  <dc:creator>admin</dc:creator>
  <cp:lastModifiedBy>admin</cp:lastModifiedBy>
  <cp:lastPrinted>2026-01-09T06:52:00Z</cp:lastPrinted>
  <dcterms:modified xsi:type="dcterms:W3CDTF">2026-01-27T01:27:48Z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4BA8096C573C44028BA196EB584C7DF0_13</vt:lpwstr>
  </property>
  <property fmtid="{D5CDD505-2E9C-101B-9397-08002B2CF9AE}" pid="4" name="KSOTemplateDocerSaveRecord">
    <vt:lpwstr>eyJoZGlkIjoiMDVmYmQyNGQ0MjFlMTU1ZjczZjdkY2EyMmVhNTVmNWQifQ==</vt:lpwstr>
  </property>
</Properties>
</file>