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themeColor="text1"/>
          <w:sz w:val="52"/>
          <w:szCs w:val="52"/>
          <w14:textFill>
            <w14:solidFill>
              <w14:schemeClr w14:val="tx1"/>
            </w14:solidFill>
          </w14:textFill>
        </w:rPr>
      </w:pPr>
      <w:r>
        <w:rPr>
          <w:rFonts w:hint="eastAsia" w:ascii="宋体" w:hAnsi="宋体" w:cs="宋体"/>
          <w:b/>
          <w:color w:val="000000" w:themeColor="text1"/>
          <w:sz w:val="52"/>
          <w:lang w:val="en-US" w:eastAsia="zh-CN"/>
          <w14:textFill>
            <w14:solidFill>
              <w14:schemeClr w14:val="tx1"/>
            </w14:solidFill>
          </w14:textFill>
        </w:rPr>
        <w:t xml:space="preserve"> </w:t>
      </w:r>
      <w:r>
        <w:rPr>
          <w:rFonts w:hint="eastAsia" w:ascii="宋体" w:hAnsi="宋体" w:cs="宋体"/>
          <w:b/>
          <w:color w:val="000000" w:themeColor="text1"/>
          <w:sz w:val="52"/>
          <w14:textFill>
            <w14:solidFill>
              <w14:schemeClr w14:val="tx1"/>
            </w14:solidFill>
          </w14:textFill>
        </w:rPr>
        <w:t>防城港市政府采购中心</w:t>
      </w:r>
    </w:p>
    <w:p>
      <w:pPr>
        <w:pStyle w:val="12"/>
        <w:rPr>
          <w:rFonts w:ascii="宋体" w:hAnsi="宋体" w:cs="宋体"/>
          <w:b/>
          <w:bCs/>
          <w:color w:val="000000" w:themeColor="text1"/>
          <w:sz w:val="52"/>
          <w:szCs w:val="52"/>
          <w14:textFill>
            <w14:solidFill>
              <w14:schemeClr w14:val="tx1"/>
            </w14:solidFill>
          </w14:textFill>
        </w:rPr>
      </w:pPr>
    </w:p>
    <w:p>
      <w:pPr>
        <w:adjustRightInd w:val="0"/>
        <w:snapToGrid w:val="0"/>
        <w:jc w:val="center"/>
        <w:rPr>
          <w:rFonts w:hint="eastAsia" w:ascii="宋体" w:hAnsi="宋体" w:eastAsia="宋体" w:cs="宋体"/>
          <w:b/>
          <w:bCs/>
          <w:spacing w:val="32"/>
          <w:sz w:val="84"/>
          <w:szCs w:val="21"/>
        </w:rPr>
      </w:pPr>
    </w:p>
    <w:p>
      <w:pPr>
        <w:adjustRightInd w:val="0"/>
        <w:snapToGrid w:val="0"/>
        <w:jc w:val="center"/>
        <w:rPr>
          <w:rFonts w:hint="eastAsia" w:ascii="宋体" w:hAnsi="宋体" w:eastAsia="宋体" w:cs="宋体"/>
          <w:b/>
          <w:bCs/>
          <w:spacing w:val="32"/>
          <w:sz w:val="72"/>
          <w:szCs w:val="72"/>
        </w:rPr>
      </w:pPr>
      <w:r>
        <w:rPr>
          <w:rFonts w:hint="eastAsia" w:ascii="宋体" w:hAnsi="宋体" w:eastAsia="宋体" w:cs="宋体"/>
          <w:b/>
          <w:bCs/>
          <w:spacing w:val="32"/>
          <w:sz w:val="72"/>
          <w:szCs w:val="72"/>
        </w:rPr>
        <w:t>竞争性</w:t>
      </w:r>
      <w:bookmarkStart w:id="0" w:name="OLE_LINK18"/>
      <w:r>
        <w:rPr>
          <w:rFonts w:hint="eastAsia" w:ascii="宋体" w:hAnsi="宋体" w:eastAsia="宋体" w:cs="宋体"/>
          <w:b/>
          <w:bCs/>
          <w:spacing w:val="32"/>
          <w:sz w:val="72"/>
          <w:szCs w:val="72"/>
        </w:rPr>
        <w:t>磋商</w:t>
      </w:r>
      <w:bookmarkEnd w:id="0"/>
      <w:r>
        <w:rPr>
          <w:rFonts w:hint="eastAsia" w:ascii="宋体" w:hAnsi="宋体" w:eastAsia="宋体" w:cs="宋体"/>
          <w:b/>
          <w:bCs/>
          <w:spacing w:val="32"/>
          <w:sz w:val="72"/>
          <w:szCs w:val="72"/>
        </w:rPr>
        <w:t>文件</w:t>
      </w:r>
    </w:p>
    <w:p>
      <w:pPr>
        <w:spacing w:beforeLines="100" w:afterLines="50"/>
        <w:jc w:val="center"/>
        <w:rPr>
          <w:rFonts w:ascii="宋体" w:hAnsi="宋体" w:cs="宋体"/>
          <w:sz w:val="40"/>
          <w:szCs w:val="40"/>
        </w:rPr>
      </w:pPr>
      <w:r>
        <w:rPr>
          <w:rFonts w:hint="eastAsia" w:ascii="宋体" w:hAnsi="宋体" w:cs="宋体"/>
          <w:sz w:val="40"/>
          <w:szCs w:val="40"/>
        </w:rPr>
        <w:t>（全流程电子化采购）</w:t>
      </w:r>
    </w:p>
    <w:p>
      <w:pPr>
        <w:jc w:val="center"/>
        <w:rPr>
          <w:rFonts w:ascii="宋体" w:hAnsi="宋体" w:cs="宋体"/>
          <w:b/>
          <w:bCs/>
          <w:color w:val="000000" w:themeColor="text1"/>
          <w:sz w:val="52"/>
          <w:szCs w:val="52"/>
          <w14:textFill>
            <w14:solidFill>
              <w14:schemeClr w14:val="tx1"/>
            </w14:solidFill>
          </w14:textFill>
        </w:rPr>
      </w:pPr>
    </w:p>
    <w:p>
      <w:pPr>
        <w:jc w:val="center"/>
        <w:rPr>
          <w:rFonts w:ascii="宋体" w:hAnsi="宋体" w:cs="宋体"/>
          <w:b/>
          <w:bCs/>
          <w:color w:val="000000" w:themeColor="text1"/>
          <w:sz w:val="52"/>
          <w:szCs w:val="52"/>
          <w14:textFill>
            <w14:solidFill>
              <w14:schemeClr w14:val="tx1"/>
            </w14:solidFill>
          </w14:textFill>
        </w:rPr>
      </w:pPr>
    </w:p>
    <w:p>
      <w:pPr>
        <w:jc w:val="center"/>
        <w:rPr>
          <w:rFonts w:ascii="宋体" w:hAnsi="宋体" w:cs="宋体"/>
          <w:b/>
          <w:bCs/>
          <w:color w:val="000000" w:themeColor="text1"/>
          <w:sz w:val="52"/>
          <w:szCs w:val="52"/>
          <w14:textFill>
            <w14:solidFill>
              <w14:schemeClr w14:val="tx1"/>
            </w14:solidFill>
          </w14:textFill>
        </w:rPr>
      </w:pPr>
    </w:p>
    <w:p>
      <w:pPr>
        <w:jc w:val="center"/>
        <w:rPr>
          <w:rFonts w:hint="eastAsia" w:asciiTheme="minorEastAsia" w:hAnsiTheme="minorEastAsia" w:eastAsiaTheme="minorEastAsia" w:cstheme="minorEastAsia"/>
          <w:b/>
          <w:sz w:val="32"/>
          <w:szCs w:val="32"/>
        </w:rPr>
      </w:pPr>
      <w:r>
        <w:rPr>
          <w:rFonts w:hint="eastAsia" w:ascii="宋体" w:hAnsi="宋体" w:cs="宋体"/>
          <w:b/>
          <w:bCs/>
          <w:color w:val="000000" w:themeColor="text1"/>
          <w:sz w:val="32"/>
          <w:szCs w:val="32"/>
          <w14:textFill>
            <w14:solidFill>
              <w14:schemeClr w14:val="tx1"/>
            </w14:solidFill>
          </w14:textFill>
        </w:rPr>
        <w:t>项 目 名 称：</w:t>
      </w:r>
      <w:bookmarkStart w:id="1" w:name="OLE_LINK5"/>
      <w:r>
        <w:rPr>
          <w:rFonts w:hint="eastAsia" w:asciiTheme="minorEastAsia" w:hAnsiTheme="minorEastAsia" w:eastAsiaTheme="minorEastAsia" w:cstheme="minorEastAsia"/>
          <w:b/>
          <w:sz w:val="32"/>
          <w:szCs w:val="32"/>
        </w:rPr>
        <w:t>防城港口岸联检附楼物业服务采购</w:t>
      </w:r>
    </w:p>
    <w:bookmarkEnd w:id="1"/>
    <w:p>
      <w:pPr>
        <w:ind w:firstLine="1600" w:firstLineChars="500"/>
        <w:jc w:val="both"/>
        <w:rPr>
          <w:rFonts w:hint="default" w:ascii="宋体" w:hAnsi="宋体" w:cs="宋体"/>
          <w:b/>
          <w:bCs/>
          <w:color w:val="000000" w:themeColor="text1"/>
          <w:sz w:val="32"/>
          <w:szCs w:val="32"/>
          <w:lang w:val="en-US"/>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项 目 编 号：</w:t>
      </w:r>
      <w:r>
        <w:rPr>
          <w:rFonts w:hint="eastAsia" w:asciiTheme="minorEastAsia" w:hAnsiTheme="minorEastAsia" w:eastAsiaTheme="minorEastAsia" w:cstheme="minorEastAsia"/>
          <w:b/>
          <w:sz w:val="32"/>
          <w:szCs w:val="32"/>
        </w:rPr>
        <w:t>FCZC2025-C3-990201-FCGS</w:t>
      </w:r>
    </w:p>
    <w:p>
      <w:pPr>
        <w:ind w:firstLine="1600" w:firstLineChars="500"/>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ind w:firstLine="2240" w:firstLineChars="700"/>
        <w:rPr>
          <w:rFonts w:hint="eastAsia" w:ascii="宋体" w:hAnsi="宋体" w:eastAsia="宋体" w:cs="宋体"/>
          <w:b w:val="0"/>
          <w:bCs w:val="0"/>
          <w:color w:val="000000" w:themeColor="text1"/>
          <w:sz w:val="32"/>
          <w:szCs w:val="32"/>
          <w14:textFill>
            <w14:solidFill>
              <w14:schemeClr w14:val="tx1"/>
            </w14:solidFill>
          </w14:textFill>
        </w:rPr>
      </w:pPr>
    </w:p>
    <w:p>
      <w:pPr>
        <w:ind w:firstLine="2240" w:firstLineChars="70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采购</w:t>
      </w:r>
      <w:r>
        <w:rPr>
          <w:rFonts w:hint="eastAsia" w:ascii="宋体" w:hAnsi="宋体" w:cs="宋体"/>
          <w:b/>
          <w:bCs/>
          <w:color w:val="000000" w:themeColor="text1"/>
          <w:sz w:val="32"/>
          <w:szCs w:val="32"/>
          <w:lang w:val="en-US" w:eastAsia="zh-CN"/>
          <w14:textFill>
            <w14:solidFill>
              <w14:schemeClr w14:val="tx1"/>
            </w14:solidFill>
          </w14:textFill>
        </w:rPr>
        <w:t>人</w:t>
      </w:r>
      <w:r>
        <w:rPr>
          <w:rFonts w:hint="eastAsia" w:ascii="宋体" w:hAnsi="宋体" w:eastAsia="宋体" w:cs="宋体"/>
          <w:b/>
          <w:bCs/>
          <w:color w:val="000000" w:themeColor="text1"/>
          <w:sz w:val="32"/>
          <w:szCs w:val="32"/>
          <w:lang w:val="en-US" w:eastAsia="zh-CN"/>
          <w14:textFill>
            <w14:solidFill>
              <w14:schemeClr w14:val="tx1"/>
            </w14:solidFill>
          </w14:textFill>
        </w:rPr>
        <w:t>：防城港市商务局</w:t>
      </w:r>
    </w:p>
    <w:p>
      <w:pPr>
        <w:ind w:firstLine="2240" w:firstLineChars="7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采购代理机构：防城港市政府采购中心</w:t>
      </w:r>
    </w:p>
    <w:p>
      <w:pPr>
        <w:pStyle w:val="8"/>
        <w:rPr>
          <w:rFonts w:ascii="宋体" w:hAnsi="宋体" w:cs="宋体"/>
          <w:color w:val="000000" w:themeColor="text1"/>
          <w14:textFill>
            <w14:solidFill>
              <w14:schemeClr w14:val="tx1"/>
            </w14:solidFill>
          </w14:textFill>
        </w:rPr>
      </w:pPr>
    </w:p>
    <w:p>
      <w:pPr>
        <w:ind w:firstLine="3840" w:firstLineChars="120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2025年1</w:t>
      </w:r>
      <w:r>
        <w:rPr>
          <w:rFonts w:hint="eastAsia" w:ascii="宋体" w:hAnsi="宋体" w:cs="宋体"/>
          <w:b/>
          <w:bCs/>
          <w:color w:val="000000" w:themeColor="text1"/>
          <w:sz w:val="32"/>
          <w:szCs w:val="32"/>
          <w:lang w:val="en-US" w:eastAsia="zh-CN"/>
          <w14:textFill>
            <w14:solidFill>
              <w14:schemeClr w14:val="tx1"/>
            </w14:solidFill>
          </w14:textFill>
        </w:rPr>
        <w:t>2</w:t>
      </w:r>
      <w:r>
        <w:rPr>
          <w:rFonts w:hint="eastAsia" w:ascii="宋体" w:hAnsi="宋体" w:cs="宋体"/>
          <w:b/>
          <w:bCs/>
          <w:color w:val="000000" w:themeColor="text1"/>
          <w:sz w:val="32"/>
          <w:szCs w:val="32"/>
          <w14:textFill>
            <w14:solidFill>
              <w14:schemeClr w14:val="tx1"/>
            </w14:solidFill>
          </w14:textFill>
        </w:rPr>
        <w:t>月</w:t>
      </w:r>
      <w:r>
        <w:rPr>
          <w:rFonts w:hint="eastAsia" w:ascii="宋体" w:hAnsi="宋体" w:cs="宋体"/>
          <w:b/>
          <w:bCs/>
          <w:color w:val="000000" w:themeColor="text1"/>
          <w:sz w:val="32"/>
          <w:szCs w:val="32"/>
          <w:lang w:val="en-US" w:eastAsia="zh-CN"/>
          <w14:textFill>
            <w14:solidFill>
              <w14:schemeClr w14:val="tx1"/>
            </w14:solidFill>
          </w14:textFill>
        </w:rPr>
        <w:t>26</w:t>
      </w:r>
      <w:r>
        <w:rPr>
          <w:rFonts w:hint="eastAsia" w:ascii="宋体" w:hAnsi="宋体" w:cs="宋体"/>
          <w:b/>
          <w:bCs/>
          <w:color w:val="000000" w:themeColor="text1"/>
          <w:sz w:val="32"/>
          <w:szCs w:val="32"/>
          <w14:textFill>
            <w14:solidFill>
              <w14:schemeClr w14:val="tx1"/>
            </w14:solidFill>
          </w14:textFill>
        </w:rPr>
        <w:t>日</w:t>
      </w:r>
    </w:p>
    <w:p>
      <w:pPr>
        <w:pStyle w:val="25"/>
        <w:rPr>
          <w:rFonts w:hint="eastAsia" w:ascii="宋体" w:hAnsi="宋体" w:cs="宋体"/>
          <w:b/>
          <w:bCs/>
          <w:color w:val="000000" w:themeColor="text1"/>
          <w:sz w:val="32"/>
          <w:szCs w:val="32"/>
          <w14:textFill>
            <w14:solidFill>
              <w14:schemeClr w14:val="tx1"/>
            </w14:solidFill>
          </w14:textFill>
        </w:rPr>
      </w:pPr>
    </w:p>
    <w:p>
      <w:pPr>
        <w:pStyle w:val="25"/>
        <w:rPr>
          <w:rFonts w:hint="eastAsia" w:ascii="宋体" w:hAnsi="宋体" w:cs="宋体"/>
          <w:b/>
          <w:bCs/>
          <w:color w:val="000000" w:themeColor="text1"/>
          <w:sz w:val="32"/>
          <w:szCs w:val="32"/>
          <w14:textFill>
            <w14:solidFill>
              <w14:schemeClr w14:val="tx1"/>
            </w14:solidFill>
          </w14:textFill>
        </w:rPr>
        <w:sectPr>
          <w:footerReference r:id="rId3" w:type="default"/>
          <w:pgSz w:w="11906" w:h="16838"/>
          <w:pgMar w:top="1440" w:right="935" w:bottom="1440" w:left="777" w:header="850" w:footer="992" w:gutter="0"/>
          <w:pgNumType w:fmt="decimal" w:start="1"/>
          <w:cols w:space="0" w:num="1"/>
          <w:docGrid w:type="linesAndChars" w:linePitch="317" w:charSpace="0"/>
        </w:sectPr>
      </w:pPr>
    </w:p>
    <w:p>
      <w:pPr>
        <w:pStyle w:val="25"/>
        <w:rPr>
          <w:rFonts w:hint="eastAsia" w:ascii="宋体" w:hAnsi="宋体" w:cs="宋体"/>
          <w:b/>
          <w:bCs/>
          <w:color w:val="000000" w:themeColor="text1"/>
          <w:sz w:val="32"/>
          <w:szCs w:val="32"/>
          <w14:textFill>
            <w14:solidFill>
              <w14:schemeClr w14:val="tx1"/>
            </w14:solidFill>
          </w14:textFill>
        </w:rPr>
      </w:pPr>
    </w:p>
    <w:p>
      <w:pPr>
        <w:pStyle w:val="25"/>
        <w:ind w:left="0" w:leftChars="0" w:firstLine="4400" w:firstLineChars="1000"/>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目录</w:t>
      </w:r>
    </w:p>
    <w:p>
      <w:pPr>
        <w:pStyle w:val="25"/>
        <w:numPr>
          <w:ilvl w:val="0"/>
          <w:numId w:val="1"/>
        </w:numPr>
        <w:ind w:left="0" w:leftChars="0" w:firstLine="0" w:firstLineChars="0"/>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竞争性磋商公告.........................................</w:t>
      </w:r>
      <w:r>
        <w:rPr>
          <w:rFonts w:hint="eastAsia" w:ascii="宋体" w:hAnsi="宋体" w:cs="宋体"/>
          <w:color w:val="000000" w:themeColor="text1"/>
          <w:kern w:val="2"/>
          <w:sz w:val="21"/>
          <w:szCs w:val="21"/>
          <w:lang w:val="en-US" w:eastAsia="zh-CN" w:bidi="ar-SA"/>
          <w14:textFill>
            <w14:solidFill>
              <w14:schemeClr w14:val="tx1"/>
            </w14:solidFill>
          </w14:textFill>
        </w:rPr>
        <w:t>............................1</w:t>
      </w: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pPr>
    </w:p>
    <w:p>
      <w:pPr>
        <w:pStyle w:val="25"/>
        <w:widowControl w:val="0"/>
        <w:numPr>
          <w:ilvl w:val="0"/>
          <w:numId w:val="1"/>
        </w:numPr>
        <w:spacing w:line="360" w:lineRule="auto"/>
        <w:ind w:left="0" w:leftChars="0" w:firstLine="0" w:firstLineChars="0"/>
        <w:jc w:val="both"/>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供应商须知及前附表.................................................................5</w:t>
      </w: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pPr>
    </w:p>
    <w:p>
      <w:pPr>
        <w:pStyle w:val="25"/>
        <w:widowControl w:val="0"/>
        <w:numPr>
          <w:ilvl w:val="0"/>
          <w:numId w:val="1"/>
        </w:numPr>
        <w:spacing w:line="360" w:lineRule="auto"/>
        <w:ind w:left="0" w:leftChars="0" w:firstLine="0" w:firstLineChars="0"/>
        <w:jc w:val="both"/>
        <w:rPr>
          <w:rFonts w:hint="eastAsia"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..................................22</w:t>
      </w: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pP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第四章 评审办法</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................................33</w:t>
      </w:r>
    </w:p>
    <w:p>
      <w:pPr>
        <w:pStyle w:val="25"/>
        <w:widowControl w:val="0"/>
        <w:numPr>
          <w:ilvl w:val="0"/>
          <w:numId w:val="0"/>
        </w:numPr>
        <w:spacing w:line="360" w:lineRule="auto"/>
        <w:ind w:leftChars="0"/>
        <w:jc w:val="both"/>
        <w:rPr>
          <w:rFonts w:hint="eastAsia" w:ascii="宋体" w:hAnsi="宋体" w:cs="宋体"/>
          <w:color w:val="000000" w:themeColor="text1"/>
          <w:kern w:val="2"/>
          <w:sz w:val="21"/>
          <w:szCs w:val="21"/>
          <w:lang w:val="en-US" w:eastAsia="zh-CN" w:bidi="ar-SA"/>
          <w14:textFill>
            <w14:solidFill>
              <w14:schemeClr w14:val="tx1"/>
            </w14:solidFill>
          </w14:textFill>
        </w:rPr>
      </w:pPr>
    </w:p>
    <w:p>
      <w:pPr>
        <w:pStyle w:val="25"/>
        <w:widowControl w:val="0"/>
        <w:numPr>
          <w:ilvl w:val="0"/>
          <w:numId w:val="0"/>
        </w:numPr>
        <w:spacing w:line="360" w:lineRule="auto"/>
        <w:ind w:leftChars="0"/>
        <w:jc w:val="both"/>
        <w:rPr>
          <w:rFonts w:hint="default" w:ascii="宋体" w:hAnsi="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第五章 合同条款及格式</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..........................41</w:t>
      </w: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pPr>
    </w:p>
    <w:p>
      <w:pPr>
        <w:pStyle w:val="25"/>
        <w:widowControl w:val="0"/>
        <w:numPr>
          <w:ilvl w:val="0"/>
          <w:numId w:val="0"/>
        </w:numPr>
        <w:spacing w:line="360" w:lineRule="auto"/>
        <w:jc w:val="both"/>
        <w:rPr>
          <w:rFonts w:hint="default" w:ascii="宋体" w:hAnsi="宋体" w:cs="宋体"/>
          <w:color w:val="000000" w:themeColor="text1"/>
          <w:kern w:val="2"/>
          <w:sz w:val="21"/>
          <w:szCs w:val="21"/>
          <w:lang w:val="en-US" w:eastAsia="zh-CN" w:bidi="ar-SA"/>
          <w14:textFill>
            <w14:solidFill>
              <w14:schemeClr w14:val="tx1"/>
            </w14:solidFill>
          </w14:textFill>
        </w:rPr>
        <w:sectPr>
          <w:footerReference r:id="rId4" w:type="default"/>
          <w:pgSz w:w="11906" w:h="16838"/>
          <w:pgMar w:top="1440" w:right="935" w:bottom="1440" w:left="777" w:header="850" w:footer="992" w:gutter="0"/>
          <w:pgNumType w:fmt="decimal" w:start="1"/>
          <w:cols w:space="0" w:num="1"/>
          <w:docGrid w:type="linesAndChars" w:linePitch="317" w:charSpace="0"/>
        </w:sectPr>
      </w:pPr>
      <w:r>
        <w:rPr>
          <w:rFonts w:hint="eastAsia" w:ascii="宋体" w:hAnsi="宋体" w:cs="宋体"/>
          <w:color w:val="000000" w:themeColor="text1"/>
          <w:kern w:val="2"/>
          <w:sz w:val="21"/>
          <w:szCs w:val="21"/>
          <w:lang w:val="en-US" w:eastAsia="zh-CN" w:bidi="ar-SA"/>
          <w14:textFill>
            <w14:solidFill>
              <w14:schemeClr w14:val="tx1"/>
            </w14:solidFill>
          </w14:textFill>
        </w:rPr>
        <w:t>第六章 响应文件基本格式</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........................45</w:t>
      </w:r>
    </w:p>
    <w:p/>
    <w:p/>
    <w:p>
      <w:pPr>
        <w:pStyle w:val="3"/>
        <w:numPr>
          <w:ilvl w:val="0"/>
          <w:numId w:val="2"/>
        </w:numPr>
        <w:tabs>
          <w:tab w:val="left" w:pos="0"/>
        </w:tabs>
        <w:autoSpaceDE w:val="0"/>
        <w:autoSpaceDN w:val="0"/>
        <w:adjustRightInd w:val="0"/>
        <w:spacing w:before="0" w:after="0" w:line="360" w:lineRule="auto"/>
        <w:ind w:firstLine="425"/>
        <w:jc w:val="center"/>
        <w:rPr>
          <w:rFonts w:hint="eastAsia" w:ascii="宋体" w:hAnsi="宋体" w:eastAsia="宋体" w:cs="宋体"/>
          <w:b/>
          <w:bCs w:val="0"/>
          <w:kern w:val="2"/>
          <w:sz w:val="44"/>
          <w:szCs w:val="44"/>
          <w:lang w:val="en-US" w:eastAsia="zh-CN" w:bidi="ar-SA"/>
        </w:rPr>
      </w:pPr>
      <w:bookmarkStart w:id="2" w:name="_Toc29067"/>
      <w:bookmarkStart w:id="3" w:name="_Toc26809"/>
      <w:bookmarkStart w:id="4" w:name="_Toc35393797"/>
      <w:bookmarkStart w:id="5" w:name="_Toc30170"/>
      <w:bookmarkStart w:id="6" w:name="_Toc28359011"/>
      <w:r>
        <w:rPr>
          <w:rFonts w:hint="eastAsia" w:ascii="宋体" w:hAnsi="宋体" w:cs="宋体"/>
          <w:b/>
          <w:bCs w:val="0"/>
          <w:kern w:val="2"/>
          <w:sz w:val="44"/>
          <w:szCs w:val="44"/>
          <w:lang w:val="en-US" w:eastAsia="zh-CN" w:bidi="ar-SA"/>
        </w:rPr>
        <w:t>竞争性磋商公告</w:t>
      </w:r>
    </w:p>
    <w:bookmarkEnd w:id="2"/>
    <w:bookmarkEnd w:id="3"/>
    <w:bookmarkEnd w:id="4"/>
    <w:bookmarkEnd w:id="5"/>
    <w:bookmarkEnd w:id="6"/>
    <w:p>
      <w:pPr>
        <w:spacing w:line="360" w:lineRule="exact"/>
        <w:rPr>
          <w:rFonts w:ascii="宋体" w:hAnsi="宋体" w:cs="宋体"/>
          <w:color w:val="000000" w:themeColor="text1"/>
          <w14:textFill>
            <w14:solidFill>
              <w14:schemeClr w14:val="tx1"/>
            </w14:solidFill>
          </w14:textFill>
        </w:rPr>
      </w:pPr>
    </w:p>
    <w:tbl>
      <w:tblPr>
        <w:tblStyle w:val="20"/>
        <w:tblpPr w:leftFromText="180" w:rightFromText="180" w:vertAnchor="text" w:horzAnchor="page" w:tblpX="840" w:tblpY="670"/>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0220" w:type="dxa"/>
          </w:tcPr>
          <w:p>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项目概况</w:t>
            </w:r>
          </w:p>
          <w:p>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防城港口岸联检附楼物业服务采购</w:t>
            </w:r>
            <w:r>
              <w:rPr>
                <w:rFonts w:hint="eastAsia" w:ascii="宋体" w:hAnsi="宋体" w:cs="宋体"/>
                <w:color w:val="000000" w:themeColor="text1"/>
                <w:sz w:val="21"/>
                <w:szCs w:val="21"/>
                <w:u w:val="none"/>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的的潜在供应商应在广西政府采购云平台线上获取获取采购文件，并于202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09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 xml:space="preserve">0（北京时间）前提交响应文件。 </w:t>
            </w:r>
          </w:p>
        </w:tc>
      </w:tr>
    </w:tbl>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7" w:name="_Toc35393798"/>
      <w:bookmarkStart w:id="8" w:name="_Toc28359089"/>
      <w:bookmarkStart w:id="9" w:name="_Toc35393629"/>
      <w:bookmarkStart w:id="10" w:name="_Toc28359012"/>
    </w:p>
    <w:p>
      <w:pPr>
        <w:pStyle w:val="2"/>
        <w:pageBreakBefore w:val="0"/>
        <w:kinsoku/>
        <w:overflowPunct/>
        <w:topLinePunct w:val="0"/>
        <w:bidi w:val="0"/>
        <w:spacing w:line="400" w:lineRule="exact"/>
        <w:textAlignment w:val="auto"/>
        <w:rPr>
          <w:rFonts w:hint="eastAsia"/>
        </w:rPr>
      </w:pP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一、项目基本情况</w:t>
      </w:r>
      <w:bookmarkEnd w:id="7"/>
      <w:bookmarkEnd w:id="8"/>
      <w:bookmarkEnd w:id="9"/>
      <w:bookmarkEnd w:id="10"/>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11" w:name="OLE_LINK21"/>
      <w:r>
        <w:rPr>
          <w:rFonts w:hint="eastAsia" w:ascii="宋体" w:hAnsi="宋体" w:eastAsia="宋体" w:cs="宋体"/>
          <w:color w:val="000000" w:themeColor="text1"/>
          <w:sz w:val="21"/>
          <w:szCs w:val="21"/>
          <w14:textFill>
            <w14:solidFill>
              <w14:schemeClr w14:val="tx1"/>
            </w14:solidFill>
          </w14:textFill>
        </w:rPr>
        <w:t>项目编号：FCZC2025-C3-990201-FCGS</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项目名称：防城</w:t>
      </w:r>
      <w:bookmarkEnd w:id="11"/>
      <w:r>
        <w:rPr>
          <w:rFonts w:hint="eastAsia" w:ascii="宋体" w:hAnsi="宋体" w:eastAsia="宋体" w:cs="宋体"/>
          <w:color w:val="000000" w:themeColor="text1"/>
          <w:sz w:val="21"/>
          <w:szCs w:val="21"/>
          <w14:textFill>
            <w14:solidFill>
              <w14:schemeClr w14:val="tx1"/>
            </w14:solidFill>
          </w14:textFill>
        </w:rPr>
        <w:t>港口岸联检附楼物业服务采购</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采购方式：竞争性磋商</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预算</w:t>
      </w:r>
      <w:r>
        <w:rPr>
          <w:rFonts w:hint="eastAsia" w:ascii="宋体" w:hAnsi="宋体" w:eastAsia="宋体" w:cs="宋体"/>
          <w:color w:val="000000" w:themeColor="text1"/>
          <w:sz w:val="21"/>
          <w:szCs w:val="21"/>
          <w:lang w:val="en-US" w:eastAsia="zh-CN"/>
          <w14:textFill>
            <w14:solidFill>
              <w14:schemeClr w14:val="tx1"/>
            </w14:solidFill>
          </w14:textFill>
        </w:rPr>
        <w:t>总</w:t>
      </w:r>
      <w:r>
        <w:rPr>
          <w:rFonts w:hint="eastAsia" w:ascii="宋体" w:hAnsi="宋体" w:eastAsia="宋体" w:cs="宋体"/>
          <w:color w:val="000000" w:themeColor="text1"/>
          <w:sz w:val="21"/>
          <w:szCs w:val="21"/>
          <w14:textFill>
            <w14:solidFill>
              <w14:schemeClr w14:val="tx1"/>
            </w14:solidFill>
          </w14:textFill>
        </w:rPr>
        <w:t>金额</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bookmarkStart w:id="12" w:name="OLE_LINK3"/>
      <w:r>
        <w:rPr>
          <w:rFonts w:hint="eastAsia" w:ascii="宋体" w:hAnsi="宋体" w:eastAsia="宋体" w:cs="宋体"/>
          <w:color w:val="000000" w:themeColor="text1"/>
          <w:sz w:val="21"/>
          <w:szCs w:val="21"/>
          <w14:textFill>
            <w14:solidFill>
              <w14:schemeClr w14:val="tx1"/>
            </w14:solidFill>
          </w14:textFill>
        </w:rPr>
        <w:t>560000</w:t>
      </w:r>
      <w:bookmarkEnd w:id="12"/>
    </w:p>
    <w:p>
      <w:pPr>
        <w:keepNext w:val="0"/>
        <w:keepLines w:val="0"/>
        <w:pageBreakBefore w:val="0"/>
        <w:kinsoku/>
        <w:overflowPunct/>
        <w:topLinePunct w:val="0"/>
        <w:bidi w:val="0"/>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采购需求：</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标项名称</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防城港口岸联检附楼物业服务采购</w:t>
      </w:r>
    </w:p>
    <w:p>
      <w:pPr>
        <w:keepNext w:val="0"/>
        <w:keepLines w:val="0"/>
        <w:pageBreakBefore w:val="0"/>
        <w:kinsoku/>
        <w:overflowPunct/>
        <w:topLinePunct w:val="0"/>
        <w:bidi w:val="0"/>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：1</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预算金额（元）：</w:t>
      </w:r>
      <w:r>
        <w:rPr>
          <w:rFonts w:hint="eastAsia" w:ascii="宋体" w:hAnsi="宋体" w:eastAsia="宋体" w:cs="宋体"/>
          <w:color w:val="000000" w:themeColor="text1"/>
          <w:sz w:val="21"/>
          <w:szCs w:val="21"/>
          <w14:textFill>
            <w14:solidFill>
              <w14:schemeClr w14:val="tx1"/>
            </w14:solidFill>
          </w14:textFill>
        </w:rPr>
        <w:t>560000</w:t>
      </w: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14:textFill>
            <w14:solidFill>
              <w14:schemeClr w14:val="tx1"/>
            </w14:solidFill>
          </w14:textFill>
        </w:rPr>
        <w:t>防城港口岸联检附楼位于港务局东大门旁，建筑面积6339.66平方米，地上3层、地下1层。与防城港口岸联检大楼主楼共同构成北部湾航运服务中心。附楼与主楼相依而建，其中外广场、一楼大堂、消防安</w:t>
      </w:r>
      <w:r>
        <w:rPr>
          <w:rFonts w:hint="eastAsia" w:ascii="宋体" w:hAnsi="宋体" w:eastAsia="宋体" w:cs="宋体"/>
          <w:sz w:val="21"/>
          <w:szCs w:val="21"/>
        </w:rPr>
        <w:t>全通道互联互通，主出入口、地下停车场共用一个出入口；海关、边检、海事、港口管理局、码头公司等口岸相关部门分别设立于主、附楼，业务功能分布相互交集，相互串联。防城港口岸联检大楼附楼建筑公共部分的管理和日常小型维修、养护。即：屋顶、内外墙面、承重结构、楼梯间、走廊、通道、门厅、玻璃幕墙、厕所、台阶、坡道、地上（下）停车场、服务区域内的附属建筑物。 公共设施、设备的日常小型维修、养护、运行和管理。即：公用的上下水道、园林绿化、垃圾收集、清运、消杀工作、落水管、供配电系统、供水系统、风机及管网系统、消防设施设备、空调系统、电梯、大厅感应门、照明系统、消防监控、安保监控、一卡通监控、楼宇自控、系统切换及控制中心设备机房的运行、维修和使用管理。安全管理。即：公共区域的24小时安全和消防监控、门岗、巡视、进出入车辆、来访人员登记等管理。</w:t>
      </w:r>
    </w:p>
    <w:p>
      <w:pPr>
        <w:pStyle w:val="12"/>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keepNext w:val="0"/>
        <w:keepLines w:val="0"/>
        <w:pageBreakBefore w:val="0"/>
        <w:kinsoku/>
        <w:overflowPunct/>
        <w:topLinePunct w:val="0"/>
        <w:bidi w:val="0"/>
        <w:snapToGrid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最高限价（如有）：</w:t>
      </w:r>
      <w:r>
        <w:rPr>
          <w:rFonts w:hint="eastAsia" w:ascii="宋体" w:hAnsi="宋体" w:eastAsia="宋体" w:cs="宋体"/>
          <w:color w:val="000000" w:themeColor="text1"/>
          <w:sz w:val="21"/>
          <w:szCs w:val="21"/>
          <w14:textFill>
            <w14:solidFill>
              <w14:schemeClr w14:val="tx1"/>
            </w14:solidFill>
          </w14:textFill>
        </w:rPr>
        <w:t>560000</w:t>
      </w:r>
    </w:p>
    <w:p>
      <w:pPr>
        <w:pStyle w:val="16"/>
        <w:keepNext w:val="0"/>
        <w:keepLines w:val="0"/>
        <w:widowControl/>
        <w:suppressLineNumbers w:val="0"/>
        <w:wordWrap w:val="0"/>
        <w:spacing w:before="75" w:beforeAutospacing="0" w:after="75" w:afterAutospacing="0" w:line="240" w:lineRule="auto"/>
        <w:ind w:right="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合同履约期限：2年（自签订合同之日起算）</w:t>
      </w:r>
    </w:p>
    <w:p>
      <w:pPr>
        <w:pStyle w:val="16"/>
        <w:keepNext w:val="0"/>
        <w:keepLines w:val="0"/>
        <w:widowControl/>
        <w:suppressLineNumbers w:val="0"/>
        <w:wordWrap w:val="0"/>
        <w:spacing w:before="75" w:beforeAutospacing="0" w:after="75" w:afterAutospacing="0" w:line="240" w:lineRule="auto"/>
        <w:ind w:right="0"/>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3" w:name="OLE_LINK24"/>
      <w:r>
        <w:rPr>
          <w:rFonts w:hint="eastAsia" w:ascii="宋体" w:hAnsi="宋体" w:eastAsia="宋体" w:cs="宋体"/>
          <w:color w:val="000000" w:themeColor="text1"/>
          <w:kern w:val="2"/>
          <w:sz w:val="21"/>
          <w:szCs w:val="21"/>
          <w:lang w:val="en-US" w:eastAsia="zh-CN" w:bidi="ar-SA"/>
          <w14:textFill>
            <w14:solidFill>
              <w14:schemeClr w14:val="tx1"/>
            </w14:solidFill>
          </w14:textFill>
        </w:rPr>
        <w:t>本标项（否）接受联合体投标</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bookmarkEnd w:id="13"/>
      <w:r>
        <w:rPr>
          <w:rFonts w:hint="eastAsia" w:ascii="宋体" w:hAnsi="宋体" w:eastAsia="宋体" w:cs="宋体"/>
          <w:color w:val="000000" w:themeColor="text1"/>
          <w:kern w:val="2"/>
          <w:sz w:val="21"/>
          <w:szCs w:val="21"/>
          <w:lang w:val="en-US" w:eastAsia="zh-CN" w:bidi="ar-SA"/>
          <w14:textFill>
            <w14:solidFill>
              <w14:schemeClr w14:val="tx1"/>
            </w14:solidFill>
          </w14:textFill>
        </w:rPr>
        <w:t>备注：</w:t>
      </w:r>
    </w:p>
    <w:p>
      <w:pPr>
        <w:pStyle w:val="12"/>
        <w:rPr>
          <w:rFonts w:hint="eastAsia"/>
        </w:rPr>
      </w:pP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14" w:name="_Toc28359013"/>
      <w:bookmarkStart w:id="15" w:name="_Toc35393799"/>
      <w:bookmarkStart w:id="16" w:name="_Toc28359090"/>
      <w:bookmarkStart w:id="17" w:name="_Toc35393630"/>
      <w:r>
        <w:rPr>
          <w:rFonts w:hint="eastAsia" w:ascii="宋体" w:hAnsi="宋体" w:eastAsia="宋体" w:cs="宋体"/>
          <w:color w:val="000000" w:themeColor="text1"/>
          <w:sz w:val="21"/>
          <w:szCs w:val="21"/>
          <w14:textFill>
            <w14:solidFill>
              <w14:schemeClr w14:val="tx1"/>
            </w14:solidFill>
          </w14:textFill>
        </w:rPr>
        <w:t>二、申请人的资格要求：</w:t>
      </w:r>
      <w:bookmarkEnd w:id="14"/>
      <w:bookmarkEnd w:id="15"/>
      <w:bookmarkEnd w:id="16"/>
      <w:bookmarkEnd w:id="17"/>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bookmarkStart w:id="18" w:name="OLE_LINK17"/>
      <w:r>
        <w:rPr>
          <w:rFonts w:hint="eastAsia" w:ascii="宋体" w:hAnsi="宋体" w:eastAsia="宋体" w:cs="宋体"/>
          <w:color w:val="000000" w:themeColor="text1"/>
          <w:sz w:val="21"/>
          <w:szCs w:val="21"/>
          <w14:textFill>
            <w14:solidFill>
              <w14:schemeClr w14:val="tx1"/>
            </w14:solidFill>
          </w14:textFill>
        </w:rPr>
        <w:t>落实政府采购政策需满足的资格要求：</w:t>
      </w:r>
      <w:bookmarkStart w:id="19" w:name="OLE_LINK2"/>
      <w:r>
        <w:rPr>
          <w:rFonts w:hint="eastAsia" w:ascii="宋体" w:hAnsi="宋体" w:eastAsia="宋体" w:cs="宋体"/>
          <w:sz w:val="21"/>
          <w:szCs w:val="21"/>
        </w:rPr>
        <w:t>本项目为</w:t>
      </w:r>
      <w:bookmarkStart w:id="20" w:name="OLE_LINK23"/>
      <w:r>
        <w:rPr>
          <w:rFonts w:hint="eastAsia" w:ascii="宋体" w:hAnsi="宋体" w:eastAsia="宋体" w:cs="宋体"/>
          <w:sz w:val="21"/>
          <w:szCs w:val="21"/>
        </w:rPr>
        <w:t>专门面向</w:t>
      </w:r>
      <w:r>
        <w:rPr>
          <w:rFonts w:hint="eastAsia" w:ascii="宋体" w:hAnsi="宋体" w:cs="宋体"/>
          <w:sz w:val="21"/>
          <w:szCs w:val="21"/>
          <w:lang w:val="en-US" w:eastAsia="zh-CN"/>
        </w:rPr>
        <w:t>中小</w:t>
      </w:r>
      <w:r>
        <w:rPr>
          <w:rFonts w:hint="eastAsia" w:ascii="宋体" w:hAnsi="宋体" w:eastAsia="宋体" w:cs="宋体"/>
          <w:sz w:val="21"/>
          <w:szCs w:val="21"/>
        </w:rPr>
        <w:t>企业采购的项目，</w:t>
      </w:r>
      <w:bookmarkEnd w:id="20"/>
      <w:r>
        <w:rPr>
          <w:rFonts w:hint="eastAsia" w:ascii="宋体" w:hAnsi="宋体" w:eastAsia="宋体" w:cs="宋体"/>
          <w:sz w:val="21"/>
          <w:szCs w:val="21"/>
        </w:rPr>
        <w:t>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bookmarkEnd w:id="19"/>
      <w:r>
        <w:rPr>
          <w:rFonts w:hint="eastAsia" w:ascii="宋体" w:hAnsi="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bookmarkEnd w:id="18"/>
    <w:p>
      <w:pPr>
        <w:keepNext w:val="0"/>
        <w:keepLines w:val="0"/>
        <w:pageBreakBefore w:val="0"/>
        <w:kinsoku/>
        <w:overflowPunct/>
        <w:topLinePunct w:val="0"/>
        <w:bidi w:val="0"/>
        <w:snapToGrid w:val="0"/>
        <w:spacing w:line="400" w:lineRule="exact"/>
        <w:textAlignment w:val="auto"/>
        <w:rPr>
          <w:rFonts w:hint="eastAsia" w:ascii="宋体" w:hAnsi="宋体" w:eastAsia="宋体" w:cs="宋体"/>
          <w:b/>
          <w:bCs/>
          <w:color w:val="000000" w:themeColor="text1"/>
          <w:sz w:val="21"/>
          <w:szCs w:val="21"/>
          <w14:textFill>
            <w14:solidFill>
              <w14:schemeClr w14:val="tx1"/>
            </w14:solidFill>
          </w14:textFill>
        </w:rPr>
      </w:pPr>
      <w:bookmarkStart w:id="21" w:name="_Toc28359014"/>
      <w:bookmarkStart w:id="22" w:name="_Toc28359091"/>
      <w:r>
        <w:rPr>
          <w:rFonts w:hint="eastAsia" w:ascii="宋体" w:hAnsi="宋体" w:eastAsia="宋体" w:cs="宋体"/>
          <w:color w:val="000000" w:themeColor="text1"/>
          <w:sz w:val="21"/>
          <w:szCs w:val="21"/>
          <w14:textFill>
            <w14:solidFill>
              <w14:schemeClr w14:val="tx1"/>
            </w14:solidFill>
          </w14:textFill>
        </w:rPr>
        <w:t>3.本项目的特定资格要求：</w:t>
      </w:r>
      <w:bookmarkStart w:id="23" w:name="_Toc35393631"/>
      <w:bookmarkStart w:id="24" w:name="_Toc35393800"/>
      <w:r>
        <w:rPr>
          <w:rFonts w:hint="eastAsia" w:ascii="宋体" w:hAnsi="宋体" w:eastAsia="宋体" w:cs="宋体"/>
          <w:color w:val="000000" w:themeColor="text1"/>
          <w:sz w:val="21"/>
          <w:szCs w:val="21"/>
          <w14:textFill>
            <w14:solidFill>
              <w14:schemeClr w14:val="tx1"/>
            </w14:solidFill>
          </w14:textFill>
        </w:rPr>
        <w:t>无。</w:t>
      </w:r>
    </w:p>
    <w:bookmarkEnd w:id="21"/>
    <w:bookmarkEnd w:id="22"/>
    <w:bookmarkEnd w:id="23"/>
    <w:bookmarkEnd w:id="24"/>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25" w:name="_Toc35393792"/>
      <w:bookmarkStart w:id="26" w:name="_Toc35393623"/>
      <w:bookmarkStart w:id="27" w:name="_Toc35393805"/>
      <w:bookmarkStart w:id="28" w:name="_Toc28359018"/>
      <w:bookmarkStart w:id="29" w:name="_Toc35393636"/>
      <w:bookmarkStart w:id="30" w:name="_Toc28359095"/>
      <w:r>
        <w:rPr>
          <w:rFonts w:hint="eastAsia" w:ascii="宋体" w:hAnsi="宋体" w:eastAsia="宋体" w:cs="宋体"/>
          <w:color w:val="000000" w:themeColor="text1"/>
          <w:sz w:val="21"/>
          <w:szCs w:val="21"/>
          <w14:textFill>
            <w14:solidFill>
              <w14:schemeClr w14:val="tx1"/>
            </w14:solidFill>
          </w14:textFill>
        </w:rPr>
        <w:t>三、获取</w:t>
      </w:r>
      <w:r>
        <w:rPr>
          <w:rFonts w:hint="eastAsia" w:ascii="宋体" w:hAnsi="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w:t>
      </w:r>
      <w:bookmarkEnd w:id="25"/>
      <w:bookmarkEnd w:id="26"/>
    </w:p>
    <w:p>
      <w:pPr>
        <w:pStyle w:val="16"/>
        <w:keepNext w:val="0"/>
        <w:keepLines w:val="0"/>
        <w:pageBreakBefore w:val="0"/>
        <w:kinsoku/>
        <w:overflowPunct/>
        <w:topLinePunct w:val="0"/>
        <w:bidi w:val="0"/>
        <w:spacing w:before="50" w:beforeAutospacing="0" w:after="50" w:afterAutospacing="0" w:line="40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1.采购文件获取时间：2025年</w:t>
      </w:r>
      <w:r>
        <w:rPr>
          <w:rFonts w:hint="eastAsia"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日至202</w:t>
      </w:r>
      <w:r>
        <w:rPr>
          <w:rFonts w:hint="eastAsia"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日，</w:t>
      </w:r>
      <w:r>
        <w:rPr>
          <w:rStyle w:val="26"/>
          <w:rFonts w:hint="eastAsia" w:ascii="宋体" w:hAnsi="宋体" w:eastAsia="宋体" w:cs="宋体"/>
          <w:sz w:val="21"/>
          <w:szCs w:val="21"/>
        </w:rPr>
        <w:t>每天上午00:00至12:00，下午12:00至23:59（北京时间，法定节假日除外）</w:t>
      </w:r>
    </w:p>
    <w:p>
      <w:pPr>
        <w:pStyle w:val="16"/>
        <w:keepNext w:val="0"/>
        <w:keepLines w:val="0"/>
        <w:pageBreakBefore w:val="0"/>
        <w:kinsoku/>
        <w:overflowPunct/>
        <w:topLinePunct w:val="0"/>
        <w:bidi w:val="0"/>
        <w:spacing w:before="50" w:beforeAutospacing="0" w:after="50" w:afterAutospacing="0" w:line="40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2.地点：</w:t>
      </w:r>
      <w:bookmarkStart w:id="31" w:name="OLE_LINK8"/>
      <w:r>
        <w:rPr>
          <w:rFonts w:hint="eastAsia" w:ascii="宋体" w:hAnsi="宋体" w:eastAsia="宋体" w:cs="宋体"/>
          <w:color w:val="000000" w:themeColor="text1"/>
          <w:kern w:val="2"/>
          <w:sz w:val="21"/>
          <w:szCs w:val="21"/>
          <w14:textFill>
            <w14:solidFill>
              <w14:schemeClr w14:val="tx1"/>
            </w14:solidFill>
          </w14:textFill>
        </w:rPr>
        <w:t>广西政府采购云平台（网址：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"http://www.gcy.zfcg.gxzf.gov.cn）。" </w:instrText>
      </w:r>
      <w:r>
        <w:rPr>
          <w:rFonts w:hint="eastAsia" w:ascii="宋体" w:hAnsi="宋体" w:eastAsia="宋体" w:cs="宋体"/>
          <w:sz w:val="21"/>
          <w:szCs w:val="21"/>
        </w:rPr>
        <w:fldChar w:fldCharType="separate"/>
      </w:r>
      <w:r>
        <w:rPr>
          <w:rFonts w:hint="eastAsia" w:ascii="宋体" w:hAnsi="宋体" w:eastAsia="宋体" w:cs="宋体"/>
          <w:color w:val="000000" w:themeColor="text1"/>
          <w:kern w:val="2"/>
          <w:sz w:val="21"/>
          <w:szCs w:val="21"/>
          <w:u w:val="single"/>
          <w14:textFill>
            <w14:solidFill>
              <w14:schemeClr w14:val="tx1"/>
            </w14:solidFill>
          </w14:textFill>
        </w:rPr>
        <w:t>http://www.gcy.zfcg.gxzf.gov.cn</w:t>
      </w:r>
      <w:r>
        <w:rPr>
          <w:rFonts w:hint="eastAsia" w:ascii="宋体" w:hAnsi="宋体" w:eastAsia="宋体" w:cs="宋体"/>
          <w:color w:val="000000" w:themeColor="text1"/>
          <w:kern w:val="2"/>
          <w:sz w:val="21"/>
          <w:szCs w:val="21"/>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fldChar w:fldCharType="end"/>
      </w:r>
      <w:bookmarkEnd w:id="31"/>
      <w:bookmarkStart w:id="32" w:name="OLE_LINK9"/>
    </w:p>
    <w:p>
      <w:pPr>
        <w:pStyle w:val="16"/>
        <w:keepNext w:val="0"/>
        <w:keepLines w:val="0"/>
        <w:pageBreakBefore w:val="0"/>
        <w:kinsoku/>
        <w:overflowPunct/>
        <w:topLinePunct w:val="0"/>
        <w:bidi w:val="0"/>
        <w:spacing w:before="50" w:beforeAutospacing="0" w:after="50" w:afterAutospacing="0" w:line="40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方式：</w:t>
      </w:r>
      <w:r>
        <w:rPr>
          <w:rFonts w:hint="eastAsia" w:ascii="宋体" w:hAnsi="宋体" w:eastAsia="宋体" w:cs="宋体"/>
          <w:color w:val="000000" w:themeColor="text1"/>
          <w:kern w:val="2"/>
          <w:sz w:val="21"/>
          <w:szCs w:val="21"/>
          <w:lang w:val="en-US" w:eastAsia="zh-CN" w:bidi="ar-SA"/>
          <w14:textFill>
            <w14:solidFill>
              <w14:schemeClr w14:val="tx1"/>
            </w14:solidFill>
          </w14:textFill>
        </w:rPr>
        <w:t>登录广西政府采购云平台（网址：http://www.gcy.zfcg.gxzf.gov.cn）进行报名并获取竞争性磋商文件；未注册的供应商可在广西政府采购云平台完成注册后再行报名。如在操作过程中遇到问题或需技术支持，请致电广西政府采购云平台客服热线：95763。</w:t>
      </w:r>
    </w:p>
    <w:p>
      <w:pPr>
        <w:pStyle w:val="27"/>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提示：竞争性磋商公告附件内的竞争性磋商文件仅供阅览使用；供应商只有在“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w:t>
      </w:r>
      <w:bookmarkEnd w:id="32"/>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3" w:name="OLE_LINK16"/>
      <w:r>
        <w:rPr>
          <w:rFonts w:hint="eastAsia" w:ascii="宋体" w:hAnsi="宋体" w:eastAsia="宋体" w:cs="宋体"/>
          <w:color w:val="000000" w:themeColor="text1"/>
          <w:sz w:val="21"/>
          <w:szCs w:val="21"/>
          <w14:textFill>
            <w14:solidFill>
              <w14:schemeClr w14:val="tx1"/>
            </w14:solidFill>
          </w14:textFill>
        </w:rPr>
        <w:t>3.磋商文件售价(元)：0元。</w:t>
      </w:r>
    </w:p>
    <w:bookmarkEnd w:id="33"/>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 w:name="_Toc28359082"/>
      <w:bookmarkStart w:id="35" w:name="_Toc28359005"/>
      <w:bookmarkStart w:id="36" w:name="_Toc35393624"/>
      <w:bookmarkStart w:id="37" w:name="_Toc35393793"/>
      <w:r>
        <w:rPr>
          <w:rFonts w:hint="eastAsia" w:ascii="宋体" w:hAnsi="宋体" w:eastAsia="宋体" w:cs="宋体"/>
          <w:color w:val="000000" w:themeColor="text1"/>
          <w:sz w:val="21"/>
          <w:szCs w:val="21"/>
          <w14:textFill>
            <w14:solidFill>
              <w14:schemeClr w14:val="tx1"/>
            </w14:solidFill>
          </w14:textFill>
        </w:rPr>
        <w:t>四、响应文件</w:t>
      </w:r>
      <w:bookmarkEnd w:id="34"/>
      <w:bookmarkEnd w:id="35"/>
      <w:r>
        <w:rPr>
          <w:rFonts w:hint="eastAsia" w:ascii="宋体" w:hAnsi="宋体" w:eastAsia="宋体" w:cs="宋体"/>
          <w:color w:val="000000" w:themeColor="text1"/>
          <w:sz w:val="21"/>
          <w:szCs w:val="21"/>
          <w14:textFill>
            <w14:solidFill>
              <w14:schemeClr w14:val="tx1"/>
            </w14:solidFill>
          </w14:textFill>
        </w:rPr>
        <w:t>提交时间和地点</w:t>
      </w:r>
      <w:bookmarkEnd w:id="36"/>
      <w:bookmarkEnd w:id="37"/>
    </w:p>
    <w:p>
      <w:pPr>
        <w:keepNext w:val="0"/>
        <w:keepLines w:val="0"/>
        <w:pageBreakBefore w:val="0"/>
        <w:kinsoku/>
        <w:overflowPunct/>
        <w:topLinePunct w:val="0"/>
        <w:bidi w:val="0"/>
        <w:spacing w:line="400" w:lineRule="exac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截止时间：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日上午</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9时30分(</w:t>
      </w:r>
      <w:r>
        <w:rPr>
          <w:rFonts w:hint="eastAsia" w:ascii="宋体" w:hAnsi="宋体" w:eastAsia="宋体" w:cs="宋体"/>
          <w:bCs/>
          <w:color w:val="000000" w:themeColor="text1"/>
          <w:sz w:val="21"/>
          <w:szCs w:val="21"/>
          <w14:textFill>
            <w14:solidFill>
              <w14:schemeClr w14:val="tx1"/>
            </w14:solidFill>
          </w14:textFill>
        </w:rPr>
        <w:t>北京时间）。</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w:t>
      </w:r>
      <w:bookmarkStart w:id="38" w:name="OLE_LINK10"/>
      <w:r>
        <w:rPr>
          <w:rFonts w:hint="eastAsia" w:ascii="宋体" w:hAnsi="宋体" w:eastAsia="宋体" w:cs="宋体"/>
          <w:color w:val="000000" w:themeColor="text1"/>
          <w:sz w:val="21"/>
          <w:szCs w:val="21"/>
          <w14:textFill>
            <w14:solidFill>
              <w14:schemeClr w14:val="tx1"/>
            </w14:solidFill>
          </w14:textFill>
        </w:rPr>
        <w:t>通过广西政府采购云平台实行在线响应。</w:t>
      </w:r>
      <w:bookmarkEnd w:id="38"/>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五、开启</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    间：202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日上午</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9时30分(北京时间）截标后。</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点：广西壮族自治区防城港市开标室1政府采购开标室1。</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9" w:name="_Toc35393625"/>
      <w:bookmarkStart w:id="40" w:name="_Toc28359007"/>
      <w:bookmarkStart w:id="41" w:name="_Toc35393794"/>
      <w:bookmarkStart w:id="42" w:name="_Toc28359084"/>
      <w:r>
        <w:rPr>
          <w:rFonts w:hint="eastAsia" w:ascii="宋体" w:hAnsi="宋体" w:eastAsia="宋体" w:cs="宋体"/>
          <w:color w:val="000000" w:themeColor="text1"/>
          <w:sz w:val="21"/>
          <w:szCs w:val="21"/>
          <w14:textFill>
            <w14:solidFill>
              <w14:schemeClr w14:val="tx1"/>
            </w14:solidFill>
          </w14:textFill>
        </w:rPr>
        <w:t>六、公告期限</w:t>
      </w:r>
      <w:bookmarkEnd w:id="39"/>
      <w:bookmarkEnd w:id="40"/>
      <w:bookmarkEnd w:id="41"/>
      <w:bookmarkEnd w:id="42"/>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自本</w:t>
      </w:r>
      <w:bookmarkStart w:id="43" w:name="OLE_LINK7"/>
      <w:r>
        <w:rPr>
          <w:rFonts w:hint="eastAsia" w:ascii="宋体" w:hAnsi="宋体" w:eastAsia="宋体" w:cs="宋体"/>
          <w:color w:val="000000" w:themeColor="text1"/>
          <w:kern w:val="0"/>
          <w:sz w:val="21"/>
          <w:szCs w:val="21"/>
          <w14:textFill>
            <w14:solidFill>
              <w14:schemeClr w14:val="tx1"/>
            </w14:solidFill>
          </w14:textFill>
        </w:rPr>
        <w:t>公告发布之日起</w:t>
      </w:r>
      <w:r>
        <w:rPr>
          <w:rFonts w:hint="eastAsia" w:ascii="宋体" w:hAnsi="宋体" w:eastAsia="宋体" w:cs="宋体"/>
          <w:kern w:val="0"/>
          <w:sz w:val="21"/>
          <w:szCs w:val="21"/>
        </w:rPr>
        <w:t>5</w:t>
      </w:r>
      <w:r>
        <w:rPr>
          <w:rFonts w:hint="eastAsia" w:ascii="宋体" w:hAnsi="宋体" w:eastAsia="宋体" w:cs="宋体"/>
          <w:color w:val="000000" w:themeColor="text1"/>
          <w:kern w:val="0"/>
          <w:sz w:val="21"/>
          <w:szCs w:val="21"/>
          <w14:textFill>
            <w14:solidFill>
              <w14:schemeClr w14:val="tx1"/>
            </w14:solidFill>
          </w14:textFill>
        </w:rPr>
        <w:t>个工作日</w:t>
      </w:r>
      <w:bookmarkEnd w:id="43"/>
      <w:r>
        <w:rPr>
          <w:rFonts w:hint="eastAsia" w:ascii="宋体" w:hAnsi="宋体" w:eastAsia="宋体" w:cs="宋体"/>
          <w:color w:val="000000" w:themeColor="text1"/>
          <w:kern w:val="0"/>
          <w:sz w:val="21"/>
          <w:szCs w:val="21"/>
          <w14:textFill>
            <w14:solidFill>
              <w14:schemeClr w14:val="tx1"/>
            </w14:solidFill>
          </w14:textFill>
        </w:rPr>
        <w:t>。</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44" w:name="_Toc35393626"/>
      <w:bookmarkStart w:id="45" w:name="_Toc35393795"/>
      <w:r>
        <w:rPr>
          <w:rFonts w:hint="eastAsia" w:ascii="宋体" w:hAnsi="宋体" w:eastAsia="宋体" w:cs="宋体"/>
          <w:color w:val="000000" w:themeColor="text1"/>
          <w:sz w:val="21"/>
          <w:szCs w:val="21"/>
          <w14:textFill>
            <w14:solidFill>
              <w14:schemeClr w14:val="tx1"/>
            </w14:solidFill>
          </w14:textFill>
        </w:rPr>
        <w:t>七、其他补充事宜</w:t>
      </w:r>
      <w:bookmarkEnd w:id="44"/>
      <w:bookmarkEnd w:id="45"/>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46" w:name="OLE_LINK11"/>
      <w:r>
        <w:rPr>
          <w:rFonts w:hint="eastAsia" w:ascii="宋体" w:hAnsi="宋体" w:eastAsia="宋体" w:cs="宋体"/>
          <w:b/>
          <w:bCs/>
          <w:color w:val="000000" w:themeColor="text1"/>
          <w:sz w:val="21"/>
          <w:szCs w:val="21"/>
          <w14:textFill>
            <w14:solidFill>
              <w14:schemeClr w14:val="tx1"/>
            </w14:solidFill>
          </w14:textFill>
        </w:rPr>
        <w:t>1.本项目无需缴纳磋商保证金。</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2.本项目信息发布媒体：</w:t>
      </w:r>
    </w:p>
    <w:p>
      <w:pPr>
        <w:keepNext w:val="0"/>
        <w:keepLines w:val="0"/>
        <w:pageBreakBefore w:val="0"/>
        <w:kinsoku/>
        <w:overflowPunct/>
        <w:topLinePunct w:val="0"/>
        <w:bidi w:val="0"/>
        <w:spacing w:line="400" w:lineRule="exact"/>
        <w:textAlignment w:val="auto"/>
        <w:rPr>
          <w:rFonts w:hint="eastAsia" w:eastAsia="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全国公共资源交易平台（广西・防城港）</w:t>
      </w:r>
    </w:p>
    <w:p>
      <w:pPr>
        <w:keepNext w:val="0"/>
        <w:keepLines w:val="0"/>
        <w:pageBreakBefore w:val="0"/>
        <w:numPr>
          <w:ilvl w:val="0"/>
          <w:numId w:val="0"/>
        </w:numPr>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磋商响应文件解密时间：截标时间后30分钟内</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cs="宋体"/>
          <w:color w:val="000000" w:themeColor="text1"/>
          <w:sz w:val="21"/>
          <w:szCs w:val="21"/>
          <w:u w:val="single"/>
          <w:lang w:val="en-US" w:eastAsia="zh-CN"/>
          <w14:textFill>
            <w14:solidFill>
              <w14:schemeClr w14:val="tx1"/>
            </w14:solidFill>
          </w14:textFill>
        </w:rPr>
        <w:t>6</w:t>
      </w:r>
      <w:r>
        <w:rPr>
          <w:rFonts w:hint="eastAsia" w:ascii="宋体" w:hAnsi="宋体" w:eastAsia="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1</w:t>
      </w:r>
      <w:r>
        <w:rPr>
          <w:rFonts w:hint="eastAsia" w:ascii="宋体" w:hAnsi="宋体" w:eastAsia="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7</w:t>
      </w:r>
      <w:r>
        <w:rPr>
          <w:rFonts w:hint="eastAsia" w:ascii="宋体" w:hAnsi="宋体" w:eastAsia="宋体" w:cs="宋体"/>
          <w:color w:val="000000" w:themeColor="text1"/>
          <w:sz w:val="21"/>
          <w:szCs w:val="21"/>
          <w:u w:val="single"/>
          <w14:textFill>
            <w14:solidFill>
              <w14:schemeClr w14:val="tx1"/>
            </w14:solidFill>
          </w14:textFill>
        </w:rPr>
        <w:t>日上午</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9时30分至10时00分)</w:t>
      </w:r>
      <w:r>
        <w:rPr>
          <w:rFonts w:hint="eastAsia" w:ascii="宋体" w:hAnsi="宋体" w:eastAsia="宋体" w:cs="宋体"/>
          <w:color w:val="000000" w:themeColor="text1"/>
          <w:sz w:val="21"/>
          <w:szCs w:val="21"/>
          <w14:textFill>
            <w14:solidFill>
              <w14:schemeClr w14:val="tx1"/>
            </w14:solidFill>
          </w14:textFill>
        </w:rPr>
        <w:t xml:space="preserve">磋商供应商可以登录广西政府采购云平台，用“项目采购-开标评标”功能进行解密电子磋商响应文件。    </w:t>
      </w:r>
    </w:p>
    <w:p>
      <w:pPr>
        <w:keepNext w:val="0"/>
        <w:keepLines w:val="0"/>
        <w:pageBreakBefore w:val="0"/>
        <w:kinsoku/>
        <w:overflowPunct/>
        <w:topLinePunct w:val="0"/>
        <w:bidi w:val="0"/>
        <w:spacing w:line="40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注：投标文件网上递交截止时间后，各</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须在解密时限内对上传广西政府采购云平台的投标文件进行解密，所有</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在规定的解密时限内解密完成或解密时限结束后，我中心开启已解密的响应文件。</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超过解密时限未解密的，系统默认自动放弃，造成投标无效的后果由</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自行承担，解密响应文件后，30分钟内在线签字确认，超过时间没有在线签字确认的系统将自动视为供应商认可。</w:t>
      </w:r>
    </w:p>
    <w:bookmarkEnd w:id="46"/>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4.在线投标响应（电子投标）说明</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pPr>
        <w:pStyle w:val="27"/>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广西政府采购云平台电子交易客户端”请自行前往广西政府采购网下载并安装；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pPr>
        <w:keepNext w:val="0"/>
        <w:keepLines w:val="0"/>
        <w:pageBreakBefore w:val="0"/>
        <w:kinsoku/>
        <w:overflowPunct/>
        <w:topLinePunct w:val="0"/>
        <w:bidi w:val="0"/>
        <w:spacing w:line="40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（完成CA数字证书办理预计一周左右，建议供应商获取磋商文件后立即办理）</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pStyle w:val="27"/>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）本项目需要磋商供应商代表在截标当天截标后，按磋商小组要求及时登陆广西政府采购云平台等候在线磋商及提交最后报价。</w:t>
      </w:r>
    </w:p>
    <w:p>
      <w:pPr>
        <w:pStyle w:val="27"/>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pPr>
        <w:pStyle w:val="27"/>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）不同供应商的投标文件由同一单位或者个人编制；或不同供应商报名的IP地址一致的</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此类投标供应商将视为无效。</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6.政府采购监督管理机构</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称：防城港市财政局</w:t>
      </w:r>
    </w:p>
    <w:p>
      <w:pPr>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联系方式：0770-6102323</w:t>
      </w:r>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八、凡对本次采购提出询问，请按以下方式联系。</w:t>
      </w:r>
      <w:bookmarkEnd w:id="27"/>
      <w:bookmarkEnd w:id="28"/>
      <w:bookmarkEnd w:id="29"/>
      <w:bookmarkEnd w:id="30"/>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bookmarkStart w:id="47" w:name="_Toc35393637"/>
      <w:bookmarkStart w:id="48" w:name="_Toc35393806"/>
      <w:bookmarkStart w:id="49" w:name="_Toc28359019"/>
      <w:bookmarkStart w:id="50" w:name="_Toc28359096"/>
      <w:r>
        <w:rPr>
          <w:rFonts w:hint="eastAsia" w:ascii="宋体" w:hAnsi="宋体" w:eastAsia="宋体" w:cs="宋体"/>
          <w:color w:val="000000" w:themeColor="text1"/>
          <w:sz w:val="21"/>
          <w:szCs w:val="21"/>
          <w14:textFill>
            <w14:solidFill>
              <w14:schemeClr w14:val="tx1"/>
            </w14:solidFill>
          </w14:textFill>
        </w:rPr>
        <w:t>1.采购人信息</w:t>
      </w:r>
      <w:bookmarkEnd w:id="47"/>
      <w:bookmarkEnd w:id="48"/>
      <w:bookmarkEnd w:id="49"/>
      <w:bookmarkEnd w:id="50"/>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bookmarkStart w:id="51" w:name="_Toc28359097"/>
      <w:bookmarkStart w:id="52" w:name="_Toc35393638"/>
      <w:bookmarkStart w:id="53" w:name="_Toc35393807"/>
      <w:bookmarkStart w:id="54" w:name="_Toc28359020"/>
      <w:r>
        <w:rPr>
          <w:rFonts w:hint="eastAsia" w:ascii="宋体" w:hAnsi="宋体" w:eastAsia="宋体" w:cs="宋体"/>
          <w:color w:val="000000" w:themeColor="text1"/>
          <w:sz w:val="21"/>
          <w:szCs w:val="21"/>
          <w14:textFill>
            <w14:solidFill>
              <w14:schemeClr w14:val="tx1"/>
            </w14:solidFill>
          </w14:textFill>
        </w:rPr>
        <w:t>名    称：</w:t>
      </w:r>
      <w:bookmarkStart w:id="55" w:name="OLE_LINK1"/>
      <w:bookmarkStart w:id="56" w:name="OLE_LINK6"/>
      <w:r>
        <w:rPr>
          <w:rFonts w:hint="eastAsia" w:ascii="宋体" w:hAnsi="宋体" w:eastAsia="宋体" w:cs="宋体"/>
          <w:color w:val="000000" w:themeColor="text1"/>
          <w:sz w:val="21"/>
          <w:szCs w:val="21"/>
          <w:u w:val="single"/>
          <w14:textFill>
            <w14:solidFill>
              <w14:schemeClr w14:val="tx1"/>
            </w14:solidFill>
          </w14:textFill>
        </w:rPr>
        <w:t>防城港市商务局</w:t>
      </w:r>
      <w:bookmarkEnd w:id="55"/>
    </w:p>
    <w:bookmarkEnd w:id="56"/>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ascii="宋体" w:hAnsi="宋体" w:eastAsia="宋体" w:cs="宋体"/>
          <w:color w:val="000000" w:themeColor="text1"/>
          <w:sz w:val="21"/>
          <w:szCs w:val="21"/>
          <w:u w:val="single"/>
          <w14:textFill>
            <w14:solidFill>
              <w14:schemeClr w14:val="tx1"/>
            </w14:solidFill>
          </w14:textFill>
        </w:rPr>
        <w:t>防城港市中心区红树林大厦东塔</w:t>
      </w:r>
      <w:r>
        <w:rPr>
          <w:rFonts w:hint="eastAsia" w:ascii="宋体" w:hAnsi="宋体" w:cs="宋体"/>
          <w:color w:val="000000" w:themeColor="text1"/>
          <w:sz w:val="21"/>
          <w:szCs w:val="21"/>
          <w:u w:val="single"/>
          <w:lang w:val="en-US" w:eastAsia="zh-CN"/>
          <w14:textFill>
            <w14:solidFill>
              <w14:schemeClr w14:val="tx1"/>
            </w14:solidFill>
          </w14:textFill>
        </w:rPr>
        <w:t>18</w:t>
      </w:r>
      <w:r>
        <w:rPr>
          <w:rFonts w:hint="eastAsia" w:ascii="宋体" w:hAnsi="宋体" w:eastAsia="宋体" w:cs="宋体"/>
          <w:color w:val="000000" w:themeColor="text1"/>
          <w:sz w:val="21"/>
          <w:szCs w:val="21"/>
          <w:u w:val="single"/>
          <w14:textFill>
            <w14:solidFill>
              <w14:schemeClr w14:val="tx1"/>
            </w14:solidFill>
          </w14:textFill>
        </w:rPr>
        <w:t>楼</w:t>
      </w:r>
    </w:p>
    <w:p>
      <w:pPr>
        <w:pStyle w:val="11"/>
        <w:keepNext w:val="0"/>
        <w:keepLines w:val="0"/>
        <w:pageBreakBefore w:val="0"/>
        <w:kinsoku/>
        <w:overflowPunct/>
        <w:topLinePunct w:val="0"/>
        <w:bidi w:val="0"/>
        <w:spacing w:line="400" w:lineRule="exact"/>
        <w:jc w:val="both"/>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hAnsi="宋体" w:cs="宋体"/>
          <w:color w:val="000000" w:themeColor="text1"/>
          <w:sz w:val="21"/>
          <w:szCs w:val="21"/>
          <w:u w:val="single"/>
          <w:lang w:val="en-US" w:eastAsia="zh-CN"/>
          <w14:textFill>
            <w14:solidFill>
              <w14:schemeClr w14:val="tx1"/>
            </w14:solidFill>
          </w14:textFill>
        </w:rPr>
        <w:t xml:space="preserve">甘宇棠  </w:t>
      </w:r>
    </w:p>
    <w:p>
      <w:pPr>
        <w:keepNext w:val="0"/>
        <w:keepLines w:val="0"/>
        <w:pageBreakBefore w:val="0"/>
        <w:kinsoku/>
        <w:overflowPunct/>
        <w:topLinePunct w:val="0"/>
        <w:bidi w:val="0"/>
        <w:spacing w:line="400" w:lineRule="exact"/>
        <w:jc w:val="both"/>
        <w:textAlignment w:val="auto"/>
        <w:rPr>
          <w:rFonts w:hint="default" w:ascii="宋体" w:hAnsi="宋体" w:eastAsia="宋体" w:cs="宋体"/>
          <w:color w:val="FF0000"/>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0770-2801806</w:t>
      </w:r>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bookmarkEnd w:id="51"/>
      <w:bookmarkEnd w:id="52"/>
      <w:bookmarkEnd w:id="53"/>
      <w:bookmarkEnd w:id="54"/>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u w:val="single"/>
          <w14:textFill>
            <w14:solidFill>
              <w14:schemeClr w14:val="tx1"/>
            </w14:solidFill>
          </w14:textFill>
        </w:rPr>
        <w:t>防城港市政府采购中心　</w:t>
      </w:r>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bookmarkStart w:id="57" w:name="OLE_LINK15"/>
      <w:r>
        <w:rPr>
          <w:rFonts w:hint="eastAsia" w:ascii="宋体" w:hAnsi="宋体" w:eastAsia="宋体" w:cs="宋体"/>
          <w:color w:val="000000" w:themeColor="text1"/>
          <w:sz w:val="21"/>
          <w:szCs w:val="21"/>
          <w:u w:val="single"/>
          <w14:textFill>
            <w14:solidFill>
              <w14:schemeClr w14:val="tx1"/>
            </w14:solidFill>
          </w14:textFill>
        </w:rPr>
        <w:t>防城港市中心区红树林大厦东塔6楼</w:t>
      </w:r>
      <w:bookmarkEnd w:id="57"/>
    </w:p>
    <w:p>
      <w:pPr>
        <w:keepNext w:val="0"/>
        <w:keepLines w:val="0"/>
        <w:pageBreakBefore w:val="0"/>
        <w:kinsoku/>
        <w:overflowPunct/>
        <w:topLinePunct w:val="0"/>
        <w:bidi w:val="0"/>
        <w:spacing w:line="400" w:lineRule="exact"/>
        <w:jc w:val="both"/>
        <w:textAlignment w:val="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eastAsia="宋体" w:cs="宋体"/>
          <w:color w:val="000000" w:themeColor="text1"/>
          <w:sz w:val="21"/>
          <w:szCs w:val="21"/>
          <w:u w:val="single"/>
          <w14:textFill>
            <w14:solidFill>
              <w14:schemeClr w14:val="tx1"/>
            </w14:solidFill>
          </w14:textFill>
        </w:rPr>
        <w:t>0770-61261</w:t>
      </w:r>
      <w:r>
        <w:rPr>
          <w:rFonts w:hint="eastAsia" w:ascii="宋体" w:hAnsi="宋体" w:cs="宋体"/>
          <w:color w:val="000000" w:themeColor="text1"/>
          <w:sz w:val="21"/>
          <w:szCs w:val="21"/>
          <w:u w:val="single"/>
          <w:lang w:val="en-US" w:eastAsia="zh-CN"/>
          <w14:textFill>
            <w14:solidFill>
              <w14:schemeClr w14:val="tx1"/>
            </w14:solidFill>
          </w14:textFill>
        </w:rPr>
        <w:t>83</w:t>
      </w:r>
    </w:p>
    <w:p>
      <w:pPr>
        <w:keepNext w:val="0"/>
        <w:keepLines w:val="0"/>
        <w:pageBreakBefore w:val="0"/>
        <w:kinsoku/>
        <w:overflowPunct/>
        <w:topLinePunct w:val="0"/>
        <w:bidi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bookmarkStart w:id="58" w:name="_Toc28359098"/>
      <w:bookmarkStart w:id="59" w:name="_Toc28359021"/>
      <w:bookmarkStart w:id="60" w:name="_Toc35393808"/>
      <w:bookmarkStart w:id="61" w:name="_Toc35393639"/>
      <w:r>
        <w:rPr>
          <w:rFonts w:hint="eastAsia" w:ascii="宋体" w:hAnsi="宋体" w:eastAsia="宋体" w:cs="宋体"/>
          <w:color w:val="000000" w:themeColor="text1"/>
          <w:sz w:val="21"/>
          <w:szCs w:val="21"/>
          <w14:textFill>
            <w14:solidFill>
              <w14:schemeClr w14:val="tx1"/>
            </w14:solidFill>
          </w14:textFill>
        </w:rPr>
        <w:t>项目联系方式</w:t>
      </w:r>
      <w:bookmarkEnd w:id="58"/>
      <w:bookmarkEnd w:id="59"/>
      <w:bookmarkEnd w:id="60"/>
      <w:bookmarkEnd w:id="61"/>
    </w:p>
    <w:p>
      <w:pPr>
        <w:pStyle w:val="11"/>
        <w:keepNext w:val="0"/>
        <w:keepLines w:val="0"/>
        <w:pageBreakBefore w:val="0"/>
        <w:kinsoku/>
        <w:overflowPunct/>
        <w:topLinePunct w:val="0"/>
        <w:bidi w:val="0"/>
        <w:spacing w:line="40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hAnsi="宋体" w:cs="宋体"/>
          <w:color w:val="000000" w:themeColor="text1"/>
          <w:sz w:val="21"/>
          <w:szCs w:val="21"/>
          <w:u w:val="single"/>
          <w:lang w:val="en-US" w:eastAsia="zh-CN"/>
          <w14:textFill>
            <w14:solidFill>
              <w14:schemeClr w14:val="tx1"/>
            </w14:solidFill>
          </w14:textFill>
        </w:rPr>
        <w:t>陈工</w:t>
      </w:r>
    </w:p>
    <w:p>
      <w:pPr>
        <w:keepNext w:val="0"/>
        <w:keepLines w:val="0"/>
        <w:pageBreakBefore w:val="0"/>
        <w:kinsoku/>
        <w:overflowPunct/>
        <w:topLinePunct w:val="0"/>
        <w:bidi w:val="0"/>
        <w:spacing w:line="400" w:lineRule="exact"/>
        <w:jc w:val="both"/>
        <w:textAlignment w:val="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0770-61261</w:t>
      </w:r>
      <w:r>
        <w:rPr>
          <w:rFonts w:hint="eastAsia" w:ascii="宋体" w:hAnsi="宋体" w:cs="宋体"/>
          <w:color w:val="000000" w:themeColor="text1"/>
          <w:sz w:val="21"/>
          <w:szCs w:val="21"/>
          <w:u w:val="single"/>
          <w:lang w:val="en-US" w:eastAsia="zh-CN"/>
          <w14:textFill>
            <w14:solidFill>
              <w14:schemeClr w14:val="tx1"/>
            </w14:solidFill>
          </w14:textFill>
        </w:rPr>
        <w:t>83</w:t>
      </w:r>
    </w:p>
    <w:p>
      <w:pPr>
        <w:pStyle w:val="8"/>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pPr>
        <w:pStyle w:val="8"/>
        <w:keepNext w:val="0"/>
        <w:keepLines w:val="0"/>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overflowPunct/>
        <w:topLinePunct w:val="0"/>
        <w:bidi w:val="0"/>
        <w:spacing w:line="400" w:lineRule="exact"/>
        <w:ind w:firstLine="420" w:firstLineChars="20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采购人：</w:t>
      </w:r>
      <w:r>
        <w:rPr>
          <w:rFonts w:hint="eastAsia" w:ascii="宋体" w:hAnsi="宋体" w:eastAsia="宋体" w:cs="宋体"/>
          <w:kern w:val="0"/>
          <w:sz w:val="21"/>
          <w:szCs w:val="21"/>
        </w:rPr>
        <w:t>防城港市商务局</w:t>
      </w:r>
    </w:p>
    <w:p>
      <w:pPr>
        <w:keepNext w:val="0"/>
        <w:keepLines w:val="0"/>
        <w:pageBreakBefore w:val="0"/>
        <w:kinsoku/>
        <w:overflowPunct/>
        <w:topLinePunct w:val="0"/>
        <w:bidi w:val="0"/>
        <w:spacing w:line="400" w:lineRule="exact"/>
        <w:ind w:firstLine="420" w:firstLineChars="200"/>
        <w:jc w:val="righ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zh-CN"/>
        </w:rPr>
        <w:t>采购代理机构：</w:t>
      </w:r>
      <w:r>
        <w:rPr>
          <w:rFonts w:hint="eastAsia" w:ascii="宋体" w:hAnsi="宋体" w:eastAsia="宋体" w:cs="宋体"/>
          <w:kern w:val="0"/>
          <w:sz w:val="21"/>
          <w:szCs w:val="21"/>
        </w:rPr>
        <w:t>防城港市政府采购中心</w:t>
      </w:r>
    </w:p>
    <w:p>
      <w:pPr>
        <w:keepNext w:val="0"/>
        <w:keepLines w:val="0"/>
        <w:pageBreakBefore w:val="0"/>
        <w:kinsoku/>
        <w:wordWrap w:val="0"/>
        <w:overflowPunct/>
        <w:topLinePunct w:val="0"/>
        <w:bidi w:val="0"/>
        <w:spacing w:line="400" w:lineRule="exact"/>
        <w:ind w:firstLine="420" w:firstLineChars="20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zh-CN"/>
          <w14:textFill>
            <w14:solidFill>
              <w14:schemeClr w14:val="tx1"/>
            </w14:solidFill>
          </w14:textFill>
        </w:rPr>
        <w:t>2025年</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zh-CN"/>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26</w:t>
      </w:r>
      <w:r>
        <w:rPr>
          <w:rFonts w:hint="eastAsia" w:ascii="宋体" w:hAnsi="宋体" w:eastAsia="宋体" w:cs="宋体"/>
          <w:color w:val="000000" w:themeColor="text1"/>
          <w:sz w:val="21"/>
          <w:szCs w:val="21"/>
          <w:lang w:val="zh-CN"/>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sz w:val="21"/>
          <w:szCs w:val="21"/>
          <w:lang w:val="en-US" w:eastAsia="zh-CN"/>
        </w:rPr>
        <w:t xml:space="preserve">   </w:t>
      </w:r>
    </w:p>
    <w:p>
      <w:pPr>
        <w:pageBreakBefore w:val="0"/>
        <w:kinsoku/>
        <w:overflowPunct/>
        <w:topLinePunct w:val="0"/>
        <w:bidi w:val="0"/>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pPr>
        <w:pStyle w:val="3"/>
        <w:pageBreakBefore w:val="0"/>
        <w:numPr>
          <w:ilvl w:val="0"/>
          <w:numId w:val="0"/>
        </w:numPr>
        <w:tabs>
          <w:tab w:val="left" w:pos="0"/>
        </w:tabs>
        <w:kinsoku/>
        <w:overflowPunct/>
        <w:topLinePunct w:val="0"/>
        <w:autoSpaceDE w:val="0"/>
        <w:autoSpaceDN w:val="0"/>
        <w:bidi w:val="0"/>
        <w:adjustRightInd w:val="0"/>
        <w:spacing w:before="0" w:after="0" w:line="400" w:lineRule="exact"/>
        <w:jc w:val="center"/>
        <w:textAlignment w:val="auto"/>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eastAsia="宋体" w:cs="宋体"/>
          <w:b/>
          <w:bCs w:val="0"/>
          <w:kern w:val="2"/>
          <w:sz w:val="44"/>
          <w:szCs w:val="44"/>
          <w:lang w:val="en-US" w:eastAsia="zh-CN" w:bidi="ar-SA"/>
        </w:rPr>
        <w:t>第二章 供应商须知</w:t>
      </w:r>
    </w:p>
    <w:p>
      <w:pPr>
        <w:pStyle w:val="4"/>
        <w:jc w:val="center"/>
        <w:rPr>
          <w:rFonts w:ascii="宋体" w:hAnsi="宋体" w:cs="宋体"/>
          <w:b/>
          <w:bCs w:val="0"/>
          <w:color w:val="000000" w:themeColor="text1"/>
          <w:sz w:val="24"/>
          <w:szCs w:val="24"/>
          <w14:textFill>
            <w14:solidFill>
              <w14:schemeClr w14:val="tx1"/>
            </w14:solidFill>
          </w14:textFill>
        </w:rPr>
      </w:pPr>
      <w:bookmarkStart w:id="62" w:name="_Toc13547"/>
      <w:bookmarkStart w:id="63" w:name="_Toc9508"/>
      <w:bookmarkStart w:id="64" w:name="_Toc25063"/>
      <w:r>
        <w:rPr>
          <w:rFonts w:hint="eastAsia" w:ascii="宋体" w:hAnsi="宋体" w:cs="宋体"/>
          <w:b/>
          <w:bCs w:val="0"/>
          <w:color w:val="000000" w:themeColor="text1"/>
          <w:sz w:val="24"/>
          <w:szCs w:val="24"/>
          <w14:textFill>
            <w14:solidFill>
              <w14:schemeClr w14:val="tx1"/>
            </w14:solidFill>
          </w14:textFill>
        </w:rPr>
        <w:t>供 应 商 须 知 前 附 表</w:t>
      </w:r>
      <w:bookmarkEnd w:id="62"/>
      <w:bookmarkEnd w:id="63"/>
      <w:bookmarkEnd w:id="64"/>
    </w:p>
    <w:tbl>
      <w:tblPr>
        <w:tblStyle w:val="19"/>
        <w:tblW w:w="9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24"/>
        <w:gridCol w:w="7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szCs w:val="21"/>
              </w:rPr>
            </w:pPr>
            <w:r>
              <w:rPr>
                <w:rFonts w:hint="eastAsia" w:ascii="宋体" w:hAnsi="宋体"/>
                <w:szCs w:val="21"/>
              </w:rPr>
              <w:t>序号</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具体内容</w:t>
            </w:r>
          </w:p>
        </w:tc>
        <w:tc>
          <w:tcPr>
            <w:tcW w:w="7172"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bookmarkStart w:id="141" w:name="_GoBack"/>
            <w:r>
              <w:rPr>
                <w:rFonts w:hint="eastAsia" w:ascii="宋体" w:hAnsi="宋体" w:eastAsia="宋体" w:cs="宋体"/>
                <w:color w:val="auto"/>
                <w:szCs w:val="21"/>
                <w:highlight w:val="none"/>
              </w:rPr>
              <w:t>项目编号</w:t>
            </w:r>
            <w:bookmarkEnd w:id="141"/>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bookmarkStart w:id="65" w:name="OLE_LINK12"/>
            <w:r>
              <w:rPr>
                <w:rFonts w:hint="eastAsia" w:ascii="宋体" w:hAnsi="宋体" w:eastAsia="宋体" w:cs="宋体"/>
                <w:sz w:val="21"/>
                <w:szCs w:val="21"/>
              </w:rPr>
              <w:t>项目名称：</w:t>
            </w:r>
            <w:r>
              <w:rPr>
                <w:rFonts w:hint="eastAsia" w:ascii="宋体" w:hAnsi="宋体" w:eastAsia="宋体" w:cs="宋体"/>
                <w:color w:val="auto"/>
                <w:szCs w:val="21"/>
                <w:highlight w:val="none"/>
              </w:rPr>
              <w:t>防城港口岸联检附楼物业服务采购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项目编号：</w:t>
            </w:r>
            <w:bookmarkEnd w:id="65"/>
            <w:r>
              <w:rPr>
                <w:rFonts w:hint="eastAsia" w:ascii="宋体" w:hAnsi="宋体" w:eastAsia="宋体" w:cs="宋体"/>
                <w:color w:val="auto"/>
                <w:szCs w:val="21"/>
                <w:highlight w:val="none"/>
              </w:rPr>
              <w:t>FCZC2025-C3-990201-FCGS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供应商资格</w:t>
            </w:r>
          </w:p>
        </w:tc>
        <w:tc>
          <w:tcPr>
            <w:tcW w:w="7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本项目不接受联合体参与磋商；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.落实政府采购政策需满足的资格要求：本项目为专门面向</w:t>
            </w:r>
            <w:r>
              <w:rPr>
                <w:rFonts w:hint="eastAsia" w:ascii="宋体" w:hAnsi="宋体" w:cs="宋体"/>
                <w:sz w:val="21"/>
                <w:szCs w:val="21"/>
                <w:lang w:val="en-US" w:eastAsia="zh-CN"/>
              </w:rPr>
              <w:t>中小</w:t>
            </w:r>
            <w:r>
              <w:rPr>
                <w:rFonts w:hint="eastAsia" w:ascii="宋体" w:hAnsi="宋体" w:eastAsia="宋体" w:cs="宋体"/>
                <w:sz w:val="21"/>
                <w:szCs w:val="21"/>
              </w:rPr>
              <w:t>企业采购的项目，供应商必须为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首次响应文件</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首次响应文件分为资格文件、价格文件、商务和技术文件三个部分。由磋商小组对通过资格审查的合格供应商的响应文件的响应报价、商务、技术等实质性要求进行符合性审查，以确定其是否满足竞争性磋商文件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响应文件有效期</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响应文件递交截止日起90天。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保证金</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本项目不需要缴纳磋商保证金。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磋商报价</w:t>
            </w:r>
          </w:p>
        </w:tc>
        <w:tc>
          <w:tcPr>
            <w:tcW w:w="7172" w:type="dxa"/>
            <w:vAlign w:val="center"/>
          </w:tcPr>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1"/>
                <w:szCs w:val="21"/>
              </w:rPr>
            </w:pPr>
            <w:r>
              <w:rPr>
                <w:rFonts w:hint="eastAsia" w:ascii="宋体" w:hAnsi="宋体" w:eastAsia="宋体" w:cs="宋体"/>
                <w:sz w:val="21"/>
                <w:szCs w:val="21"/>
              </w:rPr>
              <w:t>磋商报价：</w:t>
            </w:r>
            <w:r>
              <w:rPr>
                <w:rFonts w:hint="eastAsia" w:ascii="宋体" w:hAnsi="宋体" w:eastAsia="宋体" w:cs="宋体"/>
                <w:b/>
                <w:sz w:val="21"/>
                <w:szCs w:val="21"/>
              </w:rPr>
              <w:t>供应商须就《采购需求》中所有服务内容作完整唯一报价。</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采购预算：人民币伍拾陆万元整（￥560000.00元）。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cs="宋体"/>
                <w:sz w:val="21"/>
                <w:szCs w:val="21"/>
                <w:lang w:val="en-US" w:eastAsia="zh-CN"/>
              </w:rPr>
              <w:t>同预算</w:t>
            </w:r>
            <w:r>
              <w:rPr>
                <w:rFonts w:hint="eastAsia" w:ascii="宋体" w:hAnsi="宋体" w:eastAsia="宋体" w:cs="宋体"/>
                <w:sz w:val="21"/>
                <w:szCs w:val="21"/>
              </w:rPr>
              <w:t>。</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供应商最终报价超出采购预算或最高限价的，响应无效。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首次</w:t>
            </w:r>
            <w:r>
              <w:rPr>
                <w:rFonts w:hint="eastAsia" w:ascii="宋体" w:hAnsi="宋体" w:eastAsia="宋体" w:cs="宋体"/>
                <w:color w:val="auto"/>
                <w:szCs w:val="21"/>
                <w:highlight w:val="none"/>
              </w:rPr>
              <w:t>响应文件递交</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截止时间</w:t>
            </w:r>
          </w:p>
        </w:tc>
        <w:tc>
          <w:tcPr>
            <w:tcW w:w="7172" w:type="dxa"/>
            <w:vAlign w:val="center"/>
          </w:tcPr>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color w:val="auto"/>
                <w:szCs w:val="21"/>
                <w:highlight w:val="none"/>
                <w:u w:val="single"/>
                <w:lang w:eastAsia="zh-CN"/>
              </w:rPr>
              <w:t>于</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hAnsi="宋体" w:cs="宋体"/>
                <w:color w:val="000000" w:themeColor="text1"/>
                <w:sz w:val="21"/>
                <w:szCs w:val="21"/>
                <w:highlight w:val="none"/>
                <w:u w:val="single"/>
                <w:lang w:val="en-US" w:eastAsia="zh-CN"/>
                <w14:textFill>
                  <w14:solidFill>
                    <w14:schemeClr w14:val="tx1"/>
                  </w14:solidFill>
                </w14:textFill>
              </w:rPr>
              <w:t>上午09</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eastAsia="zh-CN"/>
                <w14:textFill>
                  <w14:solidFill>
                    <w14:schemeClr w14:val="tx1"/>
                  </w14:solidFill>
                </w14:textFill>
              </w:rPr>
              <w:t>时</w:t>
            </w:r>
            <w:r>
              <w:rPr>
                <w:rFonts w:hint="eastAsia"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cs="宋体"/>
                <w:color w:val="000000" w:themeColor="text1"/>
                <w:sz w:val="21"/>
                <w:szCs w:val="21"/>
                <w:highlight w:val="none"/>
                <w:u w:val="single"/>
                <w:lang w:eastAsia="zh-CN"/>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之</w:t>
            </w:r>
            <w:r>
              <w:rPr>
                <w:rFonts w:hint="eastAsia" w:ascii="宋体" w:hAnsi="宋体" w:eastAsia="宋体" w:cs="宋体"/>
                <w:color w:val="auto"/>
                <w:szCs w:val="21"/>
                <w:highlight w:val="none"/>
              </w:rPr>
              <w:t>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磋商响应文件解密时间</w:t>
            </w:r>
            <w:r>
              <w:rPr>
                <w:rFonts w:hint="eastAsia" w:ascii="宋体" w:hAnsi="宋体" w:cs="宋体"/>
                <w:color w:val="auto"/>
                <w:szCs w:val="21"/>
                <w:highlight w:val="none"/>
                <w:lang w:eastAsia="zh-CN"/>
              </w:rPr>
              <w:t>及地点</w:t>
            </w:r>
          </w:p>
        </w:tc>
        <w:tc>
          <w:tcPr>
            <w:tcW w:w="7172" w:type="dxa"/>
            <w:vAlign w:val="center"/>
          </w:tcPr>
          <w:p>
            <w:pPr>
              <w:pStyle w:val="6"/>
              <w:keepNext w:val="0"/>
              <w:keepLines w:val="0"/>
              <w:pageBreakBefore w:val="0"/>
              <w:widowControl w:val="0"/>
              <w:kinsoku/>
              <w:wordWrap/>
              <w:overflowPunct/>
              <w:topLinePunct w:val="0"/>
              <w:autoSpaceDE/>
              <w:autoSpaceDN/>
              <w:bidi w:val="0"/>
              <w:adjustRightInd/>
              <w:spacing w:line="500" w:lineRule="exact"/>
              <w:ind w:left="210" w:hanging="210" w:hanging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钟内（202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 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上午09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 xml:space="preserve">00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分)磋商供应商可以登录广</w:t>
            </w:r>
            <w:r>
              <w:rPr>
                <w:rFonts w:hint="eastAsia" w:ascii="宋体" w:hAnsi="宋体" w:eastAsia="宋体" w:cs="宋体"/>
                <w:color w:val="auto"/>
                <w:kern w:val="2"/>
                <w:sz w:val="21"/>
                <w:szCs w:val="21"/>
                <w:highlight w:val="none"/>
                <w:lang w:val="en-US" w:eastAsia="zh-CN" w:bidi="ar-SA"/>
              </w:rPr>
              <w:t>西政府采购云平台，用“项目采购-开标评标”功能进行解密磋商响应文件。</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b/>
                <w:bCs/>
                <w:color w:val="auto"/>
                <w:szCs w:val="21"/>
                <w:highlight w:val="none"/>
                <w:lang w:val="en-US" w:eastAsia="zh-CN"/>
              </w:rPr>
              <w:t>注：投标文件网上递交截止时间后，各</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须在解密时限内对上传</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的投标文件进行解密，所有</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在规定的解密时限内解密完成或解密时限结束后，我中心开启已解密的响应文件。</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超过解密时限未解密的，系统默认自动放弃，造成投标无效的后果由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自行承担</w:t>
            </w:r>
            <w:r>
              <w:rPr>
                <w:rFonts w:hint="eastAsia" w:ascii="宋体" w:hAnsi="宋体" w:cs="宋体"/>
                <w:b/>
                <w:bCs/>
                <w:color w:val="auto"/>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9</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磋商小组组成</w:t>
            </w:r>
          </w:p>
        </w:tc>
        <w:tc>
          <w:tcPr>
            <w:tcW w:w="717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磋商及评审工作由采购代理机构负责组织，具体磋商、评审工作由依法组建的磋商小组负责，磋商小组由</w:t>
            </w:r>
            <w:r>
              <w:rPr>
                <w:rFonts w:hint="eastAsia" w:ascii="宋体" w:hAnsi="宋体" w:eastAsia="宋体" w:cs="宋体"/>
                <w:sz w:val="21"/>
                <w:szCs w:val="21"/>
                <w:lang w:eastAsia="zh-CN"/>
              </w:rPr>
              <w:t>采购人代表和评审专家</w:t>
            </w:r>
            <w:r>
              <w:rPr>
                <w:rFonts w:hint="eastAsia" w:ascii="宋体" w:hAnsi="宋体" w:eastAsia="宋体" w:cs="宋体"/>
                <w:sz w:val="21"/>
                <w:szCs w:val="21"/>
              </w:rPr>
              <w:t>组成。磋商小组由</w:t>
            </w:r>
            <w:r>
              <w:rPr>
                <w:rFonts w:hint="eastAsia" w:ascii="宋体" w:hAnsi="宋体" w:eastAsia="宋体" w:cs="宋体"/>
                <w:sz w:val="21"/>
                <w:szCs w:val="21"/>
                <w:lang w:eastAsia="zh-CN"/>
              </w:rPr>
              <w:t>采购人代表和</w:t>
            </w:r>
            <w:r>
              <w:rPr>
                <w:rFonts w:hint="eastAsia" w:ascii="宋体" w:hAnsi="宋体" w:eastAsia="宋体" w:cs="宋体"/>
                <w:sz w:val="21"/>
                <w:szCs w:val="21"/>
              </w:rPr>
              <w:t>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磋商时间</w:t>
            </w:r>
            <w:r>
              <w:rPr>
                <w:rFonts w:hint="eastAsia" w:ascii="宋体" w:hAnsi="宋体" w:cs="宋体"/>
                <w:color w:val="auto"/>
                <w:szCs w:val="21"/>
                <w:highlight w:val="none"/>
                <w:lang w:eastAsia="zh-CN"/>
              </w:rPr>
              <w:t>及</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注意事项</w:t>
            </w:r>
          </w:p>
        </w:tc>
        <w:tc>
          <w:tcPr>
            <w:tcW w:w="7172" w:type="dxa"/>
            <w:vAlign w:val="center"/>
          </w:tcPr>
          <w:p>
            <w:pPr>
              <w:keepNext w:val="0"/>
              <w:keepLines w:val="0"/>
              <w:pageBreakBefore w:val="0"/>
              <w:widowControl w:val="0"/>
              <w:kinsoku/>
              <w:wordWrap/>
              <w:overflowPunct/>
              <w:topLinePunct w:val="0"/>
              <w:autoSpaceDE/>
              <w:autoSpaceDN/>
              <w:bidi w:val="0"/>
              <w:adjustRightInd/>
              <w:spacing w:line="500" w:lineRule="exact"/>
              <w:ind w:left="315" w:hanging="315" w:hangingChars="15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磋商时间：响应文件递交截止时间后。</w:t>
            </w:r>
          </w:p>
          <w:p>
            <w:pPr>
              <w:keepNext w:val="0"/>
              <w:keepLines w:val="0"/>
              <w:pageBreakBefore w:val="0"/>
              <w:widowControl w:val="0"/>
              <w:kinsoku/>
              <w:wordWrap/>
              <w:overflowPunct/>
              <w:topLinePunct w:val="0"/>
              <w:autoSpaceDE/>
              <w:autoSpaceDN/>
              <w:bidi w:val="0"/>
              <w:adjustRightInd/>
              <w:spacing w:line="500" w:lineRule="exact"/>
              <w:ind w:left="15" w:hanging="14" w:hangingChars="7"/>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磋商小组成员根据磋商文件规定的评审程序、评审办法和评审标准进行代理评审，与符合条件的供应商就采购货物和服务事宜进行磋商，供应商按照磋商文件的要求提交报价。</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供应商法定代表人或委托代理人须按时登录广西政府采购云平台远程开标大厅，保持全</w:t>
            </w:r>
            <w:r>
              <w:rPr>
                <w:rFonts w:hint="eastAsia" w:ascii="宋体" w:hAnsi="宋体" w:cs="宋体"/>
                <w:color w:val="auto"/>
                <w:szCs w:val="21"/>
                <w:highlight w:val="none"/>
                <w:lang w:val="en-US" w:eastAsia="zh-CN"/>
              </w:rPr>
              <w:t>程</w:t>
            </w:r>
            <w:r>
              <w:rPr>
                <w:rFonts w:hint="eastAsia" w:ascii="宋体" w:hAnsi="宋体" w:cs="宋体"/>
                <w:color w:val="auto"/>
                <w:szCs w:val="21"/>
                <w:highlight w:val="none"/>
                <w:lang w:eastAsia="zh-CN"/>
              </w:rPr>
              <w:t>在线并关注评审磋商进度，评审期间磋商小组提出澄清等要求时，供应商须在规定时间内进行在线应答，否则按磋商文件或广西政府采购云平台的相关规定执行。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代理服务费</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color w:val="auto"/>
                <w:highlight w:val="none"/>
              </w:rPr>
              <w:t>本项目不收取采购代理服务费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解释权</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w:t>
            </w:r>
            <w:r>
              <w:rPr>
                <w:rFonts w:hint="eastAsia" w:ascii="宋体" w:hAnsi="宋体" w:cs="宋体"/>
                <w:color w:val="auto"/>
                <w:highlight w:val="none"/>
                <w:lang w:eastAsia="zh-CN"/>
              </w:rPr>
              <w:t>由采购人或者</w:t>
            </w: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代采购人</w:t>
            </w:r>
            <w:r>
              <w:rPr>
                <w:rFonts w:hint="eastAsia" w:ascii="宋体" w:hAnsi="宋体" w:cs="宋体"/>
                <w:color w:val="auto"/>
                <w:highlight w:val="none"/>
                <w:lang w:eastAsia="zh-CN"/>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1"/>
                <w:szCs w:val="21"/>
                <w:lang w:val="en-US"/>
              </w:rPr>
            </w:pPr>
            <w:r>
              <w:rPr>
                <w:rFonts w:hint="eastAsia" w:ascii="宋体" w:hAnsi="宋体" w:cs="宋体"/>
                <w:color w:val="auto"/>
                <w:szCs w:val="21"/>
                <w:highlight w:val="none"/>
                <w:lang w:val="en-US" w:eastAsia="zh-CN"/>
              </w:rPr>
              <w:t>13</w:t>
            </w:r>
          </w:p>
        </w:tc>
        <w:tc>
          <w:tcPr>
            <w:tcW w:w="1624" w:type="dxa"/>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监督管理机构</w:t>
            </w:r>
          </w:p>
        </w:tc>
        <w:tc>
          <w:tcPr>
            <w:tcW w:w="71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000000"/>
                <w:kern w:val="0"/>
                <w:sz w:val="21"/>
                <w:szCs w:val="21"/>
              </w:rPr>
            </w:pPr>
            <w:r>
              <w:rPr>
                <w:rFonts w:hint="eastAsia" w:ascii="宋体" w:hAnsi="宋体" w:cs="宋体"/>
                <w:color w:val="auto"/>
                <w:szCs w:val="21"/>
                <w:highlight w:val="none"/>
                <w:lang w:val="en-US" w:eastAsia="zh-CN"/>
              </w:rPr>
              <w:t xml:space="preserve">防城港市财政局                         </w:t>
            </w: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6102323</w:t>
            </w:r>
            <w:r>
              <w:rPr>
                <w:rFonts w:hint="eastAsia" w:ascii="宋体" w:hAnsi="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sz w:val="21"/>
                <w:szCs w:val="21"/>
                <w:lang w:val="en-US" w:eastAsia="zh-CN"/>
              </w:rPr>
              <w:t>14</w:t>
            </w:r>
          </w:p>
        </w:tc>
        <w:tc>
          <w:tcPr>
            <w:tcW w:w="16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sz w:val="21"/>
                <w:szCs w:val="21"/>
              </w:rPr>
              <w:t>接收质疑函方式</w:t>
            </w:r>
          </w:p>
        </w:tc>
        <w:tc>
          <w:tcPr>
            <w:tcW w:w="717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接收质疑函方式：以书面形式。通讯地址：防城港市中心区红树林大厦东塔6楼，联系方式：0770-6126183。（不接受传真形式）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000000"/>
                <w:kern w:val="0"/>
                <w:sz w:val="21"/>
                <w:szCs w:val="21"/>
                <w:lang w:val="en-US" w:eastAsia="zh-CN"/>
              </w:rPr>
              <w:t>业务时间：每天上午9时00分到12时00分，下午13时30分到16时30分，双休日和法定节假日不办理业务。</w:t>
            </w:r>
          </w:p>
        </w:tc>
      </w:tr>
    </w:tbl>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b/>
          <w:sz w:val="24"/>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b/>
          <w:sz w:val="24"/>
        </w:rPr>
      </w:pPr>
      <w:r>
        <w:rPr>
          <w:rFonts w:hint="eastAsia" w:ascii="宋体" w:hAnsi="宋体"/>
          <w:b/>
          <w:sz w:val="24"/>
        </w:rPr>
        <w:br w:type="page"/>
      </w:r>
    </w:p>
    <w:p>
      <w:pPr>
        <w:pageBreakBefore w:val="0"/>
        <w:kinsoku/>
        <w:wordWrap/>
        <w:overflowPunct/>
        <w:topLinePunct w:val="0"/>
        <w:autoSpaceDE/>
        <w:autoSpaceDN/>
        <w:bidi w:val="0"/>
        <w:spacing w:line="400" w:lineRule="exact"/>
        <w:jc w:val="center"/>
        <w:textAlignment w:val="auto"/>
        <w:rPr>
          <w:rFonts w:ascii="宋体" w:hAnsi="宋体"/>
          <w:b/>
          <w:sz w:val="24"/>
        </w:rPr>
      </w:pPr>
      <w:r>
        <w:rPr>
          <w:rFonts w:hint="eastAsia" w:ascii="宋体" w:hAnsi="宋体"/>
          <w:b/>
          <w:sz w:val="24"/>
        </w:rPr>
        <w:t>供应商须知</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8"/>
          <w:szCs w:val="28"/>
        </w:rPr>
      </w:pPr>
      <w:r>
        <w:rPr>
          <w:rFonts w:hint="eastAsia" w:ascii="宋体" w:hAnsi="宋体" w:eastAsia="宋体" w:cs="宋体"/>
          <w:b/>
          <w:sz w:val="28"/>
          <w:szCs w:val="28"/>
        </w:rPr>
        <w:t>一、总　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项目概况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本项目名称及项目编号：见“供应商须知前附表”。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二）</w:t>
      </w:r>
      <w:r>
        <w:rPr>
          <w:rFonts w:hint="eastAsia" w:ascii="宋体" w:hAnsi="宋体" w:eastAsia="宋体" w:cs="宋体"/>
          <w:b/>
          <w:szCs w:val="21"/>
        </w:rPr>
        <w:t>定义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“采购人”是指：依法进行政府采购的国家机关、事业单位、团体组织，本项目采购人为防城港市商务局。</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“采购代理机构”是指：根据采购人的委托办理采购事宜的机构，本项目的采购代理机构为防城港市政府采购中心。</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“供应商”是指购买了竞争性磋商文件，响应本文件要求，参加磋商的法人、其他组织或者自然人。如果该供应商在本次磋商中成交，即成为“成交供应商”。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“工程”是指建设工程，包括建筑物和构筑物的新建、改建、扩建及其相关的装修、拆除、修缮等。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“服务”</w:t>
      </w:r>
      <w:r>
        <w:rPr>
          <w:rFonts w:hint="eastAsia" w:ascii="宋体" w:hAnsi="宋体" w:eastAsia="宋体" w:cs="宋体"/>
          <w:szCs w:val="21"/>
          <w:lang w:val="en-US" w:eastAsia="zh-CN"/>
        </w:rPr>
        <w:t>是</w:t>
      </w:r>
      <w:r>
        <w:rPr>
          <w:rFonts w:hint="eastAsia" w:ascii="宋体" w:hAnsi="宋体" w:eastAsia="宋体" w:cs="宋体"/>
          <w:szCs w:val="21"/>
        </w:rPr>
        <w:t>指按磋商文件规定，供应商须承担的安装、调试、技术协助、校准、培训、技术指导以及其他类似的义务。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“竞标”是指供应商按照本项目竞争性磋商公告规定的方式获取磋商文件、提交响应文件并希望获得标的的行为。</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“货物”系指按磋商文件规定，供应商须向采购人提供的一切设备、保险、税金、备品备件、工具、手册及其它有关技术资料和材料。</w:t>
      </w:r>
    </w:p>
    <w:p>
      <w:pPr>
        <w:pStyle w:val="2"/>
        <w:pageBreakBefore w:val="0"/>
        <w:kinsoku/>
        <w:wordWrap/>
        <w:overflowPunct/>
        <w:topLinePunct w:val="0"/>
        <w:autoSpaceDE/>
        <w:autoSpaceDN/>
        <w:bidi w:val="0"/>
        <w:spacing w:line="400" w:lineRule="exact"/>
        <w:textAlignment w:val="auto"/>
        <w:rPr>
          <w:rFonts w:hint="eastAsia"/>
        </w:rPr>
      </w:pPr>
      <w:r>
        <w:rPr>
          <w:rFonts w:hint="eastAsia" w:ascii="宋体" w:hAnsi="宋体" w:cs="宋体"/>
          <w:b w:val="0"/>
          <w:color w:val="auto"/>
          <w:kern w:val="2"/>
          <w:sz w:val="21"/>
          <w:szCs w:val="21"/>
          <w:highlight w:val="none"/>
          <w:lang w:val="en-US" w:eastAsia="zh-CN" w:bidi="ar-SA"/>
        </w:rPr>
        <w:t>8.</w:t>
      </w:r>
      <w:r>
        <w:rPr>
          <w:rFonts w:hint="eastAsia" w:ascii="宋体" w:hAnsi="宋体" w:eastAsia="宋体" w:cs="宋体"/>
          <w:b w:val="0"/>
          <w:color w:val="auto"/>
          <w:kern w:val="2"/>
          <w:sz w:val="21"/>
          <w:szCs w:val="21"/>
          <w:highlight w:val="none"/>
          <w:lang w:val="en-US" w:eastAsia="zh-CN" w:bidi="ar-SA"/>
        </w:rPr>
        <w:t>“项目”系指供应商按磋商文件规定向采购人提供的货物和服务。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9.</w:t>
      </w:r>
      <w:r>
        <w:rPr>
          <w:rFonts w:hint="eastAsia" w:ascii="宋体" w:hAnsi="宋体" w:eastAsia="宋体" w:cs="宋体"/>
          <w:color w:val="000000"/>
          <w:szCs w:val="21"/>
        </w:rPr>
        <w:t>“响应文件”</w:t>
      </w:r>
      <w:r>
        <w:rPr>
          <w:rFonts w:hint="eastAsia" w:ascii="宋体" w:hAnsi="宋体" w:eastAsia="宋体" w:cs="宋体"/>
          <w:color w:val="000000"/>
          <w:spacing w:val="-6"/>
          <w:szCs w:val="21"/>
        </w:rPr>
        <w:t>是指供应商根据本磋商文件要求，编制包含资格证明、商务技术、报价等所有内容的文件。</w:t>
      </w:r>
    </w:p>
    <w:p>
      <w:pPr>
        <w:pageBreakBefore w:val="0"/>
        <w:kinsoku/>
        <w:wordWrap/>
        <w:overflowPunct/>
        <w:topLinePunct w:val="0"/>
        <w:autoSpaceDE/>
        <w:autoSpaceDN/>
        <w:bidi w:val="0"/>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10.</w:t>
      </w:r>
      <w:r>
        <w:rPr>
          <w:rFonts w:hint="eastAsia" w:ascii="宋体" w:hAnsi="宋体" w:eastAsia="宋体" w:cs="宋体"/>
          <w:color w:val="000000"/>
          <w:szCs w:val="21"/>
        </w:rPr>
        <w:t>“实质性要求”是指磋商文件中已经指明不满足则响应文件按无效响应处理的条款，或者不能负偏离的条款，或者采购需求中带“</w:t>
      </w:r>
      <w:bookmarkStart w:id="66" w:name="OLE_LINK25"/>
      <w:r>
        <w:rPr>
          <w:rFonts w:hint="eastAsia" w:ascii="宋体" w:hAnsi="宋体" w:cs="宋体"/>
          <w:color w:val="auto"/>
          <w:szCs w:val="21"/>
        </w:rPr>
        <w:t>▲</w:t>
      </w:r>
      <w:bookmarkEnd w:id="66"/>
      <w:r>
        <w:rPr>
          <w:rFonts w:hint="eastAsia" w:ascii="宋体" w:hAnsi="宋体" w:eastAsia="宋体" w:cs="宋体"/>
          <w:color w:val="000000"/>
          <w:szCs w:val="21"/>
        </w:rPr>
        <w:t>”的条款。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11.</w:t>
      </w:r>
      <w:r>
        <w:rPr>
          <w:rFonts w:hint="eastAsia" w:ascii="宋体" w:hAnsi="宋体" w:eastAsia="宋体" w:cs="宋体"/>
          <w:color w:val="000000"/>
          <w:szCs w:val="21"/>
        </w:rPr>
        <w:t>“正偏离”，是指响应文件对磋商文件“采购需求”中有关条款作出的响应优于条款要求并有利于采购人的情形。</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12.</w:t>
      </w:r>
      <w:r>
        <w:rPr>
          <w:rFonts w:hint="eastAsia" w:ascii="宋体" w:hAnsi="宋体" w:eastAsia="宋体" w:cs="宋体"/>
          <w:color w:val="000000"/>
          <w:szCs w:val="21"/>
        </w:rPr>
        <w:t>“负偏离”，是指响应文件对磋商文件“采购需求”中有关条款作出的响应不满足条款要求，导致采购人要求不能得到满足的情形。</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13.</w:t>
      </w:r>
      <w:r>
        <w:rPr>
          <w:rFonts w:hint="eastAsia" w:ascii="宋体" w:hAnsi="宋体" w:eastAsia="宋体" w:cs="宋体"/>
          <w:color w:val="000000"/>
          <w:szCs w:val="21"/>
        </w:rPr>
        <w:t>“允许负偏离的条款”是指采购需求中的不属于“实质性要求”的条款。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14.</w:t>
      </w:r>
      <w:r>
        <w:rPr>
          <w:rFonts w:hint="eastAsia" w:ascii="宋体" w:hAnsi="宋体" w:eastAsia="宋体" w:cs="宋体"/>
          <w:color w:val="000000"/>
          <w:szCs w:val="21"/>
        </w:rPr>
        <w:t>“书面形式”是指合同书、信件和数据电文（包括电报、电传、传真、电子数据交换和电子邮件）等可以有形地表现所载内容的形式。</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15.</w:t>
      </w:r>
      <w:r>
        <w:rPr>
          <w:rFonts w:hint="eastAsia" w:ascii="宋体" w:hAnsi="宋体" w:eastAsia="宋体" w:cs="宋体"/>
          <w:color w:val="000000"/>
          <w:szCs w:val="21"/>
        </w:rPr>
        <w:t>“首次报价”是指供应商提交的首次响应文件中的报价。</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16.</w:t>
      </w:r>
      <w:r>
        <w:rPr>
          <w:rFonts w:hint="eastAsia" w:ascii="宋体" w:hAnsi="宋体" w:eastAsia="宋体" w:cs="宋体"/>
          <w:color w:val="000000"/>
          <w:szCs w:val="21"/>
        </w:rPr>
        <w:t>“评审报价”是指供应商提交的最后报价并经修正（如有）和政策功能价格扣除（如有）后的价格。</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三）供应商</w:t>
      </w:r>
      <w:r>
        <w:rPr>
          <w:rFonts w:hint="eastAsia" w:ascii="宋体" w:hAnsi="宋体" w:eastAsia="宋体" w:cs="宋体"/>
          <w:b/>
          <w:szCs w:val="21"/>
        </w:rPr>
        <w:t>的资格条件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符合《中华人民共和国政府采购法》第二十二条和《政府采购法实施条例》第十八条规定，具备合法资格的供应商；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参加本项目的供应商应满足的其它特定资格条件：见“磋商须知前附表”。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3.</w:t>
      </w:r>
      <w:r>
        <w:rPr>
          <w:rFonts w:hint="eastAsia" w:ascii="宋体" w:hAnsi="宋体" w:eastAsia="宋体" w:cs="宋体"/>
          <w:color w:val="000000"/>
          <w:szCs w:val="21"/>
        </w:rPr>
        <w:t>本项目不接受联合体磋商。供应商以联合体形式参加磋商的，磋商无效。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Cs w:val="21"/>
        </w:rPr>
      </w:pPr>
      <w:r>
        <w:rPr>
          <w:rFonts w:hint="eastAsia" w:ascii="宋体" w:hAnsi="宋体" w:cs="宋体"/>
          <w:color w:val="000000"/>
          <w:szCs w:val="21"/>
          <w:lang w:val="en-US" w:eastAsia="zh-CN"/>
        </w:rPr>
        <w:t>4.</w:t>
      </w:r>
      <w:r>
        <w:rPr>
          <w:rFonts w:hint="eastAsia" w:ascii="宋体" w:hAnsi="宋体" w:eastAsia="宋体" w:cs="宋体"/>
          <w:color w:val="00000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落实政府采购政策需满足的资格要求：本项目为专门面向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企业采购的项目，供应商必须为</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企业或监狱企业或残疾人福利性单位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所属行业为物业管理</w:t>
      </w:r>
      <w:r>
        <w:rPr>
          <w:rFonts w:hint="eastAsia" w:ascii="宋体" w:hAnsi="宋体" w:eastAsia="宋体" w:cs="宋体"/>
          <w:color w:val="auto"/>
          <w:sz w:val="21"/>
          <w:szCs w:val="21"/>
          <w:highlight w:val="none"/>
        </w:rPr>
        <w:t>。</w:t>
      </w:r>
    </w:p>
    <w:p>
      <w:pPr>
        <w:pStyle w:val="2"/>
        <w:pageBreakBefore w:val="0"/>
        <w:kinsoku/>
        <w:wordWrap/>
        <w:overflowPunct/>
        <w:topLinePunct w:val="0"/>
        <w:autoSpaceDE/>
        <w:autoSpaceDN/>
        <w:bidi w:val="0"/>
        <w:spacing w:before="0" w:after="0" w:line="400" w:lineRule="exact"/>
        <w:textAlignment w:val="auto"/>
        <w:rPr>
          <w:rFonts w:hint="eastAsia" w:ascii="宋体" w:hAnsi="宋体" w:eastAsia="宋体" w:cs="宋体"/>
          <w:b w:val="0"/>
          <w:bCs w:val="0"/>
          <w:color w:val="auto"/>
          <w:sz w:val="21"/>
          <w:szCs w:val="21"/>
          <w:highlight w:val="none"/>
          <w:lang w:eastAsia="zh-CN"/>
        </w:rPr>
      </w:pPr>
      <w:bookmarkStart w:id="67" w:name="_Toc5736"/>
      <w:bookmarkStart w:id="68" w:name="_Toc4527"/>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本项目的特定</w:t>
      </w:r>
      <w:r>
        <w:rPr>
          <w:rFonts w:hint="eastAsia" w:ascii="宋体" w:hAnsi="宋体" w:eastAsia="宋体" w:cs="宋体"/>
          <w:b w:val="0"/>
          <w:bCs w:val="0"/>
          <w:color w:val="auto"/>
          <w:sz w:val="21"/>
          <w:szCs w:val="21"/>
          <w:highlight w:val="none"/>
        </w:rPr>
        <w:t>资格要求：</w:t>
      </w:r>
      <w:r>
        <w:rPr>
          <w:rFonts w:hint="eastAsia" w:ascii="宋体" w:hAnsi="宋体" w:eastAsia="宋体" w:cs="宋体"/>
          <w:b w:val="0"/>
          <w:bCs w:val="0"/>
          <w:color w:val="auto"/>
          <w:sz w:val="21"/>
          <w:szCs w:val="21"/>
          <w:highlight w:val="none"/>
          <w:lang w:eastAsia="zh-CN"/>
        </w:rPr>
        <w:t>无。</w:t>
      </w:r>
      <w:bookmarkEnd w:id="67"/>
      <w:bookmarkEnd w:id="68"/>
    </w:p>
    <w:p>
      <w:pPr>
        <w:pageBreakBefore w:val="0"/>
        <w:numPr>
          <w:ilvl w:val="0"/>
          <w:numId w:val="0"/>
        </w:numPr>
        <w:kinsoku/>
        <w:wordWrap/>
        <w:overflowPunct/>
        <w:topLinePunct w:val="0"/>
        <w:autoSpaceDE/>
        <w:autoSpaceDN/>
        <w:bidi w:val="0"/>
        <w:spacing w:line="400" w:lineRule="exac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（四）采购方式：竞争性磋商</w:t>
      </w:r>
    </w:p>
    <w:p>
      <w:pPr>
        <w:pStyle w:val="2"/>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kern w:val="2"/>
          <w:sz w:val="21"/>
          <w:szCs w:val="21"/>
          <w:highlight w:val="none"/>
          <w:lang w:val="en-US" w:eastAsia="zh-CN" w:bidi="ar-SA"/>
        </w:rPr>
        <w:t>代理委托</w:t>
      </w:r>
    </w:p>
    <w:p>
      <w:pPr>
        <w:pageBreakBefore w:val="0"/>
        <w:kinsoku/>
        <w:wordWrap/>
        <w:overflowPunct/>
        <w:topLinePunct w:val="0"/>
        <w:autoSpaceDE/>
        <w:autoSpaceDN/>
        <w:bidi w:val="0"/>
        <w:snapToGrid w:val="0"/>
        <w:spacing w:line="400" w:lineRule="exact"/>
        <w:textAlignment w:val="auto"/>
        <w:rPr>
          <w:rFonts w:hint="default"/>
          <w:lang w:val="en-US" w:eastAsia="zh-CN"/>
        </w:rPr>
      </w:pPr>
      <w:r>
        <w:rPr>
          <w:rFonts w:hint="eastAsia" w:ascii="宋体" w:hAnsi="宋体" w:cs="Courier New"/>
          <w:bCs/>
          <w:color w:val="auto"/>
          <w:szCs w:val="21"/>
          <w:highlight w:val="none"/>
        </w:rPr>
        <w:t>委托磋商的供应商须提供授权委托书（格式见第六章）。</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b/>
          <w:szCs w:val="21"/>
          <w:lang w:val="en-US" w:eastAsia="zh-CN"/>
        </w:rPr>
        <w:t>（六）</w:t>
      </w:r>
      <w:r>
        <w:rPr>
          <w:rFonts w:hint="eastAsia" w:ascii="宋体" w:hAnsi="宋体" w:eastAsia="宋体" w:cs="宋体"/>
          <w:b/>
          <w:szCs w:val="21"/>
        </w:rPr>
        <w:t>磋商费用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供应商应自行承担所有与编写和提交响应文件有关的费用，包括但不限于勘查现场、编制和提交响应文件、参加磋商与应答、签订合同等，不论磋商结果如何，采购人和采购代理机构在任何情况下无义务和责任承担此类费用。</w:t>
      </w:r>
    </w:p>
    <w:p>
      <w:pPr>
        <w:pStyle w:val="2"/>
        <w:pageBreakBefore w:val="0"/>
        <w:numPr>
          <w:ilvl w:val="0"/>
          <w:numId w:val="0"/>
        </w:numPr>
        <w:kinsoku/>
        <w:wordWrap/>
        <w:overflowPunct/>
        <w:topLinePunct w:val="0"/>
        <w:autoSpaceDE/>
        <w:autoSpaceDN/>
        <w:bidi w:val="0"/>
        <w:spacing w:before="0" w:after="0" w:line="400" w:lineRule="exact"/>
        <w:textAlignment w:val="auto"/>
        <w:rPr>
          <w:rFonts w:hint="eastAsia" w:ascii="宋体" w:hAnsi="宋体" w:eastAsia="宋体" w:cs="宋体"/>
          <w:b/>
          <w:bCs/>
          <w:color w:val="auto"/>
          <w:kern w:val="2"/>
          <w:sz w:val="21"/>
          <w:szCs w:val="21"/>
          <w:highlight w:val="none"/>
          <w:lang w:val="en-US" w:eastAsia="zh-CN" w:bidi="ar-SA"/>
        </w:rPr>
      </w:pPr>
      <w:bookmarkStart w:id="69" w:name="_Toc31376"/>
      <w:bookmarkStart w:id="70" w:name="_Toc6933"/>
      <w:r>
        <w:rPr>
          <w:rFonts w:hint="eastAsia" w:ascii="宋体" w:hAnsi="宋体" w:cs="宋体"/>
          <w:b/>
          <w:bCs/>
          <w:color w:val="auto"/>
          <w:kern w:val="2"/>
          <w:sz w:val="21"/>
          <w:szCs w:val="21"/>
          <w:highlight w:val="none"/>
          <w:lang w:val="en-US" w:eastAsia="zh-CN" w:bidi="ar-SA"/>
        </w:rPr>
        <w:t>（七）</w:t>
      </w:r>
      <w:r>
        <w:rPr>
          <w:rFonts w:hint="eastAsia" w:ascii="宋体" w:hAnsi="宋体" w:eastAsia="宋体" w:cs="宋体"/>
          <w:b/>
          <w:bCs/>
          <w:color w:val="auto"/>
          <w:kern w:val="2"/>
          <w:sz w:val="21"/>
          <w:szCs w:val="21"/>
          <w:highlight w:val="none"/>
          <w:lang w:val="en-US" w:eastAsia="zh-CN" w:bidi="ar-SA"/>
        </w:rPr>
        <w:t>联合体要求</w:t>
      </w:r>
      <w:bookmarkEnd w:id="69"/>
      <w:bookmarkEnd w:id="70"/>
    </w:p>
    <w:p>
      <w:pPr>
        <w:pageBreakBefore w:val="0"/>
        <w:kinsoku/>
        <w:wordWrap/>
        <w:overflowPunct/>
        <w:topLinePunct w:val="0"/>
        <w:autoSpaceDE/>
        <w:autoSpaceDN/>
        <w:bidi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本项目不接受联合体参与磋商。</w:t>
      </w:r>
    </w:p>
    <w:p>
      <w:pPr>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bookmarkStart w:id="71" w:name="_Toc353785283"/>
      <w:bookmarkStart w:id="72" w:name="_Toc352700413"/>
      <w:r>
        <w:rPr>
          <w:rFonts w:hint="eastAsia" w:ascii="宋体" w:hAnsi="宋体" w:cs="宋体"/>
          <w:b/>
          <w:bCs/>
          <w:color w:val="auto"/>
          <w:kern w:val="2"/>
          <w:sz w:val="21"/>
          <w:szCs w:val="21"/>
          <w:highlight w:val="none"/>
          <w:lang w:val="en-US" w:eastAsia="zh-CN" w:bidi="ar-SA"/>
        </w:rPr>
        <w:t>（八）</w:t>
      </w:r>
      <w:r>
        <w:rPr>
          <w:rFonts w:hint="eastAsia" w:ascii="宋体" w:hAnsi="宋体" w:eastAsia="宋体" w:cs="宋体"/>
          <w:b/>
          <w:bCs/>
          <w:color w:val="auto"/>
          <w:kern w:val="2"/>
          <w:sz w:val="21"/>
          <w:szCs w:val="21"/>
          <w:highlight w:val="none"/>
          <w:lang w:val="en-US" w:eastAsia="zh-CN" w:bidi="ar-SA"/>
        </w:rPr>
        <w:t>转包与分包</w:t>
      </w:r>
      <w:bookmarkEnd w:id="71"/>
      <w:bookmarkEnd w:id="72"/>
    </w:p>
    <w:p>
      <w:pPr>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本项目不允许转包和分包。</w:t>
      </w:r>
    </w:p>
    <w:p>
      <w:pPr>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bookmarkStart w:id="73" w:name="_Toc353785284"/>
      <w:bookmarkStart w:id="74" w:name="_Toc352700414"/>
      <w:r>
        <w:rPr>
          <w:rFonts w:hint="eastAsia" w:ascii="宋体" w:hAnsi="宋体" w:cs="宋体"/>
          <w:b/>
          <w:bCs/>
          <w:color w:val="auto"/>
          <w:kern w:val="2"/>
          <w:sz w:val="21"/>
          <w:szCs w:val="21"/>
          <w:highlight w:val="none"/>
          <w:lang w:val="en-US" w:eastAsia="zh-CN" w:bidi="ar-SA"/>
        </w:rPr>
        <w:t>（九）</w:t>
      </w:r>
      <w:r>
        <w:rPr>
          <w:rFonts w:hint="eastAsia" w:ascii="宋体" w:hAnsi="宋体" w:eastAsia="宋体" w:cs="宋体"/>
          <w:b/>
          <w:bCs/>
          <w:color w:val="auto"/>
          <w:kern w:val="2"/>
          <w:sz w:val="21"/>
          <w:szCs w:val="21"/>
          <w:highlight w:val="none"/>
          <w:lang w:val="en-US" w:eastAsia="zh-CN" w:bidi="ar-SA"/>
        </w:rPr>
        <w:t>特别说明</w:t>
      </w:r>
      <w:bookmarkEnd w:id="73"/>
      <w:bookmarkEnd w:id="74"/>
    </w:p>
    <w:p>
      <w:pPr>
        <w:pStyle w:val="11"/>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11"/>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bookmarkStart w:id="75" w:name="_Toc352700415"/>
      <w:bookmarkStart w:id="76" w:name="_Toc353785285"/>
      <w:r>
        <w:rPr>
          <w:rFonts w:hint="eastAsia" w:ascii="宋体" w:hAnsi="宋体" w:cs="宋体"/>
          <w:b/>
          <w:bCs/>
          <w:color w:val="auto"/>
          <w:kern w:val="2"/>
          <w:sz w:val="21"/>
          <w:szCs w:val="21"/>
          <w:highlight w:val="none"/>
          <w:lang w:val="en-US" w:eastAsia="zh-CN" w:bidi="ar-SA"/>
        </w:rPr>
        <w:t>（十）</w:t>
      </w:r>
      <w:r>
        <w:rPr>
          <w:rFonts w:hint="eastAsia" w:ascii="宋体" w:hAnsi="宋体" w:eastAsia="宋体" w:cs="宋体"/>
          <w:b/>
          <w:bCs/>
          <w:color w:val="auto"/>
          <w:kern w:val="2"/>
          <w:sz w:val="21"/>
          <w:szCs w:val="21"/>
          <w:highlight w:val="none"/>
          <w:lang w:val="en-US" w:eastAsia="zh-CN" w:bidi="ar-SA"/>
        </w:rPr>
        <w:t>询问、质疑和投诉</w:t>
      </w:r>
      <w:bookmarkEnd w:id="75"/>
      <w:bookmarkEnd w:id="76"/>
    </w:p>
    <w:p>
      <w:pPr>
        <w:pStyle w:val="11"/>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供应商对政府采购活动事项有疑问的，可以向采购人或本中心提出询问，采购人或本中心当在3个工作日内对供应商依法提出的询问作出答复，但答复的内容不得涉及商业秘密。</w:t>
      </w:r>
    </w:p>
    <w:p>
      <w:pPr>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供应商认为磋商文件使自己的合法权益受到损害的，应当在本项目招标公告期限届满之日起七个工作日内以书面形式</w:t>
      </w:r>
      <w:bookmarkStart w:id="77" w:name="OLE_LINK29"/>
      <w:r>
        <w:rPr>
          <w:rFonts w:hint="eastAsia" w:ascii="宋体" w:hAnsi="宋体" w:eastAsia="宋体" w:cs="宋体"/>
          <w:b w:val="0"/>
          <w:color w:val="auto"/>
          <w:kern w:val="2"/>
          <w:sz w:val="21"/>
          <w:szCs w:val="21"/>
          <w:highlight w:val="none"/>
          <w:lang w:val="en-US" w:eastAsia="zh-CN" w:bidi="ar-SA"/>
        </w:rPr>
        <w:t>向采购人、本中心</w:t>
      </w:r>
      <w:bookmarkEnd w:id="77"/>
      <w:r>
        <w:rPr>
          <w:rFonts w:hint="eastAsia" w:ascii="宋体" w:hAnsi="宋体" w:eastAsia="宋体" w:cs="宋体"/>
          <w:b w:val="0"/>
          <w:color w:val="auto"/>
          <w:kern w:val="2"/>
          <w:sz w:val="21"/>
          <w:szCs w:val="21"/>
          <w:highlight w:val="none"/>
          <w:lang w:val="en-US" w:eastAsia="zh-CN" w:bidi="ar-SA"/>
        </w:rPr>
        <w:t>提出质疑。供应商认为招标过程或中标结果使自己的合法权益受到损害的，应当在采购程序环节结束之日或成交公告期限届满之日起七个工作日内，以书面形式向采购人、本中心提出质疑。</w:t>
      </w:r>
    </w:p>
    <w:p>
      <w:pPr>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3.</w:t>
      </w:r>
      <w:r>
        <w:rPr>
          <w:rFonts w:hint="eastAsia" w:ascii="宋体" w:hAnsi="宋体" w:eastAsia="宋体" w:cs="宋体"/>
          <w:b w:val="0"/>
          <w:color w:val="auto"/>
          <w:kern w:val="2"/>
          <w:sz w:val="21"/>
          <w:szCs w:val="21"/>
          <w:highlight w:val="none"/>
          <w:lang w:val="en-US" w:eastAsia="zh-CN" w:bidi="ar-SA"/>
        </w:rPr>
        <w:t>供应商对采购人、本中心质疑答复不满意或者采购人、本中心未在规定时间内作出答复的，可以在答复期满后十五个工作日内向同级采购监管部门投诉。</w:t>
      </w:r>
    </w:p>
    <w:p>
      <w:pPr>
        <w:pStyle w:val="11"/>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质疑、投诉应当采用书面形式，质疑书、投诉书实行实名制，均应明确阐述磋商文件、采购过程或成交结果中使自己合法权益受到损害的实质性内容，提供相关事实、依据和证据及其来源或线索，并提供必要的证明材料，便于有关单位调查、答复和处理。（质疑、投诉不接受传真形式）</w:t>
      </w:r>
    </w:p>
    <w:p>
      <w:pPr>
        <w:pageBreakBefore w:val="0"/>
        <w:kinsoku/>
        <w:wordWrap/>
        <w:overflowPunct/>
        <w:topLinePunct w:val="0"/>
        <w:autoSpaceDE/>
        <w:autoSpaceDN/>
        <w:bidi w:val="0"/>
        <w:spacing w:line="400" w:lineRule="exact"/>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5.</w:t>
      </w:r>
      <w:r>
        <w:rPr>
          <w:rFonts w:hint="eastAsia" w:ascii="宋体" w:hAnsi="宋体" w:eastAsia="宋体" w:cs="宋体"/>
          <w:b w:val="0"/>
          <w:color w:val="auto"/>
          <w:kern w:val="2"/>
          <w:sz w:val="21"/>
          <w:szCs w:val="21"/>
          <w:highlight w:val="none"/>
          <w:lang w:val="en-US" w:eastAsia="zh-CN" w:bidi="ar-SA"/>
        </w:rPr>
        <w:t>质疑部门联系方式： 防城港市政府采购中心  0770-6126183</w:t>
      </w:r>
    </w:p>
    <w:p>
      <w:pPr>
        <w:pageBreakBefore w:val="0"/>
        <w:kinsoku/>
        <w:wordWrap/>
        <w:overflowPunct/>
        <w:topLinePunct w:val="0"/>
        <w:autoSpaceDE/>
        <w:autoSpaceDN/>
        <w:bidi w:val="0"/>
        <w:spacing w:line="400" w:lineRule="exact"/>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采购监管部门联系方式：防城港市财政局   0770-6102323</w:t>
      </w:r>
    </w:p>
    <w:p>
      <w:pPr>
        <w:pageBreakBefore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（十一）</w:t>
      </w:r>
      <w:r>
        <w:rPr>
          <w:rFonts w:hint="eastAsia" w:ascii="宋体" w:hAnsi="宋体" w:eastAsia="宋体" w:cs="宋体"/>
          <w:b/>
          <w:bCs/>
          <w:color w:val="auto"/>
          <w:kern w:val="2"/>
          <w:sz w:val="21"/>
          <w:szCs w:val="21"/>
          <w:highlight w:val="none"/>
          <w:lang w:val="en-US" w:eastAsia="zh-CN" w:bidi="ar-SA"/>
        </w:rPr>
        <w:t>查询媒体</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全国公共资源交易平台（广西・防城港）</w:t>
      </w:r>
    </w:p>
    <w:p>
      <w:pPr>
        <w:pStyle w:val="2"/>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（十二）</w:t>
      </w:r>
      <w:r>
        <w:rPr>
          <w:rFonts w:hint="eastAsia" w:ascii="宋体" w:hAnsi="宋体" w:eastAsia="宋体" w:cs="宋体"/>
          <w:b/>
          <w:bCs/>
          <w:color w:val="auto"/>
          <w:kern w:val="2"/>
          <w:sz w:val="21"/>
          <w:szCs w:val="21"/>
          <w:highlight w:val="none"/>
          <w:lang w:val="en-US" w:eastAsia="zh-CN" w:bidi="ar-SA"/>
        </w:rPr>
        <w:t xml:space="preserve">解释权  </w:t>
      </w:r>
    </w:p>
    <w:p>
      <w:pPr>
        <w:pStyle w:val="2"/>
        <w:pageBreakBefore w:val="0"/>
        <w:kinsoku/>
        <w:wordWrap/>
        <w:overflowPunct/>
        <w:topLinePunct w:val="0"/>
        <w:autoSpaceDE/>
        <w:autoSpaceDN/>
        <w:bidi w:val="0"/>
        <w:spacing w:line="40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由采购人或者采购代理机构代采购人负责解释。</w:t>
      </w:r>
    </w:p>
    <w:p>
      <w:pPr>
        <w:pageBreakBefore w:val="0"/>
        <w:kinsoku/>
        <w:wordWrap/>
        <w:overflowPunct/>
        <w:topLinePunct w:val="0"/>
        <w:autoSpaceDE/>
        <w:autoSpaceDN/>
        <w:bidi w:val="0"/>
        <w:spacing w:line="400" w:lineRule="exact"/>
        <w:textAlignment w:val="auto"/>
        <w:rPr>
          <w:rFonts w:hint="eastAsia"/>
        </w:rPr>
      </w:pPr>
    </w:p>
    <w:p>
      <w:pPr>
        <w:keepNext w:val="0"/>
        <w:keepLines w:val="0"/>
        <w:pageBreakBefore w:val="0"/>
        <w:kinsoku/>
        <w:wordWrap/>
        <w:overflowPunct/>
        <w:topLinePunct w:val="0"/>
        <w:autoSpaceDE/>
        <w:autoSpaceDN/>
        <w:bidi w:val="0"/>
        <w:adjustRightInd/>
        <w:spacing w:line="400" w:lineRule="exact"/>
        <w:textAlignment w:val="auto"/>
        <w:outlineLvl w:val="0"/>
        <w:rPr>
          <w:rFonts w:hint="eastAsia" w:ascii="宋体" w:hAnsi="宋体" w:eastAsia="宋体" w:cs="宋体"/>
          <w:b/>
          <w:sz w:val="28"/>
          <w:szCs w:val="28"/>
        </w:rPr>
      </w:pPr>
      <w:r>
        <w:rPr>
          <w:rFonts w:hint="eastAsia" w:ascii="宋体" w:hAnsi="宋体" w:eastAsia="宋体" w:cs="宋体"/>
          <w:b/>
          <w:sz w:val="28"/>
          <w:szCs w:val="28"/>
        </w:rPr>
        <w:t>二、竞争性磋商文件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b/>
          <w:szCs w:val="21"/>
          <w:lang w:val="en-US" w:eastAsia="zh-CN"/>
        </w:rPr>
        <w:t>（一）</w:t>
      </w:r>
      <w:r>
        <w:rPr>
          <w:rFonts w:hint="eastAsia" w:ascii="宋体" w:hAnsi="宋体" w:eastAsia="宋体" w:cs="宋体"/>
          <w:b/>
          <w:szCs w:val="21"/>
        </w:rPr>
        <w:t>竞争性磋商文件的组成</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bookmarkStart w:id="78" w:name="OLE_LINK4"/>
      <w:r>
        <w:rPr>
          <w:rFonts w:hint="eastAsia" w:ascii="宋体" w:hAnsi="宋体" w:eastAsia="宋体" w:cs="宋体"/>
          <w:szCs w:val="21"/>
        </w:rPr>
        <w:t>本竞争性磋商文件包括六个章节，各章的内容如下：</w:t>
      </w:r>
    </w:p>
    <w:bookmarkEnd w:id="78"/>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第一章  竞争性磋商公告</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第二章  供应商须知及前附表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第三章  采购需求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第四章  评审方法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第五章  合同条款及格式</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eastAsia="宋体" w:cs="宋体"/>
          <w:szCs w:val="21"/>
        </w:rPr>
        <w:t>第六章  响应文件基本格式</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Cs w:val="21"/>
        </w:rPr>
      </w:pPr>
      <w:r>
        <w:rPr>
          <w:rFonts w:hint="eastAsia" w:ascii="宋体" w:hAnsi="宋体" w:cs="宋体"/>
          <w:b/>
          <w:bCs/>
          <w:szCs w:val="21"/>
          <w:lang w:val="en-US" w:eastAsia="zh-CN"/>
        </w:rPr>
        <w:t>（二）</w:t>
      </w:r>
      <w:r>
        <w:rPr>
          <w:rFonts w:hint="eastAsia" w:ascii="宋体" w:hAnsi="宋体" w:eastAsia="宋体" w:cs="宋体"/>
          <w:b/>
          <w:bCs/>
          <w:szCs w:val="21"/>
        </w:rPr>
        <w:t>竞争性磋商文件的澄清和修改</w:t>
      </w:r>
    </w:p>
    <w:p>
      <w:pPr>
        <w:pStyle w:val="11"/>
        <w:pageBreakBefore w:val="0"/>
        <w:kinsoku/>
        <w:wordWrap/>
        <w:overflowPunct/>
        <w:topLinePunct w:val="0"/>
        <w:autoSpaceDE/>
        <w:autoSpaceDN/>
        <w:bidi w:val="0"/>
        <w:snapToGrid w:val="0"/>
        <w:spacing w:line="400" w:lineRule="exact"/>
        <w:jc w:val="left"/>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11"/>
        <w:pageBreakBefore w:val="0"/>
        <w:kinsoku/>
        <w:wordWrap/>
        <w:overflowPunct/>
        <w:topLinePunct w:val="0"/>
        <w:autoSpaceDE/>
        <w:autoSpaceDN/>
        <w:bidi w:val="0"/>
        <w:snapToGrid w:val="0"/>
        <w:spacing w:line="400" w:lineRule="exact"/>
        <w:jc w:val="left"/>
        <w:textAlignment w:val="auto"/>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提供期限届满后，获取磋商文件的供应商不足3家的，</w:t>
      </w:r>
      <w:r>
        <w:rPr>
          <w:rFonts w:hint="eastAsia" w:hAnsi="宋体"/>
          <w:color w:val="auto"/>
          <w:highlight w:val="none"/>
          <w:lang w:val="en-US" w:eastAsia="zh-CN"/>
        </w:rPr>
        <w:t>采购人、</w:t>
      </w:r>
      <w:r>
        <w:rPr>
          <w:rFonts w:hint="eastAsia" w:hAnsi="宋体"/>
          <w:color w:val="auto"/>
          <w:highlight w:val="none"/>
        </w:rPr>
        <w:t>本中心可以顺延提供期限，并予公告。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澄清或者修改的内容为磋商文件的组成部分。当澄清或者修改通知就同一内容的表述不一致时，以最后发出的文件为准。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磋商文件的澄清或者修改都应该通过本项目采购代理机构以法定形式发布，采购人非通过本机构，不得擅自澄清或者修改磋商文件。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可以视采购具体情况，延长响应文件截止时间和磋商时间，在本项目竞争性磋商公告发布的同一媒体上发布变更公告。</w:t>
      </w:r>
    </w:p>
    <w:p>
      <w:pPr>
        <w:pStyle w:val="25"/>
        <w:pageBreakBefore w:val="0"/>
        <w:kinsoku/>
        <w:wordWrap/>
        <w:overflowPunct/>
        <w:topLinePunct w:val="0"/>
        <w:autoSpaceDE/>
        <w:autoSpaceDN/>
        <w:bidi w:val="0"/>
        <w:spacing w:line="400" w:lineRule="exact"/>
        <w:textAlignment w:val="auto"/>
        <w:rPr>
          <w:rFonts w:hint="eastAsia"/>
        </w:rPr>
      </w:pPr>
    </w:p>
    <w:p>
      <w:pPr>
        <w:pStyle w:val="11"/>
        <w:keepNext w:val="0"/>
        <w:keepLines w:val="0"/>
        <w:pageBreakBefore w:val="0"/>
        <w:kinsoku/>
        <w:wordWrap/>
        <w:overflowPunct/>
        <w:topLinePunct w:val="0"/>
        <w:autoSpaceDE/>
        <w:autoSpaceDN/>
        <w:bidi w:val="0"/>
        <w:adjustRightInd/>
        <w:spacing w:line="400" w:lineRule="exact"/>
        <w:textAlignment w:val="auto"/>
        <w:outlineLvl w:val="0"/>
        <w:rPr>
          <w:rFonts w:hint="eastAsia" w:ascii="宋体" w:hAnsi="宋体" w:eastAsia="宋体" w:cs="宋体"/>
          <w:b/>
          <w:sz w:val="28"/>
          <w:szCs w:val="28"/>
        </w:rPr>
      </w:pPr>
      <w:r>
        <w:rPr>
          <w:rFonts w:hint="eastAsia" w:hAnsi="宋体" w:cs="宋体"/>
          <w:b/>
          <w:sz w:val="28"/>
          <w:szCs w:val="28"/>
          <w:lang w:val="en-US" w:eastAsia="zh-CN"/>
        </w:rPr>
        <w:t>三、</w:t>
      </w:r>
      <w:r>
        <w:rPr>
          <w:rFonts w:hint="eastAsia" w:ascii="宋体" w:hAnsi="宋体" w:eastAsia="宋体" w:cs="宋体"/>
          <w:b/>
          <w:sz w:val="28"/>
          <w:szCs w:val="28"/>
        </w:rPr>
        <w:t>首次响应文件</w:t>
      </w:r>
    </w:p>
    <w:p>
      <w:pPr>
        <w:keepNext w:val="0"/>
        <w:keepLines w:val="0"/>
        <w:pageBreakBefore w:val="0"/>
        <w:kinsoku/>
        <w:wordWrap/>
        <w:overflowPunct/>
        <w:topLinePunct w:val="0"/>
        <w:autoSpaceDE/>
        <w:autoSpaceDN/>
        <w:bidi w:val="0"/>
        <w:adjustRightInd/>
        <w:spacing w:line="400" w:lineRule="exact"/>
        <w:textAlignment w:val="auto"/>
        <w:outlineLvl w:val="0"/>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首次响应文件编制基本要求</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本项目实行电子投标，供应商应准备电子磋商响应文件：</w:t>
      </w:r>
    </w:p>
    <w:p>
      <w:pPr>
        <w:keepNext w:val="0"/>
        <w:keepLines w:val="0"/>
        <w:pageBreakBefore w:val="0"/>
        <w:kinsoku/>
        <w:wordWrap/>
        <w:overflowPunct/>
        <w:topLinePunct w:val="0"/>
        <w:autoSpaceDE/>
        <w:autoSpaceDN/>
        <w:bidi w:val="0"/>
        <w:adjustRightInd/>
        <w:spacing w:line="400" w:lineRule="exact"/>
        <w:textAlignment w:val="auto"/>
        <w:rPr>
          <w:rFonts w:hint="eastAsia"/>
        </w:rPr>
      </w:pPr>
      <w:r>
        <w:rPr>
          <w:rFonts w:hint="eastAsia" w:ascii="宋体" w:hAnsi="宋体" w:eastAsia="宋体" w:cs="宋体"/>
          <w:szCs w:val="21"/>
          <w:lang w:val="en-US" w:eastAsia="zh-CN"/>
        </w:rPr>
        <w:t xml:space="preserve">电子响应文件按广西政府采购云平台要求及本磋商文件要求制作、加密并递交。具体操作流程可参考《政府采购项目电子交易管理操作指南-供应商》，指南可在 “http://www.ccgp-guangxi.gov.cn”下载。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供应商应仔细阅读竞争性磋商文件，在充分了解采购的内容、服务要求和商务条款以及实质性要求和条件后，编写首次响应文件。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.对竞争性磋商文件的实质性要求和条件作出响应是指供应商必须对竞争性磋商文件中标注为实质性要求和条件的服务要求、商务条款及其它内容作出满足或者优于原要求和条件的承诺，必要时提供证明材料。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供应商提交的首次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第六章“响应文件基本格式”中规定了响应文件格式的，应按相应格式要求编写。</w:t>
      </w:r>
    </w:p>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hAnsi="宋体" w:cs="宋体"/>
          <w:szCs w:val="21"/>
          <w:lang w:val="en-US" w:eastAsia="zh-CN"/>
        </w:rPr>
        <w:t>6.</w:t>
      </w:r>
      <w:r>
        <w:rPr>
          <w:rFonts w:hint="eastAsia" w:ascii="宋体" w:hAnsi="宋体" w:eastAsia="宋体" w:cs="宋体"/>
          <w:szCs w:val="21"/>
        </w:rPr>
        <w:t xml:space="preserve"> 响应文件应编制目录，且页码清晰准确。</w:t>
      </w:r>
    </w:p>
    <w:p>
      <w:pPr>
        <w:keepNext w:val="0"/>
        <w:keepLines w:val="0"/>
        <w:pageBreakBefore w:val="0"/>
        <w:kinsoku/>
        <w:wordWrap/>
        <w:overflowPunct/>
        <w:topLinePunct w:val="0"/>
        <w:autoSpaceDE/>
        <w:autoSpaceDN/>
        <w:bidi w:val="0"/>
        <w:adjustRightInd/>
        <w:spacing w:line="400" w:lineRule="exact"/>
        <w:textAlignment w:val="auto"/>
        <w:outlineLvl w:val="0"/>
        <w:rPr>
          <w:rFonts w:hint="eastAsia" w:ascii="宋体" w:hAnsi="宋体" w:eastAsia="宋体" w:cs="宋体"/>
          <w:b/>
          <w:szCs w:val="21"/>
        </w:rPr>
      </w:pPr>
      <w:r>
        <w:rPr>
          <w:rFonts w:hint="eastAsia" w:ascii="宋体" w:hAnsi="宋体" w:cs="宋体"/>
          <w:b/>
          <w:szCs w:val="21"/>
          <w:lang w:val="en-US" w:eastAsia="zh-CN"/>
        </w:rPr>
        <w:t>（二）</w:t>
      </w:r>
      <w:r>
        <w:rPr>
          <w:rFonts w:hint="eastAsia" w:ascii="宋体" w:hAnsi="宋体" w:eastAsia="宋体" w:cs="宋体"/>
          <w:b/>
          <w:szCs w:val="21"/>
        </w:rPr>
        <w:t xml:space="preserve"> 首次响应文件的组成</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首次响应文件分为资格文件、商务和技术文件、价格文件三个部分。属于必须提供的文件，如未提供或提供的文件无效，其响应文件按无效处理。应递交的有关文件如未特别注明为原件的，可提交复印件。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bookmarkStart w:id="79" w:name="OLE_LINK14"/>
      <w:r>
        <w:rPr>
          <w:rFonts w:hint="eastAsia" w:ascii="宋体" w:hAnsi="宋体" w:cs="宋体"/>
          <w:szCs w:val="21"/>
          <w:lang w:val="en-US" w:eastAsia="zh-CN"/>
        </w:rPr>
        <w:t>2.</w:t>
      </w:r>
      <w:r>
        <w:rPr>
          <w:rFonts w:hint="eastAsia" w:ascii="宋体" w:hAnsi="宋体" w:eastAsia="宋体" w:cs="宋体"/>
          <w:szCs w:val="21"/>
        </w:rPr>
        <w:t>资格文件</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bookmarkStart w:id="80" w:name="_Hlk90369149"/>
      <w:bookmarkStart w:id="81" w:name="OLE_LINK42"/>
      <w:bookmarkStart w:id="82" w:name="OLE_LINK46"/>
      <w:r>
        <w:rPr>
          <w:rFonts w:hint="eastAsia" w:ascii="宋体" w:hAnsi="宋体" w:cs="宋体"/>
          <w:color w:val="auto"/>
          <w:szCs w:val="21"/>
        </w:rPr>
        <w:t>▲</w:t>
      </w:r>
      <w:r>
        <w:rPr>
          <w:rFonts w:hint="eastAsia" w:ascii="宋体" w:hAnsi="宋体" w:cs="宋体"/>
          <w:bCs/>
          <w:color w:val="auto"/>
          <w:kern w:val="0"/>
          <w:szCs w:val="21"/>
          <w:highlight w:val="none"/>
          <w:lang w:val="en-US" w:eastAsia="zh-CN"/>
        </w:rPr>
        <w:t>（1</w:t>
      </w:r>
      <w:r>
        <w:rPr>
          <w:rFonts w:hint="eastAsia" w:ascii="Calibri" w:hAnsi="Calibri" w:cs="Calibri"/>
          <w:b w:val="0"/>
          <w:color w:val="auto"/>
          <w:kern w:val="2"/>
          <w:sz w:val="21"/>
          <w:szCs w:val="21"/>
          <w:highlight w:val="none"/>
          <w:lang w:val="en-US" w:eastAsia="zh-CN" w:bidi="ar-SA"/>
        </w:rPr>
        <w:t>）</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bookmarkEnd w:id="80"/>
      <w:r>
        <w:rPr>
          <w:rFonts w:hint="eastAsia" w:ascii="宋体" w:hAnsi="宋体"/>
          <w:color w:val="auto"/>
          <w:szCs w:val="21"/>
          <w:highlight w:val="none"/>
          <w:lang w:val="en-US" w:eastAsia="zh-CN"/>
        </w:rPr>
        <w:t>。</w:t>
      </w:r>
      <w:r>
        <w:rPr>
          <w:rFonts w:hint="eastAsia" w:ascii="宋体" w:hAnsi="宋体" w:eastAsia="宋体" w:cs="宋体"/>
          <w:b/>
          <w:szCs w:val="21"/>
        </w:rPr>
        <w:t>（必须提供，并加盖单位电子公章，否则磋商无效）</w:t>
      </w:r>
    </w:p>
    <w:p>
      <w:pPr>
        <w:pageBreakBefore w:val="0"/>
        <w:tabs>
          <w:tab w:val="left" w:pos="3870"/>
          <w:tab w:val="left" w:pos="4085"/>
        </w:tabs>
        <w:kinsoku/>
        <w:wordWrap/>
        <w:overflowPunct/>
        <w:topLinePunct w:val="0"/>
        <w:autoSpaceDE/>
        <w:autoSpaceDN/>
        <w:bidi w:val="0"/>
        <w:snapToGrid w:val="0"/>
        <w:spacing w:line="400" w:lineRule="exact"/>
        <w:textAlignment w:val="auto"/>
        <w:rPr>
          <w:rFonts w:hint="eastAsia" w:ascii="宋体" w:hAnsi="宋体" w:cs="Times New Roman"/>
          <w:color w:val="auto"/>
          <w:szCs w:val="21"/>
          <w:highlight w:val="none"/>
          <w:lang w:eastAsia="zh-CN"/>
        </w:rPr>
      </w:pPr>
      <w:bookmarkStart w:id="83" w:name="OLE_LINK49"/>
      <w:bookmarkStart w:id="84" w:name="OLE_LINK34"/>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bookmarkEnd w:id="83"/>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bookmarkEnd w:id="84"/>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pPr>
        <w:pageBreakBefore w:val="0"/>
        <w:tabs>
          <w:tab w:val="left" w:pos="3870"/>
          <w:tab w:val="left" w:pos="4085"/>
        </w:tabs>
        <w:kinsoku/>
        <w:wordWrap/>
        <w:overflowPunct/>
        <w:topLinePunct w:val="0"/>
        <w:autoSpaceDE/>
        <w:autoSpaceDN/>
        <w:bidi w:val="0"/>
        <w:snapToGrid w:val="0"/>
        <w:spacing w:line="400" w:lineRule="exact"/>
        <w:textAlignment w:val="auto"/>
        <w:rPr>
          <w:rFonts w:hint="eastAsia" w:ascii="宋体" w:hAnsi="宋体" w:cs="宋体"/>
          <w:bCs/>
          <w:color w:val="auto"/>
          <w:kern w:val="0"/>
          <w:szCs w:val="21"/>
          <w:highlight w:val="none"/>
        </w:rPr>
      </w:pPr>
      <w:bookmarkStart w:id="85" w:name="_Hlk111726071"/>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w:t>
      </w:r>
      <w:bookmarkStart w:id="86" w:name="OLE_LINK33"/>
      <w:r>
        <w:rPr>
          <w:rFonts w:hint="eastAsia" w:ascii="宋体" w:hAnsi="宋体" w:cs="宋体"/>
          <w:bCs/>
          <w:color w:val="auto"/>
          <w:kern w:val="0"/>
          <w:szCs w:val="21"/>
          <w:highlight w:val="none"/>
        </w:rPr>
        <w:t>（格式见第六章）</w:t>
      </w:r>
      <w:bookmarkEnd w:id="86"/>
      <w:r>
        <w:rPr>
          <w:rFonts w:hint="eastAsia" w:ascii="宋体" w:hAnsi="宋体" w:cs="宋体"/>
          <w:bCs/>
          <w:color w:val="auto"/>
          <w:kern w:val="0"/>
          <w:szCs w:val="21"/>
          <w:highlight w:val="none"/>
        </w:rPr>
        <w:t>。</w:t>
      </w:r>
      <w:r>
        <w:rPr>
          <w:rFonts w:hint="eastAsia" w:ascii="宋体" w:hAnsi="宋体" w:eastAsia="宋体" w:cs="宋体"/>
          <w:b/>
          <w:szCs w:val="21"/>
        </w:rPr>
        <w:t>（必须提供，并加盖单位电子公章，否则磋商无效）</w:t>
      </w:r>
    </w:p>
    <w:bookmarkEnd w:id="81"/>
    <w:bookmarkEnd w:id="82"/>
    <w:bookmarkEnd w:id="85"/>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lang w:val="en-US" w:eastAsia="zh-CN"/>
        </w:rPr>
      </w:pP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 xml:space="preserve">商务和技术文件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（1）无串通竞标行为的承诺函</w:t>
      </w:r>
      <w:r>
        <w:rPr>
          <w:rFonts w:hint="eastAsia" w:ascii="宋体" w:hAnsi="宋体" w:cs="宋体"/>
          <w:bCs/>
          <w:color w:val="auto"/>
          <w:kern w:val="0"/>
          <w:szCs w:val="21"/>
          <w:highlight w:val="none"/>
        </w:rPr>
        <w:t>（格式见第六章）</w:t>
      </w:r>
      <w:r>
        <w:rPr>
          <w:rFonts w:hint="eastAsia" w:ascii="宋体" w:hAnsi="宋体" w:cs="宋体"/>
          <w:bCs/>
          <w:color w:val="auto"/>
          <w:kern w:val="0"/>
          <w:szCs w:val="21"/>
          <w:highlight w:val="none"/>
          <w:lang w:eastAsia="zh-CN"/>
        </w:rPr>
        <w:t>。</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pPr>
        <w:pageBreakBefore w:val="0"/>
        <w:kinsoku/>
        <w:wordWrap/>
        <w:overflowPunct/>
        <w:topLinePunct w:val="0"/>
        <w:autoSpaceDE/>
        <w:autoSpaceDN/>
        <w:bidi w:val="0"/>
        <w:snapToGrid w:val="0"/>
        <w:spacing w:line="400" w:lineRule="exact"/>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cs="Times New Roman"/>
          <w:b w:val="0"/>
          <w:color w:val="auto"/>
          <w:kern w:val="2"/>
          <w:sz w:val="21"/>
          <w:szCs w:val="24"/>
          <w:highlight w:val="none"/>
          <w:lang w:val="en-US" w:eastAsia="zh-CN" w:bidi="ar-SA"/>
        </w:rPr>
        <w:t>。</w:t>
      </w:r>
      <w:r>
        <w:rPr>
          <w:rFonts w:hint="eastAsia" w:ascii="宋体" w:hAnsi="宋体" w:eastAsia="宋体" w:cs="宋体"/>
          <w:b/>
          <w:szCs w:val="21"/>
          <w:lang w:val="en-US" w:eastAsia="zh-CN"/>
        </w:rPr>
        <w:t>（</w:t>
      </w:r>
      <w:r>
        <w:rPr>
          <w:rFonts w:hint="eastAsia" w:ascii="宋体" w:hAnsi="宋体" w:eastAsia="宋体" w:cs="宋体"/>
          <w:b/>
          <w:szCs w:val="21"/>
        </w:rPr>
        <w:t>必须提供，并加盖单位电子公章，否则磋商无效）</w:t>
      </w:r>
    </w:p>
    <w:p>
      <w:pPr>
        <w:pageBreakBefore w:val="0"/>
        <w:kinsoku/>
        <w:wordWrap/>
        <w:overflowPunct/>
        <w:topLinePunct w:val="0"/>
        <w:autoSpaceDE/>
        <w:autoSpaceDN/>
        <w:bidi w:val="0"/>
        <w:snapToGrid w:val="0"/>
        <w:spacing w:line="400" w:lineRule="exact"/>
        <w:textAlignment w:val="auto"/>
        <w:rPr>
          <w:rFonts w:hint="eastAsia" w:eastAsia="宋体"/>
          <w:lang w:val="en-US" w:eastAsia="zh-CN"/>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根据采购需求及《评定标准及推荐原则》的要求提供，格式自拟）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bookmarkEnd w:id="79"/>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）服务方案（格式自拟，内容要求详见第四章评审</w:t>
      </w:r>
      <w:r>
        <w:rPr>
          <w:rFonts w:hint="eastAsia" w:ascii="宋体" w:hAnsi="宋体" w:cs="宋体"/>
          <w:szCs w:val="21"/>
          <w:lang w:val="en-US" w:eastAsia="zh-CN"/>
        </w:rPr>
        <w:t>办法</w:t>
      </w:r>
      <w:r>
        <w:rPr>
          <w:rFonts w:hint="eastAsia" w:ascii="宋体" w:hAnsi="宋体" w:eastAsia="宋体" w:cs="宋体"/>
          <w:szCs w:val="21"/>
        </w:rPr>
        <w:t>中评分标准拟定）</w:t>
      </w:r>
      <w:r>
        <w:rPr>
          <w:rFonts w:hint="eastAsia" w:ascii="宋体" w:hAnsi="宋体" w:cs="宋体"/>
          <w:szCs w:val="21"/>
          <w:lang w:eastAsia="zh-CN"/>
        </w:rPr>
        <w:t>。</w:t>
      </w:r>
      <w:r>
        <w:rPr>
          <w:rFonts w:hint="eastAsia" w:ascii="宋体" w:hAnsi="宋体" w:eastAsia="宋体" w:cs="宋体"/>
          <w:b/>
          <w:szCs w:val="21"/>
        </w:rPr>
        <w:t>（必须提供，并加盖单位电子公章，否则磋商无效）</w:t>
      </w:r>
    </w:p>
    <w:p>
      <w:pPr>
        <w:pageBreakBefore w:val="0"/>
        <w:kinsoku/>
        <w:wordWrap/>
        <w:overflowPunct/>
        <w:topLinePunct w:val="0"/>
        <w:autoSpaceDE/>
        <w:autoSpaceDN/>
        <w:bidi w:val="0"/>
        <w:snapToGrid w:val="0"/>
        <w:spacing w:line="400" w:lineRule="exact"/>
        <w:textAlignment w:val="auto"/>
        <w:rPr>
          <w:rFonts w:hint="eastAsia" w:ascii="宋体" w:hAnsi="宋体" w:eastAsia="宋体" w:cs="Times New Roman"/>
          <w:b w:val="0"/>
          <w:color w:val="auto"/>
          <w:kern w:val="2"/>
          <w:sz w:val="21"/>
          <w:szCs w:val="24"/>
          <w:highlight w:val="none"/>
          <w:lang w:val="en-US" w:eastAsia="zh-CN" w:bidi="ar-SA"/>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eastAsia="宋体" w:cs="Times New Roman"/>
          <w:b w:val="0"/>
          <w:color w:val="auto"/>
          <w:kern w:val="2"/>
          <w:sz w:val="21"/>
          <w:szCs w:val="24"/>
          <w:highlight w:val="none"/>
          <w:lang w:val="en-US" w:eastAsia="zh-CN" w:bidi="ar-SA"/>
        </w:rPr>
        <w:t>《采购需求》中要求必须提供的材料</w:t>
      </w:r>
      <w:r>
        <w:rPr>
          <w:rFonts w:hint="eastAsia" w:ascii="宋体" w:hAnsi="宋体" w:eastAsia="宋体" w:cs="Times New Roman"/>
          <w:b/>
          <w:bCs/>
          <w:color w:val="auto"/>
          <w:kern w:val="2"/>
          <w:sz w:val="21"/>
          <w:szCs w:val="24"/>
          <w:highlight w:val="none"/>
          <w:lang w:val="en-US" w:eastAsia="zh-CN" w:bidi="ar-SA"/>
        </w:rPr>
        <w:t>（如有，必须提供）</w:t>
      </w:r>
      <w:r>
        <w:rPr>
          <w:rFonts w:hint="eastAsia" w:ascii="宋体" w:hAnsi="宋体" w:cs="Times New Roman"/>
          <w:b w:val="0"/>
          <w:color w:val="auto"/>
          <w:kern w:val="2"/>
          <w:sz w:val="21"/>
          <w:szCs w:val="24"/>
          <w:highlight w:val="none"/>
          <w:lang w:val="en-US" w:eastAsia="zh-CN" w:bidi="ar-SA"/>
        </w:rPr>
        <w:t>。</w:t>
      </w:r>
    </w:p>
    <w:p>
      <w:pPr>
        <w:pStyle w:val="2"/>
        <w:pageBreakBefore w:val="0"/>
        <w:kinsoku/>
        <w:wordWrap/>
        <w:overflowPunct/>
        <w:topLinePunct w:val="0"/>
        <w:autoSpaceDE/>
        <w:autoSpaceDN/>
        <w:bidi w:val="0"/>
        <w:spacing w:line="400" w:lineRule="exact"/>
        <w:ind w:firstLine="210" w:firstLineChars="100"/>
        <w:textAlignment w:val="auto"/>
        <w:rPr>
          <w:rFonts w:hint="eastAsia"/>
        </w:rPr>
      </w:pP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 xml:space="preserve"> 价格文件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pPr>
        <w:pageBreakBefore w:val="0"/>
        <w:kinsoku/>
        <w:wordWrap/>
        <w:overflowPunct/>
        <w:topLinePunct w:val="0"/>
        <w:autoSpaceDE/>
        <w:autoSpaceDN/>
        <w:bidi w:val="0"/>
        <w:snapToGrid/>
        <w:spacing w:line="400" w:lineRule="exact"/>
        <w:textAlignment w:val="auto"/>
        <w:rPr>
          <w:rFonts w:hint="eastAsia" w:ascii="宋体" w:hAnsi="宋体" w:cs="Courier New"/>
          <w:color w:val="auto"/>
          <w:szCs w:val="21"/>
          <w:highlight w:val="none"/>
        </w:rPr>
      </w:pPr>
      <w:r>
        <w:rPr>
          <w:rFonts w:hint="eastAsia" w:ascii="宋体" w:hAnsi="宋体" w:eastAsia="宋体" w:cs="宋体"/>
          <w:b/>
          <w:bCs/>
          <w:szCs w:val="21"/>
        </w:rPr>
        <w:t>注：</w:t>
      </w:r>
      <w:r>
        <w:rPr>
          <w:rFonts w:hint="default" w:ascii="宋体" w:hAnsi="宋体" w:eastAsia="宋体" w:cs="Times New Roman"/>
          <w:b w:val="0"/>
          <w:bCs/>
          <w:color w:val="auto"/>
          <w:szCs w:val="21"/>
          <w:highlight w:val="none"/>
        </w:rPr>
        <w:t>①</w:t>
      </w:r>
      <w:r>
        <w:rPr>
          <w:rFonts w:hint="eastAsia" w:ascii="宋体" w:hAnsi="宋体" w:cs="Courier New"/>
          <w:color w:val="auto"/>
          <w:szCs w:val="21"/>
          <w:highlight w:val="none"/>
        </w:rPr>
        <w:t>标注</w:t>
      </w:r>
      <w:r>
        <w:rPr>
          <w:rFonts w:hint="eastAsia" w:ascii="宋体" w:hAnsi="宋体" w:cs="宋体"/>
          <w:color w:val="auto"/>
          <w:szCs w:val="21"/>
        </w:rPr>
        <w:t>▲</w:t>
      </w:r>
      <w:r>
        <w:rPr>
          <w:rFonts w:hint="eastAsia" w:ascii="宋体" w:hAnsi="宋体" w:cs="Courier New"/>
          <w:color w:val="auto"/>
          <w:szCs w:val="21"/>
          <w:highlight w:val="none"/>
        </w:rPr>
        <w:t>号的材料均为必须提供的材料须由供应商加盖公章，授权委托书必须由法定代表人签名，否则视为无效响应文件。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Cs w:val="21"/>
          <w:lang w:val="en-US" w:eastAsia="zh-CN"/>
        </w:rPr>
      </w:pPr>
      <w:bookmarkStart w:id="87" w:name="OLE_LINK75"/>
      <w:r>
        <w:rPr>
          <w:rFonts w:hint="default" w:ascii="宋体" w:hAnsi="宋体" w:eastAsia="宋体" w:cs="宋体"/>
          <w:szCs w:val="21"/>
        </w:rPr>
        <w:t>②</w:t>
      </w:r>
      <w:r>
        <w:rPr>
          <w:rFonts w:hint="eastAsia" w:ascii="宋体" w:hAnsi="宋体" w:eastAsia="宋体" w:cs="宋体"/>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w:t>
      </w:r>
      <w:r>
        <w:rPr>
          <w:rFonts w:hint="eastAsia" w:ascii="宋体" w:hAnsi="宋体" w:eastAsia="宋体" w:cs="宋体"/>
          <w:szCs w:val="21"/>
          <w:lang w:eastAsia="zh-CN"/>
        </w:rPr>
        <w:t>《</w:t>
      </w:r>
      <w:r>
        <w:rPr>
          <w:rFonts w:hint="eastAsia" w:ascii="宋体" w:hAnsi="宋体" w:eastAsia="宋体" w:cs="宋体"/>
          <w:szCs w:val="21"/>
        </w:rPr>
        <w:t>残疾人福利性单位声明函</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rPr>
        <w:t>格式见第六章），并对声明的真实性负责。</w:t>
      </w:r>
      <w:bookmarkEnd w:id="87"/>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供应商应仔细阅读磋商文件的所有内容，按照磋商文件的要求提交响应文件，并对所提供的全部资料的真实性承担法律责任。</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供应商在磋商活动中提供任何虚假材料，其磋商无效，并报监管部门查处；成交后发现的，成交人须依照《中华人民共和国消费者权益保护法》第49条之规定双倍赔偿采购人，且民事赔偿并不免除违法供应商的行政与刑事责任。</w:t>
      </w:r>
    </w:p>
    <w:p>
      <w:pPr>
        <w:pageBreakBefore w:val="0"/>
        <w:kinsoku/>
        <w:wordWrap/>
        <w:overflowPunct/>
        <w:topLinePunct w:val="0"/>
        <w:autoSpaceDE/>
        <w:autoSpaceDN/>
        <w:bidi w:val="0"/>
        <w:spacing w:line="400" w:lineRule="exact"/>
        <w:textAlignment w:val="auto"/>
        <w:rPr>
          <w:rFonts w:hint="eastAsia" w:ascii="宋体" w:hAnsi="宋体"/>
          <w:b/>
          <w:bCs/>
          <w:color w:val="auto"/>
          <w:szCs w:val="21"/>
          <w:highlight w:val="none"/>
        </w:rPr>
      </w:pPr>
      <w:r>
        <w:rPr>
          <w:rFonts w:hint="eastAsia" w:ascii="宋体" w:hAnsi="宋体"/>
          <w:b/>
          <w:color w:val="auto"/>
          <w:szCs w:val="21"/>
          <w:highlight w:val="none"/>
          <w:lang w:val="en-US" w:eastAsia="zh-CN"/>
        </w:rPr>
        <w:t>（三）</w:t>
      </w:r>
      <w:r>
        <w:rPr>
          <w:rFonts w:hint="eastAsia" w:ascii="宋体" w:hAnsi="宋体"/>
          <w:b/>
          <w:bCs/>
          <w:color w:val="auto"/>
          <w:szCs w:val="21"/>
          <w:highlight w:val="none"/>
        </w:rPr>
        <w:t>响应文件的编制、签署及加密</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供应商应认真阅读、并充分理解</w:t>
      </w:r>
      <w:r>
        <w:rPr>
          <w:rFonts w:hint="eastAsia" w:ascii="宋体" w:hAnsi="宋体"/>
          <w:color w:val="auto"/>
          <w:szCs w:val="21"/>
          <w:highlight w:val="none"/>
          <w:lang w:eastAsia="zh-CN"/>
        </w:rPr>
        <w:t>磋商文件</w:t>
      </w:r>
      <w:r>
        <w:rPr>
          <w:rFonts w:hint="eastAsia" w:ascii="宋体" w:hAnsi="宋体"/>
          <w:color w:val="auto"/>
          <w:szCs w:val="21"/>
          <w:highlight w:val="none"/>
        </w:rPr>
        <w:t>的全部内容(包括所有的补充、修改内容)，承诺履行其各项条款的规定并按要求编制，响应文件应为电子文件或扫描件(样品除外)。</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供应商应通过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投标客户端编制加密响应文件。</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响应文件由供应商在规定位置由法定代表人或授权委托人签名（可为电子签名）、填写供应商名称并加盖公章(简称“盖章”，可为电子公章)，供应商名称应写全称。</w:t>
      </w:r>
    </w:p>
    <w:p>
      <w:pPr>
        <w:pageBreakBefore w:val="0"/>
        <w:kinsoku/>
        <w:wordWrap/>
        <w:overflowPunct/>
        <w:topLinePunct w:val="0"/>
        <w:autoSpaceDE/>
        <w:autoSpaceDN/>
        <w:bidi w:val="0"/>
        <w:snapToGrid w:val="0"/>
        <w:spacing w:line="400" w:lineRule="exact"/>
        <w:textAlignment w:val="auto"/>
        <w:rPr>
          <w:rFonts w:hint="eastAsia"/>
        </w:rPr>
      </w:pPr>
      <w:r>
        <w:rPr>
          <w:rFonts w:hint="eastAsia" w:ascii="宋体" w:hAnsi="宋体"/>
          <w:color w:val="auto"/>
          <w:szCs w:val="21"/>
          <w:highlight w:val="none"/>
          <w:lang w:val="en-US" w:eastAsia="zh-CN"/>
        </w:rPr>
        <w:t>5.</w:t>
      </w:r>
      <w:r>
        <w:rPr>
          <w:rFonts w:hint="eastAsia" w:ascii="宋体" w:hAnsi="宋体"/>
          <w:color w:val="auto"/>
          <w:szCs w:val="21"/>
          <w:highlight w:val="none"/>
        </w:rPr>
        <w:t>响应文件内容不完整、编排混乱、不清晰等原因导致被误读或漏读的责任和后果由供应商承担。</w:t>
      </w:r>
    </w:p>
    <w:p>
      <w:pPr>
        <w:pageBreakBefore w:val="0"/>
        <w:kinsoku/>
        <w:wordWrap/>
        <w:overflowPunct/>
        <w:topLinePunct w:val="0"/>
        <w:autoSpaceDE/>
        <w:autoSpaceDN/>
        <w:bidi w:val="0"/>
        <w:spacing w:line="400" w:lineRule="exact"/>
        <w:textAlignment w:val="auto"/>
        <w:rPr>
          <w:color w:val="auto"/>
          <w:highlight w:val="none"/>
        </w:rPr>
      </w:pPr>
      <w:r>
        <w:rPr>
          <w:rFonts w:hint="eastAsia" w:ascii="宋体" w:hAnsi="宋体" w:cs="宋体"/>
          <w:b/>
          <w:szCs w:val="21"/>
          <w:lang w:val="en-US" w:eastAsia="zh-CN"/>
        </w:rPr>
        <w:t>（四）</w:t>
      </w:r>
      <w:r>
        <w:rPr>
          <w:rFonts w:hint="eastAsia"/>
          <w:b/>
          <w:bCs/>
          <w:color w:val="auto"/>
          <w:highlight w:val="none"/>
        </w:rPr>
        <w:t>响应文件的语言及计量</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ascii="宋体" w:hAnsi="宋体"/>
          <w:color w:val="auto"/>
          <w:szCs w:val="21"/>
          <w:highlight w:val="none"/>
        </w:rPr>
        <w:t>响应</w:t>
      </w:r>
      <w:r>
        <w:rPr>
          <w:rFonts w:hint="eastAsia" w:ascii="宋体" w:hAnsi="宋体"/>
          <w:color w:val="auto"/>
          <w:szCs w:val="21"/>
          <w:highlight w:val="none"/>
        </w:rPr>
        <w:t>文件的计量单位，</w:t>
      </w:r>
      <w:r>
        <w:rPr>
          <w:rFonts w:hint="eastAsia" w:ascii="宋体" w:hAnsi="宋体"/>
          <w:color w:val="auto"/>
          <w:szCs w:val="21"/>
          <w:highlight w:val="none"/>
          <w:lang w:eastAsia="zh-CN"/>
        </w:rPr>
        <w:t>磋商文件</w:t>
      </w:r>
      <w:r>
        <w:rPr>
          <w:rFonts w:hint="eastAsia" w:ascii="宋体" w:hAnsi="宋体"/>
          <w:color w:val="auto"/>
          <w:szCs w:val="21"/>
          <w:highlight w:val="none"/>
        </w:rPr>
        <w:t>已有明确规定的，使用</w:t>
      </w:r>
      <w:r>
        <w:rPr>
          <w:rFonts w:hint="eastAsia" w:ascii="宋体" w:hAnsi="宋体"/>
          <w:color w:val="auto"/>
          <w:szCs w:val="21"/>
          <w:highlight w:val="none"/>
          <w:lang w:eastAsia="zh-CN"/>
        </w:rPr>
        <w:t>磋商文件</w:t>
      </w:r>
      <w:r>
        <w:rPr>
          <w:rFonts w:hint="eastAsia" w:ascii="宋体" w:hAnsi="宋体"/>
          <w:color w:val="auto"/>
          <w:szCs w:val="21"/>
          <w:highlight w:val="none"/>
        </w:rPr>
        <w:t>规定的计量单位；</w:t>
      </w:r>
      <w:r>
        <w:rPr>
          <w:rFonts w:hint="eastAsia" w:ascii="宋体" w:hAnsi="宋体"/>
          <w:color w:val="auto"/>
          <w:szCs w:val="21"/>
          <w:highlight w:val="none"/>
          <w:lang w:eastAsia="zh-CN"/>
        </w:rPr>
        <w:t>磋商文件</w:t>
      </w:r>
      <w:r>
        <w:rPr>
          <w:rFonts w:hint="eastAsia" w:ascii="宋体" w:hAnsi="宋体" w:eastAsia="宋体" w:cs="宋体"/>
          <w:color w:val="auto"/>
          <w:szCs w:val="21"/>
          <w:highlight w:val="none"/>
        </w:rPr>
        <w:t>没有规定的，应采用中华人民共和国法定计量单位（货币单位：人民币元），否则视同未响应。</w:t>
      </w:r>
    </w:p>
    <w:p>
      <w:pPr>
        <w:pageBreakBefore w:val="0"/>
        <w:kinsoku/>
        <w:wordWrap/>
        <w:overflowPunct/>
        <w:topLinePunct w:val="0"/>
        <w:autoSpaceDE/>
        <w:autoSpaceDN/>
        <w:bidi w:val="0"/>
        <w:spacing w:line="400" w:lineRule="exact"/>
        <w:textAlignment w:val="auto"/>
        <w:rPr>
          <w:rFonts w:hint="eastAsia" w:ascii="Times New Roman" w:hAnsi="Times New Roman" w:eastAsia="宋体" w:cs="Times New Roman"/>
          <w:b/>
          <w:bCs/>
          <w:color w:val="auto"/>
          <w:highlight w:val="none"/>
        </w:rPr>
      </w:pPr>
      <w:r>
        <w:rPr>
          <w:rFonts w:hint="eastAsia" w:ascii="宋体" w:hAnsi="宋体"/>
          <w:b/>
          <w:bCs/>
          <w:color w:val="auto"/>
          <w:szCs w:val="21"/>
          <w:highlight w:val="none"/>
          <w:lang w:val="en-US" w:eastAsia="zh-CN"/>
        </w:rPr>
        <w:t>（五）</w:t>
      </w:r>
      <w:r>
        <w:rPr>
          <w:rFonts w:hint="eastAsia" w:ascii="Times New Roman" w:hAnsi="Times New Roman" w:eastAsia="宋体" w:cs="Times New Roman"/>
          <w:b/>
          <w:bCs/>
          <w:color w:val="auto"/>
          <w:highlight w:val="none"/>
        </w:rPr>
        <w:t>报价</w:t>
      </w:r>
    </w:p>
    <w:p>
      <w:pPr>
        <w:pStyle w:val="11"/>
        <w:pageBreakBefore w:val="0"/>
        <w:kinsoku/>
        <w:wordWrap/>
        <w:overflowPunct/>
        <w:topLinePunct w:val="0"/>
        <w:autoSpaceDE/>
        <w:autoSpaceDN/>
        <w:bidi w:val="0"/>
        <w:snapToGrid w:val="0"/>
        <w:spacing w:line="400" w:lineRule="exact"/>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lang w:eastAsia="zh-CN"/>
        </w:rPr>
        <w:t>磋商文件</w:t>
      </w:r>
      <w:r>
        <w:rPr>
          <w:rFonts w:hint="eastAsia" w:hAnsi="宋体"/>
          <w:color w:val="auto"/>
          <w:highlight w:val="none"/>
        </w:rPr>
        <w:t>中未列明，而供应商认为必需的费用也须列入总报价。在合同实施时，采购人将不予支付成交供应商没有列入总报价的项目费用，并认为此项费用已包含在总报价中。</w:t>
      </w:r>
    </w:p>
    <w:p>
      <w:pPr>
        <w:pageBreakBefore w:val="0"/>
        <w:kinsoku/>
        <w:wordWrap/>
        <w:overflowPunct/>
        <w:topLinePunct w:val="0"/>
        <w:autoSpaceDE/>
        <w:autoSpaceDN/>
        <w:bidi w:val="0"/>
        <w:spacing w:line="400" w:lineRule="exact"/>
        <w:textAlignment w:val="auto"/>
        <w:rPr>
          <w:rFonts w:hint="default" w:eastAsia="宋体"/>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供应商必须就“采购需求”中所有内容作完整唯一报价，否则，其响应文件无效。响应文件只允许有一个报价，有选择的或有条件的报价将不予接受。</w:t>
      </w:r>
    </w:p>
    <w:p>
      <w:pPr>
        <w:pageBreakBefore w:val="0"/>
        <w:tabs>
          <w:tab w:val="left" w:pos="525"/>
        </w:tabs>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供应商的报价必须按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或政府采购云平台规定的格式填写，并在规定时间内提交最后报价。</w:t>
      </w:r>
    </w:p>
    <w:p>
      <w:pPr>
        <w:pageBreakBefore w:val="0"/>
        <w:tabs>
          <w:tab w:val="left" w:pos="525"/>
        </w:tabs>
        <w:kinsoku/>
        <w:wordWrap/>
        <w:overflowPunct/>
        <w:topLinePunct w:val="0"/>
        <w:autoSpaceDE/>
        <w:autoSpaceDN/>
        <w:bidi w:val="0"/>
        <w:snapToGrid w:val="0"/>
        <w:spacing w:line="400" w:lineRule="exac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最后报价是供应商响应文件的有效组成部分。</w:t>
      </w:r>
    </w:p>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default" w:ascii="宋体" w:hAnsi="宋体" w:cs="宋体"/>
          <w:color w:val="auto"/>
          <w:szCs w:val="21"/>
          <w:highlight w:val="none"/>
          <w:lang w:val="e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pPr>
        <w:pageBreakBefore w:val="0"/>
        <w:kinsoku/>
        <w:wordWrap/>
        <w:overflowPunct/>
        <w:topLinePunct w:val="0"/>
        <w:autoSpaceDE/>
        <w:autoSpaceDN/>
        <w:bidi w:val="0"/>
        <w:spacing w:line="400" w:lineRule="exact"/>
        <w:textAlignment w:val="auto"/>
        <w:rPr>
          <w:rFonts w:hint="eastAsia" w:ascii="宋体" w:hAnsi="宋体"/>
          <w:b/>
          <w:bCs/>
          <w:color w:val="auto"/>
          <w:szCs w:val="21"/>
          <w:highlight w:val="none"/>
        </w:rPr>
      </w:pPr>
      <w:bookmarkStart w:id="88" w:name="_（六）磋商保证金"/>
      <w:bookmarkEnd w:id="88"/>
      <w:bookmarkStart w:id="89" w:name="_Toc353785295"/>
      <w:bookmarkStart w:id="90" w:name="_Toc352700425"/>
      <w:bookmarkStart w:id="91" w:name="_Toc254970541"/>
      <w:bookmarkStart w:id="92" w:name="_Toc254970682"/>
      <w:r>
        <w:rPr>
          <w:rFonts w:hint="eastAsia" w:ascii="宋体" w:hAnsi="宋体"/>
          <w:b/>
          <w:bCs/>
          <w:color w:val="auto"/>
          <w:szCs w:val="21"/>
          <w:highlight w:val="none"/>
          <w:lang w:val="en-US" w:eastAsia="zh-CN"/>
        </w:rPr>
        <w:t>（六）</w:t>
      </w:r>
      <w:r>
        <w:rPr>
          <w:rFonts w:hint="eastAsia" w:ascii="宋体" w:hAnsi="宋体"/>
          <w:b/>
          <w:bCs/>
          <w:color w:val="auto"/>
          <w:szCs w:val="21"/>
          <w:highlight w:val="none"/>
        </w:rPr>
        <w:t>磋商保证金</w:t>
      </w:r>
      <w:bookmarkEnd w:id="89"/>
      <w:bookmarkEnd w:id="90"/>
      <w:bookmarkEnd w:id="91"/>
      <w:bookmarkEnd w:id="92"/>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bookmarkStart w:id="93" w:name="_Toc353785296"/>
      <w:bookmarkStart w:id="94" w:name="_Toc352700426"/>
      <w:bookmarkStart w:id="95" w:name="_Toc254970542"/>
      <w:bookmarkStart w:id="96" w:name="_Toc254970683"/>
      <w:r>
        <w:rPr>
          <w:rFonts w:hint="eastAsia" w:ascii="宋体" w:hAnsi="宋体"/>
          <w:color w:val="auto"/>
          <w:szCs w:val="21"/>
          <w:highlight w:val="none"/>
        </w:rPr>
        <w:t>磋商保证金金额：</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pPr>
        <w:pStyle w:val="2"/>
        <w:pageBreakBefore w:val="0"/>
        <w:kinsoku/>
        <w:wordWrap/>
        <w:overflowPunct/>
        <w:topLinePunct w:val="0"/>
        <w:autoSpaceDE/>
        <w:autoSpaceDN/>
        <w:bidi w:val="0"/>
        <w:spacing w:before="0" w:after="0" w:line="400" w:lineRule="exact"/>
        <w:textAlignment w:val="auto"/>
        <w:rPr>
          <w:rFonts w:hint="eastAsia" w:ascii="宋体" w:hAnsi="宋体" w:eastAsia="宋体" w:cs="宋体"/>
          <w:color w:val="auto"/>
          <w:sz w:val="21"/>
          <w:szCs w:val="21"/>
          <w:highlight w:val="none"/>
          <w:lang w:eastAsia="zh-CN"/>
        </w:rPr>
      </w:pPr>
      <w:bookmarkStart w:id="97" w:name="_Toc387"/>
      <w:bookmarkStart w:id="98" w:name="_Toc8815"/>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 xml:space="preserve">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7"/>
      <w:r>
        <w:rPr>
          <w:rFonts w:hint="eastAsia" w:ascii="宋体" w:hAnsi="宋体" w:eastAsia="宋体" w:cs="宋体"/>
          <w:color w:val="auto"/>
          <w:sz w:val="21"/>
          <w:szCs w:val="21"/>
          <w:highlight w:val="none"/>
          <w:lang w:eastAsia="zh-CN"/>
        </w:rPr>
        <w:t>制作</w:t>
      </w:r>
      <w:bookmarkEnd w:id="98"/>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规定的部位查找不到相关内容的，由供应商自行承担。</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w:t>
      </w:r>
      <w:r>
        <w:rPr>
          <w:rFonts w:hint="eastAsia" w:ascii="宋体" w:hAnsi="宋体" w:cs="宋体"/>
          <w:color w:val="auto"/>
          <w:szCs w:val="21"/>
          <w:highlight w:val="none"/>
          <w:lang w:eastAsia="zh-CN"/>
        </w:rPr>
        <w:t>可以</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w:t>
      </w:r>
      <w:r>
        <w:rPr>
          <w:rFonts w:hint="default" w:ascii="宋体" w:hAnsi="宋体" w:cs="宋体"/>
          <w:color w:val="auto"/>
          <w:szCs w:val="21"/>
          <w:highlight w:val="none"/>
          <w:lang w:val="en"/>
        </w:rPr>
        <w:t>后加盖电子公章</w:t>
      </w:r>
      <w:r>
        <w:rPr>
          <w:rFonts w:hint="eastAsia" w:ascii="宋体" w:hAnsi="宋体" w:eastAsia="宋体" w:cs="宋体"/>
          <w:color w:val="auto"/>
          <w:szCs w:val="21"/>
          <w:highlight w:val="none"/>
        </w:rPr>
        <w:t>。</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w:t>
      </w:r>
      <w:r>
        <w:rPr>
          <w:rFonts w:hint="eastAsia" w:ascii="宋体" w:hAnsi="宋体" w:cs="宋体"/>
          <w:color w:val="auto"/>
          <w:szCs w:val="21"/>
          <w:highlight w:val="none"/>
          <w:lang w:eastAsia="zh-CN"/>
        </w:rPr>
        <w:t>模糊</w:t>
      </w:r>
      <w:r>
        <w:rPr>
          <w:rFonts w:hint="eastAsia" w:ascii="宋体" w:hAnsi="宋体" w:eastAsia="宋体" w:cs="宋体"/>
          <w:color w:val="auto"/>
          <w:szCs w:val="21"/>
          <w:highlight w:val="none"/>
        </w:rPr>
        <w:t>或表达不清所引起的后果由供应商负责。</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bookmarkEnd w:id="93"/>
    <w:bookmarkEnd w:id="94"/>
    <w:bookmarkEnd w:id="95"/>
    <w:bookmarkEnd w:id="96"/>
    <w:p>
      <w:pPr>
        <w:pageBreakBefore w:val="0"/>
        <w:kinsoku/>
        <w:wordWrap/>
        <w:overflowPunct/>
        <w:topLinePunct w:val="0"/>
        <w:autoSpaceDE/>
        <w:autoSpaceDN/>
        <w:bidi w:val="0"/>
        <w:spacing w:line="400" w:lineRule="exact"/>
        <w:textAlignment w:val="auto"/>
        <w:rPr>
          <w:b/>
          <w:bCs/>
          <w:color w:val="auto"/>
          <w:highlight w:val="none"/>
        </w:rPr>
      </w:pPr>
      <w:r>
        <w:rPr>
          <w:rFonts w:hint="eastAsia"/>
          <w:b/>
          <w:bCs/>
          <w:color w:val="auto"/>
          <w:highlight w:val="none"/>
          <w:lang w:val="en-US" w:eastAsia="zh-CN"/>
        </w:rPr>
        <w:t>（八）</w:t>
      </w:r>
      <w:r>
        <w:rPr>
          <w:rFonts w:hint="eastAsia"/>
          <w:b/>
          <w:bCs/>
          <w:color w:val="auto"/>
          <w:highlight w:val="none"/>
        </w:rPr>
        <w:t>响应文件的上传、提交、修改、撤回</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99" w:name="_Hlk91772691"/>
      <w:r>
        <w:rPr>
          <w:rFonts w:hint="eastAsia" w:ascii="宋体" w:hAnsi="宋体"/>
          <w:color w:val="auto"/>
          <w:szCs w:val="21"/>
          <w:highlight w:val="none"/>
        </w:rPr>
        <w:t>政府采购云平台</w:t>
      </w:r>
      <w:bookmarkEnd w:id="99"/>
      <w:r>
        <w:rPr>
          <w:rFonts w:hint="eastAsia" w:ascii="宋体" w:hAnsi="宋体"/>
          <w:color w:val="auto"/>
          <w:szCs w:val="21"/>
          <w:highlight w:val="none"/>
        </w:rPr>
        <w:t>将予以拒收。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val="en-US" w:eastAsia="zh-CN"/>
          <w14:textFill>
            <w14:solidFill>
              <w14:schemeClr w14:val="tx1"/>
            </w14:solidFill>
          </w14:textFill>
        </w:rPr>
        <w:t>2026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7 </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上午09 </w:t>
      </w:r>
      <w:r>
        <w:rPr>
          <w:rFonts w:hint="eastAsia" w:ascii="宋体" w:hAnsi="宋体" w:cs="宋体"/>
          <w:color w:val="000000" w:themeColor="text1"/>
          <w:sz w:val="21"/>
          <w:szCs w:val="21"/>
          <w:highlight w:val="none"/>
          <w:u w:val="single"/>
          <w:lang w:eastAsia="zh-CN"/>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cs="宋体"/>
          <w:color w:val="000000" w:themeColor="text1"/>
          <w:sz w:val="21"/>
          <w:szCs w:val="21"/>
          <w:highlight w:val="none"/>
          <w:u w:val="single"/>
          <w:lang w:eastAsia="zh-CN"/>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w:t>
      </w:r>
      <w:r>
        <w:rPr>
          <w:rFonts w:hint="eastAsia" w:ascii="宋体" w:hAnsi="宋体" w:eastAsia="宋体" w:cs="宋体"/>
          <w:color w:val="auto"/>
          <w:szCs w:val="21"/>
          <w:highlight w:val="none"/>
        </w:rPr>
        <w:t>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bCs/>
          <w:color w:val="auto"/>
          <w:highlight w:val="none"/>
          <w:lang w:val="en-US" w:eastAsia="zh-CN"/>
        </w:rPr>
      </w:pPr>
      <w:bookmarkStart w:id="100" w:name="_四、响应文件开启"/>
      <w:bookmarkEnd w:id="100"/>
      <w:bookmarkStart w:id="101" w:name="OLE_LINK40"/>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rPr>
        <w:t>响应文件</w:t>
      </w:r>
      <w:bookmarkEnd w:id="101"/>
      <w:r>
        <w:rPr>
          <w:rFonts w:hint="eastAsia" w:ascii="Times New Roman" w:hAnsi="Times New Roman" w:eastAsia="宋体" w:cs="Times New Roman"/>
          <w:b/>
          <w:bCs/>
          <w:color w:val="auto"/>
          <w:highlight w:val="none"/>
        </w:rPr>
        <w:t>开启</w:t>
      </w:r>
      <w:r>
        <w:rPr>
          <w:rFonts w:hint="eastAsia" w:ascii="Times New Roman" w:hAnsi="Times New Roman" w:eastAsia="宋体" w:cs="Times New Roman"/>
          <w:b/>
          <w:bCs/>
          <w:color w:val="auto"/>
          <w:highlight w:val="none"/>
          <w:lang w:val="en-US" w:eastAsia="zh-CN"/>
        </w:rPr>
        <w:t>和解密</w:t>
      </w:r>
    </w:p>
    <w:p>
      <w:pPr>
        <w:pageBreakBefore w:val="0"/>
        <w:kinsoku/>
        <w:wordWrap/>
        <w:overflowPunct/>
        <w:topLinePunct w:val="0"/>
        <w:autoSpaceDE/>
        <w:autoSpaceDN/>
        <w:bidi w:val="0"/>
        <w:spacing w:line="400" w:lineRule="exact"/>
        <w:textAlignment w:val="auto"/>
        <w:rPr>
          <w:rFonts w:ascii="方正小标宋_GBK" w:hAnsi="Arial" w:eastAsia="方正小标宋_GBK"/>
          <w:bCs/>
          <w:color w:val="auto"/>
          <w:sz w:val="24"/>
          <w:highlight w:val="none"/>
        </w:rPr>
      </w:pPr>
      <w:r>
        <w:rPr>
          <w:rFonts w:hint="eastAsia" w:ascii="宋体" w:hAnsi="宋体"/>
          <w:color w:val="auto"/>
          <w:szCs w:val="21"/>
          <w:highlight w:val="none"/>
          <w:lang w:val="en-US" w:eastAsia="zh-CN"/>
        </w:rPr>
        <w:t>1.</w:t>
      </w:r>
      <w:r>
        <w:rPr>
          <w:rFonts w:hint="eastAsia"/>
          <w:color w:val="auto"/>
          <w:highlight w:val="none"/>
          <w:lang w:val="en-US" w:eastAsia="zh-CN"/>
        </w:rPr>
        <w:t>开启：</w:t>
      </w:r>
      <w:r>
        <w:rPr>
          <w:rFonts w:hint="eastAsia"/>
          <w:color w:val="auto"/>
          <w:highlight w:val="none"/>
        </w:rPr>
        <w:t>本中心将在响应文件提交截止时间后在</w:t>
      </w:r>
      <w:bookmarkStart w:id="102" w:name="_Hlk90300735"/>
      <w:r>
        <w:rPr>
          <w:rFonts w:hint="eastAsia"/>
          <w:color w:val="auto"/>
          <w:highlight w:val="none"/>
          <w:lang w:eastAsia="zh-CN"/>
        </w:rPr>
        <w:t>广西政府采购云平台</w:t>
      </w:r>
      <w:r>
        <w:rPr>
          <w:rFonts w:hint="eastAsia"/>
          <w:color w:val="auto"/>
          <w:highlight w:val="none"/>
        </w:rPr>
        <w:t>远程开标大厅</w:t>
      </w:r>
      <w:bookmarkEnd w:id="102"/>
      <w:r>
        <w:rPr>
          <w:rFonts w:hint="eastAsia"/>
          <w:color w:val="auto"/>
          <w:highlight w:val="none"/>
        </w:rPr>
        <w:t>进行响应文件开启，供应商法定代表人或委托代理人须按时登录</w:t>
      </w:r>
      <w:bookmarkStart w:id="103" w:name="_Hlk90300780"/>
      <w:r>
        <w:rPr>
          <w:rFonts w:hint="eastAsia"/>
          <w:color w:val="auto"/>
          <w:highlight w:val="none"/>
          <w:lang w:eastAsia="zh-CN"/>
        </w:rPr>
        <w:t>广西政府采购云平台</w:t>
      </w:r>
      <w:r>
        <w:rPr>
          <w:rFonts w:hint="eastAsia"/>
          <w:color w:val="auto"/>
          <w:highlight w:val="none"/>
        </w:rPr>
        <w:t>远程开标大厅</w:t>
      </w:r>
      <w:bookmarkEnd w:id="103"/>
      <w:r>
        <w:rPr>
          <w:rFonts w:hint="eastAsia"/>
          <w:color w:val="auto"/>
          <w:highlight w:val="none"/>
        </w:rPr>
        <w:t>（政府采购云平台-应用中心-项目采购-开标评标），保持全程在线并关注评审、磋商进度，评审期间磋商小组提出澄清等要求时，供应商须在规定时间内进行应答，否则按</w:t>
      </w:r>
      <w:r>
        <w:rPr>
          <w:rFonts w:hint="eastAsia"/>
          <w:color w:val="auto"/>
          <w:highlight w:val="none"/>
          <w:lang w:eastAsia="zh-CN"/>
        </w:rPr>
        <w:t>磋商文件</w:t>
      </w:r>
      <w:r>
        <w:rPr>
          <w:rFonts w:hint="eastAsia"/>
          <w:color w:val="auto"/>
          <w:highlight w:val="none"/>
        </w:rPr>
        <w:t>或</w:t>
      </w:r>
      <w:r>
        <w:rPr>
          <w:rFonts w:hint="eastAsia"/>
          <w:color w:val="auto"/>
          <w:highlight w:val="none"/>
          <w:lang w:eastAsia="zh-CN"/>
        </w:rPr>
        <w:t>广西政府采购云平台</w:t>
      </w:r>
      <w:r>
        <w:rPr>
          <w:rFonts w:hint="eastAsia"/>
          <w:color w:val="auto"/>
          <w:highlight w:val="none"/>
        </w:rPr>
        <w:t>平台的相关规定执行。</w:t>
      </w:r>
      <w:bookmarkStart w:id="104" w:name="_Toc352700431"/>
      <w:bookmarkStart w:id="105" w:name="_Toc353785301"/>
    </w:p>
    <w:bookmarkEnd w:id="104"/>
    <w:bookmarkEnd w:id="105"/>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2.</w:t>
      </w:r>
      <w:r>
        <w:rPr>
          <w:rFonts w:hint="eastAsia"/>
          <w:color w:val="auto"/>
          <w:highlight w:val="none"/>
          <w:lang w:val="en-US" w:eastAsia="zh-CN"/>
        </w:rPr>
        <w:t>解密：</w:t>
      </w: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w:t>
      </w:r>
      <w:r>
        <w:rPr>
          <w:rFonts w:hint="default"/>
          <w:color w:val="auto"/>
          <w:highlight w:val="none"/>
          <w:lang w:val="en"/>
        </w:rPr>
        <w:t>将</w:t>
      </w:r>
      <w:r>
        <w:rPr>
          <w:rFonts w:hint="eastAsia"/>
          <w:color w:val="auto"/>
          <w:highlight w:val="none"/>
        </w:rPr>
        <w:t>视为供应商自主放弃磋商。</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w:t>
      </w:r>
      <w:r>
        <w:rPr>
          <w:rFonts w:hint="default" w:ascii="宋体" w:hAnsi="宋体" w:cs="宋体"/>
          <w:b/>
          <w:bCs/>
          <w:color w:val="auto"/>
          <w:szCs w:val="21"/>
          <w:highlight w:val="none"/>
          <w:lang w:val="en" w:eastAsia="zh-CN"/>
        </w:rPr>
        <w:t>响应</w:t>
      </w:r>
      <w:r>
        <w:rPr>
          <w:rFonts w:hint="eastAsia" w:ascii="宋体" w:hAnsi="宋体" w:eastAsia="宋体" w:cs="宋体"/>
          <w:b/>
          <w:bCs/>
          <w:color w:val="auto"/>
          <w:szCs w:val="21"/>
          <w:highlight w:val="none"/>
          <w:lang w:val="en-US" w:eastAsia="zh-CN"/>
        </w:rPr>
        <w:t>文件网上递交截止时间后，各供应商须在解密时限内对上传</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的</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文件进行解密，所有供应商在规定的解密时限内解密完成或解密时限结束后，我中心开启已解密的响应文件。</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超过解密时限未解密的，系统默认自动放弃，造成投标无效的后果由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自行承担，解密响应文件后，30分钟内在线签字确认，超过时间没有在线签字确认的系统将自动视为供应商认可。</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s="宋体"/>
          <w:color w:val="auto"/>
          <w:szCs w:val="21"/>
          <w:highlight w:val="none"/>
        </w:rPr>
        <w:t>除竞争性磋商文件另有规定外，供应商所递交的响应文件不予退还。</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eastAsia="宋体" w:cs="宋体"/>
          <w:color w:val="auto"/>
          <w:szCs w:val="21"/>
          <w:highlight w:val="none"/>
        </w:rPr>
        <w:t>电子响应文件的相关说明</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供应商进行电子投标应安装客户端软件，并按照</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将拒收。 </w:t>
      </w:r>
    </w:p>
    <w:p>
      <w:pPr>
        <w:pageBreakBefore w:val="0"/>
        <w:kinsoku/>
        <w:wordWrap/>
        <w:overflowPunct/>
        <w:topLinePunct w:val="0"/>
        <w:autoSpaceDE/>
        <w:autoSpaceDN/>
        <w:bidi w:val="0"/>
        <w:spacing w:line="400" w:lineRule="exact"/>
        <w:textAlignment w:val="auto"/>
        <w:rPr>
          <w:rFonts w:hint="eastAsia"/>
          <w:color w:val="auto"/>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如有特殊情况，采购代理机构延长截止时间和开标时间，采购代理机构和供应商的权利和义务将受到新的截止时间和开标时间的约束。</w:t>
      </w:r>
    </w:p>
    <w:p>
      <w:pPr>
        <w:pStyle w:val="4"/>
        <w:pageBreakBefore w:val="0"/>
        <w:kinsoku/>
        <w:wordWrap/>
        <w:overflowPunct/>
        <w:topLinePunct w:val="0"/>
        <w:autoSpaceDE/>
        <w:autoSpaceDN/>
        <w:bidi w:val="0"/>
        <w:spacing w:line="400" w:lineRule="exact"/>
        <w:textAlignment w:val="auto"/>
        <w:rPr>
          <w:rFonts w:hint="eastAsia"/>
          <w:b/>
          <w:bCs w:val="0"/>
          <w:color w:val="auto"/>
          <w:highlight w:val="none"/>
          <w:lang w:val="en-US" w:eastAsia="zh-CN"/>
        </w:rPr>
      </w:pPr>
      <w:bookmarkStart w:id="106" w:name="_五、评审与磋商"/>
      <w:bookmarkEnd w:id="106"/>
    </w:p>
    <w:p>
      <w:pPr>
        <w:pStyle w:val="4"/>
        <w:pageBreakBefore w:val="0"/>
        <w:kinsoku/>
        <w:wordWrap/>
        <w:overflowPunct/>
        <w:topLinePunct w:val="0"/>
        <w:autoSpaceDE/>
        <w:autoSpaceDN/>
        <w:bidi w:val="0"/>
        <w:spacing w:line="400" w:lineRule="exact"/>
        <w:textAlignment w:val="auto"/>
        <w:rPr>
          <w:rFonts w:hint="eastAsia" w:ascii="宋体" w:hAnsi="宋体"/>
          <w:b/>
          <w:bCs w:val="0"/>
          <w:color w:val="auto"/>
          <w:szCs w:val="21"/>
          <w:highlight w:val="none"/>
        </w:rPr>
      </w:pPr>
      <w:r>
        <w:rPr>
          <w:rFonts w:hint="eastAsia"/>
          <w:b/>
          <w:bCs w:val="0"/>
          <w:color w:val="auto"/>
          <w:highlight w:val="none"/>
          <w:lang w:val="en-US" w:eastAsia="zh-CN"/>
        </w:rPr>
        <w:t>四、</w:t>
      </w:r>
      <w:r>
        <w:rPr>
          <w:rFonts w:hint="eastAsia" w:ascii="宋体" w:hAnsi="宋体"/>
          <w:b/>
          <w:bCs w:val="0"/>
          <w:color w:val="auto"/>
          <w:szCs w:val="21"/>
          <w:highlight w:val="none"/>
        </w:rPr>
        <w:t>评审与磋商</w:t>
      </w:r>
    </w:p>
    <w:p>
      <w:pPr>
        <w:pStyle w:val="2"/>
        <w:pageBreakBefore w:val="0"/>
        <w:kinsoku/>
        <w:wordWrap/>
        <w:overflowPunct/>
        <w:topLinePunct w:val="0"/>
        <w:autoSpaceDE/>
        <w:autoSpaceDN/>
        <w:bidi w:val="0"/>
        <w:spacing w:before="0" w:after="0" w:line="400" w:lineRule="exact"/>
        <w:textAlignment w:val="auto"/>
        <w:rPr>
          <w:rFonts w:hint="eastAsia" w:ascii="宋体" w:hAnsi="宋体" w:eastAsia="宋体" w:cs="宋体"/>
          <w:color w:val="auto"/>
          <w:sz w:val="21"/>
          <w:szCs w:val="21"/>
          <w:highlight w:val="none"/>
        </w:rPr>
      </w:pPr>
      <w:bookmarkStart w:id="107" w:name="_Toc31588"/>
      <w:bookmarkStart w:id="108" w:name="_Toc16714"/>
      <w:r>
        <w:rPr>
          <w:rFonts w:hint="eastAsia" w:ascii="Times New Roman" w:hAnsi="Times New Roman" w:cs="Times New Roman"/>
          <w:b/>
          <w:bCs/>
          <w:color w:val="auto"/>
          <w:kern w:val="2"/>
          <w:sz w:val="21"/>
          <w:szCs w:val="24"/>
          <w:highlight w:val="none"/>
          <w:lang w:val="en-US" w:eastAsia="zh-CN" w:bidi="ar-SA"/>
        </w:rPr>
        <w:t>（一）</w:t>
      </w:r>
      <w:r>
        <w:rPr>
          <w:rFonts w:hint="eastAsia" w:ascii="宋体" w:hAnsi="宋体" w:eastAsia="宋体" w:cs="宋体"/>
          <w:color w:val="auto"/>
          <w:sz w:val="21"/>
          <w:szCs w:val="21"/>
          <w:highlight w:val="none"/>
        </w:rPr>
        <w:t>磋商小组组成</w:t>
      </w:r>
      <w:bookmarkEnd w:id="107"/>
      <w:bookmarkEnd w:id="108"/>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s="Courier New"/>
          <w:bCs/>
          <w:color w:val="auto"/>
          <w:szCs w:val="21"/>
          <w:highlight w:val="none"/>
        </w:rPr>
        <w:t>磋商小组由</w:t>
      </w:r>
      <w:r>
        <w:rPr>
          <w:rFonts w:hint="eastAsia" w:ascii="宋体" w:hAnsi="宋体" w:cs="Courier New"/>
          <w:bCs/>
          <w:color w:val="auto"/>
          <w:szCs w:val="21"/>
          <w:highlight w:val="none"/>
          <w:lang w:eastAsia="zh-CN"/>
        </w:rPr>
        <w:t>采购人代表和</w:t>
      </w:r>
      <w:r>
        <w:rPr>
          <w:rFonts w:hint="eastAsia" w:ascii="宋体" w:hAnsi="宋体" w:cs="Courier New"/>
          <w:bCs/>
          <w:color w:val="auto"/>
          <w:szCs w:val="21"/>
          <w:highlight w:val="none"/>
        </w:rPr>
        <w:t>评审专家共3人以上单数组成，其中评审专家人数不得少于磋商小组成员总数的2/3。</w:t>
      </w:r>
    </w:p>
    <w:p>
      <w:pPr>
        <w:pStyle w:val="2"/>
        <w:pageBreakBefore w:val="0"/>
        <w:kinsoku/>
        <w:wordWrap/>
        <w:overflowPunct/>
        <w:topLinePunct w:val="0"/>
        <w:autoSpaceDE/>
        <w:autoSpaceDN/>
        <w:bidi w:val="0"/>
        <w:spacing w:before="0" w:after="0" w:line="400" w:lineRule="exact"/>
        <w:textAlignment w:val="auto"/>
        <w:rPr>
          <w:rFonts w:hint="eastAsia" w:ascii="宋体" w:hAnsi="宋体" w:eastAsia="宋体" w:cs="宋体"/>
          <w:color w:val="auto"/>
          <w:sz w:val="21"/>
          <w:szCs w:val="21"/>
          <w:highlight w:val="none"/>
        </w:rPr>
      </w:pPr>
      <w:bookmarkStart w:id="109" w:name="_Toc25258"/>
      <w:bookmarkStart w:id="110" w:name="_Toc18640"/>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评审原则</w:t>
      </w:r>
      <w:bookmarkEnd w:id="109"/>
      <w:bookmarkEnd w:id="11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磋商小组必须坚持公平、公正、科学和择优的原则。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评审办法：综合评分法，具体详见第四章评审办法。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磋商小组应按磋商文件进行评审，不得擅自更改评审办法。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响应文件最后报价出现前后不一致的，除竞争性磋商文件另有规定外，按照下列规定修正：</w:t>
      </w:r>
    </w:p>
    <w:p>
      <w:pPr>
        <w:pStyle w:val="28"/>
        <w:keepNext w:val="0"/>
        <w:keepLines w:val="0"/>
        <w:pageBreakBefore w:val="0"/>
        <w:widowControl w:val="0"/>
        <w:tabs>
          <w:tab w:val="left" w:pos="109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highlight w:val="none"/>
        </w:rPr>
        <w:t>响应文件中磋商报价表内容与响应文件中相应内容不一致的，以最后磋商报价表为准；</w:t>
      </w:r>
    </w:p>
    <w:p>
      <w:pPr>
        <w:pStyle w:val="28"/>
        <w:keepNext w:val="0"/>
        <w:keepLines w:val="0"/>
        <w:pageBreakBefore w:val="0"/>
        <w:widowControl w:val="0"/>
        <w:tabs>
          <w:tab w:val="left" w:pos="109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highlight w:val="none"/>
        </w:rPr>
        <w:t>大写金额和小写金额不一致的，以大写金额为准；</w:t>
      </w:r>
    </w:p>
    <w:p>
      <w:pPr>
        <w:pStyle w:val="28"/>
        <w:keepNext w:val="0"/>
        <w:keepLines w:val="0"/>
        <w:pageBreakBefore w:val="0"/>
        <w:widowControl w:val="0"/>
        <w:tabs>
          <w:tab w:val="left" w:pos="109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单价金额小数点或者百分比有明显错位的，以报价表的总价为准，并修改单价；</w:t>
      </w:r>
    </w:p>
    <w:p>
      <w:pPr>
        <w:pStyle w:val="28"/>
        <w:keepNext w:val="0"/>
        <w:keepLines w:val="0"/>
        <w:pageBreakBefore w:val="0"/>
        <w:widowControl w:val="0"/>
        <w:tabs>
          <w:tab w:val="left" w:pos="1099"/>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pPr>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信用查询</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根据《关于做好政府采购有关信用主体标识码登记及在政府采购活动中查询使用信用记录有关问题的通知》（桂财采〔2016〕37号）</w:t>
      </w:r>
      <w:r>
        <w:rPr>
          <w:rFonts w:hint="default" w:ascii="宋体" w:hAnsi="宋体" w:cs="宋体"/>
          <w:color w:val="auto"/>
          <w:kern w:val="2"/>
          <w:sz w:val="21"/>
          <w:szCs w:val="24"/>
          <w:highlight w:val="none"/>
          <w:lang w:val="en" w:eastAsia="zh-CN" w:bidi="ar-SA"/>
        </w:rPr>
        <w:t>的规定</w:t>
      </w:r>
      <w:r>
        <w:rPr>
          <w:rFonts w:hint="eastAsia" w:ascii="宋体" w:hAnsi="宋体" w:eastAsia="宋体" w:cs="宋体"/>
          <w:color w:val="auto"/>
          <w:kern w:val="2"/>
          <w:sz w:val="21"/>
          <w:szCs w:val="24"/>
          <w:highlight w:val="none"/>
          <w:lang w:val="en-US" w:eastAsia="zh-CN" w:bidi="ar-SA"/>
        </w:rPr>
        <w:t>，</w:t>
      </w:r>
      <w:r>
        <w:rPr>
          <w:rFonts w:hint="default" w:ascii="宋体" w:hAnsi="宋体" w:cs="宋体"/>
          <w:color w:val="auto"/>
          <w:kern w:val="2"/>
          <w:sz w:val="21"/>
          <w:szCs w:val="24"/>
          <w:highlight w:val="none"/>
          <w:lang w:val="en" w:eastAsia="zh-CN" w:bidi="ar-SA"/>
        </w:rPr>
        <w:t>可通过以下渠道对供应商的信用信息进行查询：</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查询渠道：“信用中国”网站(www.creditchina.gov.cn)、中国政府采购网(www.ccgp.gov.cn)等；</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信用信息查询记录和证据留存方式：在查询网站中直接打印查询记录，打印材料作为</w:t>
      </w:r>
      <w:r>
        <w:rPr>
          <w:rFonts w:hint="default" w:ascii="宋体" w:hAnsi="宋体" w:cs="宋体"/>
          <w:color w:val="auto"/>
          <w:kern w:val="2"/>
          <w:sz w:val="21"/>
          <w:szCs w:val="24"/>
          <w:highlight w:val="none"/>
          <w:lang w:val="en" w:eastAsia="zh-CN" w:bidi="ar-SA"/>
        </w:rPr>
        <w:t>整个</w:t>
      </w:r>
      <w:r>
        <w:rPr>
          <w:rFonts w:hint="eastAsia" w:ascii="宋体" w:hAnsi="宋体" w:eastAsia="宋体" w:cs="宋体"/>
          <w:color w:val="auto"/>
          <w:kern w:val="2"/>
          <w:sz w:val="21"/>
          <w:szCs w:val="24"/>
          <w:highlight w:val="none"/>
          <w:lang w:val="en-US" w:eastAsia="zh-CN" w:bidi="ar-SA"/>
        </w:rPr>
        <w:t>采购活动</w:t>
      </w:r>
      <w:r>
        <w:rPr>
          <w:rFonts w:hint="default" w:ascii="宋体" w:hAnsi="宋体" w:cs="宋体"/>
          <w:color w:val="auto"/>
          <w:kern w:val="2"/>
          <w:sz w:val="21"/>
          <w:szCs w:val="24"/>
          <w:highlight w:val="none"/>
          <w:lang w:val="en" w:eastAsia="zh-CN" w:bidi="ar-SA"/>
        </w:rPr>
        <w:t>的</w:t>
      </w:r>
      <w:r>
        <w:rPr>
          <w:rFonts w:hint="eastAsia" w:ascii="宋体" w:hAnsi="宋体" w:eastAsia="宋体" w:cs="宋体"/>
          <w:color w:val="auto"/>
          <w:kern w:val="2"/>
          <w:sz w:val="21"/>
          <w:szCs w:val="24"/>
          <w:highlight w:val="none"/>
          <w:lang w:val="en-US" w:eastAsia="zh-CN" w:bidi="ar-SA"/>
        </w:rPr>
        <w:t>资料保存。</w:t>
      </w:r>
    </w:p>
    <w:p>
      <w:pPr>
        <w:pageBreakBefore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2"/>
          <w:sz w:val="21"/>
          <w:szCs w:val="24"/>
          <w:highlight w:val="none"/>
          <w:lang w:val="en-US" w:eastAsia="zh-CN" w:bidi="ar-SA"/>
        </w:rPr>
        <w:t>。</w:t>
      </w:r>
    </w:p>
    <w:p>
      <w:pPr>
        <w:pageBreakBefore w:val="0"/>
        <w:kinsoku/>
        <w:wordWrap/>
        <w:overflowPunct/>
        <w:topLinePunct w:val="0"/>
        <w:autoSpaceDE/>
        <w:autoSpaceDN/>
        <w:bidi w:val="0"/>
        <w:spacing w:line="400" w:lineRule="exact"/>
        <w:textAlignment w:val="auto"/>
        <w:rPr>
          <w:rFonts w:hint="eastAsia" w:ascii="宋体" w:hAnsi="宋体" w:cs="Courier New"/>
          <w:color w:val="auto"/>
          <w:szCs w:val="21"/>
          <w:highlight w:val="none"/>
        </w:rPr>
      </w:pPr>
      <w:r>
        <w:rPr>
          <w:rFonts w:hint="eastAsia" w:ascii="宋体" w:hAnsi="宋体"/>
          <w:b/>
          <w:bCs/>
          <w:color w:val="auto"/>
          <w:szCs w:val="21"/>
          <w:highlight w:val="none"/>
          <w:lang w:val="en-US" w:eastAsia="zh-CN"/>
        </w:rPr>
        <w:t>（四）</w:t>
      </w:r>
      <w:r>
        <w:rPr>
          <w:rFonts w:hint="eastAsia" w:ascii="宋体" w:hAnsi="宋体"/>
          <w:b/>
          <w:bCs/>
          <w:color w:val="auto"/>
          <w:szCs w:val="21"/>
          <w:highlight w:val="none"/>
        </w:rPr>
        <w:t>实质性审查</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b/>
          <w:bCs/>
          <w:color w:val="auto"/>
          <w:szCs w:val="21"/>
          <w:highlight w:val="none"/>
          <w:lang w:val="en-US" w:eastAsia="zh-CN"/>
        </w:rPr>
        <w:t>1.</w:t>
      </w:r>
      <w:r>
        <w:rPr>
          <w:rFonts w:hint="eastAsia" w:ascii="宋体" w:hAnsi="宋体"/>
          <w:color w:val="auto"/>
          <w:szCs w:val="21"/>
          <w:highlight w:val="none"/>
        </w:rPr>
        <w:t>磋商小组成员根据磋商文件规定的评审程序、评审</w:t>
      </w:r>
      <w:r>
        <w:rPr>
          <w:rFonts w:hint="eastAsia" w:ascii="宋体" w:hAnsi="宋体"/>
          <w:color w:val="auto"/>
          <w:szCs w:val="21"/>
          <w:highlight w:val="none"/>
          <w:lang w:val="en-US" w:eastAsia="zh-CN"/>
        </w:rPr>
        <w:t>办</w:t>
      </w:r>
      <w:r>
        <w:rPr>
          <w:rFonts w:hint="eastAsia" w:ascii="宋体" w:hAnsi="宋体"/>
          <w:color w:val="auto"/>
          <w:szCs w:val="21"/>
          <w:highlight w:val="none"/>
        </w:rPr>
        <w:t>法和评审标准进行独立评审。未实质性响应磋商文件的响应文件按无效响应处理，磋商小组应当告知提交响应文件的供应商。</w:t>
      </w:r>
    </w:p>
    <w:p>
      <w:pPr>
        <w:pageBreakBefore w:val="0"/>
        <w:kinsoku/>
        <w:wordWrap/>
        <w:overflowPunct/>
        <w:topLinePunct w:val="0"/>
        <w:autoSpaceDE/>
        <w:autoSpaceDN/>
        <w:bidi w:val="0"/>
        <w:snapToGrid w:val="0"/>
        <w:spacing w:line="40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实质性审查时，如发现下列情形之一的，响应文件将被视为无效：</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响应文件未按响应文件编制要求提供或内容虚假的；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pacing w:val="-6"/>
          <w:sz w:val="21"/>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响应文</w:t>
      </w:r>
      <w:r>
        <w:rPr>
          <w:rFonts w:hint="eastAsia" w:ascii="宋体" w:hAnsi="宋体"/>
          <w:color w:val="auto"/>
          <w:spacing w:val="-6"/>
          <w:sz w:val="21"/>
          <w:szCs w:val="21"/>
          <w:highlight w:val="none"/>
        </w:rPr>
        <w:t>件无法定代表人或其委托代理人签署、未提供授权委托书，或未按规定盖章的；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供应商代表未能出具身份证明或与法定代表人委托代理人身份不符的；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经磋商未实质性响应</w:t>
      </w:r>
      <w:r>
        <w:rPr>
          <w:rFonts w:hint="eastAsia" w:ascii="宋体" w:hAnsi="宋体"/>
          <w:color w:val="auto"/>
          <w:szCs w:val="21"/>
          <w:highlight w:val="none"/>
          <w:lang w:eastAsia="zh-CN"/>
        </w:rPr>
        <w:t>磋商文件</w:t>
      </w:r>
      <w:r>
        <w:rPr>
          <w:rFonts w:hint="eastAsia" w:ascii="宋体" w:hAnsi="宋体"/>
          <w:color w:val="auto"/>
          <w:szCs w:val="21"/>
          <w:highlight w:val="none"/>
        </w:rPr>
        <w:t>采购需求的技术、服务要求的；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经磋商</w:t>
      </w:r>
      <w:r>
        <w:rPr>
          <w:rFonts w:hint="eastAsia" w:ascii="宋体" w:hAnsi="宋体"/>
          <w:color w:val="auto"/>
          <w:spacing w:val="-4"/>
          <w:szCs w:val="21"/>
          <w:highlight w:val="none"/>
        </w:rPr>
        <w:t>不符合</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要求的质量标准，或者与</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中的技术指标、功能、服务事项发生较大偏离，已不符合采购人需求的；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响应文件有采购人不能接受的附加条件的；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pacing w:val="-4"/>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pacing w:val="-4"/>
          <w:szCs w:val="21"/>
          <w:highlight w:val="none"/>
        </w:rPr>
        <w:t>响应文件技术方案不明确，存在一个或一个以上备选(替代)响应方案的；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响应文件的实质性内容未使用中文表述、意思表述不明确、前后矛盾或者使用计量单位不符合</w:t>
      </w:r>
      <w:r>
        <w:rPr>
          <w:rFonts w:hint="eastAsia" w:ascii="宋体" w:hAnsi="宋体"/>
          <w:color w:val="auto"/>
          <w:szCs w:val="21"/>
          <w:highlight w:val="none"/>
          <w:lang w:eastAsia="zh-CN"/>
        </w:rPr>
        <w:t>磋商文件</w:t>
      </w:r>
      <w:r>
        <w:rPr>
          <w:rFonts w:hint="eastAsia" w:ascii="宋体" w:hAnsi="宋体"/>
          <w:color w:val="auto"/>
          <w:szCs w:val="21"/>
          <w:highlight w:val="none"/>
        </w:rPr>
        <w:t>要求的。</w:t>
      </w:r>
    </w:p>
    <w:p>
      <w:pPr>
        <w:pageBreakBefore w:val="0"/>
        <w:kinsoku/>
        <w:wordWrap/>
        <w:overflowPunct/>
        <w:topLinePunct w:val="0"/>
        <w:autoSpaceDE/>
        <w:autoSpaceDN/>
        <w:bidi w:val="0"/>
        <w:spacing w:line="400" w:lineRule="exact"/>
        <w:textAlignment w:val="auto"/>
        <w:rPr>
          <w:b/>
          <w:bCs/>
          <w:color w:val="auto"/>
          <w:highlight w:val="none"/>
        </w:rPr>
      </w:pPr>
      <w:r>
        <w:rPr>
          <w:rFonts w:hint="eastAsia"/>
          <w:b/>
          <w:bCs/>
          <w:color w:val="auto"/>
          <w:highlight w:val="none"/>
          <w:lang w:val="en-US" w:eastAsia="zh-CN"/>
        </w:rPr>
        <w:t>3.</w:t>
      </w:r>
      <w:r>
        <w:rPr>
          <w:rFonts w:hint="eastAsia"/>
          <w:b/>
          <w:bCs/>
          <w:color w:val="auto"/>
          <w:highlight w:val="none"/>
        </w:rPr>
        <w:t>磋商</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磋商小组所有成员应当集中与单一供应商分别进行磋商，并给予所有参加磋商的供应商平等的磋商机会。</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磋商小组可以根据磋商文件和磋商情况实质性变动采购需求中的技术、服务要求以及合</w:t>
      </w:r>
      <w:r>
        <w:rPr>
          <w:rFonts w:hint="eastAsia" w:hAnsi="宋体"/>
          <w:bCs/>
          <w:color w:val="auto"/>
          <w:spacing w:val="-6"/>
          <w:sz w:val="21"/>
          <w:highlight w:val="none"/>
        </w:rPr>
        <w:t>同草案条款，但不得变动磋商文件中的其他内容。实质性变动的内容，须经采购人代表确认。</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（5）</w:t>
      </w:r>
      <w:r>
        <w:rPr>
          <w:rFonts w:hint="eastAsia" w:hAnsi="宋体"/>
          <w:bCs/>
          <w:color w:val="auto"/>
          <w:highlight w:val="none"/>
        </w:rPr>
        <w:t>已提交响应文件的供应商，在提交最后报价之前，可以根据磋商情况退出磋商。</w:t>
      </w:r>
    </w:p>
    <w:p>
      <w:pPr>
        <w:pageBreakBefore w:val="0"/>
        <w:kinsoku/>
        <w:wordWrap/>
        <w:overflowPunct/>
        <w:topLinePunct w:val="0"/>
        <w:autoSpaceDE/>
        <w:autoSpaceDN/>
        <w:bidi w:val="0"/>
        <w:spacing w:line="400" w:lineRule="exact"/>
        <w:textAlignment w:val="auto"/>
        <w:rPr>
          <w:b/>
          <w:bCs/>
          <w:color w:val="auto"/>
          <w:highlight w:val="none"/>
        </w:rPr>
      </w:pPr>
      <w:r>
        <w:rPr>
          <w:rFonts w:hint="eastAsia"/>
          <w:b/>
          <w:bCs/>
          <w:color w:val="auto"/>
          <w:highlight w:val="none"/>
          <w:lang w:val="en-US" w:eastAsia="zh-CN"/>
        </w:rPr>
        <w:t>4.</w:t>
      </w:r>
      <w:r>
        <w:rPr>
          <w:rFonts w:hint="eastAsia"/>
          <w:b/>
          <w:bCs/>
          <w:color w:val="auto"/>
          <w:highlight w:val="none"/>
        </w:rPr>
        <w:t>最后报价</w:t>
      </w:r>
    </w:p>
    <w:p>
      <w:pPr>
        <w:pageBreakBefore w:val="0"/>
        <w:kinsoku/>
        <w:wordWrap/>
        <w:overflowPunct/>
        <w:topLinePunct w:val="0"/>
        <w:autoSpaceDE/>
        <w:autoSpaceDN/>
        <w:bidi w:val="0"/>
        <w:spacing w:line="400" w:lineRule="exact"/>
        <w:textAlignment w:val="auto"/>
        <w:rPr>
          <w:color w:val="auto"/>
          <w:highlight w:val="none"/>
        </w:rPr>
      </w:pPr>
      <w:r>
        <w:rPr>
          <w:rFonts w:hint="eastAsia" w:hAnsi="宋体"/>
          <w:bCs/>
          <w:color w:val="auto"/>
          <w:highlight w:val="none"/>
          <w:lang w:val="en-US" w:eastAsia="zh-CN"/>
        </w:rPr>
        <w:t>（1）</w:t>
      </w:r>
      <w:r>
        <w:rPr>
          <w:rFonts w:hint="eastAsia" w:ascii="宋体" w:hAnsi="宋体" w:eastAsia="宋体" w:cs="Times New Roman"/>
          <w:bCs/>
          <w:color w:val="auto"/>
          <w:kern w:val="2"/>
          <w:sz w:val="21"/>
          <w:szCs w:val="20"/>
          <w:highlight w:val="none"/>
          <w:lang w:val="en-US" w:eastAsia="zh-CN" w:bidi="ar-SA"/>
        </w:rPr>
        <w:t>磋商文件能够详</w:t>
      </w:r>
      <w:r>
        <w:rPr>
          <w:rFonts w:hint="eastAsia"/>
          <w:color w:val="auto"/>
          <w:highlight w:val="none"/>
        </w:rPr>
        <w:t>细列明采购标的的技术、服务要求的，磋商结束后，磋商小组应当要求</w:t>
      </w:r>
      <w:r>
        <w:rPr>
          <w:rFonts w:hint="eastAsia"/>
          <w:color w:val="auto"/>
          <w:spacing w:val="-6"/>
          <w:sz w:val="21"/>
          <w:highlight w:val="none"/>
        </w:rPr>
        <w:t>所有实质性响应的供应商在规定时间内提交最后报价，提交最后报价的供应商不得少于3家。</w:t>
      </w:r>
    </w:p>
    <w:p>
      <w:pPr>
        <w:pageBreakBefore w:val="0"/>
        <w:kinsoku/>
        <w:wordWrap/>
        <w:overflowPunct/>
        <w:topLinePunct w:val="0"/>
        <w:autoSpaceDE/>
        <w:autoSpaceDN/>
        <w:bidi w:val="0"/>
        <w:spacing w:line="400" w:lineRule="exact"/>
        <w:textAlignment w:val="auto"/>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ageBreakBefore w:val="0"/>
        <w:kinsoku/>
        <w:wordWrap/>
        <w:overflowPunct/>
        <w:topLinePunct w:val="0"/>
        <w:autoSpaceDE/>
        <w:autoSpaceDN/>
        <w:bidi w:val="0"/>
        <w:spacing w:line="400" w:lineRule="exact"/>
        <w:textAlignment w:val="auto"/>
        <w:rPr>
          <w:color w:val="auto"/>
          <w:highlight w:val="none"/>
        </w:rPr>
      </w:pPr>
      <w:bookmarkStart w:id="111" w:name="_Hlk101270484"/>
      <w:r>
        <w:rPr>
          <w:rFonts w:hint="eastAsia"/>
          <w:color w:val="auto"/>
          <w:highlight w:val="none"/>
        </w:rPr>
        <w:t>市场竞争不充分的科研项目，以及需要扶持的科技成果转化项目</w:t>
      </w:r>
      <w:bookmarkEnd w:id="111"/>
      <w:r>
        <w:rPr>
          <w:rFonts w:hint="eastAsia"/>
          <w:color w:val="auto"/>
          <w:highlight w:val="none"/>
        </w:rPr>
        <w:t>提交最后报价的供应商可以为2家。</w:t>
      </w:r>
    </w:p>
    <w:p>
      <w:pPr>
        <w:pageBreakBefore w:val="0"/>
        <w:kinsoku/>
        <w:wordWrap/>
        <w:overflowPunct/>
        <w:topLinePunct w:val="0"/>
        <w:autoSpaceDE/>
        <w:autoSpaceDN/>
        <w:bidi w:val="0"/>
        <w:spacing w:line="400" w:lineRule="exact"/>
        <w:textAlignment w:val="auto"/>
        <w:rPr>
          <w:color w:val="auto"/>
          <w:highlight w:val="none"/>
        </w:rPr>
      </w:pPr>
      <w:r>
        <w:rPr>
          <w:rFonts w:hint="eastAsia" w:hAnsi="宋体"/>
          <w:bCs/>
          <w:color w:val="auto"/>
          <w:highlight w:val="none"/>
          <w:lang w:val="en-US" w:eastAsia="zh-CN"/>
        </w:rPr>
        <w:t>（2）</w:t>
      </w:r>
      <w:r>
        <w:rPr>
          <w:rFonts w:hint="eastAsia"/>
          <w:color w:val="auto"/>
          <w:highlight w:val="none"/>
        </w:rPr>
        <w:t>最后报价应由其法定代表人或授权代表签名或者加盖公章，最后报价即系供应商响应报价。</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b/>
          <w:bCs/>
          <w:color w:val="auto"/>
          <w:highlight w:val="none"/>
          <w:lang w:val="en-US" w:eastAsia="zh-CN"/>
        </w:rPr>
        <w:t>5.</w:t>
      </w:r>
      <w:r>
        <w:rPr>
          <w:rFonts w:hint="eastAsia" w:ascii="宋体" w:hAnsi="宋体" w:cs="Courier New"/>
          <w:b/>
          <w:color w:val="auto"/>
          <w:szCs w:val="21"/>
          <w:highlight w:val="none"/>
        </w:rPr>
        <w:t>在报价评审时，如发现下列情形之一的，响应文件将被视为无效：</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hAnsi="宋体"/>
          <w:bCs/>
          <w:color w:val="auto"/>
          <w:highlight w:val="none"/>
          <w:lang w:val="en-US" w:eastAsia="zh-CN"/>
        </w:rPr>
        <w:t>（1）</w:t>
      </w:r>
      <w:r>
        <w:rPr>
          <w:rFonts w:hint="eastAsia" w:ascii="宋体" w:hAnsi="宋体"/>
          <w:color w:val="auto"/>
          <w:szCs w:val="21"/>
          <w:highlight w:val="none"/>
        </w:rPr>
        <w:t>报价未采用人民币或者未按照</w:t>
      </w:r>
      <w:r>
        <w:rPr>
          <w:rFonts w:hint="eastAsia" w:ascii="宋体" w:hAnsi="宋体"/>
          <w:color w:val="auto"/>
          <w:szCs w:val="21"/>
          <w:highlight w:val="none"/>
          <w:lang w:eastAsia="zh-CN"/>
        </w:rPr>
        <w:t>磋商文件</w:t>
      </w:r>
      <w:r>
        <w:rPr>
          <w:rFonts w:hint="eastAsia" w:ascii="宋体" w:hAnsi="宋体"/>
          <w:color w:val="auto"/>
          <w:szCs w:val="21"/>
          <w:highlight w:val="none"/>
        </w:rPr>
        <w:t>标明的币种报价的；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hAnsi="宋体"/>
          <w:bCs/>
          <w:color w:val="auto"/>
          <w:highlight w:val="none"/>
          <w:lang w:val="en-US" w:eastAsia="zh-CN"/>
        </w:rPr>
        <w:t>（2）</w:t>
      </w:r>
      <w:r>
        <w:rPr>
          <w:rFonts w:hint="eastAsia" w:ascii="宋体" w:hAnsi="宋体"/>
          <w:color w:val="auto"/>
          <w:szCs w:val="21"/>
          <w:highlight w:val="none"/>
        </w:rPr>
        <w:t>报价明细表中货物品牌、规格、型号、服务事项未明确或与响应文件中相应内容不一致的；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hAnsi="宋体"/>
          <w:bCs/>
          <w:color w:val="auto"/>
          <w:highlight w:val="none"/>
          <w:lang w:val="en-US" w:eastAsia="zh-CN"/>
        </w:rPr>
        <w:t>（3）</w:t>
      </w:r>
      <w:r>
        <w:rPr>
          <w:rFonts w:hint="eastAsia" w:ascii="宋体" w:hAnsi="宋体"/>
          <w:color w:val="auto"/>
          <w:szCs w:val="21"/>
          <w:highlight w:val="none"/>
        </w:rPr>
        <w:t>报价具有选择性的；</w:t>
      </w:r>
    </w:p>
    <w:p>
      <w:pPr>
        <w:pageBreakBefore w:val="0"/>
        <w:kinsoku/>
        <w:wordWrap/>
        <w:overflowPunct/>
        <w:topLinePunct w:val="0"/>
        <w:autoSpaceDE/>
        <w:autoSpaceDN/>
        <w:bidi w:val="0"/>
        <w:snapToGrid w:val="0"/>
        <w:spacing w:line="400" w:lineRule="exact"/>
        <w:textAlignment w:val="auto"/>
        <w:rPr>
          <w:rFonts w:hint="eastAsia" w:ascii="宋体" w:hAnsi="宋体"/>
          <w:color w:val="auto"/>
          <w:szCs w:val="21"/>
          <w:highlight w:val="none"/>
        </w:rPr>
      </w:pPr>
      <w:r>
        <w:rPr>
          <w:rFonts w:hint="eastAsia" w:hAnsi="宋体"/>
          <w:bCs/>
          <w:color w:val="auto"/>
          <w:highlight w:val="none"/>
          <w:lang w:val="en-US" w:eastAsia="zh-CN"/>
        </w:rPr>
        <w:t>（4）</w:t>
      </w:r>
      <w:r>
        <w:rPr>
          <w:rFonts w:hint="eastAsia" w:ascii="宋体" w:hAnsi="宋体"/>
          <w:color w:val="auto"/>
          <w:szCs w:val="21"/>
          <w:highlight w:val="none"/>
        </w:rPr>
        <w:t>报价未按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或政府采购云平台规定的格式填写，或未在规定时间内提交最后报价的。</w:t>
      </w:r>
    </w:p>
    <w:p>
      <w:pPr>
        <w:pageBreakBefore w:val="0"/>
        <w:kinsoku/>
        <w:wordWrap/>
        <w:overflowPunct/>
        <w:topLinePunct w:val="0"/>
        <w:autoSpaceDE/>
        <w:autoSpaceDN/>
        <w:bidi w:val="0"/>
        <w:spacing w:line="400" w:lineRule="exact"/>
        <w:textAlignment w:val="auto"/>
        <w:rPr>
          <w:b/>
          <w:bCs/>
          <w:color w:val="auto"/>
          <w:highlight w:val="none"/>
        </w:rPr>
      </w:pPr>
      <w:r>
        <w:rPr>
          <w:rFonts w:hint="eastAsia"/>
          <w:b/>
          <w:bCs/>
          <w:color w:val="auto"/>
          <w:highlight w:val="none"/>
          <w:lang w:val="en-US" w:eastAsia="zh-CN"/>
        </w:rPr>
        <w:t>6.</w:t>
      </w:r>
      <w:r>
        <w:rPr>
          <w:rFonts w:hint="eastAsia"/>
          <w:b/>
          <w:bCs/>
          <w:color w:val="auto"/>
          <w:highlight w:val="none"/>
        </w:rPr>
        <w:t>澄清、说明或者更正的形式</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12" w:name="_Hlk92462362"/>
      <w:r>
        <w:rPr>
          <w:rFonts w:hint="eastAsia" w:hAnsi="宋体"/>
          <w:bCs/>
          <w:color w:val="auto"/>
          <w:highlight w:val="none"/>
        </w:rPr>
        <w:t>澄清、说明或者更正</w:t>
      </w:r>
      <w:bookmarkEnd w:id="112"/>
      <w:r>
        <w:rPr>
          <w:rFonts w:hint="eastAsia" w:hAnsi="宋体"/>
          <w:bCs/>
          <w:color w:val="auto"/>
          <w:highlight w:val="none"/>
        </w:rPr>
        <w:t>。供应商的澄清、说明或者更正不得超出响应文件的范围或者改变响应文件的实质性内容。</w:t>
      </w:r>
    </w:p>
    <w:p>
      <w:pPr>
        <w:pStyle w:val="11"/>
        <w:pageBreakBefore w:val="0"/>
        <w:kinsoku/>
        <w:wordWrap/>
        <w:overflowPunct/>
        <w:topLinePunct w:val="0"/>
        <w:autoSpaceDE/>
        <w:autoSpaceDN/>
        <w:bidi w:val="0"/>
        <w:spacing w:line="400" w:lineRule="exact"/>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pageBreakBefore w:val="0"/>
        <w:kinsoku/>
        <w:wordWrap/>
        <w:overflowPunct/>
        <w:topLinePunct w:val="0"/>
        <w:autoSpaceDE/>
        <w:autoSpaceDN/>
        <w:bidi w:val="0"/>
        <w:spacing w:line="400" w:lineRule="exact"/>
        <w:textAlignment w:val="auto"/>
        <w:rPr>
          <w:b/>
          <w:bCs/>
          <w:color w:val="auto"/>
          <w:highlight w:val="none"/>
        </w:rPr>
      </w:pPr>
      <w:r>
        <w:rPr>
          <w:rFonts w:hint="eastAsia"/>
          <w:b/>
          <w:bCs/>
          <w:color w:val="auto"/>
          <w:highlight w:val="none"/>
        </w:rPr>
        <w:t>（</w:t>
      </w:r>
      <w:r>
        <w:rPr>
          <w:rFonts w:hint="eastAsia"/>
          <w:b/>
          <w:bCs/>
          <w:color w:val="auto"/>
          <w:highlight w:val="none"/>
          <w:lang w:val="en-US" w:eastAsia="zh-CN"/>
        </w:rPr>
        <w:t>五</w:t>
      </w:r>
      <w:r>
        <w:rPr>
          <w:rFonts w:hint="eastAsia"/>
          <w:b/>
          <w:bCs/>
          <w:color w:val="auto"/>
          <w:highlight w:val="none"/>
        </w:rPr>
        <w:t>）综合评分</w:t>
      </w:r>
    </w:p>
    <w:p>
      <w:pPr>
        <w:pageBreakBefore w:val="0"/>
        <w:kinsoku/>
        <w:wordWrap/>
        <w:overflowPunct/>
        <w:topLinePunct w:val="0"/>
        <w:autoSpaceDE/>
        <w:autoSpaceDN/>
        <w:bidi w:val="0"/>
        <w:spacing w:line="400" w:lineRule="exact"/>
        <w:textAlignment w:val="auto"/>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pageBreakBefore w:val="0"/>
        <w:kinsoku/>
        <w:wordWrap/>
        <w:overflowPunct/>
        <w:topLinePunct w:val="0"/>
        <w:autoSpaceDE/>
        <w:autoSpaceDN/>
        <w:bidi w:val="0"/>
        <w:spacing w:line="400" w:lineRule="exact"/>
        <w:textAlignment w:val="auto"/>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w:t>
      </w:r>
      <w:r>
        <w:rPr>
          <w:rFonts w:hint="eastAsia" w:ascii="宋体" w:hAnsi="Courier New" w:cs="Courier New"/>
          <w:color w:val="auto"/>
          <w:szCs w:val="21"/>
          <w:highlight w:val="none"/>
          <w:lang w:val="en-US" w:eastAsia="zh-CN"/>
        </w:rPr>
        <w:t>评定标准及推荐原则</w:t>
      </w:r>
      <w:r>
        <w:rPr>
          <w:rFonts w:hint="eastAsia" w:ascii="宋体" w:hAnsi="Courier New" w:cs="Courier New"/>
          <w:color w:val="auto"/>
          <w:szCs w:val="21"/>
          <w:highlight w:val="none"/>
        </w:rPr>
        <w:t>》。</w:t>
      </w:r>
    </w:p>
    <w:p>
      <w:pPr>
        <w:pStyle w:val="11"/>
        <w:pageBreakBefore w:val="0"/>
        <w:kinsoku/>
        <w:wordWrap/>
        <w:overflowPunct/>
        <w:topLinePunct w:val="0"/>
        <w:autoSpaceDE/>
        <w:autoSpaceDN/>
        <w:bidi w:val="0"/>
        <w:spacing w:line="400" w:lineRule="exact"/>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六</w:t>
      </w:r>
      <w:r>
        <w:rPr>
          <w:rFonts w:hint="eastAsia" w:hAnsi="宋体"/>
          <w:b/>
          <w:color w:val="auto"/>
          <w:highlight w:val="none"/>
        </w:rPr>
        <w:t>）供应商有下列情形之一的，属于恶意串通：</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spacing w:val="-6"/>
          <w:sz w:val="21"/>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w:t>
      </w:r>
      <w:r>
        <w:rPr>
          <w:rFonts w:hint="eastAsia" w:hAnsi="宋体" w:cs="Times New Roman"/>
          <w:color w:val="auto"/>
          <w:spacing w:val="-6"/>
          <w:sz w:val="21"/>
          <w:highlight w:val="none"/>
        </w:rPr>
        <w:t>同一集团、协会、商会等组织成员的供应商按照该组织要求协同参加政府采购活动；</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11"/>
        <w:pageBreakBefore w:val="0"/>
        <w:kinsoku/>
        <w:wordWrap/>
        <w:overflowPunct/>
        <w:topLinePunct w:val="0"/>
        <w:autoSpaceDE/>
        <w:autoSpaceDN/>
        <w:bidi w:val="0"/>
        <w:spacing w:line="400" w:lineRule="exact"/>
        <w:textAlignment w:val="auto"/>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11"/>
        <w:pageBreakBefore w:val="0"/>
        <w:kinsoku/>
        <w:wordWrap/>
        <w:overflowPunct/>
        <w:topLinePunct w:val="0"/>
        <w:autoSpaceDE/>
        <w:autoSpaceDN/>
        <w:bidi w:val="0"/>
        <w:spacing w:line="400" w:lineRule="exact"/>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七</w:t>
      </w:r>
      <w:r>
        <w:rPr>
          <w:rFonts w:hint="eastAsia" w:hAnsi="宋体"/>
          <w:b/>
          <w:color w:val="auto"/>
          <w:highlight w:val="none"/>
        </w:rPr>
        <w:t>）评审报告</w:t>
      </w:r>
    </w:p>
    <w:p>
      <w:pPr>
        <w:pageBreakBefore w:val="0"/>
        <w:widowControl/>
        <w:tabs>
          <w:tab w:val="left" w:pos="540"/>
        </w:tabs>
        <w:kinsoku/>
        <w:wordWrap/>
        <w:overflowPunct/>
        <w:topLinePunct w:val="0"/>
        <w:autoSpaceDE/>
        <w:autoSpaceDN/>
        <w:bidi w:val="0"/>
        <w:spacing w:line="400" w:lineRule="exact"/>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1.磋商小</w:t>
      </w:r>
      <w:r>
        <w:rPr>
          <w:rFonts w:hint="eastAsia"/>
          <w:color w:val="auto"/>
          <w:szCs w:val="21"/>
          <w:highlight w:val="none"/>
        </w:rPr>
        <w:t>组应当根据评审记录和评审结果编写评审报告，主要内容包括：</w:t>
      </w:r>
    </w:p>
    <w:p>
      <w:pPr>
        <w:pageBreakBefore w:val="0"/>
        <w:widowControl/>
        <w:tabs>
          <w:tab w:val="left" w:pos="540"/>
        </w:tabs>
        <w:kinsoku/>
        <w:wordWrap/>
        <w:overflowPunct/>
        <w:topLinePunct w:val="0"/>
        <w:autoSpaceDE/>
        <w:autoSpaceDN/>
        <w:bidi w:val="0"/>
        <w:spacing w:line="400" w:lineRule="exact"/>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rPr>
        <w:t>邀请供应商参加采购活动的具体方式和相关情况；</w:t>
      </w:r>
    </w:p>
    <w:p>
      <w:pPr>
        <w:pageBreakBefore w:val="0"/>
        <w:widowControl/>
        <w:tabs>
          <w:tab w:val="left" w:pos="540"/>
        </w:tabs>
        <w:kinsoku/>
        <w:wordWrap/>
        <w:overflowPunct/>
        <w:topLinePunct w:val="0"/>
        <w:autoSpaceDE/>
        <w:autoSpaceDN/>
        <w:bidi w:val="0"/>
        <w:spacing w:line="400" w:lineRule="exact"/>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rPr>
        <w:t>响应文件开启日期和地点；</w:t>
      </w:r>
    </w:p>
    <w:p>
      <w:pPr>
        <w:pageBreakBefore w:val="0"/>
        <w:widowControl/>
        <w:tabs>
          <w:tab w:val="left" w:pos="540"/>
        </w:tabs>
        <w:kinsoku/>
        <w:wordWrap/>
        <w:overflowPunct/>
        <w:topLinePunct w:val="0"/>
        <w:autoSpaceDE/>
        <w:autoSpaceDN/>
        <w:bidi w:val="0"/>
        <w:spacing w:line="400" w:lineRule="exact"/>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rPr>
        <w:t>获取磋商文件的供应商名单和磋商小组成员名单；</w:t>
      </w:r>
    </w:p>
    <w:p>
      <w:pPr>
        <w:pageBreakBefore w:val="0"/>
        <w:widowControl/>
        <w:tabs>
          <w:tab w:val="left" w:pos="540"/>
        </w:tabs>
        <w:kinsoku/>
        <w:wordWrap/>
        <w:overflowPunct/>
        <w:topLinePunct w:val="0"/>
        <w:autoSpaceDE/>
        <w:autoSpaceDN/>
        <w:bidi w:val="0"/>
        <w:spacing w:line="400" w:lineRule="exact"/>
        <w:jc w:val="left"/>
        <w:textAlignment w:val="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评审情况记录和说明，包括对供应商的资格审查情况、供应商响应文件评审情况、磋商情况、报价情况等；</w:t>
      </w:r>
    </w:p>
    <w:p>
      <w:pPr>
        <w:pageBreakBefore w:val="0"/>
        <w:widowControl/>
        <w:tabs>
          <w:tab w:val="left" w:pos="540"/>
        </w:tabs>
        <w:kinsoku/>
        <w:wordWrap/>
        <w:overflowPunct/>
        <w:topLinePunct w:val="0"/>
        <w:autoSpaceDE/>
        <w:autoSpaceDN/>
        <w:bidi w:val="0"/>
        <w:spacing w:line="400" w:lineRule="exact"/>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提出的成交候选供应商的排序名单及理由。</w:t>
      </w:r>
    </w:p>
    <w:p>
      <w:pPr>
        <w:pageBreakBefore w:val="0"/>
        <w:widowControl/>
        <w:tabs>
          <w:tab w:val="left" w:pos="540"/>
        </w:tabs>
        <w:kinsoku/>
        <w:wordWrap/>
        <w:overflowPunct/>
        <w:topLinePunct w:val="0"/>
        <w:autoSpaceDE/>
        <w:autoSpaceDN/>
        <w:bidi w:val="0"/>
        <w:spacing w:line="400" w:lineRule="exact"/>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2.评审报</w:t>
      </w:r>
      <w:r>
        <w:rPr>
          <w:rFonts w:hint="eastAsia"/>
          <w:color w:val="auto"/>
          <w:szCs w:val="21"/>
          <w:highlight w:val="none"/>
        </w:rPr>
        <w:t>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b/>
          <w:bCs/>
          <w:color w:val="auto"/>
          <w:highlight w:val="none"/>
        </w:rPr>
        <w:t>（</w:t>
      </w:r>
      <w:r>
        <w:rPr>
          <w:rFonts w:hint="eastAsia" w:hAnsi="宋体"/>
          <w:b/>
          <w:bCs/>
          <w:color w:val="auto"/>
          <w:highlight w:val="none"/>
          <w:lang w:val="en-US" w:eastAsia="zh-CN"/>
        </w:rPr>
        <w:t>八</w:t>
      </w:r>
      <w:r>
        <w:rPr>
          <w:rFonts w:hint="eastAsia" w:hAnsi="宋体"/>
          <w:b/>
          <w:bCs/>
          <w:color w:val="auto"/>
          <w:highlight w:val="none"/>
        </w:rPr>
        <w:t>）</w:t>
      </w:r>
      <w:r>
        <w:rPr>
          <w:rFonts w:hint="eastAsia" w:hAnsi="宋体"/>
          <w:b/>
          <w:color w:val="auto"/>
          <w:highlight w:val="none"/>
        </w:rPr>
        <w:t>出现下列情形之一的，本中心将终止竞争性磋商采购活动：</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pageBreakBefore w:val="0"/>
        <w:kinsoku/>
        <w:wordWrap/>
        <w:overflowPunct/>
        <w:topLinePunct w:val="0"/>
        <w:autoSpaceDE/>
        <w:autoSpaceDN/>
        <w:bidi w:val="0"/>
        <w:spacing w:line="400" w:lineRule="exact"/>
        <w:textAlignment w:val="auto"/>
        <w:rPr>
          <w:rFonts w:hint="eastAsia"/>
          <w:b/>
          <w:bCs w:val="0"/>
          <w:color w:val="auto"/>
          <w:highlight w:val="none"/>
          <w:lang w:eastAsia="zh-CN"/>
        </w:rPr>
      </w:pPr>
    </w:p>
    <w:p>
      <w:pPr>
        <w:pStyle w:val="4"/>
        <w:pageBreakBefore w:val="0"/>
        <w:kinsoku/>
        <w:wordWrap/>
        <w:overflowPunct/>
        <w:topLinePunct w:val="0"/>
        <w:autoSpaceDE/>
        <w:autoSpaceDN/>
        <w:bidi w:val="0"/>
        <w:spacing w:line="400" w:lineRule="exact"/>
        <w:textAlignment w:val="auto"/>
        <w:rPr>
          <w:b/>
          <w:bCs w:val="0"/>
          <w:color w:val="auto"/>
          <w:highlight w:val="none"/>
        </w:rPr>
      </w:pPr>
      <w:r>
        <w:rPr>
          <w:rFonts w:hint="eastAsia"/>
          <w:b/>
          <w:bCs w:val="0"/>
          <w:color w:val="auto"/>
          <w:highlight w:val="none"/>
          <w:lang w:eastAsia="zh-CN"/>
        </w:rPr>
        <w:t>五</w:t>
      </w:r>
      <w:r>
        <w:rPr>
          <w:rFonts w:hint="eastAsia"/>
          <w:b/>
          <w:bCs w:val="0"/>
          <w:color w:val="auto"/>
          <w:highlight w:val="none"/>
        </w:rPr>
        <w:t>、确定成交供应商</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一）</w:t>
      </w:r>
      <w:r>
        <w:rPr>
          <w:rFonts w:hint="eastAsia" w:hAnsi="宋体"/>
          <w:color w:val="auto"/>
          <w:highlight w:val="none"/>
        </w:rPr>
        <w:t>本中心应当在评审结束后2个工作日内将评审报告送采购人确认。</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二）</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pageBreakBefore w:val="0"/>
        <w:kinsoku/>
        <w:wordWrap/>
        <w:overflowPunct/>
        <w:topLinePunct w:val="0"/>
        <w:autoSpaceDE/>
        <w:autoSpaceDN/>
        <w:bidi w:val="0"/>
        <w:spacing w:line="400" w:lineRule="exact"/>
        <w:textAlignment w:val="auto"/>
        <w:rPr>
          <w:rFonts w:hint="eastAsia"/>
          <w:b/>
          <w:bCs w:val="0"/>
          <w:color w:val="auto"/>
          <w:highlight w:val="none"/>
          <w:lang w:eastAsia="zh-CN"/>
        </w:rPr>
      </w:pPr>
    </w:p>
    <w:p>
      <w:pPr>
        <w:pStyle w:val="4"/>
        <w:pageBreakBefore w:val="0"/>
        <w:kinsoku/>
        <w:wordWrap/>
        <w:overflowPunct/>
        <w:topLinePunct w:val="0"/>
        <w:autoSpaceDE/>
        <w:autoSpaceDN/>
        <w:bidi w:val="0"/>
        <w:spacing w:line="400" w:lineRule="exact"/>
        <w:textAlignment w:val="auto"/>
        <w:rPr>
          <w:b/>
          <w:bCs w:val="0"/>
          <w:color w:val="auto"/>
          <w:highlight w:val="none"/>
        </w:rPr>
      </w:pPr>
      <w:r>
        <w:rPr>
          <w:rFonts w:hint="eastAsia"/>
          <w:b/>
          <w:bCs w:val="0"/>
          <w:color w:val="auto"/>
          <w:highlight w:val="none"/>
          <w:lang w:eastAsia="zh-CN"/>
        </w:rPr>
        <w:t>六</w:t>
      </w:r>
      <w:r>
        <w:rPr>
          <w:rFonts w:hint="eastAsia"/>
          <w:b/>
          <w:bCs w:val="0"/>
          <w:color w:val="auto"/>
          <w:highlight w:val="none"/>
        </w:rPr>
        <w:t>、结果公告</w:t>
      </w:r>
    </w:p>
    <w:p>
      <w:pPr>
        <w:pStyle w:val="11"/>
        <w:pageBreakBefore w:val="0"/>
        <w:kinsoku/>
        <w:wordWrap/>
        <w:overflowPunct/>
        <w:topLinePunct w:val="0"/>
        <w:autoSpaceDE/>
        <w:autoSpaceDN/>
        <w:bidi w:val="0"/>
        <w:spacing w:line="400" w:lineRule="exact"/>
        <w:textAlignment w:val="auto"/>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ageBreakBefore w:val="0"/>
        <w:numPr>
          <w:ilvl w:val="0"/>
          <w:numId w:val="0"/>
        </w:numPr>
        <w:kinsoku/>
        <w:wordWrap/>
        <w:overflowPunct/>
        <w:topLinePunct w:val="0"/>
        <w:autoSpaceDE/>
        <w:autoSpaceDN/>
        <w:bidi w:val="0"/>
        <w:spacing w:line="400" w:lineRule="exact"/>
        <w:textAlignment w:val="auto"/>
        <w:rPr>
          <w:rFonts w:hint="eastAsia" w:ascii="Arial" w:hAnsi="Arial" w:cs="Times New Roman"/>
          <w:b/>
          <w:bCs w:val="0"/>
          <w:color w:val="auto"/>
          <w:kern w:val="2"/>
          <w:sz w:val="28"/>
          <w:szCs w:val="32"/>
          <w:highlight w:val="none"/>
          <w:lang w:val="en-US" w:eastAsia="zh-CN" w:bidi="ar-SA"/>
        </w:rPr>
      </w:pPr>
    </w:p>
    <w:p>
      <w:pPr>
        <w:pageBreakBefore w:val="0"/>
        <w:numPr>
          <w:ilvl w:val="0"/>
          <w:numId w:val="0"/>
        </w:numPr>
        <w:kinsoku/>
        <w:wordWrap/>
        <w:overflowPunct/>
        <w:topLinePunct w:val="0"/>
        <w:autoSpaceDE/>
        <w:autoSpaceDN/>
        <w:bidi w:val="0"/>
        <w:spacing w:line="400" w:lineRule="exact"/>
        <w:textAlignment w:val="auto"/>
        <w:rPr>
          <w:rFonts w:hint="eastAsia" w:ascii="Arial" w:hAnsi="Arial" w:eastAsia="宋体" w:cs="Times New Roman"/>
          <w:b/>
          <w:bCs w:val="0"/>
          <w:color w:val="auto"/>
          <w:kern w:val="2"/>
          <w:sz w:val="28"/>
          <w:szCs w:val="32"/>
          <w:highlight w:val="none"/>
          <w:lang w:val="en-US" w:eastAsia="zh-CN" w:bidi="ar-SA"/>
        </w:rPr>
      </w:pPr>
      <w:r>
        <w:rPr>
          <w:rFonts w:hint="eastAsia" w:ascii="Arial" w:hAnsi="Arial" w:cs="Times New Roman"/>
          <w:b/>
          <w:bCs w:val="0"/>
          <w:color w:val="auto"/>
          <w:kern w:val="2"/>
          <w:sz w:val="28"/>
          <w:szCs w:val="32"/>
          <w:highlight w:val="none"/>
          <w:lang w:val="en-US" w:eastAsia="zh-CN" w:bidi="ar-SA"/>
        </w:rPr>
        <w:t>七、</w:t>
      </w:r>
      <w:r>
        <w:rPr>
          <w:rFonts w:hint="eastAsia" w:ascii="Arial" w:hAnsi="Arial" w:eastAsia="宋体" w:cs="Times New Roman"/>
          <w:b/>
          <w:bCs w:val="0"/>
          <w:color w:val="auto"/>
          <w:kern w:val="2"/>
          <w:sz w:val="28"/>
          <w:szCs w:val="32"/>
          <w:highlight w:val="none"/>
          <w:lang w:val="en-US" w:eastAsia="zh-CN" w:bidi="ar-SA"/>
        </w:rPr>
        <w:t>履约保证金</w:t>
      </w:r>
    </w:p>
    <w:p>
      <w:pPr>
        <w:pStyle w:val="2"/>
        <w:pageBreakBefore w:val="0"/>
        <w:numPr>
          <w:ilvl w:val="0"/>
          <w:numId w:val="0"/>
        </w:numPr>
        <w:kinsoku/>
        <w:wordWrap/>
        <w:overflowPunct/>
        <w:topLinePunct w:val="0"/>
        <w:autoSpaceDE/>
        <w:autoSpaceDN/>
        <w:bidi w:val="0"/>
        <w:spacing w:line="400" w:lineRule="exact"/>
        <w:textAlignment w:val="auto"/>
        <w:rPr>
          <w:rFonts w:hint="default" w:ascii="宋体" w:hAnsi="宋体" w:eastAsia="宋体" w:cs="Times New Roman"/>
          <w:b w:val="0"/>
          <w:color w:val="auto"/>
          <w:kern w:val="2"/>
          <w:sz w:val="21"/>
          <w:szCs w:val="20"/>
          <w:highlight w:val="none"/>
          <w:lang w:val="en-US" w:eastAsia="zh-CN" w:bidi="ar-SA"/>
        </w:rPr>
      </w:pPr>
      <w:r>
        <w:rPr>
          <w:rFonts w:hint="eastAsia" w:ascii="宋体" w:hAnsi="宋体" w:cs="Times New Roman"/>
          <w:b/>
          <w:bCs/>
          <w:color w:val="auto"/>
          <w:kern w:val="2"/>
          <w:sz w:val="21"/>
          <w:szCs w:val="20"/>
          <w:highlight w:val="none"/>
          <w:lang w:val="en-US" w:eastAsia="zh-CN" w:bidi="ar-SA"/>
        </w:rPr>
        <w:t>（一）</w:t>
      </w:r>
      <w:r>
        <w:rPr>
          <w:rFonts w:hint="eastAsia" w:ascii="宋体" w:hAnsi="宋体" w:eastAsia="宋体" w:cs="Times New Roman"/>
          <w:b w:val="0"/>
          <w:color w:val="auto"/>
          <w:kern w:val="2"/>
          <w:sz w:val="21"/>
          <w:szCs w:val="20"/>
          <w:highlight w:val="none"/>
          <w:lang w:val="en-US" w:eastAsia="zh-CN" w:bidi="ar-SA"/>
        </w:rPr>
        <w:t>履约保证金金额:</w:t>
      </w:r>
      <w:r>
        <w:rPr>
          <w:rFonts w:hint="eastAsia" w:ascii="宋体" w:hAnsi="宋体" w:cs="Times New Roman"/>
          <w:b w:val="0"/>
          <w:color w:val="000000" w:themeColor="text1"/>
          <w:kern w:val="2"/>
          <w:sz w:val="21"/>
          <w:szCs w:val="20"/>
          <w:highlight w:val="none"/>
          <w:lang w:val="en-US" w:eastAsia="zh-CN" w:bidi="ar-SA"/>
          <w14:textFill>
            <w14:solidFill>
              <w14:schemeClr w14:val="tx1"/>
            </w14:solidFill>
          </w14:textFill>
        </w:rPr>
        <w:t xml:space="preserve"> 免收。</w:t>
      </w:r>
    </w:p>
    <w:p>
      <w:pPr>
        <w:pStyle w:val="2"/>
        <w:pageBreakBefore w:val="0"/>
        <w:numPr>
          <w:ilvl w:val="0"/>
          <w:numId w:val="0"/>
        </w:numPr>
        <w:kinsoku/>
        <w:wordWrap/>
        <w:overflowPunct/>
        <w:topLinePunct w:val="0"/>
        <w:autoSpaceDE/>
        <w:autoSpaceDN/>
        <w:bidi w:val="0"/>
        <w:spacing w:line="400" w:lineRule="exact"/>
        <w:textAlignment w:val="auto"/>
        <w:rPr>
          <w:rFonts w:hint="eastAsia"/>
          <w:color w:val="auto"/>
          <w:highlight w:val="none"/>
        </w:rPr>
      </w:pPr>
      <w:r>
        <w:rPr>
          <w:rFonts w:hint="eastAsia" w:ascii="宋体" w:hAnsi="宋体" w:cs="Times New Roman"/>
          <w:b/>
          <w:bCs/>
          <w:color w:val="auto"/>
          <w:kern w:val="2"/>
          <w:sz w:val="21"/>
          <w:szCs w:val="20"/>
          <w:highlight w:val="none"/>
          <w:lang w:val="en-US" w:eastAsia="zh-CN" w:bidi="ar-SA"/>
        </w:rPr>
        <w:t>（二）</w:t>
      </w:r>
      <w:r>
        <w:rPr>
          <w:rFonts w:hint="eastAsia" w:ascii="宋体" w:hAnsi="宋体" w:eastAsia="宋体" w:cs="Times New Roman"/>
          <w:b w:val="0"/>
          <w:color w:val="auto"/>
          <w:kern w:val="2"/>
          <w:sz w:val="21"/>
          <w:szCs w:val="20"/>
          <w:highlight w:val="none"/>
          <w:lang w:val="en-US" w:eastAsia="zh-CN" w:bidi="ar-SA"/>
        </w:rPr>
        <w:t>履约保证金的退还时间及条件:项目按照合同约定时间完成后，双方对项目进行验收，并填写《广西壮族自治区政府采购项目合同验收书》(格式见第六章)，验收通过后，成交供应商填写《政府采购项目履约保证金退付意见书》(格式见第六章)，并附上成交通知书及银行转账回执单，交至采购</w:t>
      </w:r>
      <w:r>
        <w:rPr>
          <w:rFonts w:hint="eastAsia" w:ascii="宋体" w:hAnsi="宋体" w:cs="Times New Roman"/>
          <w:b w:val="0"/>
          <w:color w:val="auto"/>
          <w:kern w:val="2"/>
          <w:sz w:val="21"/>
          <w:szCs w:val="20"/>
          <w:highlight w:val="none"/>
          <w:lang w:val="en-US" w:eastAsia="zh-CN" w:bidi="ar-SA"/>
        </w:rPr>
        <w:t>人</w:t>
      </w:r>
      <w:r>
        <w:rPr>
          <w:rFonts w:hint="eastAsia" w:ascii="宋体" w:hAnsi="宋体" w:eastAsia="宋体" w:cs="Times New Roman"/>
          <w:b w:val="0"/>
          <w:color w:val="auto"/>
          <w:kern w:val="2"/>
          <w:sz w:val="21"/>
          <w:szCs w:val="20"/>
          <w:highlight w:val="none"/>
          <w:lang w:val="en-US" w:eastAsia="zh-CN" w:bidi="ar-SA"/>
        </w:rPr>
        <w:t>。采购</w:t>
      </w:r>
      <w:r>
        <w:rPr>
          <w:rFonts w:hint="eastAsia" w:ascii="宋体" w:hAnsi="宋体" w:cs="Times New Roman"/>
          <w:b w:val="0"/>
          <w:color w:val="auto"/>
          <w:kern w:val="2"/>
          <w:sz w:val="21"/>
          <w:szCs w:val="20"/>
          <w:highlight w:val="none"/>
          <w:lang w:val="en-US" w:eastAsia="zh-CN" w:bidi="ar-SA"/>
        </w:rPr>
        <w:t>人</w:t>
      </w:r>
      <w:r>
        <w:rPr>
          <w:rFonts w:hint="eastAsia" w:ascii="宋体" w:hAnsi="宋体" w:eastAsia="宋体" w:cs="Times New Roman"/>
          <w:b w:val="0"/>
          <w:color w:val="auto"/>
          <w:kern w:val="2"/>
          <w:sz w:val="21"/>
          <w:szCs w:val="20"/>
          <w:highlight w:val="none"/>
          <w:lang w:val="en-US" w:eastAsia="zh-CN" w:bidi="ar-SA"/>
        </w:rPr>
        <w:t>审核通过后十五个工作日内退还履约保证金。</w:t>
      </w:r>
    </w:p>
    <w:p>
      <w:pPr>
        <w:pStyle w:val="4"/>
        <w:pageBreakBefore w:val="0"/>
        <w:kinsoku/>
        <w:wordWrap/>
        <w:overflowPunct/>
        <w:topLinePunct w:val="0"/>
        <w:autoSpaceDE/>
        <w:autoSpaceDN/>
        <w:bidi w:val="0"/>
        <w:spacing w:line="400" w:lineRule="exact"/>
        <w:ind w:left="613" w:leftChars="198" w:hanging="197" w:hangingChars="70"/>
        <w:textAlignment w:val="auto"/>
        <w:rPr>
          <w:rFonts w:hint="eastAsia"/>
          <w:b/>
          <w:bCs w:val="0"/>
          <w:color w:val="auto"/>
          <w:highlight w:val="none"/>
          <w:lang w:eastAsia="zh-CN"/>
        </w:rPr>
      </w:pPr>
    </w:p>
    <w:p>
      <w:pPr>
        <w:pStyle w:val="4"/>
        <w:pageBreakBefore w:val="0"/>
        <w:kinsoku/>
        <w:wordWrap/>
        <w:overflowPunct/>
        <w:topLinePunct w:val="0"/>
        <w:autoSpaceDE/>
        <w:autoSpaceDN/>
        <w:bidi w:val="0"/>
        <w:spacing w:line="400" w:lineRule="exact"/>
        <w:textAlignment w:val="auto"/>
        <w:rPr>
          <w:b/>
          <w:bCs w:val="0"/>
          <w:color w:val="auto"/>
          <w:highlight w:val="none"/>
        </w:rPr>
      </w:pPr>
      <w:r>
        <w:rPr>
          <w:rFonts w:hint="eastAsia"/>
          <w:b/>
          <w:bCs w:val="0"/>
          <w:color w:val="auto"/>
          <w:highlight w:val="none"/>
          <w:lang w:eastAsia="zh-CN"/>
        </w:rPr>
        <w:t>八</w:t>
      </w:r>
      <w:r>
        <w:rPr>
          <w:rFonts w:hint="eastAsia"/>
          <w:b/>
          <w:bCs w:val="0"/>
          <w:color w:val="auto"/>
          <w:highlight w:val="none"/>
        </w:rPr>
        <w:t>、签订合同</w:t>
      </w:r>
    </w:p>
    <w:p>
      <w:pPr>
        <w:pageBreakBefore w:val="0"/>
        <w:kinsoku/>
        <w:wordWrap/>
        <w:overflowPunct/>
        <w:topLinePunct w:val="0"/>
        <w:autoSpaceDE/>
        <w:autoSpaceDN/>
        <w:bidi w:val="0"/>
        <w:spacing w:line="400" w:lineRule="exact"/>
        <w:textAlignment w:val="auto"/>
        <w:rPr>
          <w:rFonts w:hint="eastAsia" w:ascii="宋体" w:hAnsi="宋体" w:cs="Courier New"/>
          <w:color w:val="auto"/>
          <w:szCs w:val="21"/>
          <w:highlight w:val="none"/>
        </w:rPr>
      </w:pPr>
      <w:r>
        <w:rPr>
          <w:rFonts w:hint="eastAsia" w:ascii="宋体" w:hAnsi="宋体"/>
          <w:b/>
          <w:bCs/>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pageBreakBefore w:val="0"/>
        <w:widowControl/>
        <w:kinsoku/>
        <w:wordWrap/>
        <w:overflowPunct/>
        <w:topLinePunct w:val="0"/>
        <w:autoSpaceDE/>
        <w:autoSpaceDN/>
        <w:bidi w:val="0"/>
        <w:spacing w:line="400" w:lineRule="exact"/>
        <w:jc w:val="left"/>
        <w:textAlignment w:val="auto"/>
        <w:rPr>
          <w:rFonts w:hint="eastAsia" w:ascii="宋体" w:hAnsi="宋体" w:cs="宋体"/>
          <w:color w:val="auto"/>
          <w:kern w:val="0"/>
          <w:szCs w:val="21"/>
          <w:highlight w:val="none"/>
        </w:rPr>
      </w:pPr>
      <w:r>
        <w:rPr>
          <w:rFonts w:hint="eastAsia" w:ascii="宋体" w:hAnsi="宋体" w:cs="Courier New"/>
          <w:b/>
          <w:bCs/>
          <w:color w:val="auto"/>
          <w:szCs w:val="21"/>
          <w:highlight w:val="none"/>
        </w:rPr>
        <w:t>（二）</w:t>
      </w:r>
      <w:r>
        <w:rPr>
          <w:rFonts w:hint="eastAsia" w:ascii="宋体" w:hAnsi="宋体" w:cs="宋体"/>
          <w:color w:val="auto"/>
          <w:kern w:val="0"/>
          <w:szCs w:val="21"/>
          <w:highlight w:val="none"/>
        </w:rPr>
        <w:t>采购人不得向成交供应商提出超出</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以外的任何要求作为签订合同的条件，不得与成交供应商订立背离</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确定的合同文本以及采购标的、规格型号、采购金额、采购数量、技术和服务要求等实质性内容的协议。</w:t>
      </w:r>
    </w:p>
    <w:p>
      <w:pPr>
        <w:pageBreakBefore w:val="0"/>
        <w:widowControl/>
        <w:kinsoku/>
        <w:wordWrap/>
        <w:overflowPunct/>
        <w:topLinePunct w:val="0"/>
        <w:autoSpaceDE/>
        <w:autoSpaceDN/>
        <w:bidi w:val="0"/>
        <w:spacing w:line="400" w:lineRule="exact"/>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color w:val="auto"/>
          <w:kern w:val="0"/>
          <w:szCs w:val="21"/>
          <w:highlight w:val="none"/>
        </w:rPr>
        <w:t>供应商可凭成交通知书或政府采购合同等在内的相关材料、信息，通过中征应收账款融资服务平台向银行业金融机构在线申请“政采贷”融资。</w:t>
      </w:r>
    </w:p>
    <w:p>
      <w:pPr>
        <w:pageBreakBefore w:val="0"/>
        <w:widowControl/>
        <w:kinsoku/>
        <w:wordWrap/>
        <w:overflowPunct/>
        <w:topLinePunct w:val="0"/>
        <w:autoSpaceDE/>
        <w:autoSpaceDN/>
        <w:bidi w:val="0"/>
        <w:spacing w:line="400" w:lineRule="exact"/>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color w:val="auto"/>
          <w:kern w:val="0"/>
          <w:szCs w:val="21"/>
          <w:highlight w:val="none"/>
        </w:rPr>
        <w:t>除不可抗力等因素外，成交后无正当理由拒不与采购人签订政府采购合同的，应当承担相应的法律责任。</w:t>
      </w:r>
    </w:p>
    <w:p>
      <w:pPr>
        <w:pageBreakBefore w:val="0"/>
        <w:widowControl/>
        <w:kinsoku/>
        <w:wordWrap/>
        <w:overflowPunct/>
        <w:topLinePunct w:val="0"/>
        <w:autoSpaceDE/>
        <w:autoSpaceDN/>
        <w:bidi w:val="0"/>
        <w:spacing w:line="400" w:lineRule="exact"/>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pageBreakBefore w:val="0"/>
        <w:widowControl/>
        <w:kinsoku/>
        <w:wordWrap/>
        <w:overflowPunct/>
        <w:topLinePunct w:val="0"/>
        <w:autoSpaceDE/>
        <w:autoSpaceDN/>
        <w:bidi w:val="0"/>
        <w:spacing w:line="400" w:lineRule="exact"/>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w:t>
      </w:r>
      <w:r>
        <w:rPr>
          <w:rFonts w:hint="eastAsia" w:ascii="宋体" w:hAnsi="宋体" w:cs="宋体"/>
          <w:color w:val="auto"/>
          <w:kern w:val="0"/>
          <w:szCs w:val="21"/>
          <w:highlight w:val="none"/>
        </w:rPr>
        <w:t>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pageBreakBefore w:val="0"/>
        <w:kinsoku/>
        <w:wordWrap/>
        <w:overflowPunct/>
        <w:topLinePunct w:val="0"/>
        <w:autoSpaceDE/>
        <w:autoSpaceDN/>
        <w:bidi w:val="0"/>
        <w:spacing w:line="400" w:lineRule="exact"/>
        <w:ind w:left="613" w:leftChars="198" w:hanging="197" w:hangingChars="70"/>
        <w:textAlignment w:val="auto"/>
        <w:rPr>
          <w:rFonts w:hint="eastAsia"/>
          <w:b/>
          <w:bCs w:val="0"/>
          <w:color w:val="auto"/>
          <w:highlight w:val="none"/>
          <w:lang w:eastAsia="zh-CN"/>
        </w:rPr>
      </w:pPr>
    </w:p>
    <w:p>
      <w:pPr>
        <w:pStyle w:val="4"/>
        <w:pageBreakBefore w:val="0"/>
        <w:kinsoku/>
        <w:wordWrap/>
        <w:overflowPunct/>
        <w:topLinePunct w:val="0"/>
        <w:autoSpaceDE/>
        <w:autoSpaceDN/>
        <w:bidi w:val="0"/>
        <w:spacing w:line="400" w:lineRule="exact"/>
        <w:textAlignment w:val="auto"/>
        <w:rPr>
          <w:b/>
          <w:bCs w:val="0"/>
          <w:color w:val="auto"/>
          <w:highlight w:val="none"/>
        </w:rPr>
      </w:pPr>
      <w:r>
        <w:rPr>
          <w:rFonts w:hint="eastAsia"/>
          <w:b/>
          <w:bCs w:val="0"/>
          <w:color w:val="auto"/>
          <w:highlight w:val="none"/>
          <w:lang w:eastAsia="zh-CN"/>
        </w:rPr>
        <w:t>九</w:t>
      </w:r>
      <w:r>
        <w:rPr>
          <w:rFonts w:hint="eastAsia"/>
          <w:b/>
          <w:bCs w:val="0"/>
          <w:color w:val="auto"/>
          <w:highlight w:val="none"/>
        </w:rPr>
        <w:t>、适用法律</w:t>
      </w:r>
    </w:p>
    <w:p>
      <w:pPr>
        <w:pageBreakBefore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本项目采购活动适用于《中华人民共和国政府采购法》及其实施条例、《政府采购竞争性磋商采购方式管理暂行办法》等规定。</w:t>
      </w:r>
    </w:p>
    <w:p>
      <w:pPr>
        <w:pageBreakBefore w:val="0"/>
        <w:kinsoku/>
        <w:wordWrap/>
        <w:overflowPunct/>
        <w:topLinePunct w:val="0"/>
        <w:autoSpaceDE/>
        <w:autoSpaceDN/>
        <w:bidi w:val="0"/>
        <w:spacing w:line="400" w:lineRule="exact"/>
        <w:textAlignment w:val="auto"/>
      </w:pPr>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
      <w:pPr>
        <w:pStyle w:val="12"/>
      </w:pPr>
    </w:p>
    <w:p/>
    <w:p>
      <w:pPr>
        <w:pStyle w:val="12"/>
      </w:pPr>
    </w:p>
    <w:p/>
    <w:p>
      <w:pPr>
        <w:pStyle w:val="3"/>
        <w:tabs>
          <w:tab w:val="left" w:pos="0"/>
        </w:tabs>
        <w:autoSpaceDE w:val="0"/>
        <w:autoSpaceDN w:val="0"/>
        <w:adjustRightInd w:val="0"/>
        <w:spacing w:before="0" w:after="0" w:line="360" w:lineRule="auto"/>
        <w:jc w:val="center"/>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 xml:space="preserve">第三章 </w:t>
      </w:r>
      <w:bookmarkStart w:id="113" w:name="_Toc24601"/>
      <w:bookmarkStart w:id="114" w:name="_Toc22353"/>
      <w:r>
        <w:rPr>
          <w:rFonts w:hint="eastAsia" w:ascii="宋体" w:hAnsi="宋体" w:eastAsia="宋体" w:cs="宋体"/>
          <w:b/>
          <w:bCs w:val="0"/>
          <w:kern w:val="2"/>
          <w:sz w:val="44"/>
          <w:szCs w:val="44"/>
          <w:lang w:val="en-US" w:eastAsia="zh-CN" w:bidi="ar-SA"/>
        </w:rPr>
        <w:t>采购需求</w:t>
      </w:r>
      <w:bookmarkEnd w:id="113"/>
      <w:bookmarkEnd w:id="114"/>
    </w:p>
    <w:p>
      <w:pPr>
        <w:keepNext w:val="0"/>
        <w:keepLines w:val="0"/>
        <w:pageBreakBefore w:val="0"/>
        <w:widowControl w:val="0"/>
        <w:kinsoku/>
        <w:wordWrap/>
        <w:overflowPunct/>
        <w:topLinePunct w:val="0"/>
        <w:autoSpaceDE/>
        <w:autoSpaceDN/>
        <w:bidi w:val="0"/>
        <w:snapToGrid/>
        <w:spacing w:line="400" w:lineRule="exact"/>
        <w:jc w:val="left"/>
        <w:rPr>
          <w:rFonts w:ascii="宋体" w:hAnsi="宋体" w:cs="宋体"/>
          <w:szCs w:val="21"/>
        </w:rPr>
      </w:pPr>
      <w:r>
        <w:rPr>
          <w:rFonts w:hint="eastAsia" w:ascii="宋体" w:hAnsi="宋体" w:cs="宋体"/>
          <w:szCs w:val="21"/>
        </w:rPr>
        <w:t>说明：</w:t>
      </w:r>
    </w:p>
    <w:p>
      <w:pPr>
        <w:keepNext w:val="0"/>
        <w:keepLines w:val="0"/>
        <w:pageBreakBefore w:val="0"/>
        <w:widowControl w:val="0"/>
        <w:kinsoku/>
        <w:wordWrap/>
        <w:overflowPunct/>
        <w:topLinePunct w:val="0"/>
        <w:autoSpaceDE/>
        <w:autoSpaceDN/>
        <w:bidi w:val="0"/>
        <w:snapToGrid/>
        <w:spacing w:line="400" w:lineRule="exact"/>
        <w:jc w:val="left"/>
      </w:pPr>
      <w:r>
        <w:rPr>
          <w:rFonts w:hint="eastAsia" w:ascii="宋体" w:hAnsi="宋体" w:cs="宋体"/>
          <w:szCs w:val="21"/>
          <w:lang w:val="en-US" w:eastAsia="zh-CN"/>
        </w:rPr>
        <w:t>1</w:t>
      </w:r>
      <w:r>
        <w:rPr>
          <w:rFonts w:hint="eastAsia" w:ascii="宋体" w:hAnsi="宋体" w:cs="宋体"/>
          <w:szCs w:val="21"/>
        </w:rPr>
        <w:t>.</w:t>
      </w:r>
      <w:r>
        <w:rPr>
          <w:rFonts w:hint="eastAsia"/>
        </w:rPr>
        <w:t>为落实政府采购政策需满足的要求</w:t>
      </w:r>
    </w:p>
    <w:p>
      <w:pPr>
        <w:keepNext w:val="0"/>
        <w:keepLines w:val="0"/>
        <w:pageBreakBefore w:val="0"/>
        <w:widowControl w:val="0"/>
        <w:kinsoku/>
        <w:wordWrap/>
        <w:overflowPunct/>
        <w:topLinePunct w:val="0"/>
        <w:autoSpaceDE/>
        <w:autoSpaceDN/>
        <w:bidi w:val="0"/>
        <w:snapToGrid/>
        <w:spacing w:line="400" w:lineRule="exact"/>
        <w:jc w:val="left"/>
        <w:rPr>
          <w:rFonts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snapToGrid/>
        <w:spacing w:line="400" w:lineRule="exact"/>
        <w:jc w:val="left"/>
        <w:rPr>
          <w:rFonts w:ascii="宋体" w:hAnsi="宋体" w:cs="宋体"/>
          <w:szCs w:val="21"/>
        </w:rPr>
      </w:pPr>
      <w:r>
        <w:rPr>
          <w:rFonts w:hint="eastAsia" w:ascii="宋体" w:hAnsi="宋体" w:cs="宋体"/>
          <w:szCs w:val="21"/>
        </w:rPr>
        <w:t>2.“实质性要求”是指采购需求中带“</w:t>
      </w:r>
      <w:r>
        <w:rPr>
          <w:rFonts w:hint="eastAsia" w:ascii="宋体" w:hAnsi="宋体" w:cs="宋体"/>
          <w:color w:val="auto"/>
          <w:szCs w:val="21"/>
        </w:rPr>
        <w:t>▲</w:t>
      </w:r>
      <w:r>
        <w:rPr>
          <w:rFonts w:hint="eastAsia" w:ascii="宋体" w:hAnsi="宋体" w:cs="宋体"/>
          <w:szCs w:val="21"/>
        </w:rPr>
        <w:t>”的条款或者不能负偏离的条款或者已经指明不满足按响应文件按无效处理的条款。</w:t>
      </w:r>
    </w:p>
    <w:p>
      <w:pPr>
        <w:keepNext w:val="0"/>
        <w:keepLines w:val="0"/>
        <w:pageBreakBefore w:val="0"/>
        <w:widowControl w:val="0"/>
        <w:kinsoku/>
        <w:wordWrap/>
        <w:overflowPunct/>
        <w:topLinePunct w:val="0"/>
        <w:autoSpaceDE/>
        <w:autoSpaceDN/>
        <w:bidi w:val="0"/>
        <w:snapToGrid/>
        <w:spacing w:line="400" w:lineRule="exact"/>
        <w:jc w:val="left"/>
      </w:pPr>
      <w:r>
        <w:rPr>
          <w:rFonts w:hint="eastAsia" w:ascii="宋体" w:hAnsi="宋体" w:cs="宋体"/>
          <w:szCs w:val="21"/>
        </w:rPr>
        <w:t>3.供应商应根据自身实际情况如实响应磋商文件</w:t>
      </w:r>
      <w:r>
        <w:rPr>
          <w:rFonts w:hint="eastAsia" w:ascii="宋体" w:hAnsi="宋体"/>
          <w:szCs w:val="21"/>
        </w:rPr>
        <w:t>，</w:t>
      </w:r>
      <w:r>
        <w:rPr>
          <w:rFonts w:hint="eastAsia"/>
        </w:rPr>
        <w:t>对于重要技术条款或技术参数应当在响应文件中提供技术支持资料，技术支持资料以磋商文件中规定的形式为准，否则将视为无效技术支持资料。</w:t>
      </w:r>
    </w:p>
    <w:p>
      <w:pPr>
        <w:keepNext w:val="0"/>
        <w:keepLines w:val="0"/>
        <w:pageBreakBefore w:val="0"/>
        <w:widowControl w:val="0"/>
        <w:kinsoku/>
        <w:wordWrap/>
        <w:overflowPunct/>
        <w:topLinePunct w:val="0"/>
        <w:autoSpaceDE/>
        <w:autoSpaceDN/>
        <w:bidi w:val="0"/>
        <w:snapToGrid/>
        <w:spacing w:line="400" w:lineRule="exact"/>
        <w:jc w:val="left"/>
        <w:rPr>
          <w:rFonts w:ascii="宋体" w:hAnsi="宋体"/>
          <w:szCs w:val="21"/>
        </w:rPr>
      </w:pPr>
      <w:r>
        <w:rPr>
          <w:rFonts w:hint="eastAsia" w:ascii="宋体" w:hAnsi="宋体" w:cs="宋体"/>
          <w:szCs w:val="21"/>
        </w:rPr>
        <w:t>4.</w:t>
      </w:r>
      <w:r>
        <w:rPr>
          <w:rFonts w:hint="eastAsia"/>
        </w:rPr>
        <w:t>供应商必须自行为其竞标产品侵犯他人的知识产权或者专利成果的行为承担相应法律责任。</w:t>
      </w:r>
    </w:p>
    <w:p>
      <w:pPr>
        <w:keepNext w:val="0"/>
        <w:keepLines w:val="0"/>
        <w:pageBreakBefore w:val="0"/>
        <w:widowControl w:val="0"/>
        <w:kinsoku/>
        <w:wordWrap/>
        <w:overflowPunct/>
        <w:topLinePunct w:val="0"/>
        <w:autoSpaceDE/>
        <w:autoSpaceDN/>
        <w:bidi w:val="0"/>
        <w:snapToGrid/>
        <w:spacing w:line="400" w:lineRule="exact"/>
        <w:rPr>
          <w:rFonts w:hint="eastAsia" w:ascii="宋体" w:hAnsi="宋体"/>
          <w:b/>
          <w:szCs w:val="21"/>
        </w:rPr>
      </w:pPr>
      <w:r>
        <w:rPr>
          <w:rFonts w:hint="eastAsia" w:ascii="宋体" w:hAnsi="宋体" w:cs="Arial"/>
          <w:bCs/>
          <w:iCs/>
          <w:szCs w:val="21"/>
        </w:rPr>
        <w:t>5.</w:t>
      </w:r>
      <w:r>
        <w:rPr>
          <w:rFonts w:hint="eastAsia" w:ascii="宋体" w:hAnsi="宋体"/>
          <w:b/>
          <w:szCs w:val="21"/>
        </w:rPr>
        <w:t>采购预算：人民币伍</w:t>
      </w:r>
      <w:r>
        <w:rPr>
          <w:rFonts w:ascii="宋体" w:hAnsi="宋体"/>
          <w:b/>
          <w:szCs w:val="21"/>
        </w:rPr>
        <w:t>拾陆</w:t>
      </w:r>
      <w:r>
        <w:rPr>
          <w:rFonts w:hint="eastAsia" w:ascii="宋体" w:hAnsi="宋体"/>
          <w:b/>
          <w:szCs w:val="21"/>
        </w:rPr>
        <w:t>万元整（¥</w:t>
      </w:r>
      <w:r>
        <w:rPr>
          <w:rFonts w:ascii="宋体" w:hAnsi="宋体"/>
          <w:b/>
          <w:szCs w:val="21"/>
        </w:rPr>
        <w:t>560000</w:t>
      </w:r>
      <w:r>
        <w:rPr>
          <w:rFonts w:hint="eastAsia" w:ascii="宋体" w:hAnsi="宋体"/>
          <w:b/>
          <w:szCs w:val="21"/>
        </w:rPr>
        <w:t>.00）/</w:t>
      </w:r>
      <w:r>
        <w:rPr>
          <w:rFonts w:ascii="宋体" w:hAnsi="宋体"/>
          <w:b/>
          <w:szCs w:val="21"/>
        </w:rPr>
        <w:t>2</w:t>
      </w:r>
      <w:r>
        <w:rPr>
          <w:rFonts w:hint="eastAsia" w:ascii="宋体" w:hAnsi="宋体"/>
          <w:b/>
          <w:szCs w:val="21"/>
        </w:rPr>
        <w:t>年，每年</w:t>
      </w:r>
      <w:r>
        <w:rPr>
          <w:rFonts w:ascii="宋体" w:hAnsi="宋体"/>
          <w:b/>
          <w:szCs w:val="21"/>
        </w:rPr>
        <w:t>28</w:t>
      </w:r>
      <w:r>
        <w:rPr>
          <w:rFonts w:hint="eastAsia" w:ascii="宋体" w:hAnsi="宋体"/>
          <w:b/>
          <w:szCs w:val="21"/>
        </w:rPr>
        <w:t>万元整。</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项目概况</w:t>
      </w:r>
    </w:p>
    <w:p>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项目基本情况</w:t>
      </w:r>
    </w:p>
    <w:p>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宋体"/>
          <w:szCs w:val="21"/>
        </w:rPr>
      </w:pPr>
      <w:r>
        <w:rPr>
          <w:rFonts w:hint="eastAsia" w:ascii="宋体" w:hAnsi="宋体" w:cs="宋体"/>
          <w:szCs w:val="21"/>
        </w:rPr>
        <w:t>防城港口岸联检附楼位于港务局东大门旁，建筑面积6339.66平方米，地上3层、地下1层。与防城港口岸联检大楼主楼共同构成北部湾航运服务中心。附楼与主楼相依而建，其中外广场、一楼大堂、消防安全通道互联互通，主出入口、地下停车场共用一个出入口；海关、边检、海事、港口管理局、码头公司等口岸相关部门分别设立于主、附楼，业务功能分布相互交集，相互串联。</w:t>
      </w:r>
    </w:p>
    <w:p>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宋体"/>
          <w:b/>
          <w:bCs/>
          <w:szCs w:val="21"/>
          <w:lang w:val="en-US" w:eastAsia="zh-CN"/>
        </w:rPr>
      </w:pPr>
      <w:r>
        <w:rPr>
          <w:rFonts w:hint="eastAsia" w:ascii="宋体" w:hAnsi="宋体" w:cs="宋体"/>
          <w:b/>
          <w:bCs/>
          <w:szCs w:val="21"/>
          <w:lang w:val="en-US" w:eastAsia="zh-CN"/>
        </w:rPr>
        <w:t>（二）</w:t>
      </w:r>
      <w:r>
        <w:rPr>
          <w:rFonts w:hint="eastAsia" w:ascii="宋体" w:hAnsi="宋体" w:cs="宋体"/>
          <w:szCs w:val="21"/>
          <w:lang w:val="en-US" w:eastAsia="zh-CN"/>
        </w:rPr>
        <w:t>项目实施地点：防城港口岸联检附楼，</w:t>
      </w:r>
      <w:r>
        <w:rPr>
          <w:rFonts w:hint="eastAsia" w:ascii="宋体" w:hAnsi="宋体" w:cs="宋体"/>
          <w:b/>
          <w:bCs/>
          <w:szCs w:val="21"/>
          <w:lang w:val="en-US" w:eastAsia="zh-CN"/>
        </w:rPr>
        <w:t>具体位置详见采购需求附件1平面图。</w:t>
      </w: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jc w:val="both"/>
        <w:textAlignment w:val="baseline"/>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w:t>
      </w:r>
      <w:r>
        <w:rPr>
          <w:rFonts w:hint="eastAsia" w:ascii="宋体" w:hAnsi="宋体" w:eastAsia="宋体" w:cs="宋体"/>
          <w:kern w:val="2"/>
          <w:sz w:val="21"/>
          <w:szCs w:val="21"/>
          <w:lang w:val="en-US" w:eastAsia="zh-CN" w:bidi="ar-SA"/>
        </w:rPr>
        <w:t>服务范围：防城港口岸联检大楼附楼建筑公共部分的管理和日常小型维修、养护。即：屋顶、内外墙面、承重结构、楼梯间、走廊、通道、门厅、玻璃幕墙、厕所、台阶、坡道、地上（下）停车场、服务区域内的附属建筑物。 公共设施、设备的日常小型维修、养护、运行和管理。即：公用的上下水道、园林绿化、垃圾收集、清运、消杀工作、落水管、供配电系统、供水系统、风机及管网系统、消防设施设备、空调系统、电梯、大厅感应门、照明系统、消防监控、安保监控、一卡通监控、楼宇自控、系统切换及控制中心设备机房的运行、维修和使用管理。安全管理。即：公共区域的24小时安全和消防监控、门岗、巡视、进出入车辆、来访人员登记等管理。</w:t>
      </w: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jc w:val="both"/>
        <w:textAlignment w:val="baseline"/>
        <w:rPr>
          <w:rFonts w:hint="default" w:ascii="宋体" w:hAnsi="宋体" w:eastAsia="宋体" w:cs="宋体"/>
          <w:b w:val="0"/>
          <w:kern w:val="2"/>
          <w:sz w:val="21"/>
          <w:szCs w:val="21"/>
          <w:lang w:val="en-US" w:eastAsia="zh-CN" w:bidi="ar-SA"/>
        </w:rPr>
      </w:pPr>
      <w:r>
        <w:rPr>
          <w:rFonts w:hint="eastAsia" w:ascii="宋体" w:hAnsi="宋体" w:eastAsia="宋体" w:cs="宋体"/>
          <w:b/>
          <w:bCs/>
          <w:kern w:val="2"/>
          <w:sz w:val="21"/>
          <w:szCs w:val="21"/>
          <w:lang w:val="en-US" w:eastAsia="zh-CN" w:bidi="ar-SA"/>
        </w:rPr>
        <w:t>（四）</w:t>
      </w:r>
      <w:r>
        <w:rPr>
          <w:rFonts w:hint="default" w:ascii="宋体" w:hAnsi="宋体" w:eastAsia="宋体" w:cs="宋体"/>
          <w:b w:val="0"/>
          <w:kern w:val="2"/>
          <w:sz w:val="21"/>
          <w:szCs w:val="21"/>
          <w:lang w:val="en-US" w:eastAsia="zh-CN" w:bidi="ar-SA"/>
        </w:rPr>
        <w:t>服务形式</w:t>
      </w:r>
      <w:r>
        <w:rPr>
          <w:rFonts w:hint="eastAsia" w:ascii="宋体" w:hAnsi="宋体" w:eastAsia="宋体" w:cs="宋体"/>
          <w:b w:val="0"/>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400" w:lineRule="exact"/>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供应商</w:t>
      </w:r>
      <w:r>
        <w:rPr>
          <w:rFonts w:hint="default" w:ascii="Times New Roman" w:hAnsi="Times New Roman" w:eastAsia="宋体" w:cs="Times New Roman"/>
          <w:color w:val="auto"/>
          <w:kern w:val="2"/>
          <w:sz w:val="21"/>
          <w:szCs w:val="24"/>
          <w:highlight w:val="none"/>
          <w:lang w:val="en-US" w:eastAsia="zh-CN" w:bidi="ar-SA"/>
        </w:rPr>
        <w:t>负责上述服务范围的物业管理工作。建立完善的物业管理制度、工作流程和工作计划，业务上接受采购人的监督和检查。</w:t>
      </w: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jc w:val="both"/>
        <w:textAlignment w:val="baseline"/>
        <w:rPr>
          <w:rFonts w:hint="eastAsia" w:ascii="宋体" w:hAnsi="宋体" w:eastAsia="宋体" w:cs="宋体"/>
          <w:b w:val="0"/>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eastAsia="宋体" w:cs="宋体"/>
          <w:b w:val="0"/>
          <w:kern w:val="2"/>
          <w:sz w:val="21"/>
          <w:szCs w:val="21"/>
          <w:lang w:val="en-US" w:eastAsia="zh-CN" w:bidi="ar-SA"/>
        </w:rPr>
        <w:t>服务期限：2年（自签订合同之日起算）。</w:t>
      </w:r>
    </w:p>
    <w:p>
      <w:pPr>
        <w:pStyle w:val="10"/>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240" w:firstLineChars="100"/>
        <w:jc w:val="both"/>
        <w:textAlignment w:val="baseline"/>
        <w:rPr>
          <w:color w:val="auto"/>
          <w:highlight w:val="none"/>
        </w:rPr>
      </w:pPr>
    </w:p>
    <w:p>
      <w:pPr>
        <w:pStyle w:val="2"/>
        <w:pageBreakBefore w:val="0"/>
        <w:kinsoku/>
        <w:wordWrap/>
        <w:overflowPunct/>
        <w:topLinePunct w:val="0"/>
        <w:bidi w:val="0"/>
        <w:spacing w:line="400" w:lineRule="exact"/>
        <w:ind w:firstLine="210" w:firstLineChars="100"/>
        <w:rPr>
          <w:rFonts w:hint="default" w:ascii="宋体" w:hAnsi="宋体" w:eastAsia="宋体" w:cs="宋体"/>
          <w:b w:val="0"/>
          <w:kern w:val="2"/>
          <w:sz w:val="21"/>
          <w:szCs w:val="21"/>
          <w:lang w:val="en-US" w:eastAsia="zh-CN" w:bidi="ar-SA"/>
        </w:rPr>
      </w:pPr>
    </w:p>
    <w:p>
      <w:pPr>
        <w:pageBreakBefore w:val="0"/>
        <w:numPr>
          <w:ilvl w:val="0"/>
          <w:numId w:val="3"/>
        </w:numPr>
        <w:kinsoku/>
        <w:wordWrap/>
        <w:overflowPunct/>
        <w:topLinePunct w:val="0"/>
        <w:bidi w:val="0"/>
        <w:spacing w:line="400" w:lineRule="exact"/>
        <w:ind w:firstLine="426" w:firstLineChars="202"/>
        <w:jc w:val="left"/>
        <w:rPr>
          <w:rFonts w:hint="eastAsia"/>
          <w:b/>
          <w:bCs/>
        </w:rPr>
      </w:pPr>
      <w:r>
        <w:rPr>
          <w:rFonts w:hint="eastAsia"/>
          <w:b/>
          <w:bCs/>
        </w:rPr>
        <w:t>采购需求一览表</w:t>
      </w:r>
    </w:p>
    <w:p>
      <w:pPr>
        <w:pStyle w:val="12"/>
        <w:widowControl w:val="0"/>
        <w:numPr>
          <w:ilvl w:val="0"/>
          <w:numId w:val="0"/>
        </w:numPr>
        <w:snapToGrid w:val="0"/>
        <w:jc w:val="left"/>
      </w:pPr>
    </w:p>
    <w:tbl>
      <w:tblPr>
        <w:tblStyle w:val="19"/>
        <w:tblpPr w:leftFromText="180" w:rightFromText="180" w:vertAnchor="text" w:horzAnchor="page" w:tblpX="1144" w:tblpY="381"/>
        <w:tblOverlap w:val="never"/>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99"/>
        <w:gridCol w:w="601"/>
        <w:gridCol w:w="889"/>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0202" w:type="dxa"/>
            <w:gridSpan w:val="5"/>
            <w:vAlign w:val="center"/>
          </w:tcPr>
          <w:p>
            <w:pPr>
              <w:pStyle w:val="11"/>
              <w:snapToGrid w:val="0"/>
              <w:spacing w:line="300" w:lineRule="exact"/>
              <w:ind w:left="110" w:right="110"/>
              <w:outlineLvl w:val="0"/>
              <w:rPr>
                <w:rFonts w:hAnsi="宋体"/>
                <w:b/>
                <w:color w:val="auto"/>
                <w:szCs w:val="22"/>
              </w:rPr>
            </w:pPr>
            <w:bookmarkStart w:id="115" w:name="_Toc14453310"/>
            <w:r>
              <w:rPr>
                <w:rFonts w:hint="eastAsia" w:ascii="宋体" w:hAnsi="宋体"/>
                <w:color w:val="auto"/>
                <w:szCs w:val="21"/>
              </w:rPr>
              <w:t>▲</w:t>
            </w:r>
            <w:r>
              <w:rPr>
                <w:rFonts w:hAnsi="宋体"/>
                <w:b/>
                <w:color w:val="auto"/>
                <w:szCs w:val="22"/>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04" w:type="dxa"/>
            <w:vAlign w:val="center"/>
          </w:tcPr>
          <w:p>
            <w:pPr>
              <w:pStyle w:val="11"/>
              <w:snapToGrid w:val="0"/>
              <w:spacing w:line="300" w:lineRule="exact"/>
              <w:ind w:left="110" w:right="110"/>
              <w:jc w:val="center"/>
              <w:outlineLvl w:val="0"/>
              <w:rPr>
                <w:rFonts w:hAnsi="宋体"/>
                <w:color w:val="auto"/>
                <w:szCs w:val="22"/>
              </w:rPr>
            </w:pPr>
            <w:r>
              <w:rPr>
                <w:rFonts w:hAnsi="宋体"/>
                <w:b/>
                <w:color w:val="auto"/>
                <w:szCs w:val="22"/>
              </w:rPr>
              <w:t>序号</w:t>
            </w:r>
          </w:p>
        </w:tc>
        <w:tc>
          <w:tcPr>
            <w:tcW w:w="899" w:type="dxa"/>
            <w:vAlign w:val="center"/>
          </w:tcPr>
          <w:p>
            <w:pPr>
              <w:pStyle w:val="11"/>
              <w:snapToGrid w:val="0"/>
              <w:spacing w:line="300" w:lineRule="exact"/>
              <w:ind w:left="110" w:right="110"/>
              <w:jc w:val="center"/>
              <w:outlineLvl w:val="0"/>
              <w:rPr>
                <w:rFonts w:hAnsi="宋体"/>
                <w:b/>
                <w:color w:val="auto"/>
                <w:szCs w:val="22"/>
              </w:rPr>
            </w:pPr>
            <w:r>
              <w:rPr>
                <w:rFonts w:hAnsi="宋体"/>
                <w:b/>
                <w:color w:val="auto"/>
                <w:szCs w:val="22"/>
              </w:rPr>
              <w:t>采购内容</w:t>
            </w:r>
          </w:p>
        </w:tc>
        <w:tc>
          <w:tcPr>
            <w:tcW w:w="601" w:type="dxa"/>
            <w:vAlign w:val="center"/>
          </w:tcPr>
          <w:p>
            <w:pPr>
              <w:pStyle w:val="11"/>
              <w:snapToGrid w:val="0"/>
              <w:spacing w:line="300" w:lineRule="exact"/>
              <w:ind w:left="110" w:right="110"/>
              <w:jc w:val="center"/>
              <w:outlineLvl w:val="0"/>
              <w:rPr>
                <w:rFonts w:hAnsi="宋体"/>
                <w:b/>
                <w:color w:val="auto"/>
                <w:szCs w:val="22"/>
              </w:rPr>
            </w:pPr>
            <w:r>
              <w:rPr>
                <w:rFonts w:hAnsi="宋体"/>
                <w:b/>
                <w:color w:val="auto"/>
                <w:szCs w:val="22"/>
              </w:rPr>
              <w:t>数量</w:t>
            </w:r>
          </w:p>
        </w:tc>
        <w:tc>
          <w:tcPr>
            <w:tcW w:w="889" w:type="dxa"/>
            <w:vAlign w:val="center"/>
          </w:tcPr>
          <w:p>
            <w:pPr>
              <w:pStyle w:val="11"/>
              <w:snapToGrid w:val="0"/>
              <w:spacing w:line="300" w:lineRule="exact"/>
              <w:ind w:left="110" w:right="110"/>
              <w:jc w:val="center"/>
              <w:outlineLvl w:val="0"/>
              <w:rPr>
                <w:rFonts w:hAnsi="宋体"/>
                <w:b/>
                <w:color w:val="auto"/>
                <w:szCs w:val="22"/>
              </w:rPr>
            </w:pPr>
            <w:r>
              <w:rPr>
                <w:rFonts w:hint="eastAsia" w:hAnsi="宋体"/>
                <w:b/>
                <w:color w:val="auto"/>
                <w:szCs w:val="22"/>
              </w:rPr>
              <w:t>所属</w:t>
            </w:r>
          </w:p>
          <w:p>
            <w:pPr>
              <w:pStyle w:val="11"/>
              <w:snapToGrid w:val="0"/>
              <w:spacing w:line="300" w:lineRule="exact"/>
              <w:ind w:left="110" w:right="110"/>
              <w:jc w:val="center"/>
              <w:outlineLvl w:val="0"/>
              <w:rPr>
                <w:rFonts w:hAnsi="宋体"/>
                <w:b/>
                <w:color w:val="auto"/>
                <w:szCs w:val="22"/>
              </w:rPr>
            </w:pPr>
            <w:r>
              <w:rPr>
                <w:rFonts w:hint="eastAsia" w:hAnsi="宋体"/>
                <w:b/>
                <w:color w:val="auto"/>
                <w:szCs w:val="22"/>
              </w:rPr>
              <w:t>行业</w:t>
            </w:r>
          </w:p>
        </w:tc>
        <w:tc>
          <w:tcPr>
            <w:tcW w:w="7309" w:type="dxa"/>
            <w:vAlign w:val="center"/>
          </w:tcPr>
          <w:p>
            <w:pPr>
              <w:pStyle w:val="11"/>
              <w:snapToGrid w:val="0"/>
              <w:spacing w:line="300" w:lineRule="exact"/>
              <w:ind w:left="110" w:right="110"/>
              <w:jc w:val="center"/>
              <w:outlineLvl w:val="0"/>
              <w:rPr>
                <w:rFonts w:hAnsi="宋体"/>
                <w:b/>
                <w:color w:val="auto"/>
                <w:szCs w:val="22"/>
              </w:rPr>
            </w:pPr>
            <w:r>
              <w:rPr>
                <w:rFonts w:hAnsi="宋体"/>
                <w:b/>
                <w:color w:val="auto"/>
                <w:szCs w:val="22"/>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04" w:type="dxa"/>
            <w:vAlign w:val="center"/>
          </w:tcPr>
          <w:p>
            <w:pPr>
              <w:autoSpaceDN w:val="0"/>
              <w:spacing w:before="156" w:after="156" w:line="300" w:lineRule="exact"/>
              <w:ind w:left="105" w:right="105"/>
              <w:jc w:val="center"/>
              <w:rPr>
                <w:rFonts w:ascii="宋体" w:hAnsi="宋体" w:cs="仿宋"/>
                <w:color w:val="auto"/>
              </w:rPr>
            </w:pPr>
            <w:r>
              <w:rPr>
                <w:rFonts w:hint="eastAsia" w:ascii="宋体" w:hAnsi="宋体" w:cs="仿宋"/>
                <w:color w:val="auto"/>
              </w:rPr>
              <w:t>1</w:t>
            </w:r>
          </w:p>
        </w:tc>
        <w:tc>
          <w:tcPr>
            <w:tcW w:w="899" w:type="dxa"/>
            <w:vAlign w:val="center"/>
          </w:tcPr>
          <w:p>
            <w:pPr>
              <w:spacing w:line="300" w:lineRule="exact"/>
              <w:ind w:left="105" w:right="105"/>
              <w:jc w:val="center"/>
              <w:rPr>
                <w:rFonts w:ascii="宋体" w:hAnsi="宋体" w:cs="仿宋"/>
                <w:color w:val="auto"/>
              </w:rPr>
            </w:pPr>
            <w:r>
              <w:rPr>
                <w:rFonts w:hint="eastAsia" w:asciiTheme="minorEastAsia" w:hAnsiTheme="minorEastAsia" w:eastAsiaTheme="minorEastAsia" w:cstheme="minorEastAsia"/>
                <w:color w:val="auto"/>
                <w:szCs w:val="21"/>
              </w:rPr>
              <w:t>防城港口岸联检附楼物业服务采购</w:t>
            </w:r>
          </w:p>
        </w:tc>
        <w:tc>
          <w:tcPr>
            <w:tcW w:w="601" w:type="dxa"/>
            <w:vAlign w:val="center"/>
          </w:tcPr>
          <w:p>
            <w:pPr>
              <w:autoSpaceDN w:val="0"/>
              <w:spacing w:before="156" w:after="156" w:line="300" w:lineRule="exact"/>
              <w:ind w:left="105" w:right="105"/>
              <w:jc w:val="center"/>
              <w:rPr>
                <w:rFonts w:ascii="宋体" w:hAnsi="宋体" w:cs="仿宋"/>
                <w:color w:val="auto"/>
              </w:rPr>
            </w:pPr>
            <w:r>
              <w:rPr>
                <w:rFonts w:hint="eastAsia" w:ascii="宋体" w:hAnsi="宋体" w:cs="仿宋"/>
                <w:color w:val="auto"/>
                <w:lang w:val="en-US" w:eastAsia="zh-CN"/>
              </w:rPr>
              <w:t>2</w:t>
            </w:r>
            <w:r>
              <w:rPr>
                <w:rFonts w:hint="eastAsia" w:ascii="宋体" w:hAnsi="宋体" w:cs="仿宋"/>
                <w:color w:val="auto"/>
              </w:rPr>
              <w:t>年</w:t>
            </w:r>
          </w:p>
        </w:tc>
        <w:tc>
          <w:tcPr>
            <w:tcW w:w="889" w:type="dxa"/>
            <w:vAlign w:val="center"/>
          </w:tcPr>
          <w:p>
            <w:pPr>
              <w:tabs>
                <w:tab w:val="left" w:pos="425"/>
              </w:tabs>
              <w:spacing w:line="300" w:lineRule="exact"/>
              <w:ind w:right="105"/>
              <w:jc w:val="center"/>
              <w:rPr>
                <w:rFonts w:ascii="宋体" w:hAnsi="宋体" w:cs="仿宋"/>
                <w:color w:val="auto"/>
              </w:rPr>
            </w:pPr>
            <w:r>
              <w:rPr>
                <w:rFonts w:hint="eastAsia" w:ascii="宋体" w:hAnsi="宋体" w:cs="宋体"/>
                <w:color w:val="auto"/>
                <w:szCs w:val="21"/>
              </w:rPr>
              <w:t>物业管理</w:t>
            </w:r>
          </w:p>
        </w:tc>
        <w:tc>
          <w:tcPr>
            <w:tcW w:w="7309" w:type="dxa"/>
          </w:tcPr>
          <w:p>
            <w:pPr>
              <w:tabs>
                <w:tab w:val="left" w:pos="425"/>
              </w:tabs>
              <w:spacing w:line="300" w:lineRule="exact"/>
              <w:ind w:right="105"/>
              <w:rPr>
                <w:b/>
                <w:bCs/>
                <w:color w:val="auto"/>
              </w:rPr>
            </w:pPr>
            <w:r>
              <w:rPr>
                <w:rFonts w:hint="eastAsia"/>
                <w:b/>
                <w:bCs/>
                <w:color w:val="auto"/>
              </w:rPr>
              <w:t>一、项目概括</w:t>
            </w:r>
          </w:p>
          <w:p>
            <w:pPr>
              <w:tabs>
                <w:tab w:val="left" w:pos="425"/>
              </w:tabs>
              <w:spacing w:line="300" w:lineRule="exact"/>
              <w:ind w:right="105"/>
              <w:rPr>
                <w:color w:val="auto"/>
              </w:rPr>
            </w:pPr>
            <w:r>
              <w:rPr>
                <w:rFonts w:hint="eastAsia"/>
                <w:color w:val="auto"/>
              </w:rPr>
              <w:t>防城港口岸联检附楼位于港务局东大门旁，建筑面积6339.66平方米，地上3层、地下1层。与防城港口岸联检大楼主楼共同构成北部湾航运服务中心。附楼与主楼相依而建，其中外广场、一楼大堂、消防安全通道互联互通，主出入口、地下停车场共用一个出入口；海关、边检、海事、港口管理局、码头公司等口岸相关部门分别设立于主、附楼，业务功能分布相互交集，相互串联。防城港口岸联检大楼附楼建筑公共部分的管理和日常小型维修、养护。即：屋顶、内外墙面、承重结构、楼梯间、走廊、通道、门厅、玻璃幕墙、厕所、台阶、坡道、地上（下）停车场、服务区域内的附属建筑物。 公共设施、设备的日常小型维修、养护、运行和管理。即：公用的上下水道、园林绿化、垃圾收集、清运、消杀工作、落水管、供配电系统、供水系统、风机及管网系统、消防设施设备、空调系统、电梯、大厅感应门、照明系统、消防监控、安保监控、一卡通监控、楼宇自控、系统切换及控制中心设备机房的运行、维修和使用管理。 安全管理。即：公共区域的24小时安全和消防监控、门岗、巡视、进出入车辆、来访人员登记等管理。</w:t>
            </w:r>
          </w:p>
          <w:p>
            <w:pPr>
              <w:tabs>
                <w:tab w:val="left" w:pos="425"/>
              </w:tabs>
              <w:spacing w:line="300" w:lineRule="exact"/>
              <w:ind w:right="105"/>
              <w:rPr>
                <w:b/>
                <w:bCs/>
                <w:color w:val="auto"/>
              </w:rPr>
            </w:pPr>
            <w:r>
              <w:rPr>
                <w:rFonts w:hint="eastAsia"/>
                <w:b/>
                <w:bCs/>
                <w:color w:val="auto"/>
              </w:rPr>
              <w:t>项目实施地点：防城港口岸联检附楼，具体位置详见附件1平面图</w:t>
            </w:r>
          </w:p>
          <w:p>
            <w:pPr>
              <w:tabs>
                <w:tab w:val="left" w:pos="425"/>
              </w:tabs>
              <w:spacing w:line="300" w:lineRule="exact"/>
              <w:ind w:right="105"/>
              <w:rPr>
                <w:b/>
                <w:bCs/>
                <w:color w:val="auto"/>
              </w:rPr>
            </w:pPr>
            <w:bookmarkStart w:id="116" w:name="_Toc12147"/>
            <w:r>
              <w:rPr>
                <w:rFonts w:hint="eastAsia"/>
                <w:b/>
                <w:bCs/>
                <w:color w:val="auto"/>
              </w:rPr>
              <w:t>二、办公楼各岗位任职要求，工作内容、标准及流程</w:t>
            </w:r>
            <w:bookmarkEnd w:id="116"/>
          </w:p>
          <w:p>
            <w:pPr>
              <w:widowControl/>
              <w:jc w:val="left"/>
              <w:rPr>
                <w:rFonts w:hint="eastAsia" w:ascii="宋体" w:hAnsi="Courier New" w:eastAsia="宋体" w:cs="Times New Roman"/>
                <w:b/>
                <w:color w:val="auto"/>
                <w:kern w:val="2"/>
                <w:sz w:val="21"/>
                <w:szCs w:val="20"/>
                <w:lang w:val="en-US" w:eastAsia="zh-CN" w:bidi="ar-SA"/>
              </w:rPr>
            </w:pPr>
          </w:p>
          <w:p>
            <w:pPr>
              <w:widowControl/>
              <w:jc w:val="left"/>
              <w:rPr>
                <w:rFonts w:hint="eastAsia" w:ascii="宋体" w:hAnsi="Courier New" w:eastAsia="宋体" w:cs="Times New Roman"/>
                <w:b/>
                <w:color w:val="auto"/>
                <w:kern w:val="2"/>
                <w:sz w:val="21"/>
                <w:szCs w:val="20"/>
                <w:lang w:val="en-US" w:eastAsia="zh-CN" w:bidi="ar-SA"/>
              </w:rPr>
            </w:pPr>
            <w:r>
              <w:rPr>
                <w:rFonts w:hint="eastAsia" w:ascii="宋体" w:hAnsi="Courier New" w:eastAsia="宋体" w:cs="Times New Roman"/>
                <w:b/>
                <w:color w:val="auto"/>
                <w:kern w:val="2"/>
                <w:sz w:val="21"/>
                <w:szCs w:val="20"/>
                <w:lang w:val="en-US" w:eastAsia="zh-CN" w:bidi="ar-SA"/>
              </w:rPr>
              <w:t>1.项目 （物 业）经理岗位职责</w:t>
            </w:r>
          </w:p>
          <w:p>
            <w:pPr>
              <w:pStyle w:val="17"/>
              <w:ind w:firstLine="0" w:firstLineChars="0"/>
              <w:rPr>
                <w:rFonts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任职要求：</w:t>
            </w:r>
          </w:p>
          <w:p>
            <w:pPr>
              <w:rPr>
                <w:color w:val="auto"/>
              </w:rPr>
            </w:pPr>
            <w:r>
              <w:rPr>
                <w:color w:val="auto"/>
              </w:rPr>
              <w:t>要求大专及以上文化程度</w:t>
            </w:r>
            <w:r>
              <w:rPr>
                <w:rFonts w:hint="eastAsia"/>
                <w:color w:val="auto"/>
                <w:lang w:eastAsia="zh-CN"/>
              </w:rPr>
              <w:t>（</w:t>
            </w:r>
            <w:r>
              <w:rPr>
                <w:rFonts w:hint="eastAsia"/>
                <w:color w:val="auto"/>
                <w:lang w:val="en-US" w:eastAsia="zh-CN"/>
              </w:rPr>
              <w:t>必须附上相关证明材料）</w:t>
            </w:r>
            <w:r>
              <w:rPr>
                <w:color w:val="auto"/>
              </w:rPr>
              <w:t>，有较强的沟通协调指挥能力，熟悉智能化、电脑程序考核</w:t>
            </w:r>
            <w:r>
              <w:rPr>
                <w:rFonts w:hint="eastAsia"/>
                <w:color w:val="auto"/>
              </w:rPr>
              <w:t>，</w:t>
            </w:r>
            <w:r>
              <w:rPr>
                <w:color w:val="auto"/>
              </w:rPr>
              <w:t>以保证管理队伍的高素质水平，且一专多能，一岗多职</w:t>
            </w:r>
            <w:r>
              <w:rPr>
                <w:rFonts w:hint="eastAsia"/>
                <w:color w:val="auto"/>
                <w:lang w:eastAsia="zh-CN"/>
              </w:rPr>
              <w:t>，</w:t>
            </w:r>
            <w:r>
              <w:rPr>
                <w:rFonts w:hint="eastAsia"/>
                <w:color w:val="000000" w:themeColor="text1"/>
                <w:lang w:val="en-US" w:eastAsia="zh-CN"/>
                <w14:textFill>
                  <w14:solidFill>
                    <w14:schemeClr w14:val="tx1"/>
                  </w14:solidFill>
                </w14:textFill>
              </w:rPr>
              <w:t>身体健康</w:t>
            </w:r>
            <w:r>
              <w:rPr>
                <w:rFonts w:hint="eastAsia"/>
                <w:color w:val="auto"/>
              </w:rPr>
              <w:t>。</w:t>
            </w:r>
          </w:p>
          <w:p>
            <w:pPr>
              <w:tabs>
                <w:tab w:val="left" w:pos="312"/>
              </w:tabs>
              <w:spacing w:line="360" w:lineRule="exact"/>
              <w:rPr>
                <w:color w:val="auto"/>
              </w:rPr>
            </w:pPr>
            <w:r>
              <w:rPr>
                <w:rFonts w:hint="eastAsia"/>
                <w:color w:val="auto"/>
              </w:rPr>
              <w:t>工作内容、标准及流程：</w:t>
            </w:r>
          </w:p>
          <w:p>
            <w:pPr>
              <w:widowControl/>
              <w:jc w:val="left"/>
              <w:rPr>
                <w:color w:val="auto"/>
              </w:rPr>
            </w:pPr>
            <w:r>
              <w:rPr>
                <w:rFonts w:hint="eastAsia"/>
                <w:color w:val="auto"/>
              </w:rPr>
              <w:t>1</w:t>
            </w:r>
            <w:r>
              <w:rPr>
                <w:rFonts w:hint="eastAsia"/>
                <w:color w:val="auto"/>
                <w:lang w:eastAsia="zh-CN"/>
              </w:rPr>
              <w:t>.</w:t>
            </w:r>
            <w:r>
              <w:rPr>
                <w:rFonts w:hint="eastAsia"/>
                <w:color w:val="auto"/>
              </w:rPr>
              <w:t>全面负责办公区管理工作。</w:t>
            </w:r>
          </w:p>
          <w:p>
            <w:pPr>
              <w:widowControl/>
              <w:jc w:val="left"/>
              <w:rPr>
                <w:color w:val="auto"/>
              </w:rPr>
            </w:pPr>
            <w:r>
              <w:rPr>
                <w:rFonts w:hint="eastAsia"/>
                <w:color w:val="auto"/>
              </w:rPr>
              <w:t>2</w:t>
            </w:r>
            <w:r>
              <w:rPr>
                <w:rFonts w:hint="eastAsia"/>
                <w:color w:val="auto"/>
                <w:lang w:eastAsia="zh-CN"/>
              </w:rPr>
              <w:t>.</w:t>
            </w:r>
            <w:r>
              <w:rPr>
                <w:rFonts w:hint="eastAsia"/>
                <w:color w:val="auto"/>
              </w:rPr>
              <w:t xml:space="preserve">负责组织、检查、督促员工认真贯彻执行 ISO9001 质量管理体系等规章制度、检查和督促本组各岗位员工严格按照工作规程和质量要求进行工作，确保服务质量、并使之持续、有效的运行。 </w:t>
            </w:r>
          </w:p>
          <w:p>
            <w:pPr>
              <w:widowControl/>
              <w:jc w:val="left"/>
              <w:rPr>
                <w:color w:val="auto"/>
              </w:rPr>
            </w:pPr>
            <w:r>
              <w:rPr>
                <w:rFonts w:hint="eastAsia"/>
                <w:color w:val="auto"/>
              </w:rPr>
              <w:t>3</w:t>
            </w:r>
            <w:r>
              <w:rPr>
                <w:rFonts w:hint="eastAsia"/>
                <w:color w:val="auto"/>
                <w:lang w:eastAsia="zh-CN"/>
              </w:rPr>
              <w:t>.</w:t>
            </w:r>
            <w:r>
              <w:rPr>
                <w:rFonts w:hint="eastAsia"/>
                <w:color w:val="auto"/>
              </w:rPr>
              <w:t xml:space="preserve">负责制订及组织实施服务中心年度、月度工作计划， 组织、安排各服务中心各项工作。 </w:t>
            </w:r>
          </w:p>
          <w:p>
            <w:pPr>
              <w:widowControl/>
              <w:jc w:val="left"/>
              <w:rPr>
                <w:color w:val="auto"/>
              </w:rPr>
            </w:pPr>
            <w:r>
              <w:rPr>
                <w:rFonts w:hint="eastAsia"/>
                <w:color w:val="auto"/>
              </w:rPr>
              <w:t>4</w:t>
            </w:r>
            <w:r>
              <w:rPr>
                <w:rFonts w:hint="eastAsia"/>
                <w:color w:val="auto"/>
                <w:lang w:eastAsia="zh-CN"/>
              </w:rPr>
              <w:t>.</w:t>
            </w:r>
            <w:r>
              <w:rPr>
                <w:rFonts w:hint="eastAsia"/>
                <w:color w:val="auto"/>
              </w:rPr>
              <w:t xml:space="preserve">负责制订及全面落实服务中心管理目标及实施方案，全面实现管理处目标。 </w:t>
            </w:r>
          </w:p>
          <w:p>
            <w:pPr>
              <w:widowControl/>
              <w:jc w:val="left"/>
              <w:rPr>
                <w:color w:val="auto"/>
              </w:rPr>
            </w:pPr>
            <w:r>
              <w:rPr>
                <w:rFonts w:hint="eastAsia"/>
                <w:color w:val="auto"/>
              </w:rPr>
              <w:t>5</w:t>
            </w:r>
            <w:r>
              <w:rPr>
                <w:rFonts w:hint="eastAsia"/>
                <w:color w:val="auto"/>
                <w:lang w:eastAsia="zh-CN"/>
              </w:rPr>
              <w:t>.</w:t>
            </w:r>
            <w:r>
              <w:rPr>
                <w:rFonts w:hint="eastAsia"/>
                <w:color w:val="auto"/>
              </w:rPr>
              <w:t xml:space="preserve">审定各部门工作计划，统筹工作安排与人力资源调配，检查计划执行情况。 </w:t>
            </w:r>
          </w:p>
          <w:p>
            <w:pPr>
              <w:widowControl/>
              <w:jc w:val="left"/>
              <w:rPr>
                <w:color w:val="auto"/>
              </w:rPr>
            </w:pPr>
            <w:r>
              <w:rPr>
                <w:rFonts w:hint="eastAsia"/>
                <w:color w:val="auto"/>
              </w:rPr>
              <w:t>6</w:t>
            </w:r>
            <w:r>
              <w:rPr>
                <w:rFonts w:hint="eastAsia"/>
                <w:color w:val="auto"/>
                <w:lang w:eastAsia="zh-CN"/>
              </w:rPr>
              <w:t>.</w:t>
            </w:r>
            <w:r>
              <w:rPr>
                <w:rFonts w:hint="eastAsia"/>
                <w:color w:val="auto"/>
              </w:rPr>
              <w:t xml:space="preserve">负责结合办公区的实际情况，编制并建全服务中心规章制度及各项工作操作规程。 </w:t>
            </w:r>
          </w:p>
          <w:p>
            <w:pPr>
              <w:widowControl/>
              <w:jc w:val="left"/>
              <w:rPr>
                <w:color w:val="auto"/>
              </w:rPr>
            </w:pPr>
            <w:r>
              <w:rPr>
                <w:rFonts w:hint="eastAsia"/>
                <w:color w:val="auto"/>
              </w:rPr>
              <w:t>7</w:t>
            </w:r>
            <w:r>
              <w:rPr>
                <w:rFonts w:hint="eastAsia"/>
                <w:color w:val="auto"/>
                <w:lang w:eastAsia="zh-CN"/>
              </w:rPr>
              <w:t>.</w:t>
            </w:r>
            <w:r>
              <w:rPr>
                <w:rFonts w:hint="eastAsia"/>
                <w:color w:val="auto"/>
              </w:rPr>
              <w:t xml:space="preserve">负责定期向公司报告服务中心工作情况。 </w:t>
            </w:r>
          </w:p>
          <w:p>
            <w:pPr>
              <w:widowControl/>
              <w:jc w:val="left"/>
              <w:rPr>
                <w:color w:val="auto"/>
              </w:rPr>
            </w:pPr>
            <w:r>
              <w:rPr>
                <w:rFonts w:hint="eastAsia"/>
                <w:color w:val="auto"/>
              </w:rPr>
              <w:t>8</w:t>
            </w:r>
            <w:r>
              <w:rPr>
                <w:rFonts w:hint="eastAsia"/>
                <w:color w:val="auto"/>
                <w:lang w:eastAsia="zh-CN"/>
              </w:rPr>
              <w:t>.</w:t>
            </w:r>
            <w:r>
              <w:rPr>
                <w:rFonts w:hint="eastAsia"/>
                <w:color w:val="auto"/>
              </w:rPr>
              <w:t xml:space="preserve">负责管理处日常管理经费、物资申购的审批或呈报工作，合理控制费用开支，并做好出入库台帐和月末消耗量的对比分析工作。 </w:t>
            </w:r>
          </w:p>
          <w:p>
            <w:pPr>
              <w:widowControl/>
              <w:jc w:val="left"/>
              <w:rPr>
                <w:color w:val="auto"/>
              </w:rPr>
            </w:pPr>
            <w:r>
              <w:rPr>
                <w:rFonts w:hint="eastAsia"/>
                <w:color w:val="auto"/>
              </w:rPr>
              <w:t>9</w:t>
            </w:r>
            <w:r>
              <w:rPr>
                <w:rFonts w:hint="eastAsia"/>
                <w:color w:val="auto"/>
                <w:lang w:eastAsia="zh-CN"/>
              </w:rPr>
              <w:t>.</w:t>
            </w:r>
            <w:r>
              <w:rPr>
                <w:rFonts w:hint="eastAsia"/>
                <w:color w:val="auto"/>
              </w:rPr>
              <w:t xml:space="preserve">负责组织召开每周服务中心例会，听取汇报，掌握 工作动态，布置工作并协调、解决工作中的问题，落实 公司领导管理部门下达的有关工作指示，了解各方面信息，检查、总结和布置工作。 </w:t>
            </w:r>
          </w:p>
          <w:p>
            <w:pPr>
              <w:widowControl/>
              <w:jc w:val="left"/>
              <w:rPr>
                <w:color w:val="auto"/>
              </w:rPr>
            </w:pPr>
            <w:r>
              <w:rPr>
                <w:rFonts w:hint="eastAsia"/>
                <w:color w:val="auto"/>
              </w:rPr>
              <w:t>10</w:t>
            </w:r>
            <w:r>
              <w:rPr>
                <w:rFonts w:hint="eastAsia"/>
                <w:color w:val="auto"/>
                <w:lang w:eastAsia="zh-CN"/>
              </w:rPr>
              <w:t>.</w:t>
            </w:r>
            <w:r>
              <w:rPr>
                <w:rFonts w:hint="eastAsia"/>
                <w:color w:val="auto"/>
              </w:rPr>
              <w:t xml:space="preserve">负责定期巡视管理区域，检查服务中心各部门工作落实完成情况，检查服务质量，及时发现问题，解决问题。 </w:t>
            </w:r>
          </w:p>
          <w:p>
            <w:pPr>
              <w:widowControl/>
              <w:jc w:val="left"/>
              <w:rPr>
                <w:color w:val="auto"/>
              </w:rPr>
            </w:pPr>
            <w:r>
              <w:rPr>
                <w:rFonts w:hint="eastAsia"/>
                <w:color w:val="auto"/>
              </w:rPr>
              <w:t>11</w:t>
            </w:r>
            <w:r>
              <w:rPr>
                <w:rFonts w:hint="eastAsia"/>
                <w:color w:val="auto"/>
                <w:lang w:eastAsia="zh-CN"/>
              </w:rPr>
              <w:t>.</w:t>
            </w:r>
            <w:r>
              <w:rPr>
                <w:rFonts w:hint="eastAsia"/>
                <w:color w:val="auto"/>
              </w:rPr>
              <w:t xml:space="preserve">负责统筹指挥、管理安保、保洁、绿化、 工程维修等物业服务工作，与市商务局的相关部门领导加强沟通、协调，建立良好的合作关系，积极配合办公楼的各项物业管理工作。 </w:t>
            </w:r>
          </w:p>
          <w:p>
            <w:pPr>
              <w:widowControl/>
              <w:jc w:val="left"/>
              <w:rPr>
                <w:color w:val="auto"/>
              </w:rPr>
            </w:pPr>
            <w:r>
              <w:rPr>
                <w:rFonts w:hint="eastAsia"/>
                <w:color w:val="auto"/>
              </w:rPr>
              <w:t>12</w:t>
            </w:r>
            <w:r>
              <w:rPr>
                <w:rFonts w:hint="eastAsia"/>
                <w:color w:val="auto"/>
                <w:lang w:eastAsia="zh-CN"/>
              </w:rPr>
              <w:t>.</w:t>
            </w:r>
            <w:r>
              <w:rPr>
                <w:rFonts w:hint="eastAsia"/>
                <w:color w:val="auto"/>
              </w:rPr>
              <w:t xml:space="preserve">负责协调供电局、自来水公司、市政、环卫、劳动、 消防、派出所等政府部门对外关系。 </w:t>
            </w:r>
          </w:p>
          <w:p>
            <w:pPr>
              <w:widowControl/>
              <w:jc w:val="left"/>
              <w:rPr>
                <w:color w:val="auto"/>
              </w:rPr>
            </w:pPr>
            <w:r>
              <w:rPr>
                <w:rFonts w:hint="eastAsia"/>
                <w:color w:val="auto"/>
              </w:rPr>
              <w:t>13</w:t>
            </w:r>
            <w:r>
              <w:rPr>
                <w:rFonts w:hint="eastAsia"/>
                <w:color w:val="auto"/>
                <w:lang w:eastAsia="zh-CN"/>
              </w:rPr>
              <w:t>.</w:t>
            </w:r>
            <w:r>
              <w:rPr>
                <w:rFonts w:hint="eastAsia"/>
                <w:color w:val="auto"/>
              </w:rPr>
              <w:t xml:space="preserve">关心服务中心员工生活，为员工解决实际困难，丰富员工的业余文化生活，增强集体凝聚力。 </w:t>
            </w:r>
          </w:p>
          <w:p>
            <w:pPr>
              <w:widowControl/>
              <w:jc w:val="left"/>
              <w:rPr>
                <w:color w:val="auto"/>
              </w:rPr>
            </w:pPr>
            <w:r>
              <w:rPr>
                <w:rFonts w:hint="eastAsia"/>
                <w:color w:val="auto"/>
              </w:rPr>
              <w:t>14</w:t>
            </w:r>
            <w:r>
              <w:rPr>
                <w:rFonts w:hint="eastAsia"/>
                <w:color w:val="auto"/>
                <w:lang w:eastAsia="zh-CN"/>
              </w:rPr>
              <w:t>.</w:t>
            </w:r>
            <w:r>
              <w:rPr>
                <w:rFonts w:hint="eastAsia"/>
                <w:color w:val="auto"/>
              </w:rPr>
              <w:t xml:space="preserve">配合做好人员编制、招聘、录用，入职、离职、业绩考核、培训等工作。  </w:t>
            </w:r>
          </w:p>
          <w:p>
            <w:pPr>
              <w:pStyle w:val="17"/>
              <w:ind w:left="0" w:leftChars="0" w:firstLine="0" w:firstLineChars="0"/>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 xml:space="preserve">15.完成市商务局及上级交办的其它工作。 </w:t>
            </w:r>
          </w:p>
          <w:p/>
          <w:p>
            <w:pPr>
              <w:spacing w:line="360" w:lineRule="exact"/>
              <w:rPr>
                <w:b/>
                <w:bCs/>
                <w:color w:val="auto"/>
              </w:rPr>
            </w:pPr>
            <w:r>
              <w:rPr>
                <w:rFonts w:hint="eastAsia"/>
                <w:b/>
                <w:bCs/>
                <w:color w:val="auto"/>
              </w:rPr>
              <w:t>2、保洁员任职要求，工作内容、标准及流程</w:t>
            </w:r>
          </w:p>
          <w:p>
            <w:pPr>
              <w:spacing w:line="360" w:lineRule="exact"/>
              <w:rPr>
                <w:color w:val="000000" w:themeColor="text1"/>
                <w14:textFill>
                  <w14:solidFill>
                    <w14:schemeClr w14:val="tx1"/>
                  </w14:solidFill>
                </w14:textFill>
              </w:rPr>
            </w:pPr>
            <w:r>
              <w:rPr>
                <w:rFonts w:hint="eastAsia"/>
                <w:color w:val="auto"/>
              </w:rPr>
              <w:t xml:space="preserve">任职要求： </w:t>
            </w:r>
            <w:r>
              <w:rPr>
                <w:rFonts w:hint="eastAsia"/>
                <w:color w:val="000000" w:themeColor="text1"/>
                <w14:textFill>
                  <w14:solidFill>
                    <w14:schemeClr w14:val="tx1"/>
                  </w14:solidFill>
                </w14:textFill>
              </w:rPr>
              <w:t xml:space="preserve"> </w:t>
            </w:r>
          </w:p>
          <w:p>
            <w:pPr>
              <w:spacing w:line="360" w:lineRule="exact"/>
              <w:rPr>
                <w:color w:val="auto"/>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.年龄18-5</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岁，</w:t>
            </w:r>
            <w:r>
              <w:rPr>
                <w:rFonts w:hint="eastAsia"/>
                <w:color w:val="auto"/>
              </w:rPr>
              <w:t>身体健康，有保洁工作经验者优先；</w:t>
            </w:r>
          </w:p>
          <w:p>
            <w:pPr>
              <w:spacing w:line="360" w:lineRule="exact"/>
              <w:rPr>
                <w:color w:val="auto"/>
              </w:rPr>
            </w:pPr>
            <w:r>
              <w:rPr>
                <w:rFonts w:hint="eastAsia"/>
                <w:color w:val="auto"/>
                <w:lang w:val="en-US" w:eastAsia="zh-CN"/>
              </w:rPr>
              <w:t>2</w:t>
            </w:r>
            <w:r>
              <w:rPr>
                <w:rFonts w:hint="eastAsia"/>
                <w:color w:val="auto"/>
              </w:rPr>
              <w:t>.吃苦耐劳，服从公司上级领导的安排；</w:t>
            </w:r>
          </w:p>
          <w:p>
            <w:pPr>
              <w:spacing w:line="360" w:lineRule="exact"/>
              <w:rPr>
                <w:color w:val="auto"/>
              </w:rPr>
            </w:pPr>
            <w:r>
              <w:rPr>
                <w:rFonts w:hint="eastAsia"/>
                <w:color w:val="auto"/>
                <w:lang w:val="en-US" w:eastAsia="zh-CN"/>
              </w:rPr>
              <w:t>3</w:t>
            </w:r>
            <w:r>
              <w:rPr>
                <w:rFonts w:hint="eastAsia"/>
                <w:color w:val="auto"/>
              </w:rPr>
              <w:t>.言谈举止文明、礼貌，为人诚实、守信，有敬业精神。</w:t>
            </w:r>
          </w:p>
          <w:p>
            <w:pPr>
              <w:tabs>
                <w:tab w:val="left" w:pos="312"/>
              </w:tabs>
              <w:spacing w:line="360" w:lineRule="exact"/>
              <w:rPr>
                <w:color w:val="auto"/>
              </w:rPr>
            </w:pPr>
            <w:r>
              <w:rPr>
                <w:rFonts w:hint="eastAsia"/>
                <w:color w:val="auto"/>
              </w:rPr>
              <w:t>工作内容、标准及流程：</w:t>
            </w:r>
          </w:p>
          <w:tbl>
            <w:tblPr>
              <w:tblStyle w:val="19"/>
              <w:tblW w:w="6918" w:type="dxa"/>
              <w:jc w:val="center"/>
              <w:tblInd w:w="0" w:type="dxa"/>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868"/>
              <w:gridCol w:w="2869"/>
              <w:gridCol w:w="2048"/>
            </w:tblGrid>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1133" w:type="dxa"/>
                  <w:tcBorders>
                    <w:top w:val="thinThickMediumGap" w:color="auto" w:sz="12" w:space="0"/>
                  </w:tcBorders>
                </w:tcPr>
                <w:p>
                  <w:pPr>
                    <w:autoSpaceDE w:val="0"/>
                    <w:autoSpaceDN w:val="0"/>
                    <w:spacing w:line="360" w:lineRule="exact"/>
                    <w:jc w:val="center"/>
                    <w:rPr>
                      <w:color w:val="auto"/>
                    </w:rPr>
                  </w:pPr>
                  <w:r>
                    <w:rPr>
                      <w:rFonts w:hint="eastAsia"/>
                      <w:color w:val="auto"/>
                    </w:rPr>
                    <w:t>工作时间(暂定)</w:t>
                  </w:r>
                </w:p>
              </w:tc>
              <w:tc>
                <w:tcPr>
                  <w:tcW w:w="868" w:type="dxa"/>
                  <w:tcBorders>
                    <w:top w:val="thinThickMediumGap" w:color="auto" w:sz="12" w:space="0"/>
                  </w:tcBorders>
                  <w:vAlign w:val="center"/>
                </w:tcPr>
                <w:p>
                  <w:pPr>
                    <w:autoSpaceDE w:val="0"/>
                    <w:autoSpaceDN w:val="0"/>
                    <w:spacing w:line="360" w:lineRule="exact"/>
                    <w:jc w:val="center"/>
                    <w:rPr>
                      <w:color w:val="auto"/>
                    </w:rPr>
                  </w:pPr>
                  <w:r>
                    <w:rPr>
                      <w:rFonts w:hint="eastAsia"/>
                      <w:color w:val="auto"/>
                    </w:rPr>
                    <w:t>地点</w:t>
                  </w:r>
                </w:p>
              </w:tc>
              <w:tc>
                <w:tcPr>
                  <w:tcW w:w="2869" w:type="dxa"/>
                  <w:tcBorders>
                    <w:top w:val="thinThickMediumGap" w:color="auto" w:sz="12" w:space="0"/>
                  </w:tcBorders>
                  <w:vAlign w:val="center"/>
                </w:tcPr>
                <w:p>
                  <w:pPr>
                    <w:autoSpaceDE w:val="0"/>
                    <w:autoSpaceDN w:val="0"/>
                    <w:spacing w:line="360" w:lineRule="exact"/>
                    <w:jc w:val="center"/>
                    <w:rPr>
                      <w:color w:val="auto"/>
                    </w:rPr>
                  </w:pPr>
                  <w:r>
                    <w:rPr>
                      <w:rFonts w:hint="eastAsia"/>
                      <w:color w:val="auto"/>
                    </w:rPr>
                    <w:t>保洁内容及流程</w:t>
                  </w:r>
                </w:p>
              </w:tc>
              <w:tc>
                <w:tcPr>
                  <w:tcW w:w="2048" w:type="dxa"/>
                  <w:tcBorders>
                    <w:top w:val="thinThickMediumGap" w:color="auto" w:sz="12" w:space="0"/>
                  </w:tcBorders>
                  <w:vAlign w:val="center"/>
                </w:tcPr>
                <w:p>
                  <w:pPr>
                    <w:autoSpaceDE w:val="0"/>
                    <w:autoSpaceDN w:val="0"/>
                    <w:spacing w:line="360" w:lineRule="exact"/>
                    <w:jc w:val="center"/>
                    <w:rPr>
                      <w:color w:val="auto"/>
                    </w:rPr>
                  </w:pPr>
                  <w:r>
                    <w:rPr>
                      <w:rFonts w:hint="eastAsia"/>
                      <w:color w:val="auto"/>
                    </w:rPr>
                    <w:t>保洁工作效果</w:t>
                  </w:r>
                </w:p>
              </w:tc>
            </w:tr>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1133" w:type="dxa"/>
                  <w:vAlign w:val="center"/>
                </w:tcPr>
                <w:p>
                  <w:pPr>
                    <w:autoSpaceDE w:val="0"/>
                    <w:autoSpaceDN w:val="0"/>
                    <w:spacing w:line="360" w:lineRule="exact"/>
                    <w:jc w:val="center"/>
                    <w:rPr>
                      <w:color w:val="auto"/>
                    </w:rPr>
                  </w:pPr>
                  <w:r>
                    <w:rPr>
                      <w:rFonts w:hint="eastAsia"/>
                      <w:color w:val="auto"/>
                    </w:rPr>
                    <w:t>8:00-12:00~14:00-18:00</w:t>
                  </w:r>
                </w:p>
              </w:tc>
              <w:tc>
                <w:tcPr>
                  <w:tcW w:w="868" w:type="dxa"/>
                  <w:vAlign w:val="center"/>
                </w:tcPr>
                <w:p>
                  <w:pPr>
                    <w:autoSpaceDE w:val="0"/>
                    <w:autoSpaceDN w:val="0"/>
                    <w:spacing w:line="360" w:lineRule="exact"/>
                    <w:jc w:val="center"/>
                    <w:rPr>
                      <w:color w:val="auto"/>
                    </w:rPr>
                  </w:pPr>
                  <w:r>
                    <w:rPr>
                      <w:rFonts w:hint="eastAsia"/>
                      <w:color w:val="auto"/>
                    </w:rPr>
                    <w:t>防城港口岸联检附楼大厅</w:t>
                  </w:r>
                </w:p>
              </w:tc>
              <w:tc>
                <w:tcPr>
                  <w:tcW w:w="2869" w:type="dxa"/>
                  <w:vAlign w:val="center"/>
                </w:tcPr>
                <w:p>
                  <w:pPr>
                    <w:autoSpaceDE w:val="0"/>
                    <w:autoSpaceDN w:val="0"/>
                    <w:spacing w:line="360" w:lineRule="exact"/>
                    <w:rPr>
                      <w:color w:val="auto"/>
                    </w:rPr>
                  </w:pPr>
                  <w:r>
                    <w:rPr>
                      <w:rFonts w:hint="eastAsia"/>
                      <w:color w:val="auto"/>
                    </w:rPr>
                    <w:t>1.清扫地面、边角位、死角位垃圾、杂物。</w:t>
                  </w:r>
                </w:p>
                <w:p>
                  <w:pPr>
                    <w:autoSpaceDE w:val="0"/>
                    <w:autoSpaceDN w:val="0"/>
                    <w:spacing w:line="360" w:lineRule="exact"/>
                    <w:rPr>
                      <w:color w:val="auto"/>
                    </w:rPr>
                  </w:pPr>
                  <w:r>
                    <w:rPr>
                      <w:rFonts w:hint="eastAsia"/>
                      <w:color w:val="auto"/>
                    </w:rPr>
                    <w:t>2.用专用保洁剂处理地面污渍、油渍。</w:t>
                  </w:r>
                </w:p>
                <w:p>
                  <w:pPr>
                    <w:autoSpaceDE w:val="0"/>
                    <w:autoSpaceDN w:val="0"/>
                    <w:spacing w:line="360" w:lineRule="exact"/>
                    <w:rPr>
                      <w:color w:val="auto"/>
                    </w:rPr>
                  </w:pPr>
                  <w:r>
                    <w:rPr>
                      <w:rFonts w:hint="eastAsia"/>
                      <w:color w:val="auto"/>
                    </w:rPr>
                    <w:t>3.用静电尘推循环对地面进行来回推尘。(推尘次数视灰尘污染程度及人流量而定)，保持大厅地面清洁。</w:t>
                  </w:r>
                </w:p>
                <w:p>
                  <w:pPr>
                    <w:autoSpaceDE w:val="0"/>
                    <w:autoSpaceDN w:val="0"/>
                    <w:spacing w:line="360" w:lineRule="exact"/>
                    <w:rPr>
                      <w:color w:val="auto"/>
                    </w:rPr>
                  </w:pPr>
                  <w:r>
                    <w:rPr>
                      <w:rFonts w:hint="eastAsia"/>
                      <w:color w:val="auto"/>
                    </w:rPr>
                    <w:t>4.用玻璃保洁工具及玻璃保洁保养剂对大堂玻璃门全面刮洗一次,发现有硬性污迹,用铲刀铲除。</w:t>
                  </w:r>
                </w:p>
                <w:p>
                  <w:pPr>
                    <w:autoSpaceDE w:val="0"/>
                    <w:autoSpaceDN w:val="0"/>
                    <w:spacing w:line="360" w:lineRule="exact"/>
                    <w:rPr>
                      <w:color w:val="auto"/>
                    </w:rPr>
                  </w:pPr>
                  <w:r>
                    <w:rPr>
                      <w:rFonts w:hint="eastAsia"/>
                      <w:color w:val="auto"/>
                    </w:rPr>
                    <w:t>5.清倒垃圾桶垃圾。</w:t>
                  </w:r>
                </w:p>
                <w:p>
                  <w:pPr>
                    <w:autoSpaceDE w:val="0"/>
                    <w:autoSpaceDN w:val="0"/>
                    <w:spacing w:line="360" w:lineRule="exact"/>
                    <w:rPr>
                      <w:color w:val="auto"/>
                    </w:rPr>
                  </w:pPr>
                  <w:r>
                    <w:rPr>
                      <w:rFonts w:hint="eastAsia"/>
                      <w:color w:val="auto"/>
                    </w:rPr>
                    <w:t>6.擦拭展示厅陈列物品。</w:t>
                  </w:r>
                </w:p>
              </w:tc>
              <w:tc>
                <w:tcPr>
                  <w:tcW w:w="2048" w:type="dxa"/>
                  <w:vAlign w:val="center"/>
                </w:tcPr>
                <w:p>
                  <w:pPr>
                    <w:autoSpaceDE w:val="0"/>
                    <w:autoSpaceDN w:val="0"/>
                    <w:spacing w:line="360" w:lineRule="exact"/>
                    <w:jc w:val="left"/>
                    <w:rPr>
                      <w:color w:val="auto"/>
                    </w:rPr>
                  </w:pPr>
                  <w:r>
                    <w:rPr>
                      <w:rFonts w:hint="eastAsia"/>
                      <w:color w:val="auto"/>
                    </w:rPr>
                    <w:t>1.保持地面干净、光亮、无污迹、无烟头、无明显灰尘、无明显印迹，雨天保持地面干爽、防滑。</w:t>
                  </w:r>
                </w:p>
                <w:p>
                  <w:pPr>
                    <w:autoSpaceDE w:val="0"/>
                    <w:autoSpaceDN w:val="0"/>
                    <w:spacing w:line="360" w:lineRule="exact"/>
                    <w:rPr>
                      <w:color w:val="auto"/>
                    </w:rPr>
                  </w:pPr>
                  <w:r>
                    <w:rPr>
                      <w:rFonts w:hint="eastAsia"/>
                      <w:color w:val="auto"/>
                    </w:rPr>
                    <w:t>2.大厅玻璃门保持保洁、明亮、无尘、无污印。</w:t>
                  </w:r>
                </w:p>
              </w:tc>
            </w:tr>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0" w:hRule="atLeast"/>
                <w:jc w:val="center"/>
              </w:trPr>
              <w:tc>
                <w:tcPr>
                  <w:tcW w:w="1133" w:type="dxa"/>
                  <w:tcBorders>
                    <w:top w:val="single" w:color="auto" w:sz="4" w:space="0"/>
                  </w:tcBorders>
                  <w:vAlign w:val="center"/>
                </w:tcPr>
                <w:p>
                  <w:pPr>
                    <w:autoSpaceDE w:val="0"/>
                    <w:autoSpaceDN w:val="0"/>
                    <w:spacing w:line="360" w:lineRule="exact"/>
                    <w:jc w:val="center"/>
                    <w:rPr>
                      <w:color w:val="auto"/>
                    </w:rPr>
                  </w:pPr>
                  <w:r>
                    <w:rPr>
                      <w:rFonts w:hint="eastAsia"/>
                      <w:color w:val="auto"/>
                    </w:rPr>
                    <w:t>8:00-12:00~14:00-18:00</w:t>
                  </w:r>
                </w:p>
              </w:tc>
              <w:tc>
                <w:tcPr>
                  <w:tcW w:w="868" w:type="dxa"/>
                  <w:tcBorders>
                    <w:top w:val="single" w:color="auto" w:sz="4" w:space="0"/>
                  </w:tcBorders>
                  <w:vAlign w:val="center"/>
                </w:tcPr>
                <w:p>
                  <w:pPr>
                    <w:autoSpaceDE w:val="0"/>
                    <w:autoSpaceDN w:val="0"/>
                    <w:spacing w:line="360" w:lineRule="exact"/>
                    <w:jc w:val="left"/>
                    <w:rPr>
                      <w:color w:val="auto"/>
                    </w:rPr>
                  </w:pPr>
                  <w:r>
                    <w:rPr>
                      <w:rFonts w:hint="eastAsia"/>
                      <w:color w:val="auto"/>
                    </w:rPr>
                    <w:t>防城港口岸联检附楼卫生间</w:t>
                  </w:r>
                </w:p>
              </w:tc>
              <w:tc>
                <w:tcPr>
                  <w:tcW w:w="2869" w:type="dxa"/>
                  <w:tcBorders>
                    <w:top w:val="single" w:color="auto" w:sz="4" w:space="0"/>
                  </w:tcBorders>
                  <w:vAlign w:val="center"/>
                </w:tcPr>
                <w:p>
                  <w:pPr>
                    <w:autoSpaceDE w:val="0"/>
                    <w:autoSpaceDN w:val="0"/>
                    <w:spacing w:line="360" w:lineRule="exact"/>
                    <w:jc w:val="left"/>
                    <w:rPr>
                      <w:color w:val="auto"/>
                    </w:rPr>
                  </w:pPr>
                  <w:r>
                    <w:rPr>
                      <w:rFonts w:hint="eastAsia"/>
                      <w:color w:val="auto"/>
                    </w:rPr>
                    <w:t>1.在门口摆放“正在清洁行中”告示牌，提醒客人不可内进。</w:t>
                  </w:r>
                </w:p>
                <w:p>
                  <w:pPr>
                    <w:autoSpaceDE w:val="0"/>
                    <w:autoSpaceDN w:val="0"/>
                    <w:spacing w:line="360" w:lineRule="exact"/>
                    <w:jc w:val="left"/>
                    <w:rPr>
                      <w:color w:val="auto"/>
                    </w:rPr>
                  </w:pPr>
                  <w:r>
                    <w:rPr>
                      <w:rFonts w:hint="eastAsia"/>
                      <w:color w:val="auto"/>
                    </w:rPr>
                    <w:t>2.对尿槽、蹲厕全面擦洗一次</w:t>
                  </w:r>
                </w:p>
                <w:p>
                  <w:pPr>
                    <w:autoSpaceDE w:val="0"/>
                    <w:autoSpaceDN w:val="0"/>
                    <w:spacing w:line="360" w:lineRule="exact"/>
                    <w:jc w:val="left"/>
                    <w:rPr>
                      <w:color w:val="auto"/>
                    </w:rPr>
                  </w:pPr>
                  <w:r>
                    <w:rPr>
                      <w:rFonts w:hint="eastAsia"/>
                      <w:color w:val="auto"/>
                    </w:rPr>
                    <w:t>3.对卫生间门、镜面、洗手盆、台面、水龙头使用中性保洁剂进行保洁。</w:t>
                  </w:r>
                </w:p>
                <w:p>
                  <w:pPr>
                    <w:autoSpaceDE w:val="0"/>
                    <w:autoSpaceDN w:val="0"/>
                    <w:spacing w:line="360" w:lineRule="exact"/>
                    <w:jc w:val="left"/>
                    <w:rPr>
                      <w:color w:val="auto"/>
                    </w:rPr>
                  </w:pPr>
                  <w:r>
                    <w:rPr>
                      <w:rFonts w:hint="eastAsia"/>
                      <w:color w:val="auto"/>
                    </w:rPr>
                    <w:t>4.增补去臭卫生球（祛味檀香）、手纸篓清倒及时，不超过30%。</w:t>
                  </w:r>
                </w:p>
                <w:p>
                  <w:pPr>
                    <w:pStyle w:val="17"/>
                    <w:ind w:firstLine="0" w:firstLineChars="0"/>
                    <w:rPr>
                      <w:color w:val="auto"/>
                    </w:rPr>
                  </w:pPr>
                  <w:r>
                    <w:rPr>
                      <w:rFonts w:hint="eastAsia"/>
                      <w:color w:val="auto"/>
                    </w:rPr>
                    <w:t>5.卫生间清洁用具每周用消毒剂消毒1次，整体卫生间每月全面消毒1次。</w:t>
                  </w:r>
                </w:p>
              </w:tc>
              <w:tc>
                <w:tcPr>
                  <w:tcW w:w="2048" w:type="dxa"/>
                  <w:tcBorders>
                    <w:top w:val="single" w:color="auto" w:sz="4" w:space="0"/>
                  </w:tcBorders>
                  <w:vAlign w:val="center"/>
                </w:tcPr>
                <w:p>
                  <w:pPr>
                    <w:spacing w:line="360" w:lineRule="exact"/>
                    <w:rPr>
                      <w:color w:val="auto"/>
                    </w:rPr>
                  </w:pPr>
                  <w:r>
                    <w:rPr>
                      <w:rFonts w:hint="eastAsia"/>
                      <w:color w:val="auto"/>
                    </w:rPr>
                    <w:t>1.洁具洁净无黄渍,目视无尘积污渍, 漏口无沙泥畅通。</w:t>
                  </w:r>
                </w:p>
                <w:p>
                  <w:pPr>
                    <w:spacing w:line="360" w:lineRule="exact"/>
                    <w:rPr>
                      <w:rFonts w:hint="eastAsia" w:eastAsia="宋体"/>
                      <w:color w:val="auto"/>
                      <w:lang w:eastAsia="zh-CN"/>
                    </w:rPr>
                  </w:pPr>
                  <w:r>
                    <w:rPr>
                      <w:rFonts w:hint="eastAsia"/>
                      <w:color w:val="auto"/>
                    </w:rPr>
                    <w:t>2.洗手台无积水，镜面无水渍</w:t>
                  </w:r>
                  <w:r>
                    <w:rPr>
                      <w:rFonts w:hint="eastAsia"/>
                      <w:color w:val="auto"/>
                      <w:lang w:eastAsia="zh-CN"/>
                    </w:rPr>
                    <w:t>。</w:t>
                  </w:r>
                </w:p>
                <w:p>
                  <w:pPr>
                    <w:spacing w:line="360" w:lineRule="exact"/>
                    <w:rPr>
                      <w:color w:val="auto"/>
                    </w:rPr>
                  </w:pPr>
                  <w:r>
                    <w:rPr>
                      <w:rFonts w:hint="eastAsia"/>
                      <w:color w:val="auto"/>
                    </w:rPr>
                    <w:t>3.卫生间内无异味，及时清倒卫生垃圾，达到卫生标准。</w:t>
                  </w:r>
                </w:p>
                <w:p>
                  <w:pPr>
                    <w:spacing w:line="360" w:lineRule="exact"/>
                    <w:rPr>
                      <w:color w:val="auto"/>
                    </w:rPr>
                  </w:pPr>
                  <w:r>
                    <w:rPr>
                      <w:rFonts w:hint="eastAsia"/>
                      <w:color w:val="auto"/>
                    </w:rPr>
                    <w:t>4.地面随时托擦，达到无水迹、无垃圾、无尘土、无污垢标准。</w:t>
                  </w:r>
                </w:p>
              </w:tc>
            </w:tr>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17" w:hRule="atLeast"/>
                <w:jc w:val="center"/>
              </w:trPr>
              <w:tc>
                <w:tcPr>
                  <w:tcW w:w="1133" w:type="dxa"/>
                  <w:tcBorders>
                    <w:top w:val="single" w:color="auto" w:sz="4" w:space="0"/>
                    <w:bottom w:val="single" w:color="auto" w:sz="4" w:space="0"/>
                  </w:tcBorders>
                  <w:vAlign w:val="center"/>
                </w:tcPr>
                <w:p>
                  <w:pPr>
                    <w:autoSpaceDE w:val="0"/>
                    <w:autoSpaceDN w:val="0"/>
                    <w:spacing w:line="360" w:lineRule="exact"/>
                    <w:jc w:val="center"/>
                    <w:rPr>
                      <w:color w:val="auto"/>
                    </w:rPr>
                  </w:pPr>
                  <w:r>
                    <w:rPr>
                      <w:rFonts w:hint="eastAsia"/>
                      <w:color w:val="auto"/>
                    </w:rPr>
                    <w:t>8:00-12:00~14:00-18:00</w:t>
                  </w:r>
                </w:p>
              </w:tc>
              <w:tc>
                <w:tcPr>
                  <w:tcW w:w="868" w:type="dxa"/>
                  <w:tcBorders>
                    <w:top w:val="single" w:color="auto" w:sz="4" w:space="0"/>
                    <w:bottom w:val="single" w:color="auto" w:sz="4" w:space="0"/>
                  </w:tcBorders>
                  <w:vAlign w:val="center"/>
                </w:tcPr>
                <w:p>
                  <w:pPr>
                    <w:autoSpaceDE w:val="0"/>
                    <w:autoSpaceDN w:val="0"/>
                    <w:spacing w:line="360" w:lineRule="exact"/>
                    <w:jc w:val="center"/>
                    <w:rPr>
                      <w:color w:val="auto"/>
                    </w:rPr>
                  </w:pPr>
                  <w:r>
                    <w:rPr>
                      <w:rFonts w:hint="eastAsia"/>
                      <w:color w:val="auto"/>
                    </w:rPr>
                    <w:t>防城港口岸联检附楼楼梯</w:t>
                  </w:r>
                </w:p>
              </w:tc>
              <w:tc>
                <w:tcPr>
                  <w:tcW w:w="2869" w:type="dxa"/>
                  <w:tcBorders>
                    <w:top w:val="single" w:color="auto" w:sz="4" w:space="0"/>
                    <w:bottom w:val="single" w:color="auto" w:sz="4" w:space="0"/>
                  </w:tcBorders>
                  <w:vAlign w:val="center"/>
                </w:tcPr>
                <w:p>
                  <w:pPr>
                    <w:autoSpaceDE w:val="0"/>
                    <w:autoSpaceDN w:val="0"/>
                    <w:spacing w:line="360" w:lineRule="exact"/>
                    <w:rPr>
                      <w:color w:val="auto"/>
                    </w:rPr>
                  </w:pPr>
                  <w:r>
                    <w:rPr>
                      <w:rFonts w:hint="eastAsia"/>
                      <w:color w:val="auto"/>
                    </w:rPr>
                    <w:t>1.清扫楼梯基石及垃圾、杂物。</w:t>
                  </w:r>
                </w:p>
                <w:p>
                  <w:pPr>
                    <w:autoSpaceDE w:val="0"/>
                    <w:autoSpaceDN w:val="0"/>
                    <w:spacing w:line="360" w:lineRule="exact"/>
                    <w:rPr>
                      <w:color w:val="auto"/>
                    </w:rPr>
                  </w:pPr>
                  <w:r>
                    <w:rPr>
                      <w:rFonts w:hint="eastAsia"/>
                      <w:color w:val="auto"/>
                    </w:rPr>
                    <w:t>2.用抹布擦拭梯扶手、防火门</w:t>
                  </w:r>
                </w:p>
                <w:p>
                  <w:pPr>
                    <w:autoSpaceDE w:val="0"/>
                    <w:autoSpaceDN w:val="0"/>
                    <w:spacing w:line="360" w:lineRule="exact"/>
                    <w:rPr>
                      <w:color w:val="auto"/>
                    </w:rPr>
                  </w:pPr>
                  <w:r>
                    <w:rPr>
                      <w:rFonts w:hint="eastAsia"/>
                      <w:color w:val="auto"/>
                    </w:rPr>
                    <w:t>3.清倒垃圾桶内垃圾。</w:t>
                  </w:r>
                </w:p>
                <w:p>
                  <w:pPr>
                    <w:autoSpaceDE w:val="0"/>
                    <w:autoSpaceDN w:val="0"/>
                    <w:spacing w:line="360" w:lineRule="exact"/>
                    <w:rPr>
                      <w:rFonts w:hint="eastAsia" w:eastAsia="宋体"/>
                      <w:color w:val="auto"/>
                      <w:lang w:eastAsia="zh-CN"/>
                    </w:rPr>
                  </w:pPr>
                  <w:r>
                    <w:rPr>
                      <w:rFonts w:hint="eastAsia"/>
                      <w:color w:val="auto"/>
                    </w:rPr>
                    <w:t>4.用拖把拖拭阶梯</w:t>
                  </w:r>
                  <w:r>
                    <w:rPr>
                      <w:rFonts w:hint="eastAsia"/>
                      <w:color w:val="auto"/>
                      <w:lang w:eastAsia="zh-CN"/>
                    </w:rPr>
                    <w:t>。</w:t>
                  </w:r>
                </w:p>
                <w:p>
                  <w:pPr>
                    <w:autoSpaceDE w:val="0"/>
                    <w:autoSpaceDN w:val="0"/>
                    <w:spacing w:line="360" w:lineRule="exact"/>
                    <w:rPr>
                      <w:rFonts w:hint="eastAsia" w:eastAsia="宋体"/>
                      <w:color w:val="auto"/>
                      <w:lang w:val="en-US" w:eastAsia="zh-CN"/>
                    </w:rPr>
                  </w:pPr>
                  <w:r>
                    <w:rPr>
                      <w:rFonts w:hint="eastAsia"/>
                      <w:color w:val="auto"/>
                    </w:rPr>
                    <w:t>5.对轿厢内的进行除尘。对于升降轨道内的泥土砂石、灰尘使用吸尘器进行吸尘。</w:t>
                  </w:r>
                  <w:r>
                    <w:rPr>
                      <w:rFonts w:hint="eastAsia"/>
                      <w:color w:val="auto"/>
                      <w:lang w:val="en-US" w:eastAsia="zh-CN"/>
                    </w:rPr>
                    <w:t xml:space="preserve"> </w:t>
                  </w:r>
                </w:p>
                <w:p>
                  <w:pPr>
                    <w:autoSpaceDE w:val="0"/>
                    <w:autoSpaceDN w:val="0"/>
                    <w:spacing w:line="360" w:lineRule="exact"/>
                    <w:rPr>
                      <w:color w:val="auto"/>
                    </w:rPr>
                  </w:pPr>
                  <w:r>
                    <w:rPr>
                      <w:rFonts w:hint="eastAsia"/>
                      <w:color w:val="auto"/>
                    </w:rPr>
                    <w:t>6.操作按钮、箱体内金属和各种显示等用抹布擦拭。</w:t>
                  </w:r>
                </w:p>
              </w:tc>
              <w:tc>
                <w:tcPr>
                  <w:tcW w:w="2048" w:type="dxa"/>
                  <w:tcBorders>
                    <w:top w:val="single" w:color="auto" w:sz="4" w:space="0"/>
                    <w:bottom w:val="single" w:color="auto" w:sz="4" w:space="0"/>
                  </w:tcBorders>
                  <w:vAlign w:val="center"/>
                </w:tcPr>
                <w:p>
                  <w:pPr>
                    <w:spacing w:line="360" w:lineRule="exact"/>
                    <w:rPr>
                      <w:color w:val="auto"/>
                    </w:rPr>
                  </w:pPr>
                  <w:r>
                    <w:rPr>
                      <w:rFonts w:hint="eastAsia"/>
                      <w:color w:val="auto"/>
                    </w:rPr>
                    <w:t>1.保持楼梯地面无沙粒，干净，无乱张贴物，各种设施干净无尘，垃圾桶干净，无污渍、异味；</w:t>
                  </w:r>
                </w:p>
                <w:p>
                  <w:pPr>
                    <w:spacing w:line="360" w:lineRule="exact"/>
                    <w:rPr>
                      <w:color w:val="auto"/>
                    </w:rPr>
                  </w:pPr>
                  <w:r>
                    <w:rPr>
                      <w:rFonts w:hint="eastAsia"/>
                      <w:color w:val="auto"/>
                    </w:rPr>
                    <w:t>2.无污垢、无灰尘、无擦拭痕迹。</w:t>
                  </w:r>
                </w:p>
              </w:tc>
            </w:tr>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76" w:hRule="atLeast"/>
                <w:jc w:val="center"/>
              </w:trPr>
              <w:tc>
                <w:tcPr>
                  <w:tcW w:w="1133" w:type="dxa"/>
                  <w:vAlign w:val="center"/>
                </w:tcPr>
                <w:p>
                  <w:pPr>
                    <w:autoSpaceDE w:val="0"/>
                    <w:autoSpaceDN w:val="0"/>
                    <w:spacing w:line="360" w:lineRule="exact"/>
                    <w:jc w:val="center"/>
                    <w:rPr>
                      <w:color w:val="auto"/>
                    </w:rPr>
                  </w:pPr>
                  <w:r>
                    <w:rPr>
                      <w:rFonts w:hint="eastAsia"/>
                      <w:color w:val="auto"/>
                    </w:rPr>
                    <w:t>8:00-12:00~14:00-18:00</w:t>
                  </w:r>
                </w:p>
              </w:tc>
              <w:tc>
                <w:tcPr>
                  <w:tcW w:w="868" w:type="dxa"/>
                  <w:vAlign w:val="center"/>
                </w:tcPr>
                <w:p>
                  <w:pPr>
                    <w:autoSpaceDE w:val="0"/>
                    <w:autoSpaceDN w:val="0"/>
                    <w:spacing w:line="360" w:lineRule="exact"/>
                    <w:jc w:val="left"/>
                    <w:rPr>
                      <w:color w:val="auto"/>
                    </w:rPr>
                  </w:pPr>
                  <w:r>
                    <w:rPr>
                      <w:rFonts w:hint="eastAsia"/>
                      <w:color w:val="auto"/>
                    </w:rPr>
                    <w:t>防城港口岸联检附楼停车场</w:t>
                  </w:r>
                </w:p>
              </w:tc>
              <w:tc>
                <w:tcPr>
                  <w:tcW w:w="2869" w:type="dxa"/>
                  <w:vAlign w:val="center"/>
                </w:tcPr>
                <w:p>
                  <w:pPr>
                    <w:autoSpaceDE w:val="0"/>
                    <w:autoSpaceDN w:val="0"/>
                    <w:spacing w:line="360" w:lineRule="exact"/>
                    <w:jc w:val="left"/>
                    <w:rPr>
                      <w:color w:val="auto"/>
                    </w:rPr>
                  </w:pPr>
                  <w:r>
                    <w:rPr>
                      <w:rFonts w:hint="eastAsia"/>
                      <w:color w:val="auto"/>
                    </w:rPr>
                    <w:t>1.每天巡视地上、地下停车场，及时用扫把、垃圾铲随时清除地面杂物。</w:t>
                  </w:r>
                </w:p>
                <w:p>
                  <w:pPr>
                    <w:autoSpaceDE w:val="0"/>
                    <w:autoSpaceDN w:val="0"/>
                    <w:spacing w:line="360" w:lineRule="exact"/>
                    <w:jc w:val="left"/>
                    <w:rPr>
                      <w:color w:val="auto"/>
                    </w:rPr>
                  </w:pPr>
                  <w:r>
                    <w:rPr>
                      <w:rFonts w:hint="eastAsia"/>
                      <w:color w:val="auto"/>
                    </w:rPr>
                    <w:t>2.发现有水迹立即清理干净。</w:t>
                  </w:r>
                </w:p>
                <w:p>
                  <w:pPr>
                    <w:autoSpaceDE w:val="0"/>
                    <w:autoSpaceDN w:val="0"/>
                    <w:spacing w:line="360" w:lineRule="exact"/>
                    <w:jc w:val="left"/>
                    <w:rPr>
                      <w:color w:val="auto"/>
                    </w:rPr>
                  </w:pPr>
                  <w:r>
                    <w:rPr>
                      <w:rFonts w:hint="eastAsia"/>
                      <w:color w:val="auto"/>
                    </w:rPr>
                    <w:t>3.抹指示牌、消防栓、栏杆。</w:t>
                  </w:r>
                </w:p>
              </w:tc>
              <w:tc>
                <w:tcPr>
                  <w:tcW w:w="2048" w:type="dxa"/>
                  <w:vAlign w:val="center"/>
                </w:tcPr>
                <w:p>
                  <w:pPr>
                    <w:autoSpaceDE w:val="0"/>
                    <w:autoSpaceDN w:val="0"/>
                    <w:spacing w:line="360" w:lineRule="exact"/>
                    <w:jc w:val="left"/>
                    <w:rPr>
                      <w:color w:val="auto"/>
                    </w:rPr>
                  </w:pPr>
                  <w:r>
                    <w:rPr>
                      <w:rFonts w:hint="eastAsia"/>
                      <w:color w:val="auto"/>
                    </w:rPr>
                    <w:t>保持地面干净、无垃圾、无杂物，保持设施干净、无明显灰尘</w:t>
                  </w:r>
                </w:p>
              </w:tc>
            </w:tr>
            <w:tr>
              <w:tblPrEx>
                <w:tblBorders>
                  <w:top w:val="thinThickMediumGap" w:color="auto" w:sz="12" w:space="0"/>
                  <w:left w:val="thinThickMediumGap" w:color="auto" w:sz="12" w:space="0"/>
                  <w:bottom w:val="thickThinMediumGap" w:color="auto" w:sz="12" w:space="0"/>
                  <w:right w:val="thickThinMedium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133" w:type="dxa"/>
                  <w:vAlign w:val="center"/>
                </w:tcPr>
                <w:p>
                  <w:pPr>
                    <w:autoSpaceDE w:val="0"/>
                    <w:autoSpaceDN w:val="0"/>
                    <w:spacing w:line="360" w:lineRule="exact"/>
                    <w:jc w:val="center"/>
                    <w:rPr>
                      <w:color w:val="auto"/>
                    </w:rPr>
                  </w:pPr>
                  <w:r>
                    <w:rPr>
                      <w:rFonts w:hint="eastAsia"/>
                      <w:color w:val="auto"/>
                    </w:rPr>
                    <w:t>8:00-12:00~14:00-18:00</w:t>
                  </w:r>
                </w:p>
              </w:tc>
              <w:tc>
                <w:tcPr>
                  <w:tcW w:w="868" w:type="dxa"/>
                  <w:vAlign w:val="center"/>
                </w:tcPr>
                <w:p>
                  <w:pPr>
                    <w:autoSpaceDE w:val="0"/>
                    <w:autoSpaceDN w:val="0"/>
                    <w:spacing w:line="360" w:lineRule="exact"/>
                    <w:jc w:val="center"/>
                    <w:rPr>
                      <w:color w:val="auto"/>
                    </w:rPr>
                  </w:pPr>
                  <w:r>
                    <w:rPr>
                      <w:rFonts w:hint="eastAsia"/>
                      <w:color w:val="auto"/>
                    </w:rPr>
                    <w:t>防城港口岸联检附楼园林绿化</w:t>
                  </w:r>
                </w:p>
              </w:tc>
              <w:tc>
                <w:tcPr>
                  <w:tcW w:w="2869" w:type="dxa"/>
                  <w:vAlign w:val="center"/>
                </w:tcPr>
                <w:p>
                  <w:pPr>
                    <w:autoSpaceDE w:val="0"/>
                    <w:autoSpaceDN w:val="0"/>
                    <w:spacing w:line="360" w:lineRule="exact"/>
                    <w:rPr>
                      <w:color w:val="auto"/>
                    </w:rPr>
                  </w:pPr>
                  <w:r>
                    <w:rPr>
                      <w:rFonts w:hint="eastAsia"/>
                      <w:color w:val="auto"/>
                    </w:rPr>
                    <w:t>1.扫清园林道路地面垃圾、纸屑、烟头。</w:t>
                  </w:r>
                </w:p>
                <w:p>
                  <w:pPr>
                    <w:autoSpaceDE w:val="0"/>
                    <w:autoSpaceDN w:val="0"/>
                    <w:spacing w:line="360" w:lineRule="exact"/>
                    <w:rPr>
                      <w:color w:val="auto"/>
                    </w:rPr>
                  </w:pPr>
                  <w:r>
                    <w:rPr>
                      <w:rFonts w:hint="eastAsia"/>
                      <w:color w:val="auto"/>
                    </w:rPr>
                    <w:t>2.及时清理带枯枝落叶。</w:t>
                  </w:r>
                </w:p>
                <w:p>
                  <w:pPr>
                    <w:autoSpaceDE w:val="0"/>
                    <w:autoSpaceDN w:val="0"/>
                    <w:spacing w:line="360" w:lineRule="exact"/>
                    <w:rPr>
                      <w:color w:val="auto"/>
                    </w:rPr>
                  </w:pPr>
                  <w:r>
                    <w:rPr>
                      <w:rFonts w:hint="eastAsia"/>
                      <w:color w:val="auto"/>
                    </w:rPr>
                    <w:t>3.对园林内建筑小品进行养护。</w:t>
                  </w:r>
                </w:p>
              </w:tc>
              <w:tc>
                <w:tcPr>
                  <w:tcW w:w="2048" w:type="dxa"/>
                  <w:vAlign w:val="center"/>
                </w:tcPr>
                <w:p>
                  <w:pPr>
                    <w:autoSpaceDE w:val="0"/>
                    <w:autoSpaceDN w:val="0"/>
                    <w:spacing w:line="360" w:lineRule="exact"/>
                    <w:jc w:val="left"/>
                    <w:rPr>
                      <w:color w:val="auto"/>
                    </w:rPr>
                  </w:pPr>
                  <w:r>
                    <w:rPr>
                      <w:rFonts w:hint="eastAsia"/>
                      <w:color w:val="auto"/>
                    </w:rPr>
                    <w:t>无垃圾、无杂物、无纸屑、无烟头</w:t>
                  </w:r>
                </w:p>
              </w:tc>
            </w:tr>
          </w:tbl>
          <w:p>
            <w:pPr>
              <w:pStyle w:val="17"/>
              <w:ind w:firstLine="0" w:firstLineChars="0"/>
              <w:rPr>
                <w:color w:val="auto"/>
              </w:rPr>
            </w:pPr>
          </w:p>
          <w:p>
            <w:pPr>
              <w:tabs>
                <w:tab w:val="left" w:pos="312"/>
              </w:tabs>
              <w:spacing w:line="360" w:lineRule="exact"/>
              <w:rPr>
                <w:b/>
                <w:bCs/>
                <w:color w:val="auto"/>
              </w:rPr>
            </w:pPr>
            <w:r>
              <w:rPr>
                <w:rFonts w:hint="eastAsia"/>
                <w:b/>
                <w:bCs/>
                <w:color w:val="auto"/>
              </w:rPr>
              <w:t>3、保安岗的任职要求及岗位职责</w:t>
            </w:r>
          </w:p>
          <w:p>
            <w:pPr>
              <w:spacing w:line="360" w:lineRule="exact"/>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任职要求：</w:t>
            </w:r>
          </w:p>
          <w:p>
            <w:pPr>
              <w:spacing w:line="360" w:lineRule="exact"/>
              <w:jc w:val="left"/>
              <w:rPr>
                <w:color w:val="auto"/>
              </w:rPr>
            </w:pPr>
            <w:r>
              <w:rPr>
                <w:rFonts w:hint="eastAsia"/>
                <w:color w:val="auto"/>
              </w:rPr>
              <w:t>1</w:t>
            </w:r>
            <w:r>
              <w:rPr>
                <w:rFonts w:hint="eastAsia"/>
                <w:color w:val="auto"/>
                <w:lang w:eastAsia="zh-CN"/>
              </w:rPr>
              <w:t>.</w:t>
            </w:r>
            <w:r>
              <w:rPr>
                <w:rFonts w:hint="eastAsia"/>
                <w:color w:val="auto"/>
                <w:lang w:val="en-US" w:eastAsia="zh-CN"/>
              </w:rPr>
              <w:t>年龄</w:t>
            </w:r>
            <w:r>
              <w:rPr>
                <w:rFonts w:hint="eastAsia"/>
                <w:color w:val="auto"/>
              </w:rPr>
              <w:t>18岁-55</w:t>
            </w:r>
            <w:r>
              <w:rPr>
                <w:rFonts w:hint="eastAsia"/>
                <w:color w:val="auto"/>
                <w:lang w:val="en-US" w:eastAsia="zh-CN"/>
              </w:rPr>
              <w:t>岁</w:t>
            </w:r>
            <w:r>
              <w:rPr>
                <w:rFonts w:hint="eastAsia"/>
                <w:color w:val="auto"/>
              </w:rPr>
              <w:t>，身体健康，容貌端正；</w:t>
            </w:r>
          </w:p>
          <w:p>
            <w:pPr>
              <w:spacing w:line="360" w:lineRule="exact"/>
              <w:jc w:val="left"/>
              <w:rPr>
                <w:color w:val="000000" w:themeColor="text1"/>
                <w14:textFill>
                  <w14:solidFill>
                    <w14:schemeClr w14:val="tx1"/>
                  </w14:solidFill>
                </w14:textFill>
              </w:rPr>
            </w:pPr>
            <w:r>
              <w:rPr>
                <w:rFonts w:hint="eastAsia"/>
                <w:color w:val="auto"/>
              </w:rPr>
              <w:t>2.熟悉安全制度，消防安全器材使用，意外事件及紧急事故预防与处理安排；</w:t>
            </w:r>
          </w:p>
          <w:p>
            <w:pPr>
              <w:spacing w:line="360" w:lineRule="exact"/>
              <w:jc w:val="left"/>
              <w:rPr>
                <w:color w:val="auto"/>
              </w:rPr>
            </w:pPr>
            <w:r>
              <w:rPr>
                <w:rFonts w:hint="eastAsia"/>
                <w:color w:val="auto"/>
                <w:lang w:val="en-US" w:eastAsia="zh-CN"/>
              </w:rPr>
              <w:t>3</w:t>
            </w:r>
            <w:r>
              <w:rPr>
                <w:rFonts w:hint="eastAsia"/>
                <w:color w:val="auto"/>
              </w:rPr>
              <w:t>.服从上级领导的指示，服从安全警卫勤务，确保公司财产和业主财产安全。</w:t>
            </w:r>
          </w:p>
          <w:p>
            <w:pPr>
              <w:tabs>
                <w:tab w:val="left" w:pos="312"/>
              </w:tabs>
              <w:spacing w:line="360" w:lineRule="exact"/>
              <w:rPr>
                <w:color w:val="auto"/>
              </w:rPr>
            </w:pPr>
            <w:r>
              <w:rPr>
                <w:rFonts w:hint="eastAsia"/>
                <w:color w:val="auto"/>
              </w:rPr>
              <w:t>工作内容、标准及流程：</w:t>
            </w:r>
          </w:p>
          <w:p>
            <w:pPr>
              <w:spacing w:line="360" w:lineRule="exact"/>
              <w:jc w:val="left"/>
              <w:rPr>
                <w:color w:val="auto"/>
              </w:rPr>
            </w:pPr>
            <w:r>
              <w:rPr>
                <w:rFonts w:hint="eastAsia"/>
                <w:color w:val="auto"/>
              </w:rPr>
              <w:t>（1）常规防范：采取站岗执勤与巡逻执勤相结合的方式，维护办公楼的公共秩序，防止和制止任何危及或影响客户安全的行为。</w:t>
            </w:r>
          </w:p>
          <w:p>
            <w:pPr>
              <w:spacing w:line="360" w:lineRule="exact"/>
              <w:rPr>
                <w:color w:val="auto"/>
              </w:rPr>
            </w:pPr>
            <w:r>
              <w:rPr>
                <w:rFonts w:hint="eastAsia"/>
                <w:color w:val="auto"/>
              </w:rPr>
              <w:t>（2）门岗的工作任务：</w:t>
            </w:r>
          </w:p>
          <w:p>
            <w:pPr>
              <w:spacing w:line="360" w:lineRule="exact"/>
              <w:rPr>
                <w:color w:val="auto"/>
              </w:rPr>
            </w:pPr>
            <w:r>
              <w:rPr>
                <w:rFonts w:hint="eastAsia"/>
                <w:color w:val="auto"/>
              </w:rPr>
              <w:t>1.每天24小时的安保服务，节假日照常进行保安服务，上下班期间试行军姿站岗，敬礼、问好；</w:t>
            </w:r>
          </w:p>
          <w:p>
            <w:pPr>
              <w:spacing w:line="360" w:lineRule="exact"/>
              <w:rPr>
                <w:color w:val="auto"/>
              </w:rPr>
            </w:pPr>
            <w:r>
              <w:rPr>
                <w:rFonts w:hint="eastAsia"/>
                <w:color w:val="auto"/>
              </w:rPr>
              <w:t>2.维护出入口的交通秩序；</w:t>
            </w:r>
          </w:p>
          <w:p>
            <w:pPr>
              <w:spacing w:line="360" w:lineRule="exact"/>
              <w:rPr>
                <w:color w:val="auto"/>
              </w:rPr>
            </w:pPr>
            <w:r>
              <w:rPr>
                <w:rFonts w:hint="eastAsia"/>
                <w:color w:val="auto"/>
              </w:rPr>
              <w:t>3.对外来车辆和人员进行验证和登记；</w:t>
            </w:r>
          </w:p>
          <w:p>
            <w:pPr>
              <w:spacing w:line="360" w:lineRule="exact"/>
              <w:rPr>
                <w:color w:val="auto"/>
              </w:rPr>
            </w:pPr>
            <w:r>
              <w:rPr>
                <w:rFonts w:hint="eastAsia"/>
                <w:color w:val="auto"/>
              </w:rPr>
              <w:t>4.制止身份不明人员、衣冠不整者和闲杂人员进入办公楼；</w:t>
            </w:r>
          </w:p>
          <w:p>
            <w:pPr>
              <w:spacing w:line="360" w:lineRule="exact"/>
              <w:rPr>
                <w:color w:val="auto"/>
              </w:rPr>
            </w:pPr>
            <w:r>
              <w:rPr>
                <w:rFonts w:hint="eastAsia"/>
                <w:color w:val="auto"/>
              </w:rPr>
              <w:t>5.夜间对外来人员进行询问和登记；</w:t>
            </w:r>
          </w:p>
          <w:p>
            <w:pPr>
              <w:spacing w:line="360" w:lineRule="exact"/>
              <w:rPr>
                <w:color w:val="auto"/>
              </w:rPr>
            </w:pPr>
            <w:r>
              <w:rPr>
                <w:rFonts w:hint="eastAsia"/>
                <w:color w:val="auto"/>
              </w:rPr>
              <w:t>6.严禁携带危险物品进入办公楼；</w:t>
            </w:r>
          </w:p>
          <w:p>
            <w:pPr>
              <w:spacing w:line="360" w:lineRule="exact"/>
              <w:rPr>
                <w:color w:val="auto"/>
              </w:rPr>
            </w:pPr>
            <w:r>
              <w:rPr>
                <w:rFonts w:hint="eastAsia"/>
                <w:color w:val="auto"/>
              </w:rPr>
              <w:t>7.遇到大件物品带出办公楼，即与相关人员核实，并作登记；</w:t>
            </w:r>
          </w:p>
          <w:p>
            <w:pPr>
              <w:spacing w:line="360" w:lineRule="exact"/>
              <w:rPr>
                <w:color w:val="auto"/>
              </w:rPr>
            </w:pPr>
            <w:r>
              <w:rPr>
                <w:rFonts w:hint="eastAsia"/>
                <w:color w:val="auto"/>
              </w:rPr>
              <w:t>8.严格监管施工入场流程，确保施工人员按规定秩序办理施工证进场作业，在常规办公时段内，严禁任何施工方进行高噪音作业；</w:t>
            </w:r>
          </w:p>
          <w:p>
            <w:pPr>
              <w:spacing w:line="360" w:lineRule="exact"/>
              <w:rPr>
                <w:color w:val="auto"/>
              </w:rPr>
            </w:pPr>
            <w:r>
              <w:rPr>
                <w:rFonts w:hint="eastAsia"/>
                <w:color w:val="auto"/>
              </w:rPr>
              <w:t>9.为客户提供便利性服务；</w:t>
            </w:r>
          </w:p>
          <w:p>
            <w:pPr>
              <w:spacing w:line="360" w:lineRule="exact"/>
              <w:rPr>
                <w:color w:val="auto"/>
              </w:rPr>
            </w:pPr>
            <w:r>
              <w:rPr>
                <w:rFonts w:hint="eastAsia"/>
                <w:color w:val="auto"/>
              </w:rPr>
              <w:t>10.来访人员须跟来访单位确认并且登记相关信息。</w:t>
            </w:r>
          </w:p>
          <w:p>
            <w:pPr>
              <w:spacing w:line="360" w:lineRule="exact"/>
              <w:rPr>
                <w:color w:val="auto"/>
              </w:rPr>
            </w:pPr>
            <w:r>
              <w:rPr>
                <w:rFonts w:hint="eastAsia"/>
                <w:color w:val="auto"/>
              </w:rPr>
              <w:t>11.地上/地下室人员、车辆安全秩序巡查。</w:t>
            </w:r>
          </w:p>
          <w:p>
            <w:pPr>
              <w:spacing w:line="360" w:lineRule="exact"/>
              <w:rPr>
                <w:color w:val="auto"/>
              </w:rPr>
            </w:pPr>
          </w:p>
          <w:p>
            <w:pPr>
              <w:spacing w:line="360" w:lineRule="exact"/>
              <w:rPr>
                <w:b/>
                <w:bCs/>
                <w:color w:val="auto"/>
              </w:rPr>
            </w:pPr>
            <w:r>
              <w:rPr>
                <w:rFonts w:hint="eastAsia"/>
                <w:b/>
                <w:bCs/>
                <w:color w:val="auto"/>
              </w:rPr>
              <w:t>4、工程维修员工作内容、标准及流程</w:t>
            </w:r>
          </w:p>
          <w:p>
            <w:pPr>
              <w:pStyle w:val="17"/>
              <w:ind w:firstLine="0" w:firstLineChars="0"/>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任职要求</w:t>
            </w:r>
            <w:r>
              <w:rPr>
                <w:rFonts w:hint="eastAsia" w:ascii="Times New Roman" w:hAnsi="Times New Roman" w:cs="Times New Roman"/>
                <w:b w:val="0"/>
                <w:color w:val="auto"/>
                <w:kern w:val="2"/>
                <w:sz w:val="21"/>
                <w:szCs w:val="24"/>
                <w:lang w:val="en-US" w:eastAsia="zh-CN" w:bidi="ar-SA"/>
              </w:rPr>
              <w:t>：</w:t>
            </w:r>
          </w:p>
          <w:p>
            <w:pPr>
              <w:spacing w:line="360" w:lineRule="exact"/>
              <w:jc w:val="left"/>
              <w:rPr>
                <w:color w:val="auto"/>
              </w:rPr>
            </w:pPr>
            <w:r>
              <w:rPr>
                <w:rFonts w:hint="eastAsia"/>
                <w:color w:val="auto"/>
              </w:rPr>
              <w:t>1.</w:t>
            </w:r>
            <w:r>
              <w:rPr>
                <w:rFonts w:hint="eastAsia"/>
                <w:color w:val="auto"/>
                <w:lang w:val="en-US" w:eastAsia="zh-CN"/>
              </w:rPr>
              <w:t>年龄</w:t>
            </w:r>
            <w:r>
              <w:rPr>
                <w:rFonts w:hint="eastAsia"/>
                <w:color w:val="auto"/>
              </w:rPr>
              <w:t>18岁-55</w:t>
            </w:r>
            <w:r>
              <w:rPr>
                <w:rFonts w:hint="eastAsia"/>
                <w:color w:val="auto"/>
                <w:lang w:val="en-US" w:eastAsia="zh-CN"/>
              </w:rPr>
              <w:t>岁</w:t>
            </w:r>
            <w:r>
              <w:rPr>
                <w:rFonts w:hint="eastAsia"/>
                <w:color w:val="auto"/>
              </w:rPr>
              <w:t>，身体健康</w:t>
            </w:r>
            <w:r>
              <w:rPr>
                <w:rFonts w:hint="eastAsia"/>
                <w:color w:val="auto"/>
                <w:lang w:eastAsia="zh-CN"/>
              </w:rPr>
              <w:t>，</w:t>
            </w:r>
            <w:r>
              <w:rPr>
                <w:rFonts w:hint="eastAsia"/>
                <w:color w:val="auto"/>
              </w:rPr>
              <w:t>容貌端正；</w:t>
            </w:r>
          </w:p>
          <w:p>
            <w:pPr>
              <w:spacing w:line="360" w:lineRule="exact"/>
              <w:jc w:val="left"/>
              <w:rPr>
                <w:color w:val="auto"/>
              </w:rPr>
            </w:pPr>
            <w:r>
              <w:rPr>
                <w:rFonts w:hint="eastAsia"/>
                <w:color w:val="auto"/>
              </w:rPr>
              <w:t>2.熟悉水电与设备设施安全制度，日常维护维修，意外事件及紧急事故预防与处理安排；持有低压电工作业《特种作业操作证》</w:t>
            </w:r>
            <w:r>
              <w:rPr>
                <w:rFonts w:hint="eastAsia"/>
                <w:color w:val="auto"/>
                <w:lang w:eastAsia="zh-CN"/>
              </w:rPr>
              <w:t>（</w:t>
            </w:r>
            <w:r>
              <w:rPr>
                <w:rFonts w:hint="eastAsia"/>
                <w:color w:val="000000" w:themeColor="text1"/>
                <w:lang w:val="en-US" w:eastAsia="zh-CN"/>
                <w14:textFill>
                  <w14:solidFill>
                    <w14:schemeClr w14:val="tx1"/>
                  </w14:solidFill>
                </w14:textFill>
              </w:rPr>
              <w:t>必须附上相关证明材料</w:t>
            </w:r>
            <w:r>
              <w:rPr>
                <w:rFonts w:hint="eastAsia"/>
                <w:color w:val="auto"/>
                <w:lang w:val="en-US" w:eastAsia="zh-CN"/>
              </w:rPr>
              <w:t>）</w:t>
            </w:r>
            <w:r>
              <w:rPr>
                <w:rFonts w:hint="eastAsia"/>
                <w:color w:val="auto"/>
              </w:rPr>
              <w:t>；</w:t>
            </w:r>
          </w:p>
          <w:p>
            <w:pPr>
              <w:spacing w:line="360" w:lineRule="exact"/>
              <w:jc w:val="left"/>
              <w:rPr>
                <w:color w:val="auto"/>
              </w:rPr>
            </w:pPr>
            <w:r>
              <w:rPr>
                <w:rFonts w:hint="eastAsia"/>
                <w:color w:val="auto"/>
                <w:lang w:val="en-US" w:eastAsia="zh-CN"/>
              </w:rPr>
              <w:t>3</w:t>
            </w:r>
            <w:r>
              <w:rPr>
                <w:rFonts w:hint="eastAsia"/>
                <w:color w:val="auto"/>
              </w:rPr>
              <w:t>.服从上级领导的指示。</w:t>
            </w:r>
          </w:p>
          <w:p>
            <w:pPr>
              <w:spacing w:line="360" w:lineRule="exact"/>
              <w:jc w:val="left"/>
              <w:rPr>
                <w:color w:val="auto"/>
              </w:rPr>
            </w:pPr>
            <w:r>
              <w:rPr>
                <w:rFonts w:hint="eastAsia"/>
                <w:color w:val="auto"/>
              </w:rPr>
              <w:t>工作内容、标准及流程：</w:t>
            </w:r>
          </w:p>
          <w:p>
            <w:pPr>
              <w:spacing w:line="360" w:lineRule="exact"/>
              <w:rPr>
                <w:color w:val="auto"/>
              </w:rPr>
            </w:pPr>
            <w:r>
              <w:rPr>
                <w:rFonts w:hint="eastAsia"/>
                <w:color w:val="auto"/>
              </w:rPr>
              <w:t>(1)根据所制定的定期巡检日期与办公楼实际情况相结合对所辖责任区进行巡检；</w:t>
            </w:r>
          </w:p>
          <w:p>
            <w:pPr>
              <w:spacing w:line="360" w:lineRule="exact"/>
              <w:rPr>
                <w:color w:val="auto"/>
              </w:rPr>
            </w:pPr>
            <w:r>
              <w:rPr>
                <w:rFonts w:hint="eastAsia"/>
                <w:color w:val="auto"/>
              </w:rPr>
              <w:t xml:space="preserve">(2)巡检内容包括设施设备使用情况及设施设备的运行状况； </w:t>
            </w:r>
          </w:p>
          <w:p>
            <w:pPr>
              <w:spacing w:line="360" w:lineRule="exact"/>
              <w:rPr>
                <w:color w:val="auto"/>
              </w:rPr>
            </w:pPr>
            <w:r>
              <w:rPr>
                <w:rFonts w:hint="eastAsia"/>
                <w:color w:val="auto"/>
              </w:rPr>
              <w:t>(3)设施设备巡检：检查设施设备外观情况，接触运转是否良好，线路是否有异常，机械部分润滑是否良好，运转是否有噪声，密封是否良好，螺丝紧固是否良好，根据检查情况处理隐患。</w:t>
            </w:r>
          </w:p>
          <w:p>
            <w:pPr>
              <w:spacing w:line="360" w:lineRule="exact"/>
              <w:outlineLvl w:val="0"/>
              <w:rPr>
                <w:b/>
                <w:bCs/>
                <w:color w:val="auto"/>
              </w:rPr>
            </w:pPr>
            <w:bookmarkStart w:id="117" w:name="_Toc1801"/>
            <w:r>
              <w:rPr>
                <w:rFonts w:hint="eastAsia"/>
                <w:b/>
                <w:bCs/>
                <w:color w:val="auto"/>
              </w:rPr>
              <w:t>三、紧急事件处理</w:t>
            </w:r>
            <w:bookmarkEnd w:id="117"/>
          </w:p>
          <w:p>
            <w:pPr>
              <w:spacing w:line="360" w:lineRule="exact"/>
              <w:rPr>
                <w:color w:val="auto"/>
              </w:rPr>
            </w:pPr>
            <w:r>
              <w:rPr>
                <w:rFonts w:hint="eastAsia"/>
                <w:color w:val="auto"/>
              </w:rPr>
              <w:t>工作内容：</w:t>
            </w:r>
          </w:p>
          <w:p>
            <w:pPr>
              <w:spacing w:line="360" w:lineRule="exact"/>
              <w:rPr>
                <w:color w:val="auto"/>
              </w:rPr>
            </w:pPr>
            <w:r>
              <w:rPr>
                <w:rFonts w:hint="eastAsia"/>
                <w:color w:val="auto"/>
              </w:rPr>
              <w:t xml:space="preserve">各种紧急事件和突发事件的处理，及时协调各方关系和力量，确保正常办公秩序。 </w:t>
            </w:r>
          </w:p>
          <w:p>
            <w:pPr>
              <w:spacing w:line="360" w:lineRule="exact"/>
              <w:rPr>
                <w:color w:val="auto"/>
              </w:rPr>
            </w:pPr>
            <w:r>
              <w:rPr>
                <w:rFonts w:hint="eastAsia"/>
                <w:color w:val="auto"/>
              </w:rPr>
              <w:t xml:space="preserve">工作要点： </w:t>
            </w:r>
          </w:p>
          <w:p>
            <w:pPr>
              <w:spacing w:line="360" w:lineRule="exact"/>
              <w:rPr>
                <w:color w:val="auto"/>
              </w:rPr>
            </w:pPr>
            <w:r>
              <w:rPr>
                <w:rFonts w:hint="eastAsia"/>
                <w:color w:val="auto"/>
              </w:rPr>
              <w:t xml:space="preserve">1.各安全岗遇紧急突发事件，应作出快速反应，并与机动岗取得联系，以求同伴的快速支援，并通知相关固定岗加强戒备，密切注意事态发展。事件处理后，相关的安全岗也应及时将处理结果反馈上级并做好质量记录； </w:t>
            </w:r>
          </w:p>
          <w:p>
            <w:pPr>
              <w:spacing w:line="360" w:lineRule="exact"/>
              <w:rPr>
                <w:color w:val="auto"/>
              </w:rPr>
            </w:pPr>
            <w:r>
              <w:rPr>
                <w:rFonts w:hint="eastAsia"/>
                <w:color w:val="auto"/>
              </w:rPr>
              <w:t xml:space="preserve">2.经支援人员赶至事件现场，如仍不能得以控制，机动岗应立即向上级报告作整体调度，通知其他备勤人员迅速支援； </w:t>
            </w:r>
          </w:p>
          <w:p>
            <w:pPr>
              <w:spacing w:line="360" w:lineRule="exact"/>
              <w:rPr>
                <w:color w:val="auto"/>
              </w:rPr>
            </w:pPr>
            <w:r>
              <w:rPr>
                <w:rFonts w:hint="eastAsia"/>
                <w:color w:val="auto"/>
              </w:rPr>
              <w:t xml:space="preserve">3.如调动增援人员仍不能控制或解决，则需向社会机构求助，并迅速向客户有关领导和公司相关领导汇报； </w:t>
            </w:r>
          </w:p>
          <w:p>
            <w:pPr>
              <w:spacing w:line="360" w:lineRule="exact"/>
              <w:rPr>
                <w:color w:val="auto"/>
              </w:rPr>
            </w:pPr>
            <w:r>
              <w:rPr>
                <w:rFonts w:hint="eastAsia"/>
                <w:color w:val="auto"/>
              </w:rPr>
              <w:t xml:space="preserve">4.事件处理后，所有人员必须做好详细的质量记录备查； </w:t>
            </w:r>
          </w:p>
          <w:p>
            <w:pPr>
              <w:spacing w:line="360" w:lineRule="exact"/>
              <w:rPr>
                <w:color w:val="auto"/>
              </w:rPr>
            </w:pPr>
            <w:r>
              <w:rPr>
                <w:rFonts w:hint="eastAsia"/>
                <w:color w:val="auto"/>
              </w:rPr>
              <w:t xml:space="preserve">5.固定岗发现非本区域情况，应根据情况报告机动岗或巡逻岗处理，在未经许可下不得擅离岗位； </w:t>
            </w:r>
          </w:p>
          <w:p>
            <w:pPr>
              <w:spacing w:line="360" w:lineRule="exact"/>
              <w:rPr>
                <w:rFonts w:hint="eastAsia" w:eastAsia="宋体"/>
                <w:color w:val="auto"/>
                <w:lang w:eastAsia="zh-CN"/>
              </w:rPr>
            </w:pPr>
            <w:r>
              <w:rPr>
                <w:rFonts w:hint="eastAsia"/>
                <w:color w:val="auto"/>
              </w:rPr>
              <w:t>6.参与处理紧急事件的各安全管理人在事件处理过程中要注意随时保持与机动岗联系，以便机动岗及时作出安排和决策</w:t>
            </w:r>
            <w:r>
              <w:rPr>
                <w:rFonts w:hint="eastAsia"/>
                <w:color w:val="auto"/>
                <w:lang w:eastAsia="zh-CN"/>
              </w:rPr>
              <w:t>。</w:t>
            </w:r>
          </w:p>
          <w:p>
            <w:pPr>
              <w:spacing w:line="360" w:lineRule="exact"/>
              <w:rPr>
                <w:color w:val="auto"/>
              </w:rPr>
            </w:pPr>
          </w:p>
          <w:p>
            <w:pPr>
              <w:pStyle w:val="3"/>
              <w:rPr>
                <w:color w:val="auto"/>
              </w:rPr>
            </w:pPr>
          </w:p>
          <w:p>
            <w:pPr>
              <w:pStyle w:val="3"/>
            </w:pPr>
          </w:p>
          <w:p/>
          <w:p>
            <w:pPr>
              <w:pStyle w:val="2"/>
            </w:pPr>
          </w:p>
          <w:p>
            <w:pPr>
              <w:spacing w:line="360" w:lineRule="exact"/>
              <w:outlineLvl w:val="0"/>
              <w:rPr>
                <w:b/>
                <w:bCs/>
                <w:color w:val="auto"/>
              </w:rPr>
            </w:pPr>
            <w:r>
              <w:rPr>
                <w:rFonts w:hint="eastAsia"/>
                <w:b/>
                <w:bCs/>
                <w:color w:val="auto"/>
              </w:rPr>
              <w:t>四、人员配置合计</w:t>
            </w:r>
            <w:r>
              <w:rPr>
                <w:rFonts w:hint="eastAsia"/>
                <w:b/>
                <w:bCs/>
                <w:color w:val="auto"/>
                <w:lang w:val="en-US" w:eastAsia="zh-CN"/>
              </w:rPr>
              <w:t>7</w:t>
            </w:r>
            <w:r>
              <w:rPr>
                <w:rFonts w:hint="eastAsia"/>
                <w:b/>
                <w:bCs/>
                <w:color w:val="auto"/>
              </w:rPr>
              <w:t>人</w:t>
            </w:r>
          </w:p>
          <w:p>
            <w:pPr>
              <w:spacing w:line="360" w:lineRule="exact"/>
              <w:outlineLvl w:val="0"/>
              <w:rPr>
                <w:color w:val="auto"/>
              </w:rPr>
            </w:pPr>
            <w:r>
              <w:rPr>
                <w:color w:val="auto"/>
              </w:rPr>
              <mc:AlternateContent>
                <mc:Choice Requires="wps">
                  <w:drawing>
                    <wp:anchor distT="0" distB="0" distL="114300" distR="114300" simplePos="0" relativeHeight="251680768" behindDoc="0" locked="0" layoutInCell="1" allowOverlap="1">
                      <wp:simplePos x="0" y="0"/>
                      <wp:positionH relativeFrom="column">
                        <wp:posOffset>1372870</wp:posOffset>
                      </wp:positionH>
                      <wp:positionV relativeFrom="paragraph">
                        <wp:posOffset>161925</wp:posOffset>
                      </wp:positionV>
                      <wp:extent cx="1285875" cy="495300"/>
                      <wp:effectExtent l="12700" t="12700" r="15875" b="25400"/>
                      <wp:wrapNone/>
                      <wp:docPr id="1766771305" name="圆角矩形 5"/>
                      <wp:cNvGraphicFramePr/>
                      <a:graphic xmlns:a="http://schemas.openxmlformats.org/drawingml/2006/main">
                        <a:graphicData uri="http://schemas.microsoft.com/office/word/2010/wordprocessingShape">
                          <wps:wsp>
                            <wps:cNvSpPr/>
                            <wps:spPr>
                              <a:xfrm>
                                <a:off x="0" y="0"/>
                                <a:ext cx="1285875" cy="495300"/>
                              </a:xfrm>
                              <a:prstGeom prst="roundRect">
                                <a:avLst>
                                  <a:gd name="adj" fmla="val 16667"/>
                                </a:avLst>
                              </a:prstGeom>
                              <a:solidFill>
                                <a:srgbClr val="FFFFFF"/>
                              </a:solidFill>
                              <a:ln w="25400" cap="flat" cmpd="sng" algn="ctr">
                                <a:solidFill>
                                  <a:srgbClr val="000000"/>
                                </a:solidFill>
                                <a:prstDash val="solid"/>
                                <a:headEnd type="none" w="med" len="med"/>
                                <a:tailEnd type="none" w="med" len="med"/>
                              </a:ln>
                              <a:effectLst/>
                            </wps:spPr>
                            <wps:txbx>
                              <w:txbxContent>
                                <w:p>
                                  <w:pPr>
                                    <w:ind w:firstLine="240" w:firstLineChars="100"/>
                                    <w:rPr>
                                      <w:sz w:val="28"/>
                                      <w:szCs w:val="28"/>
                                    </w:rPr>
                                  </w:pPr>
                                  <w:r>
                                    <w:rPr>
                                      <w:rFonts w:hint="eastAsia"/>
                                      <w:sz w:val="24"/>
                                    </w:rPr>
                                    <w:t>项目经理1人</w:t>
                                  </w:r>
                                </w:p>
                                <w:p/>
                              </w:txbxContent>
                            </wps:txbx>
                            <wps:bodyPr wrap="square" upright="1"/>
                          </wps:wsp>
                        </a:graphicData>
                      </a:graphic>
                    </wp:anchor>
                  </w:drawing>
                </mc:Choice>
                <mc:Fallback>
                  <w:pict>
                    <v:roundrect id="圆角矩形 5" o:spid="_x0000_s1026" o:spt="2" style="position:absolute;left:0pt;margin-left:108.1pt;margin-top:12.75pt;height:39pt;width:101.25pt;z-index:251680768;mso-width-relative:page;mso-height-relative:page;" fillcolor="#FFFFFF" filled="t" stroked="t" coordsize="21600,21600" arcsize="0.166666666666667" o:gfxdata="UEsDBAoAAAAAAIdO4kAAAAAAAAAAAAAAAAAEAAAAZHJzL1BLAwQUAAAACACHTuJASq//gNgAAAAK&#10;AQAADwAAAGRycy9kb3ducmV2LnhtbE2PTU/DMAyG70j8h8hI3FjSQMtUmu6AhLggJDbYrl6Ttd0a&#10;p2qyD/495gQ3W370+nmrxcUP4uSm2AcykM0UCEdNsD21Bj5XL3dzEDEhWRwCOQPfLsKivr6qsLTh&#10;TB/utEyt4BCKJRroUhpLKWPTOY9xFkZHfNuFyWPidWqlnfDM4X6QWqlCeuyJP3Q4uufONYfl0Rt4&#10;/UK9yeS62OWqwPS+X79ttDbm9iZTTyCSu6Q/GH71WR1qdtqGI9koBgM6KzSjPOQ5CAYesvkjiC2T&#10;6j4HWVfyf4X6B1BLAwQUAAAACACHTuJAt6DZQycCAAA5BAAADgAAAGRycy9lMm9Eb2MueG1srVNL&#10;jhMxEN0jcQfLe9LdmcmHVjqzIIQNghEDB6jY7g/yD9tJJxfgAKyRkGaDOATHGcExKDtNZgZYIEQv&#10;3GW76tWrV67FxV5JshPOd0ZXtBjllAjNDO90U9E3r9eP5pT4AJqDNFpU9CA8vVg+fLDobSnGpjWS&#10;C0cQRPuytxVtQ7BllnnWCgV+ZKzQeFkbpyDg1jUZd9AjupLZOM+nWW8ct84w4T2ero6XdJnw61qw&#10;8LKuvQhEVhS5hbS6tG7imi0XUDYObNuxgQb8AwsFncakJ6gVBCBb1/0GpTrmjDd1GDGjMlPXHROp&#10;BqymyH+p5qoFK1ItKI63J5n8/4NlL3aXjnQcezebTmez4iyfUKJBYa9uPr7//vnDt09fbr5ek0mU&#10;qre+xIgre+mGnUcz1r2vnYp/rIjsk7yHk7xiHwjDw2I8n8xnCM/w7vzx5CxP+me30db58EwYRaJR&#10;UWe2mr/CHiZpYffch6QxHwgCf0tJrSR2bAeSFFOsINJExMEZrZ+YMdIb2fF1J2XauGbzRDqCoRVd&#10;p28IvucmNekrOp6cI1vCAN9oLSGgqSyq5nVDCcgGHz8LLvG8F+3vJsnT96ckkeQKfHskkxCiG5St&#10;AP5UcxIOFjuicYZopKMEp0QKzBqt5Bmgk3/jiZJIHaFFGg/UNCoWO3vsZbTCfrPH02huDD/gC+lx&#10;RLDad1twyGBrXde02KEiFRP98H0m4YdZigNwd59S3E788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Kr/+A2AAAAAoBAAAPAAAAAAAAAAEAIAAAACIAAABkcnMvZG93bnJldi54bWxQSwECFAAUAAAA&#10;CACHTuJAt6DZQycCAAA5BAAADgAAAAAAAAABACAAAAAnAQAAZHJzL2Uyb0RvYy54bWxQSwUGAAAA&#10;AAYABgBZAQAAwAUAAAAA&#10;">
                      <v:fill on="t" focussize="0,0"/>
                      <v:stroke weight="2pt" color="#000000" joinstyle="round"/>
                      <v:imagedata o:title=""/>
                      <o:lock v:ext="edit" aspectratio="f"/>
                      <v:textbox>
                        <w:txbxContent>
                          <w:p>
                            <w:pPr>
                              <w:ind w:firstLine="240" w:firstLineChars="100"/>
                              <w:rPr>
                                <w:sz w:val="28"/>
                                <w:szCs w:val="28"/>
                              </w:rPr>
                            </w:pPr>
                            <w:r>
                              <w:rPr>
                                <w:rFonts w:hint="eastAsia"/>
                                <w:sz w:val="24"/>
                              </w:rPr>
                              <w:t>项目经理1人</w:t>
                            </w:r>
                          </w:p>
                          <w:p/>
                        </w:txbxContent>
                      </v:textbox>
                    </v:roundrect>
                  </w:pict>
                </mc:Fallback>
              </mc:AlternateContent>
            </w:r>
          </w:p>
          <w:p>
            <w:pPr>
              <w:spacing w:line="360" w:lineRule="exact"/>
              <w:outlineLvl w:val="0"/>
              <w:rPr>
                <w:color w:val="auto"/>
              </w:rPr>
            </w:pPr>
          </w:p>
          <w:p>
            <w:pPr>
              <w:spacing w:line="360" w:lineRule="exact"/>
              <w:ind w:left="720"/>
              <w:rPr>
                <w:color w:val="auto"/>
              </w:rPr>
            </w:pPr>
            <w:r>
              <w:rPr>
                <w:color w:val="auto"/>
              </w:rPr>
              <mc:AlternateContent>
                <mc:Choice Requires="wps">
                  <w:drawing>
                    <wp:anchor distT="0" distB="0" distL="114300" distR="114300" simplePos="0" relativeHeight="251681792" behindDoc="0" locked="0" layoutInCell="1" allowOverlap="1">
                      <wp:simplePos x="0" y="0"/>
                      <wp:positionH relativeFrom="column">
                        <wp:posOffset>2023110</wp:posOffset>
                      </wp:positionH>
                      <wp:positionV relativeFrom="paragraph">
                        <wp:posOffset>205740</wp:posOffset>
                      </wp:positionV>
                      <wp:extent cx="90805" cy="476250"/>
                      <wp:effectExtent l="6985" t="4445" r="16510" b="14605"/>
                      <wp:wrapNone/>
                      <wp:docPr id="6" name="下箭头 6"/>
                      <wp:cNvGraphicFramePr/>
                      <a:graphic xmlns:a="http://schemas.openxmlformats.org/drawingml/2006/main">
                        <a:graphicData uri="http://schemas.microsoft.com/office/word/2010/wordprocessingShape">
                          <wps:wsp>
                            <wps:cNvSpPr/>
                            <wps:spPr>
                              <a:xfrm>
                                <a:off x="0" y="0"/>
                                <a:ext cx="90805" cy="476250"/>
                              </a:xfrm>
                              <a:prstGeom prst="downArrow">
                                <a:avLst>
                                  <a:gd name="adj1" fmla="val 50000"/>
                                  <a:gd name="adj2" fmla="val 131118"/>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vert="eaVert" wrap="square" upright="1"/>
                          </wps:wsp>
                        </a:graphicData>
                      </a:graphic>
                    </wp:anchor>
                  </w:drawing>
                </mc:Choice>
                <mc:Fallback>
                  <w:pict>
                    <v:shape id="_x0000_s1026" o:spid="_x0000_s1026" o:spt="67" type="#_x0000_t67" style="position:absolute;left:0pt;margin-left:159.3pt;margin-top:16.2pt;height:37.5pt;width:7.15pt;z-index:251681792;mso-width-relative:page;mso-height-relative:page;" fillcolor="#FFFFFF" filled="t" stroked="t" coordsize="21600,21600" o:gfxdata="UEsDBAoAAAAAAIdO4kAAAAAAAAAAAAAAAAAEAAAAZHJzL1BLAwQUAAAACACHTuJAe6EsetkAAAAK&#10;AQAADwAAAGRycy9kb3ducmV2LnhtbE2Py07DMBBF90j8gzVI7KidpJQS4lQC8dggVbR8wDSePCC2&#10;o9hp2r9nWMFuRnN059xic7K9ONIYOu80JAsFglzlTecaDZ/7l5s1iBDRGey9Iw1nCrApLy8KzI2f&#10;3Qcdd7ERHOJCjhraGIdcylC1ZDEs/ECOb7UfLUZex0aaEWcOt71MlVpJi53jDy0O9NRS9b2brAbC&#10;/nU+y8fbhLb1fvtWT8/vX5PW11eJegAR6RT/YPjVZ3Uo2engJ2eC6DVkyXrFKA/pEgQDWZbegzgw&#10;qe6WIMtC/q9Q/gBQSwMEFAAAAAgAh07iQD1IP9QrAgAAXQQAAA4AAABkcnMvZTJvRG9jLnhtbK1U&#10;Ta7TMBDeI3EHy3uapNBSoqZPiFI2CJ70gP00dhIj/2G7TXoGrsGWt2LBgUBcg7Eb+lrYIIQXztgz&#10;Hn/fN54srwYlyZ47L4yuaDHJKeG6NkzotqJv32weLCjxATQDaTSv6IF7erW6f2/Z25JPTWck445g&#10;Eu3L3la0C8GWWebrjivwE2O5RmdjnIKAS9dmzEGP2ZXMpnk+z3rjmHWm5t7j7vropKuUv2l4HV43&#10;jeeByIoitpBml+ZtnLPVEsrWge1EPcKAf0ChQGi89JRqDQHIzok/UilRO+NNEya1UZlpGlHzxAHZ&#10;FPlvbG46sDxxQXG8Pcnk/1/a+tX+2hHBKjqnRIPCEn37+vHH7efvn76QeZSnt77EqBt77caVRzNy&#10;HRqn4hdZkCFJejhJyodAatx8ki/yGSU1eh49nk9nSfHs7qx1PrzgRpFoVJSZXj91zvRJTNi/9CGp&#10;ykZswN4XlDRKYpH2IMksxzEW8Sxmeh5TPCyKYhGD8N4xJVq/bo75vZGCbYSUaeHa7TPpCOav6CaN&#10;8fBFmNSkR36zaaQH+HQbCQFNZVFMr9vE4OKEP08cgR+hI5aLsAhsDb47AkiuI0MlAnfpwXYc2HPN&#10;SDhYLJjGzqIRjOKMEsmxEaOVIgMI+TeRCELqyJ6npkHdo16x9sdqRysM2wF3o7k17IDvBhsfi8bh&#10;HX4RAbYRUv+wA4d4dtaJtkN3kdSLp/ANpyKM/Rab5HydLrz7K6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hLHrZAAAACgEAAA8AAAAAAAAAAQAgAAAAIgAAAGRycy9kb3ducmV2LnhtbFBLAQIU&#10;ABQAAAAIAIdO4kA9SD/UKwIAAF0EAAAOAAAAAAAAAAEAIAAAACgBAABkcnMvZTJvRG9jLnhtbFBL&#10;BQYAAAAABgAGAFkBAADFBQAAAAA=&#10;" adj="16201,5400">
                      <v:fill on="t" focussize="0,0"/>
                      <v:stroke color="#000000" joinstyle="miter"/>
                      <v:imagedata o:title=""/>
                      <o:lock v:ext="edit" aspectratio="f"/>
                      <v:textbox style="layout-flow:vertical-ideographic;">
                        <w:txbxContent>
                          <w:p/>
                        </w:txbxContent>
                      </v:textbox>
                    </v:shape>
                  </w:pict>
                </mc:Fallback>
              </mc:AlternateContent>
            </w:r>
            <w:r>
              <w:rPr>
                <w:rFonts w:hint="eastAsia"/>
                <w:color w:val="auto"/>
              </w:rPr>
              <w:t xml:space="preserve">                     </w:t>
            </w:r>
          </w:p>
          <w:p>
            <w:pPr>
              <w:spacing w:line="360" w:lineRule="exact"/>
              <w:rPr>
                <w:color w:val="auto"/>
              </w:rPr>
            </w:pPr>
          </w:p>
          <w:p>
            <w:pPr>
              <w:spacing w:line="360" w:lineRule="exact"/>
              <w:rPr>
                <w:color w:val="auto"/>
              </w:rPr>
            </w:pPr>
            <w:r>
              <w:rPr>
                <w:color w:val="auto"/>
              </w:rPr>
              <mc:AlternateContent>
                <mc:Choice Requires="wps">
                  <w:drawing>
                    <wp:anchor distT="0" distB="0" distL="114300" distR="114300" simplePos="0" relativeHeight="251686912" behindDoc="0" locked="0" layoutInCell="1" allowOverlap="1">
                      <wp:simplePos x="0" y="0"/>
                      <wp:positionH relativeFrom="column">
                        <wp:posOffset>2021205</wp:posOffset>
                      </wp:positionH>
                      <wp:positionV relativeFrom="paragraph">
                        <wp:posOffset>228600</wp:posOffset>
                      </wp:positionV>
                      <wp:extent cx="90805" cy="466725"/>
                      <wp:effectExtent l="6985" t="4445" r="16510" b="24130"/>
                      <wp:wrapNone/>
                      <wp:docPr id="13" name="下箭头 13"/>
                      <wp:cNvGraphicFramePr/>
                      <a:graphic xmlns:a="http://schemas.openxmlformats.org/drawingml/2006/main">
                        <a:graphicData uri="http://schemas.microsoft.com/office/word/2010/wordprocessingShape">
                          <wps:wsp>
                            <wps:cNvSpPr/>
                            <wps:spPr>
                              <a:xfrm>
                                <a:off x="0" y="0"/>
                                <a:ext cx="90805" cy="466725"/>
                              </a:xfrm>
                              <a:prstGeom prst="downArrow">
                                <a:avLst>
                                  <a:gd name="adj1" fmla="val 50000"/>
                                  <a:gd name="adj2" fmla="val 128496"/>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vert="eaVert" wrap="square" upright="1"/>
                          </wps:wsp>
                        </a:graphicData>
                      </a:graphic>
                    </wp:anchor>
                  </w:drawing>
                </mc:Choice>
                <mc:Fallback>
                  <w:pict>
                    <v:shape id="_x0000_s1026" o:spid="_x0000_s1026" o:spt="67" type="#_x0000_t67" style="position:absolute;left:0pt;margin-left:159.15pt;margin-top:18pt;height:36.75pt;width:7.15pt;z-index:251686912;mso-width-relative:page;mso-height-relative:page;" fillcolor="#FFFFFF" filled="t" stroked="t" coordsize="21600,21600" o:gfxdata="UEsDBAoAAAAAAIdO4kAAAAAAAAAAAAAAAAAEAAAAZHJzL1BLAwQUAAAACACHTuJAtFkuyNgAAAAK&#10;AQAADwAAAGRycy9kb3ducmV2LnhtbE2Py07DMBBF90j8gzVI7KidRo1KiFMJxGODVNHyAdN48oDY&#10;jmKnaf+e6arsZjRHd84tNifbiyONofNOQ7JQIMhV3nSu0fC9f3tYgwgRncHeO9JwpgCb8vamwNz4&#10;2X3RcRcbwSEu5KihjXHIpQxVSxbDwg/k+Fb70WLkdWykGXHmcNvLpVKZtNg5/tDiQC8tVb+7yWog&#10;7N/ns3xeJbSt99uPenr9/Jm0vr9L1BOISKd4heGiz+pQstPBT84E0WtIk3XKKA8Zd2IgTZcZiAOT&#10;6nEFsizk/wrlH1BLAwQUAAAACACHTuJAmmSycy0CAABfBAAADgAAAGRycy9lMm9Eb2MueG1srVTN&#10;jtMwEL4j8Q6W7zRp2ZZu1XSFKOWCYKUF7lPbSYz8h+1t0mfgNbiyJw48EIjXYOyGbgsXhPDBGXvG&#10;n79vxpPlVa8V2QkfpDUVHY9KSoRhlkvTVPTtm82jOSUhguGgrBEV3YtAr1YPHyw7txAT21rFhScI&#10;YsKicxVtY3SLogisFRrCyDph0FlbryHi0jcF99AhulbFpCxnRWc9d94yEQLurg9Ousr4dS1YfF3X&#10;QUSiKorcYp59nrdpLlZLWDQeXCvZQAP+gYUGafDSI9QaIpBbL/+A0pJ5G2wdR8zqwta1ZCJrQDXj&#10;8jc1Ny04kbVgcoI7pin8P1j2anftieRYu8eUGNBYo29fP/64+/z90xeCe5igzoUFxt24az+sAppJ&#10;bV97nb6og/Q5qftjUkUfCcPNy3JeTilh6LmYzZ5MpgmyuD/rfIgvhNUkGRXltjNPvbddTifsXoaY&#10;88oHcsDfjymptcIy7UCRaYljKONJzOQ0ZjyZX1zOhnsHSGTw6+aEH6ySfCOVygvfbJ8pTxC/ops8&#10;hsNnYcqQDvVNURJhgI+3VhDR1A7TGUyTFZydCKfAifiBOnI5C0vE1hDaA4HsOijUMgqfn2wrgD83&#10;nMS9w4oZ7C2ayGjBKVECWzFZOTKCVH8TiSSUSepFbhvMe6pTqv2h2smK/bbH3WRuLd/jy8HWx6IJ&#10;eIdfZICNhNI/3IJHPrfOy6ZF9zhnL53CV5yLP3RcapPTdb7w/r+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WS7I2AAAAAoBAAAPAAAAAAAAAAEAIAAAACIAAABkcnMvZG93bnJldi54bWxQSwEC&#10;FAAUAAAACACHTuJAmmSycy0CAABfBAAADgAAAAAAAAABACAAAAAnAQAAZHJzL2Uyb0RvYy54bWxQ&#10;SwUGAAAAAAYABgBZAQAAxgUAAAAA&#10;" adj="16201,5400">
                      <v:fill on="t" focussize="0,0"/>
                      <v:stroke color="#000000" joinstyle="miter"/>
                      <v:imagedata o:title=""/>
                      <o:lock v:ext="edit" aspectratio="f"/>
                      <v:textbox style="layout-flow:vertical-ideographic;">
                        <w:txbxContent>
                          <w:p/>
                        </w:txbxContent>
                      </v:textbox>
                    </v:shape>
                  </w:pict>
                </mc:Fallback>
              </mc:AlternateContent>
            </w:r>
            <w:r>
              <w:rPr>
                <w:color w:val="auto"/>
              </w:rPr>
              <mc:AlternateContent>
                <mc:Choice Requires="wps">
                  <w:drawing>
                    <wp:anchor distT="0" distB="0" distL="114300" distR="114300" simplePos="0" relativeHeight="251682816" behindDoc="0" locked="0" layoutInCell="1" allowOverlap="1">
                      <wp:simplePos x="0" y="0"/>
                      <wp:positionH relativeFrom="column">
                        <wp:posOffset>636270</wp:posOffset>
                      </wp:positionH>
                      <wp:positionV relativeFrom="paragraph">
                        <wp:posOffset>222250</wp:posOffset>
                      </wp:positionV>
                      <wp:extent cx="2718435" cy="0"/>
                      <wp:effectExtent l="0" t="0" r="0" b="0"/>
                      <wp:wrapNone/>
                      <wp:docPr id="8" name="直接箭头连接符 2"/>
                      <wp:cNvGraphicFramePr/>
                      <a:graphic xmlns:a="http://schemas.openxmlformats.org/drawingml/2006/main">
                        <a:graphicData uri="http://schemas.microsoft.com/office/word/2010/wordprocessingShape">
                          <wps:wsp>
                            <wps:cNvCnPr/>
                            <wps:spPr>
                              <a:xfrm>
                                <a:off x="0" y="0"/>
                                <a:ext cx="27184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2" o:spid="_x0000_s1026" o:spt="32" type="#_x0000_t32" style="position:absolute;left:0pt;margin-left:50.1pt;margin-top:17.5pt;height:0pt;width:214.05pt;z-index:251682816;mso-width-relative:page;mso-height-relative:page;" filled="f" stroked="t" coordsize="21600,21600" o:gfxdata="UEsDBAoAAAAAAIdO4kAAAAAAAAAAAAAAAAAEAAAAZHJzL1BLAwQUAAAACACHTuJAFZnvWtYAAAAJ&#10;AQAADwAAAGRycy9kb3ducmV2LnhtbE2PwU7DMBBE70j9B2uRuCBqJ1VQSeNUFRIHjrSVuLrxkqTE&#10;6yh2mtKvZ1EP5TizT7MzxfrsOnHCIbSeNCRzBQKp8ralWsN+9/a0BBGiIWs6T6jhBwOsy9ldYXLr&#10;J/rA0zbWgkMo5EZDE2OfSxmqBp0Jc98j8e3LD85ElkMt7WAmDnedTJV6ls60xB8a0+Nrg9X3dnQa&#10;MIxZojYvrt6/X6bHz/RynPqd1g/3iVqBiHiONxj+6nN1KLnTwY9kg+hYK5UyqmGR8SYGsnS5AHG4&#10;GrIs5P8F5S9QSwMEFAAAAAgAh07iQHTQ6gLnAQAArAMAAA4AAABkcnMvZTJvRG9jLnhtbK1TS44T&#10;MRDdI3EHy3vSSWBgaKUzi4RhgyASzAEqtrvbkn9ymXRyCS6AxApYAavZcxpmOAZlJxMG2CBEL9xV&#10;Lteres/l2dnWGrZREbV3DZ+MxpwpJ7zUrmv4xavze6ecYQInwXinGr5TyM/md+/MhlCrqe+9kSoy&#10;AnFYD6HhfUqhrioUvbKAIx+Uo2Dro4VEbuwqGWEgdGuq6Xj8sBp8lCF6oRBpd7kP8nnBb1sl0ou2&#10;RZWYaTj1lsoay7rOazWfQd1FCL0WhzbgH7qwoB0VPUItIQF7HfUfUFaL6NG3aSS8rXzbaqEKB2Iz&#10;Gf/G5mUPQRUuJA6Go0z4/2DF880qMi0bThflwNIVXb+9vHrz4frL52/vL79/fZftTx/ZNEs1BKwp&#10;Y+FW8eBhWMXMe9tGm//EiG2LvLujvGqbmKDN6aPJ6YP7J5yJm1j1MzFETE+VtywbDccUQXd9Wnjn&#10;6BJ9nBR5YfMME5WmxJuEXNU4NjT88ck0gwONUWsgkWkDEUPXlVz0RstzbUzOwNitFyayDeTBKF8m&#10;SLi/HMtFloD9/lwJ7UemVyCfOMnSLpBkjmab5xaskpwZRU8hWwQIdQJt/uYklTYuJ6gytgeeWfG9&#10;xtlae7kr0lfZo5EoHR/GN8/cbZ/s249s/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Vme9a1gAA&#10;AAkBAAAPAAAAAAAAAAEAIAAAACIAAABkcnMvZG93bnJldi54bWxQSwECFAAUAAAACACHTuJAdNDq&#10;AucBAACsAwAADgAAAAAAAAABACAAAAAlAQAAZHJzL2Uyb0RvYy54bWxQSwUGAAAAAAYABgBZAQAA&#10;f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83840" behindDoc="0" locked="0" layoutInCell="1" allowOverlap="1">
                      <wp:simplePos x="0" y="0"/>
                      <wp:positionH relativeFrom="column">
                        <wp:posOffset>565785</wp:posOffset>
                      </wp:positionH>
                      <wp:positionV relativeFrom="paragraph">
                        <wp:posOffset>212725</wp:posOffset>
                      </wp:positionV>
                      <wp:extent cx="90805" cy="466725"/>
                      <wp:effectExtent l="6985" t="4445" r="16510" b="24130"/>
                      <wp:wrapNone/>
                      <wp:docPr id="7" name="下箭头 7"/>
                      <wp:cNvGraphicFramePr/>
                      <a:graphic xmlns:a="http://schemas.openxmlformats.org/drawingml/2006/main">
                        <a:graphicData uri="http://schemas.microsoft.com/office/word/2010/wordprocessingShape">
                          <wps:wsp>
                            <wps:cNvSpPr/>
                            <wps:spPr>
                              <a:xfrm>
                                <a:off x="0" y="0"/>
                                <a:ext cx="90805" cy="466725"/>
                              </a:xfrm>
                              <a:prstGeom prst="downArrow">
                                <a:avLst>
                                  <a:gd name="adj1" fmla="val 50000"/>
                                  <a:gd name="adj2" fmla="val 128496"/>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vert="eaVert" wrap="square" upright="1"/>
                          </wps:wsp>
                        </a:graphicData>
                      </a:graphic>
                    </wp:anchor>
                  </w:drawing>
                </mc:Choice>
                <mc:Fallback>
                  <w:pict>
                    <v:shape id="_x0000_s1026" o:spid="_x0000_s1026" o:spt="67" type="#_x0000_t67" style="position:absolute;left:0pt;margin-left:44.55pt;margin-top:16.75pt;height:36.75pt;width:7.15pt;z-index:251683840;mso-width-relative:page;mso-height-relative:page;" fillcolor="#FFFFFF" filled="t" stroked="t" coordsize="21600,21600" o:gfxdata="UEsDBAoAAAAAAIdO4kAAAAAAAAAAAAAAAAAEAAAAZHJzL1BLAwQUAAAACACHTuJAVOq1KtcAAAAJ&#10;AQAADwAAAGRycy9kb3ducmV2LnhtbE2PzU7DMBCE70i8g7VI3KgdQqGEOJVA/FwqVbQ8wDbZ/IC9&#10;jmKnad8e5wS3Wc1o5tt8fbJGHGnwnWMNyUKBIC5d1XGj4Wv/drMC4QNyhcYxaTiTh3VxeZFjVrmJ&#10;P+m4C42IJewz1NCG0GdS+rIli37heuLo1W6wGOI5NLIacIrl1shbpe6lxY7jQos9vbRU/uxGq4HQ&#10;vE9n+bxMaFvvtx/1+Lr5HrW+vkrUE4hAp/AXhhk/okMRmQ5u5MoLo2H1mMSkhjRdgph9ld6BOMzi&#10;QYEscvn/g+IXUEsDBBQAAAAIAIdO4kBP9V7zLAIAAF0EAAAOAAAAZHJzL2Uyb0RvYy54bWytVEuO&#10;EzEQ3SNxB8t70p1o8pkonREihA2CkQbYV2x32sg/bCfdOQPXYAurWXAgENeg7DSZBDYI4YW77Co/&#10;v1fl6sVNpxXZCx+kNRUdDkpKhGGWS7Ot6Ns36yczSkIEw0FZIyp6EIHeLB8/WrRuLka2sYoLTxDE&#10;hHnrKtrE6OZFEVgjNISBdcKgs7ZeQ8Sl3xbcQ4voWhWjspwUrfXcectECLi7OjrpMuPXtWDxdV0H&#10;EYmqKHKLefZ53qS5WC5gvvXgGsl6GvAPLDRIg5eeoFYQgey8/ANKS+ZtsHUcMKsLW9eSiawB1QzL&#10;39TcNeBE1oLJCe6UpvD/YNmr/a0nkld0SokBjSX69vXjjy+fv3+6J9OUntaFOUbduVvfrwKaSWtX&#10;e52+qIJ0OaWHU0pFFwnDzetyVo4pYei5mkymo3GCLB7OOh/iC2E1SUZFuW3NU+9tm5MJ+5ch5qzy&#10;nhvw90NKaq2wSHtQZFzi6It4FjM6jxmOZlfXk/7eHhIZ/Lo54QerJF9LpfLCbzfPlCeIX9F1Hv3h&#10;izBlSIv6xiiJMMCnWyuIaGqHyQxmmxVcnAjnwIn4kTpyuQhLxFYQmiOB7Doq1DIKnx9sI4A/N5zE&#10;g8OCGewsmshowSlRAhsxWTkyglR/E4kklEnqRW4azHuqU6r9sdrJit2mw91kbiw/4LvBxseiCXiH&#10;X2SAbYTSP+zAI5+d83LboHuYs5dO4RvOxe/7LTXJ+Tpf+PBXWP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Oq1KtcAAAAJAQAADwAAAAAAAAABACAAAAAiAAAAZHJzL2Rvd25yZXYueG1sUEsBAhQA&#10;FAAAAAgAh07iQE/1XvMsAgAAXQQAAA4AAAAAAAAAAQAgAAAAJgEAAGRycy9lMm9Eb2MueG1sUEsF&#10;BgAAAAAGAAYAWQEAAMQFAAAAAA==&#10;" adj="16201,5400">
                      <v:fill on="t" focussize="0,0"/>
                      <v:stroke color="#000000" joinstyle="miter"/>
                      <v:imagedata o:title=""/>
                      <o:lock v:ext="edit" aspectratio="f"/>
                      <v:textbox style="layout-flow:vertical-ideographic;">
                        <w:txbxContent>
                          <w:p/>
                        </w:txbxContent>
                      </v:textbox>
                    </v:shape>
                  </w:pict>
                </mc:Fallback>
              </mc:AlternateContent>
            </w:r>
          </w:p>
          <w:p>
            <w:pPr>
              <w:spacing w:line="360" w:lineRule="exact"/>
              <w:rPr>
                <w:color w:val="auto"/>
              </w:rPr>
            </w:pPr>
            <w:r>
              <w:rPr>
                <w:color w:val="auto"/>
              </w:rPr>
              <mc:AlternateContent>
                <mc:Choice Requires="wps">
                  <w:drawing>
                    <wp:anchor distT="0" distB="0" distL="114300" distR="114300" simplePos="0" relativeHeight="251687936" behindDoc="0" locked="0" layoutInCell="1" allowOverlap="1">
                      <wp:simplePos x="0" y="0"/>
                      <wp:positionH relativeFrom="column">
                        <wp:posOffset>3310255</wp:posOffset>
                      </wp:positionH>
                      <wp:positionV relativeFrom="paragraph">
                        <wp:posOffset>8890</wp:posOffset>
                      </wp:positionV>
                      <wp:extent cx="90805" cy="466725"/>
                      <wp:effectExtent l="6985" t="4445" r="16510" b="24130"/>
                      <wp:wrapNone/>
                      <wp:docPr id="11" name="下箭头 11"/>
                      <wp:cNvGraphicFramePr/>
                      <a:graphic xmlns:a="http://schemas.openxmlformats.org/drawingml/2006/main">
                        <a:graphicData uri="http://schemas.microsoft.com/office/word/2010/wordprocessingShape">
                          <wps:wsp>
                            <wps:cNvSpPr/>
                            <wps:spPr>
                              <a:xfrm>
                                <a:off x="0" y="0"/>
                                <a:ext cx="90805" cy="466725"/>
                              </a:xfrm>
                              <a:prstGeom prst="downArrow">
                                <a:avLst>
                                  <a:gd name="adj1" fmla="val 50000"/>
                                  <a:gd name="adj2" fmla="val 128496"/>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vert="eaVert" wrap="square" upright="1"/>
                          </wps:wsp>
                        </a:graphicData>
                      </a:graphic>
                    </wp:anchor>
                  </w:drawing>
                </mc:Choice>
                <mc:Fallback>
                  <w:pict>
                    <v:shape id="_x0000_s1026" o:spid="_x0000_s1026" o:spt="67" type="#_x0000_t67" style="position:absolute;left:0pt;margin-left:260.65pt;margin-top:0.7pt;height:36.75pt;width:7.15pt;z-index:251687936;mso-width-relative:page;mso-height-relative:page;" fillcolor="#FFFFFF" filled="t" stroked="t" coordsize="21600,21600" o:gfxdata="UEsDBAoAAAAAAIdO4kAAAAAAAAAAAAAAAAAEAAAAZHJzL1BLAwQUAAAACACHTuJAWCMq9dcAAAAI&#10;AQAADwAAAGRycy9kb3ducmV2LnhtbE2Py07DMBBF90j8gzVI7KiTtiklxKkE4rFBqmj7AdN48gB7&#10;HMVO0/49ZgXL0bm690yxOVsjTjT4zrGCdJaAIK6c7rhRcNi/3q1B+ICs0TgmBRfysCmvrwrMtZv4&#10;k0670IhYwj5HBW0IfS6lr1qy6GeuJ46sdoPFEM+hkXrAKZZbI+dJspIWO44LLfb03FL1vRutAkLz&#10;Nl3kU5bStt5v3+vx5eNrVOr2Jk0eQQQ6h78w/OpHdSij09GNrL0wCrJ5uojRCJYgIs8W2QrEUcH9&#10;8gFkWcj/D5Q/UEsDBBQAAAAIAIdO4kBrIE00KgIAAF8EAAAOAAAAZHJzL2Uyb0RvYy54bWytVMuO&#10;0zAU3SPxD5b3NGk1LZ2q6QhRygbBSAPsb20nMfIL223Sb+A32MKKBR8E4je4dkOnhQ1CeOFc29fH&#10;59xHlje9VmQvfJDWVHQ8KikRhlkuTVPRN683j+aUhAiGg7JGVPQgAr1ZPXyw7NxCTGxrFReeIIgJ&#10;i85VtI3RLYoisFZoCCPrhMHD2noNEZe+KbiHDtG1KiZlOSs667nzlokQcHd9PKSrjF/XgsVXdR1E&#10;JKqiyC3m2ed5m+ZitYRF48G1kg004B9YaJAGHz1BrSEC2Xn5B5SWzNtg6zhiVhe2riUTWQOqGZe/&#10;qblrwYmsBYMT3ClM4f/Bspf7W08kx9yNKTGgMUffvn748fnT949fCO5hgDoXFuh35279sApoJrV9&#10;7XX6og7S56AeTkEVfSQMN6/LeTmlhOHJ1Wz2eDJNkMX9XedDfC6sJsmoKLedeeK97XI4Yf8ixBxX&#10;PpAD/g6J1lphmvagyLTEMaTxzGdy7jOezK+uZ8O7AyQy+PVywg9WSb6RSuWFb7ZPlSeIX9FNHsPl&#10;CzdlSIf6piiJMMDirRVENLXDcAbTZAUXN8I5cCJ+pI5cLtwSsTWE9kggHx0VahmFzyXbCuDPDCfx&#10;4DBjBnuLJjJacEqUwFZMVvaMINXfeCIJZZJ6kdsG457ylHJ/zHayYr/tcTeZW8sPWDnY+pg0AW/x&#10;iwywkVD6+x145LNzXjYtHucqylBYxTn5Q8elNjlf5wfv/wu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gjKvXXAAAACAEAAA8AAAAAAAAAAQAgAAAAIgAAAGRycy9kb3ducmV2LnhtbFBLAQIUABQA&#10;AAAIAIdO4kBrIE00KgIAAF8EAAAOAAAAAAAAAAEAIAAAACYBAABkcnMvZTJvRG9jLnhtbFBLBQYA&#10;AAAABgAGAFkBAADCBQAAAAA=&#10;" adj="16201,5400">
                      <v:fill on="t" focussize="0,0"/>
                      <v:stroke color="#000000" joinstyle="miter"/>
                      <v:imagedata o:title=""/>
                      <o:lock v:ext="edit" aspectratio="f"/>
                      <v:textbox style="layout-flow:vertical-ideographic;">
                        <w:txbxContent>
                          <w:p/>
                        </w:txbxContent>
                      </v:textbox>
                    </v:shape>
                  </w:pict>
                </mc:Fallback>
              </mc:AlternateContent>
            </w:r>
          </w:p>
          <w:p>
            <w:pPr>
              <w:spacing w:line="360" w:lineRule="exact"/>
              <w:rPr>
                <w:color w:val="auto"/>
              </w:rPr>
            </w:pPr>
            <w:r>
              <w:rPr>
                <w:color w:val="auto"/>
              </w:rPr>
              <mc:AlternateContent>
                <mc:Choice Requires="wps">
                  <w:drawing>
                    <wp:anchor distT="0" distB="0" distL="114300" distR="114300" simplePos="0" relativeHeight="251684864" behindDoc="0" locked="0" layoutInCell="1" allowOverlap="1">
                      <wp:simplePos x="0" y="0"/>
                      <wp:positionH relativeFrom="column">
                        <wp:posOffset>217170</wp:posOffset>
                      </wp:positionH>
                      <wp:positionV relativeFrom="paragraph">
                        <wp:posOffset>224790</wp:posOffset>
                      </wp:positionV>
                      <wp:extent cx="940435" cy="840105"/>
                      <wp:effectExtent l="12700" t="12700" r="18415" b="23495"/>
                      <wp:wrapNone/>
                      <wp:docPr id="10" name="圆角矩形 10"/>
                      <wp:cNvGraphicFramePr/>
                      <a:graphic xmlns:a="http://schemas.openxmlformats.org/drawingml/2006/main">
                        <a:graphicData uri="http://schemas.microsoft.com/office/word/2010/wordprocessingShape">
                          <wps:wsp>
                            <wps:cNvSpPr/>
                            <wps:spPr>
                              <a:xfrm>
                                <a:off x="0" y="0"/>
                                <a:ext cx="940435" cy="840105"/>
                              </a:xfrm>
                              <a:prstGeom prst="roundRect">
                                <a:avLst>
                                  <a:gd name="adj" fmla="val 16667"/>
                                </a:avLst>
                              </a:prstGeom>
                              <a:solidFill>
                                <a:srgbClr val="FFFFFF"/>
                              </a:solidFill>
                              <a:ln w="25400" cap="flat" cmpd="sng" algn="ctr">
                                <a:solidFill>
                                  <a:srgbClr val="000000"/>
                                </a:solidFill>
                                <a:prstDash val="solid"/>
                                <a:headEnd type="none" w="med" len="med"/>
                                <a:tailEnd type="none" w="med" len="med"/>
                              </a:ln>
                              <a:effectLst/>
                            </wps:spPr>
                            <wps:txbx>
                              <w:txbxContent>
                                <w:p/>
                                <w:p>
                                  <w:r>
                                    <w:rPr>
                                      <w:rFonts w:hint="eastAsia"/>
                                    </w:rPr>
                                    <w:t xml:space="preserve"> 保安</w:t>
                                  </w:r>
                                  <w:r>
                                    <w:rPr>
                                      <w:rFonts w:hint="eastAsia"/>
                                      <w:lang w:val="en-US" w:eastAsia="zh-CN"/>
                                    </w:rPr>
                                    <w:t>3</w:t>
                                  </w:r>
                                  <w:r>
                                    <w:rPr>
                                      <w:rFonts w:hint="eastAsia"/>
                                    </w:rPr>
                                    <w:t>人</w:t>
                                  </w:r>
                                </w:p>
                              </w:txbxContent>
                            </wps:txbx>
                            <wps:bodyPr wrap="square" upright="1"/>
                          </wps:wsp>
                        </a:graphicData>
                      </a:graphic>
                    </wp:anchor>
                  </w:drawing>
                </mc:Choice>
                <mc:Fallback>
                  <w:pict>
                    <v:roundrect id="_x0000_s1026" o:spid="_x0000_s1026" o:spt="2" style="position:absolute;left:0pt;margin-left:17.1pt;margin-top:17.7pt;height:66.15pt;width:74.05pt;z-index:251684864;mso-width-relative:page;mso-height-relative:page;" fillcolor="#FFFFFF" filled="t" stroked="t" coordsize="21600,21600" arcsize="0.166666666666667" o:gfxdata="UEsDBAoAAAAAAIdO4kAAAAAAAAAAAAAAAAAEAAAAZHJzL1BLAwQUAAAACACHTuJAUD3s79gAAAAJ&#10;AQAADwAAAGRycy9kb3ducmV2LnhtbE2PzU7DMBCE70i8g7VI3Kgdt02rEKcHJMQFIVGgvW7jbRKI&#10;11Hs/vD2uCd62l3NaPabcnV2vTjSGDrPBrKJAkFce9txY+Dz4/lhCSJEZIu9ZzLwSwFW1e1NiYX1&#10;J36n4zo2IoVwKNBAG+NQSBnqlhyGiR+Ik7b3o8OYzrGRdsRTCne91Erl0mHH6UOLAz21VP+sD87A&#10;yxfqbSY3+X6ucoxv35vXrdbG3N9l6hFEpHP8N8MFP6FDlZh2/sA2iN7AdKaTM835DMRFX+opiF1a&#10;8sUCZFXK6wbVH1BLAwQUAAAACACHTuJAojgcbiACAAAxBAAADgAAAGRycy9lMm9Eb2MueG1srVNL&#10;jhMxEN0jcQfLe9KdkIShlc4sCGGDYMTAASq2u9vIP2wnnVyAA7BGQpoN4hAcZwTHoOw0mRlggRC9&#10;cJftqldV77kW53utyE74IK2p6XhUUiIMs1yatqZvXq8fnFESIhgOyhpR04MI9Hx5/96id5WY2M4q&#10;LjxBEBOq3tW0i9FVRRFYJzSEkXXC4GVjvYaIW98W3EOP6FoVk7KcF7313HnLRAh4ujpe0mXGbxrB&#10;4sumCSISVVOsLebV53WT1mK5gKr14DrJhjLgH6rQIA0mPUGtIALZevkblJbM22CbOGJWF7ZpJBO5&#10;B+xmXP7SzWUHTuRekJzgTjSF/wfLXuwuPJEctUN6DGjU6Prj+++fP3z79OX66xXBY+Sod6FC10t3&#10;4YddQDM1vG+8Tn9shewzr4cTr2IfCcPDx9Ny+nBGCcOrsyn2OUuYxU2w8yE+E1aTZNTU263hr1C7&#10;TCnsnoeYueVDgcDfUtJohUrtQJHxfD5/NCAOzoj9EzNFBqskX0ul8sa3myfKEwyt6Tp/Q/AdN2VI&#10;X9PJbFoiMQzwbTYKIpraIVvBtJSAavHRs+hznXeiw+0kZf7+lCQVuYLQHYvJCMkNqk4Af2o4iQeH&#10;ihicHZrK0YJTogRmTVb2jCDV33giJcokaJHHAjlNGiRhj1ImK+43ezxN5sbyA76MHkcDu323BY8V&#10;bJ2XbYcKjXMzyQ/fZZZymKH08G/vc4qbS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A97O/Y&#10;AAAACQEAAA8AAAAAAAAAAQAgAAAAIgAAAGRycy9kb3ducmV2LnhtbFBLAQIUABQAAAAIAIdO4kCi&#10;OBxuIAIAADEEAAAOAAAAAAAAAAEAIAAAACcBAABkcnMvZTJvRG9jLnhtbFBLBQYAAAAABgAGAFkB&#10;AAC5BQAAAAA=&#10;">
                      <v:fill on="t" focussize="0,0"/>
                      <v:stroke weight="2pt" color="#000000" joinstyle="round"/>
                      <v:imagedata o:title=""/>
                      <o:lock v:ext="edit" aspectratio="f"/>
                      <v:textbox>
                        <w:txbxContent>
                          <w:p/>
                          <w:p>
                            <w:r>
                              <w:rPr>
                                <w:rFonts w:hint="eastAsia"/>
                              </w:rPr>
                              <w:t xml:space="preserve"> 保安</w:t>
                            </w:r>
                            <w:r>
                              <w:rPr>
                                <w:rFonts w:hint="eastAsia"/>
                                <w:lang w:val="en-US" w:eastAsia="zh-CN"/>
                              </w:rPr>
                              <w:t>3</w:t>
                            </w:r>
                            <w:r>
                              <w:rPr>
                                <w:rFonts w:hint="eastAsia"/>
                              </w:rPr>
                              <w:t>人</w:t>
                            </w:r>
                          </w:p>
                        </w:txbxContent>
                      </v:textbox>
                    </v:roundrect>
                  </w:pict>
                </mc:Fallback>
              </mc:AlternateContent>
            </w:r>
          </w:p>
          <w:p>
            <w:pPr>
              <w:spacing w:line="360" w:lineRule="exact"/>
              <w:rPr>
                <w:color w:val="auto"/>
              </w:rPr>
            </w:pPr>
            <w:r>
              <w:rPr>
                <w:color w:val="auto"/>
              </w:rPr>
              <mc:AlternateContent>
                <mc:Choice Requires="wps">
                  <w:drawing>
                    <wp:anchor distT="0" distB="0" distL="114300" distR="114300" simplePos="0" relativeHeight="251688960" behindDoc="0" locked="0" layoutInCell="1" allowOverlap="1">
                      <wp:simplePos x="0" y="0"/>
                      <wp:positionH relativeFrom="column">
                        <wp:posOffset>2807335</wp:posOffset>
                      </wp:positionH>
                      <wp:positionV relativeFrom="paragraph">
                        <wp:posOffset>34925</wp:posOffset>
                      </wp:positionV>
                      <wp:extent cx="971550" cy="815975"/>
                      <wp:effectExtent l="12700" t="12700" r="25400" b="28575"/>
                      <wp:wrapNone/>
                      <wp:docPr id="16" name="流程图: 可选过程 1"/>
                      <wp:cNvGraphicFramePr/>
                      <a:graphic xmlns:a="http://schemas.openxmlformats.org/drawingml/2006/main">
                        <a:graphicData uri="http://schemas.microsoft.com/office/word/2010/wordprocessingShape">
                          <wps:wsp>
                            <wps:cNvSpPr/>
                            <wps:spPr>
                              <a:xfrm>
                                <a:off x="0" y="0"/>
                                <a:ext cx="971550" cy="815975"/>
                              </a:xfrm>
                              <a:prstGeom prst="flowChartAlternateProcess">
                                <a:avLst/>
                              </a:prstGeom>
                              <a:solidFill>
                                <a:srgbClr val="FFFFFF"/>
                              </a:solidFill>
                              <a:ln w="25400" cap="flat" cmpd="sng" algn="ctr">
                                <a:solidFill>
                                  <a:srgbClr val="000000"/>
                                </a:solidFill>
                                <a:prstDash val="solid"/>
                              </a:ln>
                              <a:effectLst/>
                            </wps:spPr>
                            <wps:txbx>
                              <w:txbxContent>
                                <w:p>
                                  <w:pPr>
                                    <w:jc w:val="center"/>
                                    <w:rPr>
                                      <w:outline/>
                                      <w:color w:val="FFFFFF"/>
                                      <w14:textOutline w14:w="9525" w14:cap="flat" w14:cmpd="sng" w14:algn="ctr">
                                        <w14:solidFill>
                                          <w14:srgbClr w14:val="FFFFFF"/>
                                        </w14:solidFill>
                                        <w14:prstDash w14:val="solid"/>
                                        <w14:round/>
                                      </w14:textOutline>
                                      <w14:textFill>
                                        <w14:noFill/>
                                      </w14:textFill>
                                    </w:rPr>
                                  </w:pPr>
                                  <w:r>
                                    <w:rPr>
                                      <w:rFonts w:hint="eastAsia"/>
                                    </w:rPr>
                                    <w:t>工程维修员1人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 o:spid="_x0000_s1026" o:spt="176" type="#_x0000_t176" style="position:absolute;left:0pt;margin-left:221.05pt;margin-top:2.75pt;height:64.25pt;width:76.5pt;z-index:251688960;v-text-anchor:middle;mso-width-relative:page;mso-height-relative:page;" fillcolor="#FFFFFF" filled="t" stroked="t" coordsize="21600,21600" o:gfxdata="UEsDBAoAAAAAAIdO4kAAAAAAAAAAAAAAAAAEAAAAZHJzL1BLAwQUAAAACACHTuJAm/9ONtUAAAAJ&#10;AQAADwAAAGRycy9kb3ducmV2LnhtbE2Py07DMBBF90j8gzVI7KidkBQIcbpACgvEpmk/wI3dOCKe&#10;iWL3wd8zrGB5dY/unKk31zCJs1viSKghWykQDnuyIw4a9rv24RlETAatmQidhm8XYdPc3tSmsnTB&#10;rTt3aRA8grEyGnxKcyVl7L0LJq5odsjdkZZgEsdlkHYxFx4Pk8yVWstgRuQL3szuzbv+qzsFDU+5&#10;V92E88fnepdv8UjtO1Gr9f1dpl5BJHdNfzD86rM6NOx0oBPaKCYNRZFnjGooSxDcly8l5wODj4UC&#10;2dTy/wfND1BLAwQUAAAACACHTuJAf/nOAncCAADOBAAADgAAAGRycy9lMm9Eb2MueG1srVTLbhMx&#10;FN0j8Q+W92QyUdJH1EkVJQpCqmikglg7Hjszkl9cO5mUFawQYsEH8APsWLGFrymPv+DaM21T6Aox&#10;C+de3/fxuTk53WlFtgJ8bU1B816fEmG4LWuzLujzZ4tHR5T4wEzJlDWioJfC09PJwwcnjRuLga2s&#10;KgUQTGL8uHEFrUJw4yzzvBKa+Z51wqBRWtAsoArrrATWYHatskG/f5A1FkoHlgvv8XbeGukk5ZdS&#10;8HAupReBqIJibyGdkM5VPLPJCRuvgbmq5l0b7B+60Kw2WPQm1ZwFRjZQ/5VK1xystzL0uNWZlbLm&#10;Is2A0+T9P6a5qJgTaRYEx7sbmPz/S8ufbpdA6hLf7oASwzS+0fcvb358en/18euYXH34/Ov1u5/f&#10;3uIFySNajfNjDLpwS+g0j2IcfSdBx18ciuwSwpc3CItdIBwvjw/z0QjfgaPpKB8dH45izuw22IEP&#10;j4XVJAoFlco2s4pBmKogwLAglu1bJ7DZ9syHNv46LjbgrarLRa1UUmC9mikgW4YMWKSvK3nHTRnS&#10;FHQwGvZjdwyZKBULKGqH2HizpoSpNVKcB0i170T7/SL99N1XJDY5Z75qm0kZOjdlYq8iEbabKQLd&#10;QhulsFvtOrxXtrzENwPbktk7vqgx8RnzYckA2YsT4EaGczwifgW1nURJZeHVfffRH0mFVkoa3AYc&#10;+eWGgaBEPTFIt+N8OIzrk5Th6HCACuxbVvsWs9Ezi3DnuPuOJzH6B3UtSrD6BS7uNFZFEzMca7fg&#10;dsostFuKq8/FdJrccGUcC2fmwvGYPEJm7HQTrKwTDSJQLTrIqajg0iR2dQset3JfT163f0OT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v/TjbVAAAACQEAAA8AAAAAAAAAAQAgAAAAIgAAAGRycy9k&#10;b3ducmV2LnhtbFBLAQIUABQAAAAIAIdO4kB/+c4CdwIAAM4EAAAOAAAAAAAAAAEAIAAAACQBAABk&#10;cnMvZTJvRG9jLnhtbFBLBQYAAAAABgAGAFkBAAANBgAAAAA=&#10;">
                      <v:fill on="t" focussize="0,0"/>
                      <v:stroke weight="2pt" color="#000000" joinstyle="round"/>
                      <v:imagedata o:title=""/>
                      <o:lock v:ext="edit" aspectratio="f"/>
                      <v:textbox>
                        <w:txbxContent>
                          <w:p>
                            <w:pPr>
                              <w:jc w:val="center"/>
                              <w:rPr>
                                <w:outline/>
                                <w:color w:val="FFFFFF"/>
                                <w14:textOutline w14:w="9525" w14:cap="flat" w14:cmpd="sng" w14:algn="ctr">
                                  <w14:solidFill>
                                    <w14:srgbClr w14:val="FFFFFF"/>
                                  </w14:solidFill>
                                  <w14:prstDash w14:val="solid"/>
                                  <w14:round/>
                                </w14:textOutline>
                                <w14:textFill>
                                  <w14:noFill/>
                                </w14:textFill>
                              </w:rPr>
                            </w:pPr>
                            <w:r>
                              <w:rPr>
                                <w:rFonts w:hint="eastAsia"/>
                              </w:rPr>
                              <w:t>工程维修员1人</w:t>
                            </w:r>
                          </w:p>
                        </w:txbxContent>
                      </v:textbox>
                    </v:shape>
                  </w:pict>
                </mc:Fallback>
              </mc:AlternateContent>
            </w:r>
            <w:r>
              <w:rPr>
                <w:color w:val="auto"/>
              </w:rPr>
              <mc:AlternateContent>
                <mc:Choice Requires="wps">
                  <w:drawing>
                    <wp:anchor distT="0" distB="0" distL="114300" distR="114300" simplePos="0" relativeHeight="251685888" behindDoc="0" locked="0" layoutInCell="1" allowOverlap="1">
                      <wp:simplePos x="0" y="0"/>
                      <wp:positionH relativeFrom="column">
                        <wp:posOffset>1563370</wp:posOffset>
                      </wp:positionH>
                      <wp:positionV relativeFrom="paragraph">
                        <wp:posOffset>24765</wp:posOffset>
                      </wp:positionV>
                      <wp:extent cx="961390" cy="800100"/>
                      <wp:effectExtent l="12700" t="0" r="16510" b="25400"/>
                      <wp:wrapNone/>
                      <wp:docPr id="12" name="圆角矩形 12"/>
                      <wp:cNvGraphicFramePr/>
                      <a:graphic xmlns:a="http://schemas.openxmlformats.org/drawingml/2006/main">
                        <a:graphicData uri="http://schemas.microsoft.com/office/word/2010/wordprocessingShape">
                          <wps:wsp>
                            <wps:cNvSpPr/>
                            <wps:spPr>
                              <a:xfrm>
                                <a:off x="0" y="0"/>
                                <a:ext cx="961390" cy="800100"/>
                              </a:xfrm>
                              <a:prstGeom prst="roundRect">
                                <a:avLst>
                                  <a:gd name="adj" fmla="val 0"/>
                                </a:avLst>
                              </a:prstGeom>
                              <a:solidFill>
                                <a:srgbClr val="FFFFFF"/>
                              </a:solidFill>
                              <a:ln w="25400" cap="flat" cmpd="sng" algn="ctr">
                                <a:solidFill>
                                  <a:srgbClr val="000000"/>
                                </a:solidFill>
                                <a:prstDash val="solid"/>
                                <a:headEnd type="none" w="med" len="med"/>
                                <a:tailEnd type="none" w="med" len="med"/>
                              </a:ln>
                              <a:effectLst/>
                            </wps:spPr>
                            <wps:txbx>
                              <w:txbxContent>
                                <w:p/>
                                <w:p>
                                  <w:r>
                                    <w:rPr>
                                      <w:rFonts w:hint="eastAsia"/>
                                    </w:rPr>
                                    <w:t xml:space="preserve">  保洁</w:t>
                                  </w:r>
                                  <w:r>
                                    <w:rPr>
                                      <w:rFonts w:hint="eastAsia"/>
                                      <w:lang w:val="en-US" w:eastAsia="zh-CN"/>
                                    </w:rPr>
                                    <w:t>2</w:t>
                                  </w:r>
                                  <w:r>
                                    <w:rPr>
                                      <w:rFonts w:hint="eastAsia"/>
                                    </w:rPr>
                                    <w:t>人</w:t>
                                  </w:r>
                                </w:p>
                              </w:txbxContent>
                            </wps:txbx>
                            <wps:bodyPr wrap="square" upright="1"/>
                          </wps:wsp>
                        </a:graphicData>
                      </a:graphic>
                    </wp:anchor>
                  </w:drawing>
                </mc:Choice>
                <mc:Fallback>
                  <w:pict>
                    <v:roundrect id="_x0000_s1026" o:spid="_x0000_s1026" o:spt="2" style="position:absolute;left:0pt;margin-left:123.1pt;margin-top:1.95pt;height:63pt;width:75.7pt;z-index:251685888;mso-width-relative:page;mso-height-relative:page;" fillcolor="#FFFFFF" filled="t" stroked="t" coordsize="21600,21600" arcsize="0" o:gfxdata="UEsDBAoAAAAAAIdO4kAAAAAAAAAAAAAAAAAEAAAAZHJzL1BLAwQUAAAACACHTuJAdyOyytgAAAAJ&#10;AQAADwAAAGRycy9kb3ducmV2LnhtbE2Py07DMBBF90j8gzVI7KgdF0yTxukCCbFBSBRot9NkmgRi&#10;O4rdB3/PsILl6B7de6Zcnd0gjjTFPngL2UyBIF+Hpvethfe3x5sFiJjQNzgETxa+KcKqurwosWjC&#10;yb/ScZ1awSU+FmihS2kspIx1Rw7jLIzkOduHyWHic2plM+GJy90gtVJGOuw9L3Q40kNH9df64Cw8&#10;faDeZnJj9nfKYHr53Dxvtbb2+ipTSxCJzukPhl99VoeKnXbh4JsoBgv61mhGLcxzEJzP83sDYseg&#10;znOQVSn/f1D9AFBLAwQUAAAACACHTuJAx4DZChsCAAAtBAAADgAAAGRycy9lMm9Eb2MueG1srVNL&#10;jhMxEN0jcQfLe9KdAKOZVjqzIIQNghEDB6j4023kH7aT7lyAA7BGQmKDOATHGcExKDuZzAywQIhe&#10;uMt21at6r1zz89FoshUhKmdbOp3UlAjLHFe2a+mb16sHp5TEBJaDdla0dCciPV/cvzcffCNmrnea&#10;i0AQxMZm8C3tU/JNVUXWCwNx4ryweCldMJBwG7qKBxgQ3ehqVtcn1eAC98ExESOeLveXdFHwpRQs&#10;vZQyikR0S7G2VNZQ1nVeq8Ucmi6A7xU7lAH/UIUBZTHpEWoJCcgmqN+gjGLBRSfThDlTOSkVE4UD&#10;spnWv7C57MGLwgXFif4oU/x/sOzF9iIQxbF3M0osGOzR1cf3P758+P7p69W3zwSPUaPBxwZdL/1F&#10;OOwimpnwKIPJf6RCxqLr7qirGBNheHh2Mn14huozvDqtkWfRvboJ9iGmZ8IZko2WBrex/BX2rkgK&#10;2+cxFW35oUDgbymRRmOntqDJNdrBEXGv8XJUdFrxldK6bEK3fqIDwbCWrsqX6WHIHTdtydDS2eNH&#10;WClhgO9SakhoGo9KRdtRArrDB89SKDXeiY63k9Tl+1OSXOQSYr8vpiBkN2h6Afyp5STtPHbD4tzQ&#10;XI4RnBItMGu2imcCpf/GE/lpm6FFGQnUM5POTd23MVtpXI94ms214zt8FQOOBbJ9t4GAFWx8UF2P&#10;3ZkWMtkP32TR7jA/+dHf3pcUN1O++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I7LK2AAAAAkB&#10;AAAPAAAAAAAAAAEAIAAAACIAAABkcnMvZG93bnJldi54bWxQSwECFAAUAAAACACHTuJAx4DZChsC&#10;AAAtBAAADgAAAAAAAAABACAAAAAnAQAAZHJzL2Uyb0RvYy54bWxQSwUGAAAAAAYABgBZAQAAtAUA&#10;AAAA&#10;">
                      <v:fill on="t" focussize="0,0"/>
                      <v:stroke weight="2pt" color="#000000" joinstyle="round"/>
                      <v:imagedata o:title=""/>
                      <o:lock v:ext="edit" aspectratio="f"/>
                      <v:textbox>
                        <w:txbxContent>
                          <w:p/>
                          <w:p>
                            <w:r>
                              <w:rPr>
                                <w:rFonts w:hint="eastAsia"/>
                              </w:rPr>
                              <w:t xml:space="preserve">  保洁</w:t>
                            </w:r>
                            <w:r>
                              <w:rPr>
                                <w:rFonts w:hint="eastAsia"/>
                                <w:lang w:val="en-US" w:eastAsia="zh-CN"/>
                              </w:rPr>
                              <w:t>2</w:t>
                            </w:r>
                            <w:r>
                              <w:rPr>
                                <w:rFonts w:hint="eastAsia"/>
                              </w:rPr>
                              <w:t>人</w:t>
                            </w:r>
                          </w:p>
                        </w:txbxContent>
                      </v:textbox>
                    </v:roundrect>
                  </w:pict>
                </mc:Fallback>
              </mc:AlternateContent>
            </w:r>
          </w:p>
          <w:p>
            <w:pPr>
              <w:spacing w:line="360" w:lineRule="exact"/>
              <w:rPr>
                <w:color w:val="auto"/>
              </w:rPr>
            </w:pPr>
          </w:p>
          <w:p>
            <w:pPr>
              <w:spacing w:line="360" w:lineRule="exact"/>
              <w:rPr>
                <w:color w:val="auto"/>
              </w:rPr>
            </w:pPr>
          </w:p>
          <w:p>
            <w:pPr>
              <w:spacing w:line="360" w:lineRule="exact"/>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0202" w:type="dxa"/>
            <w:gridSpan w:val="5"/>
            <w:vAlign w:val="center"/>
          </w:tcPr>
          <w:p>
            <w:pPr>
              <w:tabs>
                <w:tab w:val="left" w:pos="1440"/>
              </w:tabs>
              <w:autoSpaceDE w:val="0"/>
              <w:autoSpaceDN w:val="0"/>
              <w:adjustRightInd w:val="0"/>
              <w:snapToGrid w:val="0"/>
              <w:spacing w:line="560" w:lineRule="exact"/>
              <w:rPr>
                <w:rFonts w:hAnsi="宋体"/>
                <w:b/>
                <w:color w:val="auto"/>
                <w:szCs w:val="22"/>
              </w:rPr>
            </w:pPr>
            <w:r>
              <w:rPr>
                <w:rFonts w:hint="eastAsia" w:ascii="宋体" w:hAnsi="宋体"/>
                <w:color w:val="auto"/>
                <w:szCs w:val="21"/>
              </w:rPr>
              <w:t>▲二、</w:t>
            </w:r>
            <w:r>
              <w:rPr>
                <w:rFonts w:hint="eastAsia" w:hAnsi="宋体"/>
                <w:b/>
                <w:color w:val="auto"/>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2893" w:type="dxa"/>
            <w:gridSpan w:val="4"/>
            <w:vAlign w:val="center"/>
          </w:tcPr>
          <w:p>
            <w:pPr>
              <w:spacing w:line="360" w:lineRule="exact"/>
              <w:jc w:val="center"/>
              <w:rPr>
                <w:rFonts w:hAnsi="宋体"/>
                <w:color w:val="auto"/>
                <w:szCs w:val="21"/>
              </w:rPr>
            </w:pPr>
            <w:r>
              <w:rPr>
                <w:rFonts w:hint="eastAsia" w:ascii="宋体" w:hAnsi="宋体"/>
                <w:color w:val="auto"/>
              </w:rPr>
              <w:t>合同签订期</w:t>
            </w:r>
          </w:p>
        </w:tc>
        <w:tc>
          <w:tcPr>
            <w:tcW w:w="7309" w:type="dxa"/>
            <w:vAlign w:val="center"/>
          </w:tcPr>
          <w:p>
            <w:pPr>
              <w:tabs>
                <w:tab w:val="left" w:pos="1440"/>
              </w:tabs>
              <w:autoSpaceDE w:val="0"/>
              <w:autoSpaceDN w:val="0"/>
              <w:adjustRightInd w:val="0"/>
              <w:snapToGrid w:val="0"/>
              <w:spacing w:line="360" w:lineRule="exact"/>
              <w:jc w:val="left"/>
              <w:rPr>
                <w:rFonts w:hAnsi="宋体"/>
                <w:color w:val="auto"/>
                <w:szCs w:val="21"/>
              </w:rPr>
            </w:pPr>
            <w:r>
              <w:rPr>
                <w:rFonts w:hint="eastAsia" w:ascii="宋体" w:hAnsi="宋体"/>
                <w:color w:val="auto"/>
              </w:rPr>
              <w:t>自成交通知书发出之日起25日内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93" w:type="dxa"/>
            <w:gridSpan w:val="4"/>
            <w:vAlign w:val="center"/>
          </w:tcPr>
          <w:p>
            <w:pPr>
              <w:tabs>
                <w:tab w:val="left" w:pos="1440"/>
              </w:tabs>
              <w:autoSpaceDE w:val="0"/>
              <w:autoSpaceDN w:val="0"/>
              <w:adjustRightInd w:val="0"/>
              <w:snapToGrid w:val="0"/>
              <w:spacing w:line="360" w:lineRule="exact"/>
              <w:jc w:val="center"/>
              <w:rPr>
                <w:rFonts w:hAnsi="宋体"/>
                <w:color w:val="auto"/>
                <w:szCs w:val="21"/>
              </w:rPr>
            </w:pPr>
            <w:r>
              <w:rPr>
                <w:rFonts w:hint="eastAsia" w:ascii="宋体" w:hAnsi="宋体"/>
                <w:color w:val="auto"/>
              </w:rPr>
              <w:t>服务期或地点、交付期或地点</w:t>
            </w:r>
          </w:p>
        </w:tc>
        <w:tc>
          <w:tcPr>
            <w:tcW w:w="7309" w:type="dxa"/>
            <w:vAlign w:val="center"/>
          </w:tcPr>
          <w:p>
            <w:pPr>
              <w:tabs>
                <w:tab w:val="left" w:pos="1440"/>
              </w:tabs>
              <w:autoSpaceDE w:val="0"/>
              <w:autoSpaceDN w:val="0"/>
              <w:adjustRightInd w:val="0"/>
              <w:snapToGrid w:val="0"/>
              <w:spacing w:line="360" w:lineRule="exact"/>
              <w:jc w:val="left"/>
              <w:rPr>
                <w:rFonts w:ascii="宋体" w:hAnsi="宋体"/>
                <w:color w:val="auto"/>
              </w:rPr>
            </w:pPr>
            <w:r>
              <w:rPr>
                <w:rFonts w:hint="eastAsia" w:ascii="宋体" w:hAnsi="宋体"/>
                <w:color w:val="auto"/>
              </w:rPr>
              <w:t>1</w:t>
            </w:r>
            <w:r>
              <w:rPr>
                <w:rFonts w:hint="eastAsia" w:ascii="宋体" w:hAnsi="宋体"/>
                <w:color w:val="auto"/>
                <w:lang w:eastAsia="zh-CN"/>
              </w:rPr>
              <w:t>.</w:t>
            </w:r>
            <w:r>
              <w:rPr>
                <w:rFonts w:hint="eastAsia" w:asciiTheme="minorEastAsia" w:hAnsiTheme="minorEastAsia" w:eastAsiaTheme="minorEastAsia" w:cstheme="minorEastAsia"/>
                <w:color w:val="auto"/>
                <w:szCs w:val="21"/>
              </w:rPr>
              <w:t>自合同签订之日起</w:t>
            </w: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年（具体服务期限以合同签订为准）。</w:t>
            </w:r>
          </w:p>
          <w:p>
            <w:pPr>
              <w:tabs>
                <w:tab w:val="left" w:pos="1440"/>
              </w:tabs>
              <w:autoSpaceDE w:val="0"/>
              <w:autoSpaceDN w:val="0"/>
              <w:adjustRightInd w:val="0"/>
              <w:snapToGrid w:val="0"/>
              <w:spacing w:line="360" w:lineRule="exact"/>
              <w:jc w:val="left"/>
              <w:rPr>
                <w:rFonts w:hAnsi="宋体"/>
                <w:color w:val="auto"/>
                <w:szCs w:val="21"/>
              </w:rPr>
            </w:pPr>
            <w:r>
              <w:rPr>
                <w:rFonts w:hint="eastAsia" w:ascii="宋体" w:hAnsi="宋体"/>
                <w:color w:val="auto"/>
              </w:rPr>
              <w:t>2</w:t>
            </w:r>
            <w:r>
              <w:rPr>
                <w:rFonts w:hint="eastAsia" w:ascii="宋体" w:hAnsi="宋体"/>
                <w:color w:val="auto"/>
                <w:lang w:eastAsia="zh-CN"/>
              </w:rPr>
              <w:t>.</w:t>
            </w:r>
            <w:r>
              <w:rPr>
                <w:rFonts w:hint="eastAsia" w:ascii="宋体" w:hAnsi="宋体"/>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893" w:type="dxa"/>
            <w:gridSpan w:val="4"/>
            <w:vAlign w:val="center"/>
          </w:tcPr>
          <w:p>
            <w:pPr>
              <w:tabs>
                <w:tab w:val="left" w:pos="1440"/>
              </w:tabs>
              <w:autoSpaceDE w:val="0"/>
              <w:autoSpaceDN w:val="0"/>
              <w:adjustRightInd w:val="0"/>
              <w:snapToGrid w:val="0"/>
              <w:spacing w:line="360" w:lineRule="exact"/>
              <w:jc w:val="center"/>
              <w:rPr>
                <w:rFonts w:hAnsi="宋体"/>
                <w:color w:val="auto"/>
                <w:szCs w:val="21"/>
              </w:rPr>
            </w:pPr>
            <w:r>
              <w:rPr>
                <w:rFonts w:hint="eastAsia" w:ascii="宋体" w:hAnsi="宋体"/>
                <w:color w:val="auto"/>
              </w:rPr>
              <w:t>付款方式</w:t>
            </w:r>
          </w:p>
        </w:tc>
        <w:tc>
          <w:tcPr>
            <w:tcW w:w="7309" w:type="dxa"/>
            <w:vAlign w:val="center"/>
          </w:tcPr>
          <w:p>
            <w:pPr>
              <w:tabs>
                <w:tab w:val="left" w:pos="1440"/>
              </w:tabs>
              <w:autoSpaceDE w:val="0"/>
              <w:autoSpaceDN w:val="0"/>
              <w:adjustRightInd w:val="0"/>
              <w:snapToGrid w:val="0"/>
              <w:spacing w:line="360" w:lineRule="exact"/>
              <w:jc w:val="left"/>
              <w:rPr>
                <w:rFonts w:hAnsi="宋体"/>
                <w:color w:val="auto"/>
                <w:szCs w:val="21"/>
              </w:rPr>
            </w:pPr>
            <w:r>
              <w:rPr>
                <w:rFonts w:hint="eastAsia" w:ascii="宋体" w:hAnsi="宋体" w:cs="宋体"/>
                <w:color w:val="auto"/>
                <w:szCs w:val="21"/>
              </w:rPr>
              <w:t>本项目为一采多年项目，签订合同且本年度项目资金到位后15日内预付本年度30%的服务费，之后按季度支付，每个季度首月的</w:t>
            </w:r>
            <w:r>
              <w:rPr>
                <w:rFonts w:ascii="宋体" w:hAnsi="宋体" w:cs="宋体"/>
                <w:color w:val="auto"/>
                <w:szCs w:val="21"/>
              </w:rPr>
              <w:t>30</w:t>
            </w:r>
            <w:r>
              <w:rPr>
                <w:rFonts w:hint="eastAsia" w:ascii="宋体" w:hAnsi="宋体" w:cs="宋体"/>
                <w:color w:val="auto"/>
                <w:szCs w:val="21"/>
              </w:rPr>
              <w:t>日前支付上个季度的服务费用，直至支付完毕为止。成交供应商每个季度首月的</w:t>
            </w:r>
            <w:r>
              <w:rPr>
                <w:rFonts w:ascii="宋体" w:hAnsi="宋体" w:cs="宋体"/>
                <w:color w:val="auto"/>
                <w:szCs w:val="21"/>
              </w:rPr>
              <w:t>10</w:t>
            </w:r>
            <w:r>
              <w:rPr>
                <w:rFonts w:hint="eastAsia" w:ascii="宋体" w:hAnsi="宋体" w:cs="宋体"/>
                <w:color w:val="auto"/>
                <w:szCs w:val="21"/>
              </w:rPr>
              <w:t>日前配合采购人完成物业服务考核评定，并开具前期费用的发票给采购人，采购人在收到发票后及时通过转账方式支付费用。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893" w:type="dxa"/>
            <w:gridSpan w:val="4"/>
            <w:vAlign w:val="center"/>
          </w:tcPr>
          <w:p>
            <w:pPr>
              <w:tabs>
                <w:tab w:val="left" w:pos="1440"/>
              </w:tabs>
              <w:autoSpaceDE w:val="0"/>
              <w:autoSpaceDN w:val="0"/>
              <w:adjustRightInd w:val="0"/>
              <w:snapToGrid w:val="0"/>
              <w:spacing w:line="360" w:lineRule="exact"/>
              <w:jc w:val="center"/>
              <w:rPr>
                <w:rFonts w:hAnsi="宋体"/>
                <w:color w:val="auto"/>
                <w:szCs w:val="21"/>
              </w:rPr>
            </w:pPr>
            <w:r>
              <w:rPr>
                <w:rFonts w:hint="eastAsia" w:ascii="宋体" w:hAnsi="宋体"/>
                <w:color w:val="auto"/>
              </w:rPr>
              <w:t>报价要求</w:t>
            </w:r>
          </w:p>
        </w:tc>
        <w:tc>
          <w:tcPr>
            <w:tcW w:w="7309" w:type="dxa"/>
            <w:vAlign w:val="center"/>
          </w:tcPr>
          <w:p>
            <w:pPr>
              <w:tabs>
                <w:tab w:val="left" w:pos="1440"/>
              </w:tabs>
              <w:autoSpaceDE w:val="0"/>
              <w:autoSpaceDN w:val="0"/>
              <w:adjustRightInd w:val="0"/>
              <w:snapToGrid w:val="0"/>
              <w:spacing w:line="360" w:lineRule="exact"/>
              <w:jc w:val="left"/>
              <w:rPr>
                <w:color w:val="auto"/>
              </w:rPr>
            </w:pPr>
            <w:r>
              <w:rPr>
                <w:rFonts w:hint="eastAsia"/>
                <w:color w:val="auto"/>
              </w:rPr>
              <w:t>报价要求本次报价须为人民币报价，包含：</w:t>
            </w:r>
          </w:p>
          <w:p>
            <w:pPr>
              <w:tabs>
                <w:tab w:val="left" w:pos="1440"/>
              </w:tabs>
              <w:autoSpaceDE w:val="0"/>
              <w:autoSpaceDN w:val="0"/>
              <w:adjustRightInd w:val="0"/>
              <w:snapToGrid w:val="0"/>
              <w:spacing w:line="360" w:lineRule="exact"/>
              <w:jc w:val="left"/>
              <w:rPr>
                <w:color w:val="auto"/>
              </w:rPr>
            </w:pPr>
            <w:r>
              <w:rPr>
                <w:rFonts w:hint="eastAsia"/>
                <w:color w:val="auto"/>
              </w:rPr>
              <w:t>（1）基本工资：成交单位支付给服务人员的工资；</w:t>
            </w:r>
          </w:p>
          <w:p>
            <w:pPr>
              <w:tabs>
                <w:tab w:val="left" w:pos="1440"/>
              </w:tabs>
              <w:autoSpaceDE w:val="0"/>
              <w:autoSpaceDN w:val="0"/>
              <w:adjustRightInd w:val="0"/>
              <w:snapToGrid w:val="0"/>
              <w:spacing w:line="360" w:lineRule="exact"/>
              <w:jc w:val="left"/>
              <w:rPr>
                <w:color w:val="auto"/>
              </w:rPr>
            </w:pPr>
            <w:r>
              <w:rPr>
                <w:rFonts w:hint="eastAsia"/>
                <w:color w:val="auto"/>
              </w:rPr>
              <w:t>（2）社保费：成交单位为服务人员缴纳“</w:t>
            </w:r>
            <w:r>
              <w:rPr>
                <w:rFonts w:hint="eastAsia"/>
                <w:color w:val="auto"/>
                <w:lang w:val="en-US" w:eastAsia="zh-CN"/>
              </w:rPr>
              <w:t>社会保险</w:t>
            </w:r>
            <w:r>
              <w:rPr>
                <w:rFonts w:hint="eastAsia"/>
                <w:color w:val="auto"/>
              </w:rPr>
              <w:t>”；</w:t>
            </w:r>
          </w:p>
          <w:p>
            <w:pPr>
              <w:tabs>
                <w:tab w:val="left" w:pos="1440"/>
              </w:tabs>
              <w:autoSpaceDE w:val="0"/>
              <w:autoSpaceDN w:val="0"/>
              <w:adjustRightInd w:val="0"/>
              <w:snapToGrid w:val="0"/>
              <w:spacing w:line="360" w:lineRule="exact"/>
              <w:jc w:val="left"/>
              <w:rPr>
                <w:color w:val="auto"/>
              </w:rPr>
            </w:pPr>
            <w:r>
              <w:rPr>
                <w:rFonts w:hint="eastAsia"/>
                <w:color w:val="auto"/>
              </w:rPr>
              <w:t>（3）该项目所需投入的人员、技术、交通等费用；</w:t>
            </w:r>
          </w:p>
          <w:p>
            <w:pPr>
              <w:tabs>
                <w:tab w:val="left" w:pos="1440"/>
              </w:tabs>
              <w:autoSpaceDE w:val="0"/>
              <w:autoSpaceDN w:val="0"/>
              <w:adjustRightInd w:val="0"/>
              <w:snapToGrid w:val="0"/>
              <w:spacing w:line="360" w:lineRule="exact"/>
              <w:jc w:val="left"/>
              <w:rPr>
                <w:color w:val="auto"/>
              </w:rPr>
            </w:pPr>
            <w:r>
              <w:rPr>
                <w:rFonts w:hint="eastAsia"/>
                <w:color w:val="auto"/>
              </w:rPr>
              <w:t>（4）包括服务人员餐补、高温补、工会费节假日加班费、年终奖等；</w:t>
            </w:r>
          </w:p>
          <w:p>
            <w:pPr>
              <w:tabs>
                <w:tab w:val="left" w:pos="1440"/>
              </w:tabs>
              <w:autoSpaceDE w:val="0"/>
              <w:autoSpaceDN w:val="0"/>
              <w:adjustRightInd w:val="0"/>
              <w:snapToGrid w:val="0"/>
              <w:spacing w:line="360" w:lineRule="exact"/>
              <w:jc w:val="left"/>
              <w:rPr>
                <w:color w:val="auto"/>
              </w:rPr>
            </w:pPr>
            <w:r>
              <w:rPr>
                <w:rFonts w:hint="eastAsia"/>
                <w:color w:val="auto"/>
              </w:rPr>
              <w:t>（5）包括服务人员的服装费、保洁日常消耗（包括扫把、拖把、垃圾铲、抹布、清洁剂、消毒剂和疏通剂等日常用品）；</w:t>
            </w:r>
          </w:p>
          <w:p>
            <w:pPr>
              <w:tabs>
                <w:tab w:val="left" w:pos="1440"/>
              </w:tabs>
              <w:autoSpaceDE w:val="0"/>
              <w:autoSpaceDN w:val="0"/>
              <w:adjustRightInd w:val="0"/>
              <w:snapToGrid w:val="0"/>
              <w:spacing w:line="360" w:lineRule="exact"/>
              <w:jc w:val="left"/>
              <w:rPr>
                <w:color w:val="auto"/>
              </w:rPr>
            </w:pPr>
            <w:r>
              <w:rPr>
                <w:rFonts w:hint="eastAsia"/>
                <w:color w:val="auto"/>
              </w:rPr>
              <w:t>（6）包括各项税金。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202" w:type="dxa"/>
            <w:gridSpan w:val="5"/>
            <w:vAlign w:val="center"/>
          </w:tcPr>
          <w:p>
            <w:pPr>
              <w:tabs>
                <w:tab w:val="left" w:pos="1440"/>
              </w:tabs>
              <w:autoSpaceDE w:val="0"/>
              <w:autoSpaceDN w:val="0"/>
              <w:adjustRightInd w:val="0"/>
              <w:snapToGrid w:val="0"/>
              <w:spacing w:line="360" w:lineRule="exact"/>
              <w:jc w:val="left"/>
              <w:rPr>
                <w:rFonts w:ascii="宋体" w:hAnsi="宋体"/>
                <w:b/>
                <w:color w:val="auto"/>
                <w:szCs w:val="21"/>
              </w:rPr>
            </w:pPr>
            <w:r>
              <w:rPr>
                <w:rFonts w:hint="eastAsia" w:ascii="宋体" w:hAnsi="宋体" w:cs="宋体"/>
                <w:color w:val="auto"/>
                <w:szCs w:val="21"/>
              </w:rPr>
              <w:t>▲</w:t>
            </w:r>
            <w:r>
              <w:rPr>
                <w:rFonts w:hint="eastAsia" w:ascii="宋体" w:hAnsi="宋体"/>
                <w:b/>
                <w:bCs/>
                <w:color w:val="auto"/>
              </w:rPr>
              <w:t>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2893" w:type="dxa"/>
            <w:gridSpan w:val="4"/>
            <w:vAlign w:val="center"/>
          </w:tcPr>
          <w:p>
            <w:pPr>
              <w:spacing w:line="360" w:lineRule="exact"/>
              <w:jc w:val="center"/>
              <w:rPr>
                <w:rFonts w:hAnsi="宋体"/>
                <w:color w:val="auto"/>
                <w:szCs w:val="22"/>
              </w:rPr>
            </w:pPr>
            <w:r>
              <w:rPr>
                <w:rFonts w:hint="eastAsia" w:ascii="宋体" w:hAnsi="宋体"/>
                <w:color w:val="auto"/>
                <w:szCs w:val="21"/>
              </w:rPr>
              <w:t>磋商说明</w:t>
            </w:r>
          </w:p>
        </w:tc>
        <w:tc>
          <w:tcPr>
            <w:tcW w:w="7309" w:type="dxa"/>
            <w:vAlign w:val="center"/>
          </w:tcPr>
          <w:p>
            <w:pPr>
              <w:spacing w:line="360" w:lineRule="exact"/>
              <w:rPr>
                <w:rFonts w:hAnsi="宋体"/>
                <w:color w:val="auto"/>
                <w:szCs w:val="22"/>
              </w:rPr>
            </w:pPr>
            <w:r>
              <w:rPr>
                <w:rFonts w:hint="eastAsia" w:ascii="宋体" w:hAnsi="宋体"/>
                <w:color w:val="auto"/>
                <w:szCs w:val="21"/>
              </w:rPr>
              <w:t xml:space="preserve">　 </w:t>
            </w:r>
            <w:r>
              <w:rPr>
                <w:rFonts w:hint="eastAsia" w:ascii="宋体" w:hAnsi="宋体"/>
                <w:color w:val="auto"/>
              </w:rPr>
              <w:t xml:space="preserve"> 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893" w:type="dxa"/>
            <w:gridSpan w:val="4"/>
            <w:vAlign w:val="center"/>
          </w:tcPr>
          <w:p>
            <w:pPr>
              <w:spacing w:line="360" w:lineRule="exact"/>
              <w:jc w:val="center"/>
              <w:rPr>
                <w:rFonts w:hAnsi="宋体"/>
                <w:color w:val="auto"/>
                <w:szCs w:val="22"/>
              </w:rPr>
            </w:pPr>
            <w:r>
              <w:rPr>
                <w:rFonts w:hint="eastAsia" w:ascii="宋体" w:hAnsi="宋体"/>
                <w:color w:val="auto"/>
              </w:rPr>
              <w:t>其他要求</w:t>
            </w:r>
          </w:p>
        </w:tc>
        <w:tc>
          <w:tcPr>
            <w:tcW w:w="7309" w:type="dxa"/>
            <w:vAlign w:val="center"/>
          </w:tcPr>
          <w:p>
            <w:pPr>
              <w:tabs>
                <w:tab w:val="left" w:pos="1440"/>
              </w:tabs>
              <w:autoSpaceDE w:val="0"/>
              <w:autoSpaceDN w:val="0"/>
              <w:adjustRightInd w:val="0"/>
              <w:snapToGrid w:val="0"/>
              <w:spacing w:line="360" w:lineRule="exact"/>
              <w:jc w:val="left"/>
              <w:rPr>
                <w:rFonts w:ascii="宋体" w:hAnsi="宋体"/>
                <w:color w:val="auto"/>
              </w:rPr>
            </w:pPr>
            <w:r>
              <w:rPr>
                <w:rFonts w:hint="eastAsia" w:ascii="宋体" w:hAnsi="宋体"/>
                <w:color w:val="auto"/>
              </w:rPr>
              <w:t>1</w:t>
            </w:r>
            <w:r>
              <w:rPr>
                <w:rFonts w:hint="eastAsia" w:ascii="宋体" w:hAnsi="宋体"/>
                <w:color w:val="auto"/>
                <w:lang w:eastAsia="zh-CN"/>
              </w:rPr>
              <w:t>.</w:t>
            </w:r>
            <w:r>
              <w:rPr>
                <w:rFonts w:hint="eastAsia" w:ascii="宋体" w:hAnsi="宋体"/>
                <w:color w:val="auto"/>
              </w:rPr>
              <w:t>成交单位应按照采购单位实际需求，制定经采购单位认可的相应《安保服务方案》《保洁服务方案》，成交单位保安员、保洁员应严格遵照履行，并遵守采购单位符合法律规定的各项规章制度。</w:t>
            </w:r>
          </w:p>
          <w:p>
            <w:pPr>
              <w:tabs>
                <w:tab w:val="left" w:pos="1440"/>
              </w:tabs>
              <w:autoSpaceDE w:val="0"/>
              <w:autoSpaceDN w:val="0"/>
              <w:adjustRightInd w:val="0"/>
              <w:snapToGrid w:val="0"/>
              <w:spacing w:line="360" w:lineRule="exact"/>
              <w:jc w:val="left"/>
              <w:rPr>
                <w:rFonts w:ascii="宋体" w:hAnsi="宋体"/>
                <w:color w:val="auto"/>
              </w:rPr>
            </w:pPr>
            <w:r>
              <w:rPr>
                <w:rFonts w:hint="eastAsia" w:ascii="宋体" w:hAnsi="宋体"/>
                <w:color w:val="auto"/>
              </w:rPr>
              <w:t>2</w:t>
            </w:r>
            <w:r>
              <w:rPr>
                <w:rFonts w:hint="eastAsia" w:ascii="宋体" w:hAnsi="宋体"/>
                <w:color w:val="auto"/>
                <w:lang w:eastAsia="zh-CN"/>
              </w:rPr>
              <w:t>.</w:t>
            </w:r>
            <w:r>
              <w:rPr>
                <w:rFonts w:hint="eastAsia" w:ascii="宋体" w:hAnsi="宋体"/>
                <w:color w:val="auto"/>
              </w:rPr>
              <w:t>成交单位人员必须足额配置，如有调整需经过采购人同意方可调整。</w:t>
            </w:r>
          </w:p>
          <w:p>
            <w:pPr>
              <w:tabs>
                <w:tab w:val="left" w:pos="1440"/>
              </w:tabs>
              <w:autoSpaceDE w:val="0"/>
              <w:autoSpaceDN w:val="0"/>
              <w:adjustRightInd w:val="0"/>
              <w:snapToGrid w:val="0"/>
              <w:spacing w:line="360" w:lineRule="exact"/>
              <w:jc w:val="left"/>
              <w:rPr>
                <w:rFonts w:ascii="宋体" w:hAnsi="宋体"/>
                <w:color w:val="auto"/>
              </w:rPr>
            </w:pPr>
            <w:r>
              <w:rPr>
                <w:rFonts w:hint="eastAsia" w:ascii="宋体" w:hAnsi="宋体"/>
                <w:color w:val="auto"/>
              </w:rPr>
              <w:t>3</w:t>
            </w:r>
            <w:r>
              <w:rPr>
                <w:rFonts w:hint="eastAsia" w:ascii="宋体" w:hAnsi="宋体"/>
                <w:color w:val="auto"/>
                <w:lang w:eastAsia="zh-CN"/>
              </w:rPr>
              <w:t>.</w:t>
            </w:r>
            <w:r>
              <w:rPr>
                <w:rFonts w:hint="eastAsia" w:ascii="宋体" w:hAnsi="宋体"/>
                <w:color w:val="auto"/>
              </w:rPr>
              <w:t>成交单位须向采购方提供全体员工名单，必须与竞标所提供的名单相符。</w:t>
            </w:r>
          </w:p>
          <w:p>
            <w:pPr>
              <w:tabs>
                <w:tab w:val="left" w:pos="1440"/>
              </w:tabs>
              <w:autoSpaceDE w:val="0"/>
              <w:autoSpaceDN w:val="0"/>
              <w:adjustRightInd w:val="0"/>
              <w:snapToGrid w:val="0"/>
              <w:spacing w:line="360" w:lineRule="exact"/>
              <w:jc w:val="left"/>
              <w:rPr>
                <w:rFonts w:ascii="宋体" w:hAnsi="宋体"/>
                <w:color w:val="auto"/>
              </w:rPr>
            </w:pPr>
            <w:r>
              <w:rPr>
                <w:rFonts w:hint="eastAsia" w:ascii="宋体" w:hAnsi="宋体"/>
                <w:color w:val="auto"/>
              </w:rPr>
              <w:t>4</w:t>
            </w:r>
            <w:r>
              <w:rPr>
                <w:rFonts w:hint="eastAsia" w:ascii="宋体" w:hAnsi="宋体"/>
                <w:color w:val="auto"/>
                <w:lang w:eastAsia="zh-CN"/>
              </w:rPr>
              <w:t>.</w:t>
            </w:r>
            <w:r>
              <w:rPr>
                <w:rFonts w:hint="eastAsia" w:ascii="宋体" w:hAnsi="宋体"/>
                <w:color w:val="auto"/>
              </w:rPr>
              <w:t>在合同有效期内，必须执行各级政府及有关部门的相关政策，按《劳动法》规定负责依法为派出人员办理社会保险和人身意外险，发放节假日加班费，确保每月按时足额发放派出人员的工资</w:t>
            </w:r>
            <w:r>
              <w:rPr>
                <w:rFonts w:hint="eastAsia" w:ascii="宋体" w:hAnsi="宋体"/>
                <w:color w:val="000000" w:themeColor="text1"/>
                <w14:textFill>
                  <w14:solidFill>
                    <w14:schemeClr w14:val="tx1"/>
                  </w14:solidFill>
                </w14:textFill>
              </w:rPr>
              <w:t>(每人每月工资不得少于</w:t>
            </w:r>
            <w:r>
              <w:rPr>
                <w:rFonts w:hint="eastAsia" w:ascii="宋体" w:hAnsi="宋体"/>
                <w:color w:val="000000" w:themeColor="text1"/>
                <w:lang w:val="en-US" w:eastAsia="zh-CN"/>
                <w14:textFill>
                  <w14:solidFill>
                    <w14:schemeClr w14:val="tx1"/>
                  </w14:solidFill>
                </w14:textFill>
              </w:rPr>
              <w:t>防城港</w:t>
            </w:r>
            <w:r>
              <w:rPr>
                <w:rFonts w:hint="eastAsia" w:ascii="宋体" w:hAnsi="宋体"/>
                <w:color w:val="000000" w:themeColor="text1"/>
                <w14:textFill>
                  <w14:solidFill>
                    <w14:schemeClr w14:val="tx1"/>
                  </w14:solidFill>
                </w14:textFill>
              </w:rPr>
              <w:t>市最低工资标准)</w:t>
            </w:r>
            <w:r>
              <w:rPr>
                <w:rFonts w:hint="eastAsia" w:ascii="宋体" w:hAnsi="宋体"/>
                <w:color w:val="auto"/>
              </w:rPr>
              <w:t>。承担员工的薪酬、福利待遇以及物业管理服务中所发生的各项税收、费用等，采购人不再另付报酬。</w:t>
            </w:r>
          </w:p>
          <w:p>
            <w:pPr>
              <w:tabs>
                <w:tab w:val="left" w:pos="1440"/>
              </w:tabs>
              <w:autoSpaceDE w:val="0"/>
              <w:autoSpaceDN w:val="0"/>
              <w:adjustRightInd w:val="0"/>
              <w:snapToGrid w:val="0"/>
              <w:spacing w:line="360" w:lineRule="exact"/>
              <w:jc w:val="left"/>
              <w:rPr>
                <w:rFonts w:hAnsi="宋体"/>
                <w:color w:val="auto"/>
                <w:szCs w:val="22"/>
              </w:rPr>
            </w:pPr>
            <w:r>
              <w:rPr>
                <w:rFonts w:hint="eastAsia" w:ascii="宋体" w:hAnsi="宋体"/>
                <w:color w:val="auto"/>
              </w:rPr>
              <w:t>5</w:t>
            </w:r>
            <w:r>
              <w:rPr>
                <w:rFonts w:hint="eastAsia" w:ascii="宋体" w:hAnsi="宋体"/>
                <w:color w:val="auto"/>
                <w:lang w:eastAsia="zh-CN"/>
              </w:rPr>
              <w:t>.</w:t>
            </w:r>
            <w:r>
              <w:rPr>
                <w:rFonts w:hint="eastAsia" w:ascii="宋体" w:hAnsi="宋体"/>
                <w:color w:val="auto"/>
              </w:rPr>
              <w:t>成交单位不得将整体管理责任及利益转让给其他单位和个人。</w:t>
            </w:r>
          </w:p>
        </w:tc>
      </w:tr>
      <w:bookmarkEnd w:id="115"/>
    </w:tbl>
    <w:p>
      <w:pPr>
        <w:pStyle w:val="2"/>
      </w:pPr>
    </w:p>
    <w:p/>
    <w:p>
      <w:pPr>
        <w:pStyle w:val="3"/>
      </w:pPr>
    </w:p>
    <w:p/>
    <w:p>
      <w:pPr>
        <w:pStyle w:val="3"/>
      </w:pPr>
    </w:p>
    <w:p/>
    <w:p>
      <w:pPr>
        <w:pStyle w:val="3"/>
      </w:pPr>
    </w:p>
    <w:p/>
    <w:p>
      <w:pPr>
        <w:pStyle w:val="2"/>
      </w:pPr>
    </w:p>
    <w:p/>
    <w:p/>
    <w:p/>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b/>
          <w:bCs/>
          <w:color w:val="auto"/>
          <w:sz w:val="24"/>
          <w:szCs w:val="24"/>
          <w:highlight w:val="none"/>
        </w:rPr>
      </w:pPr>
      <w:r>
        <w:rPr>
          <w:rFonts w:hint="eastAsia"/>
          <w:b/>
          <w:bCs/>
          <w:color w:val="auto"/>
          <w:sz w:val="24"/>
          <w:szCs w:val="24"/>
          <w:highlight w:val="none"/>
          <w:lang w:val="en-US" w:eastAsia="zh-CN"/>
        </w:rPr>
        <w:t>三、</w:t>
      </w:r>
      <w:r>
        <w:rPr>
          <w:rFonts w:hint="eastAsia"/>
          <w:b/>
          <w:bCs/>
          <w:color w:val="auto"/>
          <w:sz w:val="24"/>
          <w:szCs w:val="24"/>
          <w:highlight w:val="none"/>
        </w:rPr>
        <w:t>防城港市</w:t>
      </w:r>
      <w:r>
        <w:rPr>
          <w:rFonts w:hint="eastAsia"/>
          <w:b/>
          <w:bCs/>
          <w:color w:val="auto"/>
          <w:sz w:val="24"/>
          <w:szCs w:val="24"/>
          <w:highlight w:val="none"/>
          <w:lang w:val="en-US" w:eastAsia="zh-CN"/>
        </w:rPr>
        <w:t>商务局</w:t>
      </w:r>
      <w:r>
        <w:rPr>
          <w:rFonts w:hint="eastAsia"/>
          <w:b/>
          <w:bCs/>
          <w:color w:val="auto"/>
          <w:sz w:val="24"/>
          <w:szCs w:val="24"/>
          <w:highlight w:val="none"/>
        </w:rPr>
        <w:t>物业管理考核标准</w:t>
      </w:r>
    </w:p>
    <w:p>
      <w:pPr>
        <w:pStyle w:val="2"/>
      </w:pPr>
    </w:p>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b/>
          <w:bCs/>
          <w:color w:val="auto"/>
          <w:sz w:val="32"/>
          <w:szCs w:val="32"/>
          <w:highlight w:val="none"/>
          <w:lang w:eastAsia="zh-CN"/>
        </w:rPr>
      </w:pPr>
      <w:r>
        <w:rPr>
          <w:rFonts w:hint="eastAsia" w:ascii="宋体" w:hAnsi="宋体"/>
          <w:b/>
          <w:bCs/>
          <w:color w:val="auto"/>
          <w:sz w:val="32"/>
          <w:szCs w:val="32"/>
          <w:highlight w:val="none"/>
        </w:rPr>
        <w:t>物业管理服务考核</w:t>
      </w:r>
      <w:r>
        <w:rPr>
          <w:rFonts w:hint="eastAsia" w:ascii="宋体" w:hAnsi="宋体"/>
          <w:b/>
          <w:bCs/>
          <w:color w:val="auto"/>
          <w:sz w:val="32"/>
          <w:szCs w:val="32"/>
          <w:highlight w:val="none"/>
          <w:lang w:val="en-US" w:eastAsia="zh-CN"/>
        </w:rPr>
        <w:t>标准</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服务期：2026年1月1日—2027年12月31日                考核时间：</w:t>
      </w:r>
    </w:p>
    <w:tbl>
      <w:tblPr>
        <w:tblStyle w:val="1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381"/>
        <w:gridCol w:w="800"/>
        <w:gridCol w:w="816"/>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考核范围</w:t>
            </w: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考核细则</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分项分值</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实得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分数</w:t>
            </w: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扣分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
                <w:bCs/>
                <w:color w:val="auto"/>
                <w:highlight w:val="none"/>
              </w:rPr>
            </w:pPr>
            <w:r>
              <w:rPr>
                <w:rFonts w:hint="default" w:ascii="宋体" w:hAnsi="宋体"/>
                <w:b/>
                <w:bCs/>
                <w:color w:val="auto"/>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黑体" w:hAnsi="黑体" w:eastAsia="黑体" w:cs="黑体"/>
                <w:color w:val="auto"/>
                <w:highlight w:val="none"/>
              </w:rPr>
              <w:t>物业管理机制（2</w:t>
            </w:r>
            <w:r>
              <w:rPr>
                <w:rFonts w:hint="eastAsia" w:ascii="黑体" w:hAnsi="黑体" w:eastAsia="黑体" w:cs="黑体"/>
                <w:color w:val="auto"/>
                <w:highlight w:val="none"/>
                <w:lang w:val="en-US" w:eastAsia="zh-CN"/>
              </w:rPr>
              <w:t>0</w:t>
            </w:r>
            <w:r>
              <w:rPr>
                <w:rFonts w:hint="eastAsia" w:ascii="黑体" w:hAnsi="黑体" w:eastAsia="黑体" w:cs="黑体"/>
                <w:color w:val="auto"/>
                <w:highlight w:val="none"/>
              </w:rPr>
              <w:t>分）</w:t>
            </w: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highlight w:val="none"/>
                <w:lang w:val="en-US" w:eastAsia="zh-CN"/>
              </w:rPr>
            </w:pPr>
            <w:r>
              <w:rPr>
                <w:rFonts w:hint="eastAsia"/>
                <w:color w:val="auto"/>
                <w:highlight w:val="none"/>
              </w:rPr>
              <w:t>应建立健全规章制度，包括物业服务方案、岗位职责、工作流程及服务规范、内部管理制度等，并应有具体落实措施及考核办法。</w:t>
            </w:r>
            <w:r>
              <w:rPr>
                <w:rFonts w:hint="eastAsia"/>
                <w:color w:val="auto"/>
                <w:highlight w:val="none"/>
                <w:lang w:eastAsia="zh-CN"/>
              </w:rPr>
              <w:t>发现制度缺漏一项扣</w:t>
            </w:r>
            <w:r>
              <w:rPr>
                <w:rFonts w:hint="eastAsia"/>
                <w:color w:val="auto"/>
                <w:highlight w:val="none"/>
                <w:lang w:val="en-US" w:eastAsia="zh-CN"/>
              </w:rPr>
              <w:t>2分，未按制度落实和考核的扣2分。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r>
              <w:rPr>
                <w:rFonts w:hint="eastAsia"/>
                <w:color w:val="auto"/>
                <w:highlight w:val="none"/>
              </w:rPr>
              <w:t>从事特种</w:t>
            </w:r>
            <w:r>
              <w:rPr>
                <w:rFonts w:hint="eastAsia"/>
                <w:color w:val="auto"/>
                <w:highlight w:val="none"/>
                <w:lang w:eastAsia="zh-CN"/>
              </w:rPr>
              <w:t>设备</w:t>
            </w:r>
            <w:r>
              <w:rPr>
                <w:rFonts w:hint="eastAsia"/>
                <w:color w:val="auto"/>
                <w:highlight w:val="none"/>
              </w:rPr>
              <w:t>各作业人员应取得特种作业资格</w:t>
            </w:r>
            <w:r>
              <w:rPr>
                <w:rFonts w:hint="default" w:ascii="宋体" w:hAnsi="宋体"/>
                <w:color w:val="auto"/>
                <w:highlight w:val="none"/>
              </w:rPr>
              <w:t>。未取得相应作业资格的扣</w:t>
            </w:r>
            <w:r>
              <w:rPr>
                <w:rFonts w:hint="eastAsia" w:ascii="宋体" w:hAnsi="宋体"/>
                <w:color w:val="auto"/>
                <w:highlight w:val="none"/>
                <w:lang w:val="en-US" w:eastAsia="zh-CN"/>
              </w:rPr>
              <w:t>5</w:t>
            </w:r>
            <w:r>
              <w:rPr>
                <w:rFonts w:hint="default" w:ascii="宋体" w:hAnsi="宋体"/>
                <w:color w:val="auto"/>
                <w:highlight w:val="none"/>
              </w:rPr>
              <w:t>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highlight w:val="none"/>
                <w:lang w:eastAsia="zh-CN"/>
              </w:rPr>
            </w:pPr>
            <w:r>
              <w:rPr>
                <w:rFonts w:hint="eastAsia"/>
                <w:color w:val="auto"/>
                <w:highlight w:val="none"/>
              </w:rPr>
              <w:t>建立档案管理制度，进行电子备份，对服务记录应分类归档要求保存，方便查阅。档案记录应及时准确、清晰完整，并有</w:t>
            </w:r>
            <w:r>
              <w:rPr>
                <w:rFonts w:hint="eastAsia"/>
                <w:color w:val="auto"/>
                <w:highlight w:val="none"/>
                <w:lang w:eastAsia="zh-CN"/>
              </w:rPr>
              <w:t>责任</w:t>
            </w:r>
            <w:r>
              <w:rPr>
                <w:rFonts w:hint="eastAsia"/>
                <w:color w:val="auto"/>
                <w:highlight w:val="none"/>
              </w:rPr>
              <w:t>人和审核人签字</w:t>
            </w:r>
            <w:r>
              <w:rPr>
                <w:rFonts w:hint="eastAsia"/>
                <w:color w:val="auto"/>
                <w:highlight w:val="none"/>
                <w:lang w:eastAsia="zh-CN"/>
              </w:rPr>
              <w:t>。档案不完整一次扣2分。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olor w:val="auto"/>
                <w:highlight w:val="none"/>
                <w:lang w:val="en-US" w:eastAsia="zh-CN"/>
              </w:rPr>
            </w:pPr>
            <w:r>
              <w:rPr>
                <w:rFonts w:hint="eastAsia" w:ascii="Calibri" w:hAnsi="Calibri" w:eastAsia="宋体" w:cs="Times New Roman"/>
                <w:color w:val="auto"/>
                <w:highlight w:val="none"/>
              </w:rPr>
              <w:t>掌握物业服务基本法律法规，热悉办公楼基本情况，</w:t>
            </w:r>
            <w:r>
              <w:rPr>
                <w:rFonts w:hint="eastAsia" w:ascii="Calibri" w:hAnsi="Calibri" w:cs="Times New Roman"/>
                <w:color w:val="auto"/>
                <w:highlight w:val="none"/>
                <w:lang w:eastAsia="zh-CN"/>
              </w:rPr>
              <w:t>工作人员</w:t>
            </w:r>
            <w:r>
              <w:rPr>
                <w:rFonts w:hint="eastAsia" w:ascii="Calibri" w:hAnsi="Calibri" w:eastAsia="宋体" w:cs="Times New Roman"/>
                <w:color w:val="auto"/>
                <w:highlight w:val="none"/>
              </w:rPr>
              <w:t>上岗前应进行专业技能培训和保密教育，合格后上岗</w:t>
            </w:r>
            <w:r>
              <w:rPr>
                <w:rFonts w:hint="eastAsia" w:ascii="Calibri" w:hAnsi="Calibri" w:eastAsia="宋体" w:cs="Times New Roman"/>
                <w:color w:val="auto"/>
                <w:highlight w:val="none"/>
                <w:lang w:eastAsia="zh-CN"/>
              </w:rPr>
              <w:t>。</w:t>
            </w:r>
            <w:r>
              <w:rPr>
                <w:rFonts w:hint="eastAsia" w:ascii="Calibri" w:hAnsi="Calibri" w:cs="Times New Roman"/>
                <w:color w:val="auto"/>
                <w:highlight w:val="none"/>
                <w:lang w:eastAsia="zh-CN"/>
              </w:rPr>
              <w:t>未进行岗前培训的，一人一次扣</w:t>
            </w:r>
            <w:r>
              <w:rPr>
                <w:rFonts w:hint="eastAsia" w:ascii="Calibri" w:hAnsi="Calibri" w:cs="Times New Roman"/>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color w:val="auto"/>
                <w:highlight w:val="none"/>
              </w:rPr>
            </w:pPr>
            <w:r>
              <w:rPr>
                <w:rFonts w:hint="eastAsia" w:ascii="黑体" w:hAnsi="黑体" w:eastAsia="黑体" w:cs="黑体"/>
                <w:color w:val="auto"/>
                <w:highlight w:val="none"/>
              </w:rPr>
              <w:t>公共秩序就安全防范管理（</w:t>
            </w:r>
            <w:r>
              <w:rPr>
                <w:rFonts w:hint="eastAsia" w:ascii="黑体" w:hAnsi="黑体" w:eastAsia="黑体" w:cs="黑体"/>
                <w:color w:val="auto"/>
                <w:highlight w:val="none"/>
                <w:lang w:val="en-US" w:eastAsia="zh-CN"/>
              </w:rPr>
              <w:t>34</w:t>
            </w:r>
            <w:r>
              <w:rPr>
                <w:rFonts w:hint="eastAsia" w:ascii="黑体" w:hAnsi="黑体" w:eastAsia="黑体" w:cs="黑体"/>
                <w:color w:val="auto"/>
                <w:highlight w:val="none"/>
              </w:rPr>
              <w:t>分）</w:t>
            </w: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olor w:val="auto"/>
                <w:highlight w:val="none"/>
                <w:lang w:val="en-US" w:eastAsia="zh-CN"/>
              </w:rPr>
            </w:pPr>
            <w:r>
              <w:rPr>
                <w:rFonts w:hint="default" w:ascii="宋体" w:hAnsi="宋体"/>
                <w:color w:val="auto"/>
                <w:highlight w:val="none"/>
              </w:rPr>
              <w:t>有突发性火灾应急预案，加强消防演练，确保安全。</w:t>
            </w:r>
            <w:r>
              <w:rPr>
                <w:rFonts w:hint="eastAsia" w:ascii="宋体" w:hAnsi="宋体"/>
                <w:color w:val="auto"/>
                <w:highlight w:val="none"/>
                <w:lang w:eastAsia="zh-CN"/>
              </w:rPr>
              <w:t>未制定应急预案扣</w:t>
            </w:r>
            <w:r>
              <w:rPr>
                <w:rFonts w:hint="eastAsia" w:ascii="宋体" w:hAnsi="宋体"/>
                <w:color w:val="auto"/>
                <w:highlight w:val="none"/>
                <w:lang w:val="en-US" w:eastAsia="zh-CN"/>
              </w:rPr>
              <w:t xml:space="preserve">4分。 </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olor w:val="auto"/>
                <w:highlight w:val="none"/>
                <w:lang w:val="en-US" w:eastAsia="zh-CN"/>
              </w:rPr>
            </w:pPr>
            <w:r>
              <w:rPr>
                <w:rFonts w:hint="default" w:ascii="宋体" w:hAnsi="宋体"/>
                <w:color w:val="auto"/>
                <w:highlight w:val="none"/>
              </w:rPr>
              <w:t>加强对消防设施设备的维护养护，有专人负责，每</w:t>
            </w:r>
            <w:r>
              <w:rPr>
                <w:rFonts w:hint="eastAsia" w:ascii="宋体" w:hAnsi="宋体"/>
                <w:color w:val="auto"/>
                <w:highlight w:val="none"/>
                <w:lang w:eastAsia="zh-CN"/>
              </w:rPr>
              <w:t>周</w:t>
            </w:r>
            <w:r>
              <w:rPr>
                <w:rFonts w:hint="default" w:ascii="宋体" w:hAnsi="宋体"/>
                <w:color w:val="auto"/>
                <w:highlight w:val="none"/>
              </w:rPr>
              <w:t>对消防设施及系统做好巡检。</w:t>
            </w:r>
            <w:r>
              <w:rPr>
                <w:rFonts w:hint="eastAsia" w:ascii="宋体" w:hAnsi="宋体"/>
                <w:color w:val="auto"/>
                <w:highlight w:val="none"/>
                <w:lang w:eastAsia="zh-CN"/>
              </w:rPr>
              <w:t>如消防设施等不能正常使用，每周巡检未检查发现或未及时告知甲方的，一次扣</w:t>
            </w:r>
            <w:r>
              <w:rPr>
                <w:rFonts w:hint="eastAsia" w:ascii="宋体" w:hAnsi="宋体"/>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r>
              <w:rPr>
                <w:rFonts w:hint="default" w:ascii="宋体" w:hAnsi="宋体"/>
                <w:color w:val="auto"/>
                <w:highlight w:val="none"/>
              </w:rPr>
              <w:t>按时完成水电等设备维护，加强对二次加压供水设备维护保养，有专人负责，每日</w:t>
            </w:r>
            <w:r>
              <w:rPr>
                <w:rFonts w:hint="eastAsia" w:ascii="宋体" w:hAnsi="宋体"/>
                <w:color w:val="auto"/>
                <w:highlight w:val="none"/>
              </w:rPr>
              <w:t>做好</w:t>
            </w:r>
            <w:r>
              <w:rPr>
                <w:rFonts w:hint="default" w:ascii="宋体" w:hAnsi="宋体"/>
                <w:color w:val="auto"/>
                <w:highlight w:val="none"/>
              </w:rPr>
              <w:t>巡检，确保各项设备正常运行，无跑、冒、滴、漏现象发生。</w:t>
            </w:r>
            <w:r>
              <w:rPr>
                <w:rFonts w:hint="eastAsia" w:ascii="宋体" w:hAnsi="宋体"/>
                <w:color w:val="auto"/>
                <w:highlight w:val="none"/>
                <w:lang w:eastAsia="zh-CN"/>
              </w:rPr>
              <w:t>如水电等设备不能正常使用，每日巡检未检查发现或未及时告知甲方的，一次扣</w:t>
            </w:r>
            <w:r>
              <w:rPr>
                <w:rFonts w:hint="eastAsia" w:ascii="宋体" w:hAnsi="宋体"/>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olor w:val="auto"/>
                <w:highlight w:val="none"/>
                <w:lang w:val="en-US" w:eastAsia="zh-CN"/>
              </w:rPr>
            </w:pPr>
            <w:r>
              <w:rPr>
                <w:rFonts w:hint="default" w:ascii="宋体" w:hAnsi="宋体"/>
                <w:color w:val="auto"/>
                <w:highlight w:val="none"/>
              </w:rPr>
              <w:t>确保电梯设备设施运行正常，每日做好巡检，有每半月维保记录以及年检记录。</w:t>
            </w:r>
            <w:r>
              <w:rPr>
                <w:rFonts w:hint="eastAsia" w:ascii="宋体" w:hAnsi="宋体"/>
                <w:color w:val="auto"/>
                <w:highlight w:val="none"/>
                <w:lang w:eastAsia="zh-CN"/>
              </w:rPr>
              <w:t>相关记录不完整一次扣</w:t>
            </w:r>
            <w:r>
              <w:rPr>
                <w:rFonts w:hint="eastAsia" w:ascii="宋体" w:hAnsi="宋体"/>
                <w:color w:val="auto"/>
                <w:highlight w:val="none"/>
                <w:lang w:val="en-US" w:eastAsia="zh-CN"/>
              </w:rPr>
              <w:t>2分，</w:t>
            </w:r>
            <w:r>
              <w:rPr>
                <w:rFonts w:hint="eastAsia" w:ascii="宋体" w:hAnsi="宋体"/>
                <w:color w:val="auto"/>
                <w:highlight w:val="none"/>
                <w:lang w:eastAsia="zh-CN"/>
              </w:rPr>
              <w:t>如电梯设备设施异常，每日巡检未检查发现或未及时告知甲方的，一次扣</w:t>
            </w:r>
            <w:r>
              <w:rPr>
                <w:rFonts w:hint="eastAsia" w:ascii="宋体" w:hAnsi="宋体"/>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olor w:val="auto"/>
                <w:highlight w:val="none"/>
                <w:lang w:eastAsia="zh-CN"/>
              </w:rPr>
            </w:pPr>
            <w:r>
              <w:rPr>
                <w:rFonts w:hint="default" w:ascii="宋体" w:hAnsi="宋体"/>
                <w:color w:val="auto"/>
                <w:highlight w:val="none"/>
              </w:rPr>
              <w:t>掌握停</w:t>
            </w:r>
            <w:r>
              <w:rPr>
                <w:rFonts w:hint="eastAsia" w:ascii="宋体" w:hAnsi="宋体"/>
                <w:color w:val="auto"/>
                <w:highlight w:val="none"/>
              </w:rPr>
              <w:t>水</w:t>
            </w:r>
            <w:r>
              <w:rPr>
                <w:rFonts w:hint="default" w:ascii="宋体" w:hAnsi="宋体"/>
                <w:color w:val="auto"/>
                <w:highlight w:val="none"/>
              </w:rPr>
              <w:t>、停电</w:t>
            </w:r>
            <w:r>
              <w:rPr>
                <w:rFonts w:hint="eastAsia" w:ascii="宋体" w:hAnsi="宋体"/>
                <w:color w:val="auto"/>
                <w:highlight w:val="none"/>
                <w:lang w:eastAsia="zh-CN"/>
              </w:rPr>
              <w:t>、停网络</w:t>
            </w:r>
            <w:r>
              <w:rPr>
                <w:rFonts w:hint="default" w:ascii="宋体" w:hAnsi="宋体"/>
                <w:color w:val="auto"/>
                <w:highlight w:val="none"/>
              </w:rPr>
              <w:t>信息，及时向</w:t>
            </w:r>
            <w:r>
              <w:rPr>
                <w:rFonts w:hint="eastAsia" w:ascii="宋体" w:hAnsi="宋体"/>
                <w:color w:val="auto"/>
                <w:highlight w:val="none"/>
                <w:lang w:eastAsia="zh-CN"/>
              </w:rPr>
              <w:t>甲方</w:t>
            </w:r>
            <w:r>
              <w:rPr>
                <w:rFonts w:hint="default" w:ascii="宋体" w:hAnsi="宋体"/>
                <w:color w:val="auto"/>
                <w:highlight w:val="none"/>
              </w:rPr>
              <w:t>通报信息，并对供电设备及线路做好例检工作。</w:t>
            </w:r>
            <w:r>
              <w:rPr>
                <w:rFonts w:hint="eastAsia" w:ascii="宋体" w:hAnsi="宋体"/>
                <w:color w:val="auto"/>
                <w:highlight w:val="none"/>
                <w:lang w:eastAsia="zh-CN"/>
              </w:rPr>
              <w:t>有提前公告的停水停电信息未及时掌握并告知甲方的，一次扣</w:t>
            </w:r>
            <w:r>
              <w:rPr>
                <w:rFonts w:hint="eastAsia" w:ascii="宋体" w:hAnsi="宋体"/>
                <w:color w:val="auto"/>
                <w:highlight w:val="none"/>
                <w:lang w:val="en-US" w:eastAsia="zh-CN"/>
              </w:rPr>
              <w:t>2分。</w:t>
            </w:r>
            <w:r>
              <w:rPr>
                <w:rFonts w:hint="eastAsia" w:ascii="宋体" w:hAnsi="宋体"/>
                <w:color w:val="auto"/>
                <w:highlight w:val="none"/>
                <w:lang w:eastAsia="zh-CN"/>
              </w:rPr>
              <w:t>突发情况无提前公告的除外。</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olor w:val="auto"/>
                <w:highlight w:val="none"/>
                <w:lang w:val="en-US" w:eastAsia="zh-CN"/>
              </w:rPr>
            </w:pPr>
            <w:r>
              <w:rPr>
                <w:rFonts w:hint="eastAsia"/>
                <w:color w:val="auto"/>
                <w:highlight w:val="none"/>
              </w:rPr>
              <w:t>应建立出入登记制度，做好人员</w:t>
            </w:r>
            <w:r>
              <w:rPr>
                <w:rFonts w:hint="eastAsia"/>
                <w:color w:val="auto"/>
                <w:highlight w:val="none"/>
                <w:lang w:eastAsia="zh-CN"/>
              </w:rPr>
              <w:t>、车辆</w:t>
            </w:r>
            <w:r>
              <w:rPr>
                <w:rFonts w:hint="eastAsia"/>
                <w:color w:val="auto"/>
                <w:highlight w:val="none"/>
              </w:rPr>
              <w:t>出入登记和管理，</w:t>
            </w:r>
            <w:r>
              <w:rPr>
                <w:rFonts w:hint="default" w:ascii="宋体" w:hAnsi="宋体"/>
                <w:color w:val="auto"/>
                <w:highlight w:val="none"/>
              </w:rPr>
              <w:t>协助处理突发事件</w:t>
            </w:r>
            <w:r>
              <w:rPr>
                <w:rFonts w:hint="eastAsia" w:ascii="宋体" w:hAnsi="宋体"/>
                <w:color w:val="auto"/>
                <w:highlight w:val="none"/>
                <w:lang w:eastAsia="zh-CN"/>
              </w:rPr>
              <w:t>，</w:t>
            </w:r>
            <w:r>
              <w:rPr>
                <w:rFonts w:hint="eastAsia"/>
                <w:color w:val="auto"/>
                <w:highlight w:val="none"/>
              </w:rPr>
              <w:t>发生问题或发现可疑危险品时，应及时处理。</w:t>
            </w:r>
            <w:r>
              <w:rPr>
                <w:rFonts w:hint="eastAsia"/>
                <w:color w:val="auto"/>
                <w:highlight w:val="none"/>
                <w:lang w:eastAsia="zh-CN"/>
              </w:rPr>
              <w:t>发现一次未执行扣</w:t>
            </w:r>
            <w:r>
              <w:rPr>
                <w:rFonts w:hint="eastAsia"/>
                <w:color w:val="auto"/>
                <w:highlight w:val="none"/>
                <w:lang w:val="en-US" w:eastAsia="zh-CN"/>
              </w:rPr>
              <w:t>3分、登记不完整扣2分。发现一次未经采购人允许而进入办公区域的</w:t>
            </w:r>
            <w:r>
              <w:rPr>
                <w:rFonts w:hint="default" w:ascii="Times New Roman" w:hAnsi="Times New Roman" w:eastAsia="宋体" w:cs="Times New Roman"/>
                <w:color w:val="auto"/>
                <w:kern w:val="2"/>
                <w:sz w:val="21"/>
                <w:szCs w:val="24"/>
                <w:highlight w:val="none"/>
                <w:lang w:val="en-US" w:eastAsia="zh-CN" w:bidi="ar-SA"/>
              </w:rPr>
              <w:t>外来人员</w:t>
            </w:r>
            <w:r>
              <w:rPr>
                <w:rFonts w:hint="eastAsia" w:cs="Times New Roman"/>
                <w:color w:val="auto"/>
                <w:kern w:val="2"/>
                <w:sz w:val="21"/>
                <w:szCs w:val="24"/>
                <w:highlight w:val="none"/>
                <w:lang w:val="en-US" w:eastAsia="zh-CN" w:bidi="ar-SA"/>
              </w:rPr>
              <w:t>扣3分。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olor w:val="auto"/>
                <w:highlight w:val="none"/>
                <w:lang w:val="en-US" w:eastAsia="zh-CN"/>
              </w:rPr>
            </w:pPr>
            <w:r>
              <w:rPr>
                <w:rFonts w:hint="eastAsia"/>
                <w:color w:val="auto"/>
                <w:highlight w:val="none"/>
              </w:rPr>
              <w:t>引导车辆按规定路线行驶、指定停放区域，非机动车定点有序停放。</w:t>
            </w:r>
            <w:r>
              <w:rPr>
                <w:rFonts w:hint="eastAsia"/>
                <w:color w:val="auto"/>
                <w:highlight w:val="none"/>
                <w:lang w:eastAsia="zh-CN"/>
              </w:rPr>
              <w:t>未及时通知影响出入的乱停放车辆规范停放一次</w:t>
            </w:r>
            <w:r>
              <w:rPr>
                <w:rFonts w:hint="eastAsia"/>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olor w:val="auto"/>
                <w:highlight w:val="none"/>
                <w:lang w:val="en-US" w:eastAsia="zh-CN"/>
              </w:rPr>
            </w:pPr>
            <w:r>
              <w:rPr>
                <w:rFonts w:hint="eastAsia"/>
                <w:color w:val="auto"/>
                <w:highlight w:val="none"/>
              </w:rPr>
              <w:t>监控设施应 24 小时正常运行</w:t>
            </w:r>
            <w:r>
              <w:rPr>
                <w:rFonts w:hint="eastAsia"/>
                <w:color w:val="auto"/>
                <w:highlight w:val="none"/>
                <w:lang w:eastAsia="zh-CN"/>
              </w:rPr>
              <w:t>，</w:t>
            </w:r>
            <w:r>
              <w:rPr>
                <w:rFonts w:hint="eastAsia"/>
                <w:color w:val="auto"/>
                <w:highlight w:val="none"/>
              </w:rPr>
              <w:t>保证出入口和内部重点区域的</w:t>
            </w:r>
            <w:r>
              <w:rPr>
                <w:rFonts w:hint="eastAsia"/>
                <w:color w:val="auto"/>
                <w:highlight w:val="none"/>
                <w:lang w:eastAsia="zh-CN"/>
              </w:rPr>
              <w:t>安全</w:t>
            </w:r>
            <w:r>
              <w:rPr>
                <w:rFonts w:hint="eastAsia"/>
                <w:color w:val="auto"/>
                <w:highlight w:val="none"/>
              </w:rPr>
              <w:t>监控。监控室收到异常情况报警信号后，应及时报警</w:t>
            </w:r>
            <w:r>
              <w:rPr>
                <w:rFonts w:hint="eastAsia"/>
                <w:color w:val="auto"/>
                <w:highlight w:val="none"/>
                <w:lang w:eastAsia="zh-CN"/>
              </w:rPr>
              <w:t>。</w:t>
            </w:r>
            <w:r>
              <w:rPr>
                <w:rFonts w:hint="eastAsia"/>
                <w:color w:val="auto"/>
                <w:highlight w:val="none"/>
              </w:rPr>
              <w:t>调取监控视频必须履行严格的审批手续，经采购人批准。</w:t>
            </w:r>
            <w:r>
              <w:rPr>
                <w:rFonts w:hint="eastAsia"/>
                <w:color w:val="auto"/>
                <w:highlight w:val="none"/>
                <w:lang w:eastAsia="zh-CN"/>
              </w:rPr>
              <w:t>发现监控设备异常未及时通知甲方的，一次扣</w:t>
            </w:r>
            <w:r>
              <w:rPr>
                <w:rFonts w:hint="eastAsia"/>
                <w:color w:val="auto"/>
                <w:highlight w:val="none"/>
                <w:lang w:val="en-US" w:eastAsia="zh-CN"/>
              </w:rPr>
              <w:t>2分。未</w:t>
            </w:r>
            <w:r>
              <w:rPr>
                <w:rFonts w:hint="eastAsia"/>
                <w:color w:val="auto"/>
                <w:highlight w:val="none"/>
              </w:rPr>
              <w:t>履行审批手续</w:t>
            </w:r>
            <w:r>
              <w:rPr>
                <w:rFonts w:hint="eastAsia"/>
                <w:color w:val="auto"/>
                <w:highlight w:val="none"/>
                <w:lang w:eastAsia="zh-CN"/>
              </w:rPr>
              <w:t>随意调取监控视频的，一次扣</w:t>
            </w:r>
            <w:r>
              <w:rPr>
                <w:rFonts w:hint="eastAsia"/>
                <w:color w:val="auto"/>
                <w:highlight w:val="none"/>
                <w:lang w:val="en-US" w:eastAsia="zh-CN"/>
              </w:rPr>
              <w:t>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780"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黑体" w:hAnsi="黑体" w:eastAsia="黑体" w:cs="黑体"/>
                <w:color w:val="auto"/>
                <w:highlight w:val="none"/>
              </w:rPr>
              <w:t>日常服务管理（</w:t>
            </w:r>
            <w:r>
              <w:rPr>
                <w:rFonts w:hint="eastAsia" w:ascii="黑体" w:hAnsi="黑体" w:eastAsia="黑体" w:cs="黑体"/>
                <w:color w:val="auto"/>
                <w:highlight w:val="none"/>
                <w:lang w:val="en-US" w:eastAsia="zh-CN"/>
              </w:rPr>
              <w:t>46</w:t>
            </w:r>
            <w:r>
              <w:rPr>
                <w:rFonts w:hint="default" w:ascii="黑体" w:hAnsi="黑体" w:eastAsia="黑体" w:cs="黑体"/>
                <w:color w:val="auto"/>
                <w:highlight w:val="none"/>
              </w:rPr>
              <w:t>分）</w:t>
            </w: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r>
              <w:rPr>
                <w:rFonts w:hint="default" w:ascii="宋体" w:hAnsi="宋体"/>
                <w:color w:val="auto"/>
                <w:highlight w:val="none"/>
              </w:rPr>
              <w:t>服务人员</w:t>
            </w:r>
            <w:r>
              <w:rPr>
                <w:rFonts w:hint="eastAsia" w:ascii="宋体" w:hAnsi="宋体"/>
                <w:color w:val="auto"/>
                <w:highlight w:val="none"/>
              </w:rPr>
              <w:t>配备齐整，按时到岗。人员</w:t>
            </w:r>
            <w:r>
              <w:rPr>
                <w:rFonts w:hint="default" w:ascii="宋体" w:hAnsi="宋体"/>
                <w:color w:val="auto"/>
                <w:highlight w:val="none"/>
              </w:rPr>
              <w:t>统一着装</w:t>
            </w:r>
            <w:r>
              <w:rPr>
                <w:rFonts w:hint="eastAsia" w:ascii="宋体" w:hAnsi="宋体"/>
                <w:color w:val="auto"/>
                <w:highlight w:val="none"/>
              </w:rPr>
              <w:t>、</w:t>
            </w:r>
            <w:r>
              <w:rPr>
                <w:rFonts w:hint="default" w:ascii="宋体" w:hAnsi="宋体"/>
                <w:color w:val="auto"/>
                <w:highlight w:val="none"/>
              </w:rPr>
              <w:t>衣着整洁</w:t>
            </w:r>
            <w:r>
              <w:rPr>
                <w:rFonts w:hint="eastAsia" w:ascii="宋体" w:hAnsi="宋体"/>
                <w:color w:val="auto"/>
                <w:highlight w:val="none"/>
              </w:rPr>
              <w:t>，</w:t>
            </w:r>
            <w:r>
              <w:rPr>
                <w:rFonts w:hint="default" w:ascii="宋体" w:hAnsi="宋体"/>
                <w:color w:val="auto"/>
                <w:highlight w:val="none"/>
              </w:rPr>
              <w:t>服务周到热情</w:t>
            </w:r>
            <w:r>
              <w:rPr>
                <w:rFonts w:hint="eastAsia" w:ascii="宋体" w:hAnsi="宋体"/>
                <w:color w:val="auto"/>
                <w:highlight w:val="none"/>
              </w:rPr>
              <w:t>、</w:t>
            </w:r>
            <w:r>
              <w:rPr>
                <w:rFonts w:hint="default" w:ascii="宋体" w:hAnsi="宋体"/>
                <w:color w:val="auto"/>
                <w:highlight w:val="none"/>
              </w:rPr>
              <w:t>形象良好</w:t>
            </w:r>
            <w:r>
              <w:rPr>
                <w:rFonts w:hint="eastAsia" w:ascii="宋体" w:hAnsi="宋体"/>
                <w:color w:val="auto"/>
                <w:highlight w:val="none"/>
              </w:rPr>
              <w:t>、</w:t>
            </w:r>
            <w:r>
              <w:rPr>
                <w:rFonts w:hint="default" w:ascii="宋体" w:hAnsi="宋体"/>
                <w:color w:val="auto"/>
                <w:highlight w:val="none"/>
              </w:rPr>
              <w:t>礼仪周到。工作流程规范，快捷</w:t>
            </w:r>
            <w:r>
              <w:rPr>
                <w:rFonts w:hint="eastAsia" w:ascii="宋体" w:hAnsi="宋体"/>
                <w:color w:val="auto"/>
                <w:highlight w:val="none"/>
              </w:rPr>
              <w:t>、</w:t>
            </w:r>
            <w:r>
              <w:rPr>
                <w:rFonts w:hint="default" w:ascii="宋体" w:hAnsi="宋体"/>
                <w:color w:val="auto"/>
                <w:highlight w:val="none"/>
              </w:rPr>
              <w:t>准确地完成工作。</w:t>
            </w:r>
            <w:r>
              <w:rPr>
                <w:rFonts w:hint="eastAsia"/>
                <w:color w:val="auto"/>
                <w:highlight w:val="none"/>
                <w:lang w:val="en-US" w:eastAsia="zh-CN"/>
              </w:rPr>
              <w:t>在岗在位人数每少一人扣1分，人员素质不符合要求扣2分，着装不规范发现一次扣1分。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olor w:val="auto"/>
                <w:highlight w:val="none"/>
                <w:lang w:val="en-US" w:eastAsia="zh-CN"/>
              </w:rPr>
            </w:pPr>
            <w:r>
              <w:rPr>
                <w:rFonts w:hint="default" w:ascii="宋体" w:hAnsi="宋体"/>
                <w:color w:val="auto"/>
                <w:highlight w:val="none"/>
              </w:rPr>
              <w:t>绿化</w:t>
            </w:r>
            <w:r>
              <w:rPr>
                <w:rFonts w:hint="eastAsia" w:ascii="宋体" w:hAnsi="宋体"/>
                <w:color w:val="auto"/>
                <w:highlight w:val="none"/>
              </w:rPr>
              <w:t>带</w:t>
            </w:r>
            <w:r>
              <w:rPr>
                <w:rFonts w:hint="default" w:ascii="宋体" w:hAnsi="宋体"/>
                <w:color w:val="auto"/>
                <w:highlight w:val="none"/>
              </w:rPr>
              <w:t>花草树木长势良好，定期浇水施肥、修剪修型，无病虫害，无杂草丛生，无枯萎、枯死现象。</w:t>
            </w:r>
            <w:r>
              <w:rPr>
                <w:rFonts w:hint="eastAsia" w:ascii="宋体" w:hAnsi="宋体"/>
                <w:color w:val="auto"/>
                <w:highlight w:val="none"/>
                <w:lang w:eastAsia="zh-CN"/>
              </w:rPr>
              <w:t>发现一次未及时修剪或养护扣</w:t>
            </w:r>
            <w:r>
              <w:rPr>
                <w:rFonts w:hint="eastAsia" w:ascii="宋体" w:hAnsi="宋体"/>
                <w:color w:val="auto"/>
                <w:highlight w:val="none"/>
                <w:lang w:val="en-US" w:eastAsia="zh-CN"/>
              </w:rPr>
              <w:t>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olor w:val="auto"/>
                <w:highlight w:val="none"/>
              </w:rPr>
            </w:pPr>
            <w:r>
              <w:rPr>
                <w:rFonts w:hint="eastAsia"/>
                <w:color w:val="auto"/>
                <w:highlight w:val="none"/>
                <w:lang w:val="en-US" w:eastAsia="zh-CN"/>
              </w:rPr>
              <w:t>办公区域、公共通道等公共区域地面、墙面、天花板等清洁无污渍、无积尘，发现一次不合格，扣1分。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olor w:val="auto"/>
                <w:highlight w:val="none"/>
              </w:rPr>
            </w:pPr>
            <w:r>
              <w:rPr>
                <w:rFonts w:hint="eastAsia"/>
                <w:color w:val="auto"/>
                <w:highlight w:val="none"/>
                <w:lang w:val="en-US" w:eastAsia="zh-CN"/>
              </w:rPr>
              <w:t>卫生间清洁卫生，无异味、地面无积水及杂物，发现一次不合格，扣1分。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olor w:val="auto"/>
                <w:highlight w:val="none"/>
                <w:lang w:val="en-US"/>
              </w:rPr>
            </w:pPr>
            <w:r>
              <w:rPr>
                <w:rFonts w:hint="eastAsia"/>
                <w:color w:val="auto"/>
                <w:highlight w:val="none"/>
                <w:lang w:val="en-US" w:eastAsia="zh-CN"/>
              </w:rPr>
              <w:t>及时清理垃圾，垃圾桶周边无散落垃圾，垃圾日产日清，发现一次未按时清理扣1分，发现垃圾散落告知后未及时整改的扣1分。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olor w:val="auto"/>
                <w:highlight w:val="none"/>
              </w:rPr>
            </w:pPr>
            <w:r>
              <w:rPr>
                <w:rFonts w:hint="eastAsia"/>
                <w:color w:val="auto"/>
                <w:highlight w:val="none"/>
                <w:lang w:val="en-US" w:eastAsia="zh-CN"/>
              </w:rPr>
              <w:t>垃圾分类处理符合要求，未按分类投放发现一次，未及时整改扣1分。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olor w:val="auto"/>
                <w:highlight w:val="none"/>
              </w:rPr>
            </w:pPr>
            <w:r>
              <w:rPr>
                <w:rFonts w:hint="eastAsia"/>
                <w:color w:val="auto"/>
                <w:highlight w:val="none"/>
                <w:lang w:val="en-US" w:eastAsia="zh-CN"/>
              </w:rPr>
              <w:t>绿化区域整洁，无杂物堆放，发现一次不合格，告知后未及时整改扣1分。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78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olor w:val="auto"/>
                <w:highlight w:val="none"/>
                <w:lang w:val="en-US" w:eastAsia="zh-CN"/>
              </w:rPr>
            </w:pPr>
            <w:r>
              <w:rPr>
                <w:rFonts w:hint="eastAsia" w:ascii="宋体" w:hAnsi="宋体"/>
                <w:color w:val="auto"/>
                <w:highlight w:val="none"/>
                <w:lang w:eastAsia="zh-CN"/>
              </w:rPr>
              <w:t>提供的符合国家规范标准的低值易耗品，并及时补充，发现一次提供的产品不符合国家规范标准扣</w:t>
            </w:r>
            <w:r>
              <w:rPr>
                <w:rFonts w:hint="eastAsia" w:ascii="宋体" w:hAnsi="宋体"/>
                <w:color w:val="auto"/>
                <w:highlight w:val="none"/>
                <w:lang w:val="en-US" w:eastAsia="zh-CN"/>
              </w:rPr>
              <w:t>8分，每日清扫结束后未及时补充或更换一次扣2分。</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7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olor w:val="auto"/>
                <w:highlight w:val="none"/>
              </w:rPr>
            </w:pPr>
          </w:p>
        </w:tc>
        <w:tc>
          <w:tcPr>
            <w:tcW w:w="6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合  计</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100</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b/>
          <w:bCs/>
          <w:color w:val="auto"/>
          <w:highlight w:val="none"/>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auto"/>
          <w:highlight w:val="none"/>
        </w:rPr>
      </w:pPr>
      <w:r>
        <w:rPr>
          <w:rFonts w:hint="eastAsia"/>
          <w:b/>
          <w:bCs/>
          <w:color w:val="auto"/>
          <w:highlight w:val="none"/>
          <w:lang w:val="en-US" w:eastAsia="zh-CN"/>
        </w:rPr>
        <w:t>考核人：</w:t>
      </w:r>
    </w:p>
    <w:p>
      <w:pPr>
        <w:pStyle w:val="25"/>
        <w:keepNext w:val="0"/>
        <w:keepLines w:val="0"/>
        <w:pageBreakBefore w:val="0"/>
        <w:kinsoku/>
        <w:wordWrap/>
        <w:overflowPunct/>
        <w:topLinePunct w:val="0"/>
        <w:autoSpaceDE/>
        <w:autoSpaceDN/>
        <w:bidi w:val="0"/>
        <w:adjustRightInd/>
        <w:snapToGrid/>
        <w:spacing w:line="240" w:lineRule="auto"/>
        <w:textAlignment w:val="auto"/>
        <w:rPr>
          <w:color w:val="auto"/>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color w:val="000000"/>
          <w:lang w:val="en-US" w:eastAsia="zh-CN"/>
        </w:rPr>
      </w:pPr>
      <w:r>
        <w:rPr>
          <w:rFonts w:hint="eastAsia" w:ascii="宋体" w:hAnsi="宋体"/>
          <w:color w:val="000000"/>
        </w:rPr>
        <w:t>一、</w:t>
      </w:r>
      <w:r>
        <w:rPr>
          <w:rFonts w:hint="eastAsia" w:ascii="宋体" w:hAnsi="宋体"/>
          <w:color w:val="000000"/>
          <w:lang w:val="en-US" w:eastAsia="zh-CN"/>
        </w:rPr>
        <w:t>防城港市商务局单位口岸办将对物业管理服务进行全程监控管理，如成交方日常工作不到位、不达标或有违约现象，将依据《物业管理服务考核标准》及合同约定给予处理和处罚。</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color w:val="000000"/>
          <w:lang w:val="en-US" w:eastAsia="zh-CN"/>
        </w:rPr>
      </w:pPr>
      <w:r>
        <w:rPr>
          <w:rFonts w:hint="eastAsia" w:ascii="宋体" w:hAnsi="宋体"/>
          <w:color w:val="000000"/>
          <w:lang w:val="en-US" w:eastAsia="zh-CN"/>
        </w:rPr>
        <w:t>二、根据《物业管理服务考核标准》，采购人每月至少1次派出专人对工作内容的完成情况进行督促检查，其余时间不定期抽查，检查人填写工作检查记录由服务单位被检查人签字认可并整理保存。根据平时检查结果，采购人有权针对出现的问题实施处罚，下达书面整改通知的必须限期内整改。同类问题下达书面整改通知达到三次，采购人有权依法解除合同。</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32"/>
          <w:szCs w:val="32"/>
          <w:highlight w:val="none"/>
        </w:rPr>
      </w:pPr>
      <w:r>
        <w:rPr>
          <w:rFonts w:hint="eastAsia" w:ascii="宋体" w:hAnsi="宋体"/>
          <w:color w:val="000000"/>
          <w:lang w:val="en-US" w:eastAsia="zh-CN"/>
        </w:rPr>
        <w:t>三、扣分处罚标准不仅限于以上考评内容标准，如有其他违规违纪行为，按照相关法律法规、业主单位有关规定处理。</w:t>
      </w:r>
    </w:p>
    <w:p>
      <w:pPr>
        <w:spacing w:line="500" w:lineRule="exact"/>
        <w:jc w:val="center"/>
        <w:rPr>
          <w:rFonts w:hint="eastAsia" w:ascii="微软雅黑" w:hAnsi="微软雅黑" w:eastAsia="微软雅黑"/>
          <w:b/>
          <w:bCs/>
          <w:color w:val="auto"/>
          <w:sz w:val="28"/>
          <w:szCs w:val="28"/>
          <w:lang w:val="en-US" w:eastAsia="zh-CN"/>
        </w:rPr>
      </w:pPr>
    </w:p>
    <w:p>
      <w:pPr>
        <w:spacing w:line="500" w:lineRule="exact"/>
        <w:jc w:val="center"/>
        <w:rPr>
          <w:rFonts w:hint="eastAsia" w:ascii="微软雅黑" w:hAnsi="微软雅黑" w:eastAsia="微软雅黑"/>
          <w:b/>
          <w:bCs/>
          <w:color w:val="auto"/>
          <w:sz w:val="28"/>
          <w:szCs w:val="28"/>
          <w:lang w:val="en-US" w:eastAsia="zh-CN"/>
        </w:rPr>
      </w:pPr>
    </w:p>
    <w:p>
      <w:pPr>
        <w:spacing w:line="500" w:lineRule="exact"/>
        <w:jc w:val="center"/>
        <w:rPr>
          <w:rFonts w:hint="eastAsia" w:ascii="微软雅黑" w:hAnsi="微软雅黑" w:eastAsia="微软雅黑"/>
          <w:b/>
          <w:bCs/>
          <w:color w:val="auto"/>
          <w:sz w:val="28"/>
          <w:szCs w:val="28"/>
        </w:rPr>
      </w:pPr>
      <w:r>
        <w:rPr>
          <w:rFonts w:hint="eastAsia" w:ascii="微软雅黑" w:hAnsi="微软雅黑" w:eastAsia="微软雅黑"/>
          <w:b/>
          <w:bCs/>
          <w:color w:val="auto"/>
          <w:sz w:val="28"/>
          <w:szCs w:val="28"/>
          <w:lang w:val="en-US" w:eastAsia="zh-CN"/>
        </w:rPr>
        <w:t>附件1</w:t>
      </w:r>
      <w:r>
        <w:rPr>
          <w:rFonts w:hint="eastAsia" w:ascii="微软雅黑" w:hAnsi="微软雅黑" w:eastAsia="微软雅黑"/>
          <w:b/>
          <w:bCs/>
          <w:color w:val="auto"/>
          <w:sz w:val="28"/>
          <w:szCs w:val="28"/>
        </w:rPr>
        <w:t>防城港口岸联检大楼主楼与附楼平面图</w:t>
      </w:r>
    </w:p>
    <w:p>
      <w:pPr>
        <w:pStyle w:val="2"/>
        <w:rPr>
          <w:rFonts w:hint="default"/>
          <w:lang w:val="en-US"/>
        </w:rPr>
      </w:pPr>
    </w:p>
    <w:p>
      <w:pPr>
        <w:rPr>
          <w:rFonts w:hint="default"/>
          <w:lang w:val="en-US"/>
        </w:rPr>
      </w:pPr>
    </w:p>
    <w:p>
      <w:pPr>
        <w:pStyle w:val="2"/>
        <w:rPr>
          <w:rFonts w:hint="default"/>
          <w:lang w:val="en-US"/>
        </w:rPr>
      </w:pPr>
      <w:r>
        <w:rPr>
          <w:rFonts w:hint="eastAsia" w:ascii="微软雅黑" w:hAnsi="微软雅黑" w:eastAsia="微软雅黑"/>
          <w:b/>
          <w:bCs/>
          <w:color w:val="auto"/>
          <w:sz w:val="28"/>
          <w:szCs w:val="28"/>
        </w:rPr>
        <w:drawing>
          <wp:anchor distT="0" distB="0" distL="114300" distR="114300" simplePos="0" relativeHeight="251678720" behindDoc="0" locked="0" layoutInCell="1" allowOverlap="1">
            <wp:simplePos x="0" y="0"/>
            <wp:positionH relativeFrom="column">
              <wp:posOffset>-302260</wp:posOffset>
            </wp:positionH>
            <wp:positionV relativeFrom="paragraph">
              <wp:posOffset>-372745</wp:posOffset>
            </wp:positionV>
            <wp:extent cx="6408420" cy="3905885"/>
            <wp:effectExtent l="0" t="0" r="11430" b="18415"/>
            <wp:wrapNone/>
            <wp:docPr id="5" name="图片 5" descr="0ad0caad1628006060b22d3ab63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d0caad1628006060b22d3ab633481"/>
                    <pic:cNvPicPr>
                      <a:picLocks noChangeAspect="1"/>
                    </pic:cNvPicPr>
                  </pic:nvPicPr>
                  <pic:blipFill>
                    <a:blip r:embed="rId7"/>
                    <a:stretch>
                      <a:fillRect/>
                    </a:stretch>
                  </pic:blipFill>
                  <pic:spPr>
                    <a:xfrm>
                      <a:off x="0" y="0"/>
                      <a:ext cx="6408420" cy="3905885"/>
                    </a:xfrm>
                    <a:prstGeom prst="rect">
                      <a:avLst/>
                    </a:prstGeom>
                  </pic:spPr>
                </pic:pic>
              </a:graphicData>
            </a:graphic>
          </wp:anchor>
        </w:drawing>
      </w: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5"/>
        <w:pageBreakBefore w:val="0"/>
        <w:kinsoku/>
        <w:overflowPunct/>
        <w:topLinePunct w:val="0"/>
        <w:bidi w:val="0"/>
        <w:spacing w:line="560" w:lineRule="exact"/>
        <w:ind w:left="0" w:leftChars="0" w:firstLine="0" w:firstLineChars="0"/>
        <w:rPr>
          <w:color w:val="auto"/>
          <w:highlight w:val="none"/>
        </w:rPr>
      </w:pPr>
    </w:p>
    <w:p>
      <w:pPr>
        <w:pStyle w:val="3"/>
        <w:pageBreakBefore w:val="0"/>
        <w:tabs>
          <w:tab w:val="left" w:pos="0"/>
        </w:tabs>
        <w:kinsoku/>
        <w:overflowPunct/>
        <w:topLinePunct w:val="0"/>
        <w:autoSpaceDE w:val="0"/>
        <w:autoSpaceDN w:val="0"/>
        <w:bidi w:val="0"/>
        <w:adjustRightInd w:val="0"/>
        <w:spacing w:before="0" w:after="0" w:line="56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第四章 评审</w:t>
      </w:r>
      <w:r>
        <w:rPr>
          <w:rFonts w:hint="eastAsia" w:ascii="宋体" w:hAnsi="宋体" w:cs="宋体"/>
          <w:color w:val="auto"/>
          <w:sz w:val="32"/>
          <w:szCs w:val="32"/>
          <w:highlight w:val="none"/>
          <w:lang w:val="en-US" w:eastAsia="zh-CN"/>
        </w:rPr>
        <w:t>办法</w:t>
      </w:r>
    </w:p>
    <w:p>
      <w:pPr>
        <w:pStyle w:val="11"/>
        <w:pageBreakBefore w:val="0"/>
        <w:kinsoku/>
        <w:overflowPunct/>
        <w:topLinePunct w:val="0"/>
        <w:bidi w:val="0"/>
        <w:spacing w:line="560" w:lineRule="exact"/>
        <w:jc w:val="center"/>
        <w:rPr>
          <w:rFonts w:hAnsi="宋体"/>
          <w:b/>
          <w:bCs/>
          <w:color w:val="auto"/>
          <w:sz w:val="44"/>
          <w:szCs w:val="44"/>
          <w:highlight w:val="none"/>
        </w:rPr>
      </w:pPr>
      <w:bookmarkStart w:id="118" w:name="OLE_LINK20"/>
      <w:bookmarkStart w:id="119" w:name="_Hlk92463826"/>
      <w:r>
        <w:rPr>
          <w:rFonts w:hint="eastAsia" w:hAnsi="宋体"/>
          <w:b/>
          <w:bCs/>
          <w:color w:val="auto"/>
          <w:sz w:val="44"/>
          <w:szCs w:val="44"/>
          <w:highlight w:val="none"/>
        </w:rPr>
        <w:t>评定标准及推荐原则</w:t>
      </w:r>
      <w:bookmarkEnd w:id="118"/>
    </w:p>
    <w:bookmarkEnd w:id="119"/>
    <w:p>
      <w:pPr>
        <w:pageBreakBefore w:val="0"/>
        <w:kinsoku/>
        <w:overflowPunct/>
        <w:topLinePunct w:val="0"/>
        <w:bidi w:val="0"/>
        <w:spacing w:line="560" w:lineRule="exact"/>
        <w:rPr>
          <w:color w:val="auto"/>
          <w:highlight w:val="none"/>
        </w:rPr>
      </w:pPr>
    </w:p>
    <w:p>
      <w:pPr>
        <w:pStyle w:val="11"/>
        <w:keepNext w:val="0"/>
        <w:keepLines w:val="0"/>
        <w:pageBreakBefore w:val="0"/>
        <w:kinsoku/>
        <w:wordWrap/>
        <w:overflowPunct/>
        <w:topLinePunct w:val="0"/>
        <w:autoSpaceDE/>
        <w:autoSpaceDN/>
        <w:bidi w:val="0"/>
        <w:spacing w:line="560" w:lineRule="exact"/>
        <w:textAlignment w:val="auto"/>
        <w:rPr>
          <w:rFonts w:hAnsi="宋体"/>
          <w:b/>
          <w:color w:val="auto"/>
          <w:highlight w:val="none"/>
        </w:rPr>
      </w:pPr>
      <w:r>
        <w:rPr>
          <w:rFonts w:hint="eastAsia" w:hAnsi="宋体"/>
          <w:b/>
          <w:color w:val="auto"/>
          <w:highlight w:val="none"/>
        </w:rPr>
        <w:t>一、评标原则</w:t>
      </w:r>
    </w:p>
    <w:p>
      <w:pPr>
        <w:pStyle w:val="11"/>
        <w:keepNext w:val="0"/>
        <w:keepLines w:val="0"/>
        <w:pageBreakBefore w:val="0"/>
        <w:kinsoku/>
        <w:wordWrap/>
        <w:overflowPunct/>
        <w:topLinePunct w:val="0"/>
        <w:autoSpaceDE/>
        <w:autoSpaceDN/>
        <w:bidi w:val="0"/>
        <w:spacing w:line="560" w:lineRule="exact"/>
        <w:ind w:firstLine="273" w:firstLineChars="130"/>
        <w:textAlignment w:val="auto"/>
        <w:rPr>
          <w:rFonts w:hint="eastAsia" w:hAnsi="宋体"/>
          <w:bCs/>
          <w:color w:val="auto"/>
          <w:highlight w:val="none"/>
        </w:rPr>
      </w:pPr>
      <w:r>
        <w:rPr>
          <w:rFonts w:hint="eastAsia" w:hAnsi="宋体"/>
          <w:bCs/>
          <w:color w:val="auto"/>
          <w:highlight w:val="none"/>
        </w:rPr>
        <w:t xml:space="preserve">(一) </w:t>
      </w:r>
      <w:r>
        <w:rPr>
          <w:rFonts w:hint="default" w:hAnsi="宋体"/>
          <w:bCs/>
          <w:color w:val="auto"/>
          <w:highlight w:val="none"/>
          <w:lang w:val="en"/>
        </w:rPr>
        <w:t>磋商小组</w:t>
      </w:r>
      <w:r>
        <w:rPr>
          <w:rFonts w:hint="eastAsia" w:hAnsi="宋体"/>
          <w:bCs/>
          <w:color w:val="auto"/>
          <w:highlight w:val="none"/>
        </w:rPr>
        <w:t>构成：</w:t>
      </w:r>
      <w:r>
        <w:rPr>
          <w:rFonts w:hint="eastAsia"/>
          <w:bCs/>
          <w:color w:val="auto"/>
          <w:highlight w:val="none"/>
        </w:rPr>
        <w:t>本项目的磋商小组由</w:t>
      </w:r>
      <w:r>
        <w:rPr>
          <w:rFonts w:hint="eastAsia"/>
          <w:bCs/>
          <w:color w:val="auto"/>
          <w:highlight w:val="none"/>
          <w:lang w:eastAsia="zh-CN"/>
        </w:rPr>
        <w:t>采购人代表和</w:t>
      </w:r>
      <w:r>
        <w:rPr>
          <w:rFonts w:hint="eastAsia"/>
          <w:bCs/>
          <w:color w:val="auto"/>
          <w:highlight w:val="none"/>
        </w:rPr>
        <w:t>评审专家共3人以上单数组成，其中评审专家人数不得少于磋商小组人员总数的2/3。</w:t>
      </w:r>
    </w:p>
    <w:p>
      <w:pPr>
        <w:pStyle w:val="11"/>
        <w:keepNext w:val="0"/>
        <w:keepLines w:val="0"/>
        <w:pageBreakBefore w:val="0"/>
        <w:kinsoku/>
        <w:wordWrap/>
        <w:overflowPunct/>
        <w:topLinePunct w:val="0"/>
        <w:autoSpaceDE/>
        <w:autoSpaceDN/>
        <w:bidi w:val="0"/>
        <w:spacing w:line="560" w:lineRule="exact"/>
        <w:ind w:firstLine="289" w:firstLineChars="138"/>
        <w:textAlignment w:val="auto"/>
        <w:rPr>
          <w:rFonts w:hint="eastAsia" w:hAnsi="宋体"/>
          <w:bCs/>
          <w:color w:val="auto"/>
          <w:highlight w:val="none"/>
        </w:rPr>
      </w:pPr>
      <w:r>
        <w:rPr>
          <w:rFonts w:hint="eastAsia" w:hAnsi="宋体"/>
          <w:bCs/>
          <w:color w:val="auto"/>
          <w:highlight w:val="none"/>
        </w:rPr>
        <w:t>(二)评标依据：</w:t>
      </w:r>
      <w:r>
        <w:rPr>
          <w:rFonts w:hint="eastAsia" w:hAnsi="宋体"/>
          <w:bCs/>
          <w:color w:val="auto"/>
          <w:kern w:val="0"/>
          <w:highlight w:val="none"/>
        </w:rPr>
        <w:t>磋商小组将以竞争性磋商文件和响应文件为评定依据进行评审，对供应商的响应文件内容按百分制打分。</w:t>
      </w:r>
    </w:p>
    <w:p>
      <w:pPr>
        <w:pStyle w:val="11"/>
        <w:keepNext w:val="0"/>
        <w:keepLines w:val="0"/>
        <w:pageBreakBefore w:val="0"/>
        <w:kinsoku/>
        <w:wordWrap/>
        <w:overflowPunct/>
        <w:topLinePunct w:val="0"/>
        <w:autoSpaceDE/>
        <w:autoSpaceDN/>
        <w:bidi w:val="0"/>
        <w:spacing w:line="560" w:lineRule="exact"/>
        <w:ind w:firstLine="304" w:firstLineChars="145"/>
        <w:textAlignment w:val="auto"/>
        <w:rPr>
          <w:rFonts w:hint="eastAsia" w:hAnsi="宋体"/>
          <w:bCs/>
          <w:color w:val="auto"/>
          <w:highlight w:val="none"/>
        </w:rPr>
      </w:pPr>
      <w:r>
        <w:rPr>
          <w:rFonts w:hint="eastAsia" w:hAnsi="宋体"/>
          <w:bCs/>
          <w:color w:val="auto"/>
          <w:highlight w:val="none"/>
        </w:rPr>
        <w:t>(三)评标方式：以封闭方式进行。</w:t>
      </w:r>
    </w:p>
    <w:p>
      <w:pPr>
        <w:pStyle w:val="11"/>
        <w:keepNext w:val="0"/>
        <w:keepLines w:val="0"/>
        <w:pageBreakBefore w:val="0"/>
        <w:kinsoku/>
        <w:wordWrap/>
        <w:overflowPunct/>
        <w:topLinePunct w:val="0"/>
        <w:autoSpaceDE/>
        <w:autoSpaceDN/>
        <w:bidi w:val="0"/>
        <w:spacing w:line="560" w:lineRule="exact"/>
        <w:textAlignment w:val="auto"/>
        <w:rPr>
          <w:rFonts w:hint="eastAsia" w:hAnsi="宋体"/>
          <w:b/>
          <w:color w:val="auto"/>
          <w:highlight w:val="none"/>
        </w:rPr>
      </w:pPr>
      <w:bookmarkStart w:id="120" w:name="_Toc334083904"/>
      <w:bookmarkStart w:id="121" w:name="_Toc254970621"/>
      <w:bookmarkStart w:id="122" w:name="_Toc254970762"/>
      <w:bookmarkStart w:id="123" w:name="_Toc330456910"/>
      <w:r>
        <w:rPr>
          <w:rFonts w:hint="eastAsia" w:hAnsi="宋体"/>
          <w:b/>
          <w:color w:val="auto"/>
          <w:highlight w:val="none"/>
        </w:rPr>
        <w:t>二、评定方法</w:t>
      </w:r>
      <w:bookmarkEnd w:id="120"/>
      <w:bookmarkEnd w:id="121"/>
      <w:bookmarkEnd w:id="122"/>
      <w:bookmarkEnd w:id="123"/>
    </w:p>
    <w:p>
      <w:pPr>
        <w:pStyle w:val="11"/>
        <w:keepNext w:val="0"/>
        <w:keepLines w:val="0"/>
        <w:pageBreakBefore w:val="0"/>
        <w:kinsoku/>
        <w:wordWrap/>
        <w:overflowPunct/>
        <w:topLinePunct w:val="0"/>
        <w:autoSpaceDE/>
        <w:autoSpaceDN/>
        <w:bidi w:val="0"/>
        <w:spacing w:line="560" w:lineRule="exact"/>
        <w:ind w:firstLine="315" w:firstLineChars="150"/>
        <w:textAlignment w:val="auto"/>
        <w:outlineLvl w:val="0"/>
        <w:rPr>
          <w:rFonts w:hint="eastAsia" w:hAnsi="宋体"/>
          <w:color w:val="auto"/>
          <w:highlight w:val="none"/>
        </w:rPr>
      </w:pPr>
      <w:bookmarkStart w:id="124" w:name="_Toc334083905"/>
      <w:bookmarkStart w:id="125" w:name="_Toc330456911"/>
      <w:bookmarkStart w:id="126" w:name="_Toc254970622"/>
      <w:bookmarkStart w:id="127" w:name="_Toc254970763"/>
      <w:r>
        <w:rPr>
          <w:rFonts w:hint="eastAsia" w:hAnsi="宋体"/>
          <w:color w:val="auto"/>
          <w:highlight w:val="none"/>
        </w:rPr>
        <w:t>(一)对进入详评的，采用百分制综合评分法。</w:t>
      </w:r>
      <w:bookmarkEnd w:id="124"/>
      <w:bookmarkEnd w:id="125"/>
      <w:bookmarkEnd w:id="126"/>
      <w:bookmarkEnd w:id="127"/>
    </w:p>
    <w:p>
      <w:pPr>
        <w:pStyle w:val="11"/>
        <w:keepNext w:val="0"/>
        <w:keepLines w:val="0"/>
        <w:pageBreakBefore w:val="0"/>
        <w:kinsoku/>
        <w:wordWrap/>
        <w:overflowPunct/>
        <w:topLinePunct w:val="0"/>
        <w:autoSpaceDE/>
        <w:autoSpaceDN/>
        <w:bidi w:val="0"/>
        <w:spacing w:line="560" w:lineRule="exact"/>
        <w:ind w:firstLine="210" w:firstLineChars="100"/>
        <w:textAlignment w:val="auto"/>
        <w:outlineLvl w:val="0"/>
        <w:rPr>
          <w:rFonts w:hint="eastAsia" w:hAnsi="宋体"/>
          <w:color w:val="auto"/>
          <w:highlight w:val="none"/>
          <w:lang w:eastAsia="zh-CN"/>
        </w:rPr>
      </w:pPr>
      <w:bookmarkStart w:id="128" w:name="_Toc334083906"/>
      <w:bookmarkStart w:id="129" w:name="_Toc330456912"/>
      <w:bookmarkStart w:id="130" w:name="_Toc254970623"/>
      <w:bookmarkStart w:id="131" w:name="_Toc254970764"/>
      <w:r>
        <w:rPr>
          <w:rFonts w:hint="eastAsia" w:hAnsi="宋体"/>
          <w:color w:val="auto"/>
          <w:highlight w:val="none"/>
        </w:rPr>
        <w:t>（二）计分办法（按四舍五入取至百分位）：</w:t>
      </w:r>
      <w:bookmarkEnd w:id="128"/>
      <w:bookmarkEnd w:id="129"/>
      <w:bookmarkEnd w:id="130"/>
      <w:bookmarkEnd w:id="131"/>
    </w:p>
    <w:tbl>
      <w:tblPr>
        <w:tblStyle w:val="19"/>
        <w:tblW w:w="9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20"/>
        <w:gridCol w:w="524"/>
        <w:gridCol w:w="650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blHeader/>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11"/>
              <w:spacing w:line="240" w:lineRule="auto"/>
              <w:jc w:val="center"/>
              <w:rPr>
                <w:rFonts w:hint="eastAsia" w:ascii="宋体" w:hAnsi="宋体" w:eastAsiaTheme="minorEastAsia" w:cstheme="minorBidi"/>
                <w:b/>
                <w:bCs/>
                <w:color w:val="auto"/>
                <w:kern w:val="2"/>
                <w:sz w:val="21"/>
                <w:szCs w:val="24"/>
                <w:highlight w:val="none"/>
                <w:lang w:val="en-US" w:eastAsia="zh-CN" w:bidi="ar-SA"/>
              </w:rPr>
            </w:pPr>
            <w:r>
              <w:rPr>
                <w:rFonts w:hint="eastAsia" w:ascii="宋体" w:hAnsi="宋体" w:eastAsiaTheme="minorEastAsia" w:cstheme="minorBidi"/>
                <w:b/>
                <w:bCs/>
                <w:color w:val="auto"/>
                <w:kern w:val="2"/>
                <w:sz w:val="21"/>
                <w:szCs w:val="24"/>
                <w:highlight w:val="none"/>
                <w:lang w:val="en-US" w:eastAsia="zh-CN" w:bidi="ar-SA"/>
              </w:rPr>
              <w:t>序号</w:t>
            </w:r>
          </w:p>
        </w:tc>
        <w:tc>
          <w:tcPr>
            <w:tcW w:w="1120" w:type="dxa"/>
            <w:tcBorders>
              <w:top w:val="single" w:color="auto" w:sz="4" w:space="0"/>
              <w:left w:val="single" w:color="auto" w:sz="4" w:space="0"/>
              <w:bottom w:val="single" w:color="auto" w:sz="4" w:space="0"/>
              <w:right w:val="single" w:color="auto" w:sz="4" w:space="0"/>
            </w:tcBorders>
            <w:vAlign w:val="center"/>
          </w:tcPr>
          <w:p>
            <w:pPr>
              <w:pStyle w:val="11"/>
              <w:spacing w:line="240" w:lineRule="auto"/>
              <w:jc w:val="center"/>
              <w:rPr>
                <w:rFonts w:hint="eastAsia" w:ascii="宋体" w:hAnsi="宋体" w:eastAsiaTheme="minorEastAsia" w:cstheme="minorBidi"/>
                <w:b/>
                <w:bCs/>
                <w:color w:val="auto"/>
                <w:kern w:val="2"/>
                <w:sz w:val="21"/>
                <w:szCs w:val="24"/>
                <w:highlight w:val="none"/>
                <w:lang w:val="en-US" w:eastAsia="zh-CN" w:bidi="ar-SA"/>
              </w:rPr>
            </w:pPr>
            <w:r>
              <w:rPr>
                <w:rFonts w:hint="eastAsia" w:ascii="宋体" w:hAnsi="宋体" w:eastAsiaTheme="minorEastAsia" w:cstheme="minorBidi"/>
                <w:b/>
                <w:bCs/>
                <w:color w:val="auto"/>
                <w:kern w:val="2"/>
                <w:sz w:val="21"/>
                <w:szCs w:val="24"/>
                <w:highlight w:val="none"/>
                <w:lang w:val="en-US" w:eastAsia="zh-CN" w:bidi="ar-SA"/>
              </w:rPr>
              <w:t>评分项目</w:t>
            </w:r>
          </w:p>
        </w:tc>
        <w:tc>
          <w:tcPr>
            <w:tcW w:w="7029" w:type="dxa"/>
            <w:gridSpan w:val="2"/>
            <w:tcBorders>
              <w:top w:val="single" w:color="auto" w:sz="4" w:space="0"/>
              <w:left w:val="single" w:color="auto" w:sz="4" w:space="0"/>
              <w:bottom w:val="single" w:color="auto" w:sz="4" w:space="0"/>
              <w:right w:val="single" w:color="auto" w:sz="4" w:space="0"/>
            </w:tcBorders>
            <w:vAlign w:val="center"/>
          </w:tcPr>
          <w:p>
            <w:pPr>
              <w:pStyle w:val="11"/>
              <w:spacing w:line="240" w:lineRule="auto"/>
              <w:jc w:val="center"/>
              <w:rPr>
                <w:rFonts w:hint="eastAsia" w:ascii="宋体" w:hAnsi="宋体" w:eastAsiaTheme="minorEastAsia" w:cstheme="minorBidi"/>
                <w:b/>
                <w:bCs/>
                <w:color w:val="auto"/>
                <w:kern w:val="2"/>
                <w:sz w:val="21"/>
                <w:szCs w:val="24"/>
                <w:highlight w:val="none"/>
                <w:lang w:val="en-US" w:eastAsia="zh-CN" w:bidi="ar-SA"/>
              </w:rPr>
            </w:pPr>
            <w:r>
              <w:rPr>
                <w:rFonts w:hint="eastAsia" w:ascii="宋体" w:hAnsi="宋体" w:eastAsiaTheme="minorEastAsia" w:cstheme="minorBidi"/>
                <w:b/>
                <w:bCs/>
                <w:color w:val="auto"/>
                <w:kern w:val="2"/>
                <w:sz w:val="21"/>
                <w:szCs w:val="24"/>
                <w:highlight w:val="none"/>
                <w:lang w:val="en-US" w:eastAsia="zh-CN" w:bidi="ar-SA"/>
              </w:rPr>
              <w:t>评分细则</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240" w:lineRule="auto"/>
              <w:jc w:val="center"/>
              <w:rPr>
                <w:rFonts w:hint="eastAsia" w:ascii="宋体" w:hAnsi="宋体" w:eastAsiaTheme="minorEastAsia" w:cstheme="minorBidi"/>
                <w:b/>
                <w:bCs/>
                <w:color w:val="auto"/>
                <w:kern w:val="2"/>
                <w:sz w:val="21"/>
                <w:szCs w:val="24"/>
                <w:highlight w:val="none"/>
                <w:lang w:val="en-US" w:eastAsia="zh-CN" w:bidi="ar-SA"/>
              </w:rPr>
            </w:pPr>
            <w:r>
              <w:rPr>
                <w:rFonts w:hint="eastAsia" w:ascii="宋体" w:hAnsi="宋体" w:eastAsiaTheme="minorEastAsia" w:cstheme="minorBidi"/>
                <w:b/>
                <w:bCs/>
                <w:color w:val="auto"/>
                <w:kern w:val="2"/>
                <w:sz w:val="21"/>
                <w:szCs w:val="24"/>
                <w:highlight w:val="none"/>
                <w:lang w:val="en-US" w:eastAsia="zh-CN" w:bidi="ar-SA"/>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价格分</w:t>
            </w:r>
          </w:p>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（15分）</w:t>
            </w:r>
          </w:p>
        </w:tc>
        <w:tc>
          <w:tcPr>
            <w:tcW w:w="70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2.政府采购政策性扣除计算方法</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（1）按照财库〔2020〕46号文件、财库〔2022〕19号文件及《广西壮族自治区财政厅</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广西壮族自治区工业和信息化厅关于转发财政部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工业和信息化部政府采购促进中小企业发展管理办法的通知》（桂财采〔2021〕70号）等文件要求，响应文件中提供《中小企业声明函》，且服务全部由符合政策要求的小型、微型企业承接的，对其最后报价给予20%的扣除。</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含新疆生产建设兵团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出具的属于监狱企业的证明文件。不重复享受政策。</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（4）政策性扣除计算方法。</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1-6%）。</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（5）除上述情况外，评审价＝最后报价。</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（6）以进入比较与评价环节的最低的评审价为基准价，基准价得分为</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（7）价格分计算公式：</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报价得分=（基准价/评审价）×</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1" w:hRule="atLeast"/>
          <w:jc w:val="center"/>
        </w:trPr>
        <w:tc>
          <w:tcPr>
            <w:tcW w:w="646" w:type="dxa"/>
            <w:vMerge w:val="restart"/>
            <w:tcBorders>
              <w:top w:val="single" w:color="auto" w:sz="4" w:space="0"/>
              <w:left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2</w:t>
            </w:r>
          </w:p>
        </w:tc>
        <w:tc>
          <w:tcPr>
            <w:tcW w:w="1120" w:type="dxa"/>
            <w:vMerge w:val="restart"/>
            <w:tcBorders>
              <w:top w:val="single" w:color="auto" w:sz="4" w:space="0"/>
              <w:left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技术分</w:t>
            </w:r>
          </w:p>
          <w:p>
            <w:pPr>
              <w:pStyle w:val="11"/>
              <w:spacing w:line="440" w:lineRule="exact"/>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（75分）</w:t>
            </w:r>
          </w:p>
        </w:tc>
        <w:tc>
          <w:tcPr>
            <w:tcW w:w="52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服务工作方案</w:t>
            </w:r>
          </w:p>
        </w:tc>
        <w:tc>
          <w:tcPr>
            <w:tcW w:w="650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评价内容：提供详细的服务方案（需包含标的场所的卫生保洁及绿化养护服务、安保服务、公共设施设备管理服务、突发事件及应急响应、服务承诺）。</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评价标准：拟采取的管理方式内容详细、有针对性、优于采购方需求，提供的服务可操作性强。</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得分规则：</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w:t>
            </w:r>
            <w:r>
              <w:rPr>
                <w:rFonts w:hint="eastAsia" w:hAnsi="宋体" w:eastAsia="宋体" w:cs="宋体"/>
                <w:color w:val="auto"/>
                <w:sz w:val="21"/>
                <w:szCs w:val="21"/>
                <w:lang w:val="en-US" w:eastAsia="zh-CN"/>
              </w:rPr>
              <w:t>0</w:t>
            </w:r>
            <w:r>
              <w:rPr>
                <w:rFonts w:hint="eastAsia" w:ascii="宋体" w:hAnsi="宋体" w:eastAsia="宋体" w:cs="宋体"/>
                <w:color w:val="auto"/>
                <w:sz w:val="21"/>
                <w:szCs w:val="21"/>
                <w:lang w:val="en-US" w:eastAsia="zh-CN"/>
              </w:rPr>
              <w:t>分）：</w:t>
            </w:r>
            <w:r>
              <w:rPr>
                <w:rFonts w:hint="eastAsia" w:hAnsi="宋体" w:eastAsia="宋体" w:cs="宋体"/>
                <w:color w:val="auto"/>
                <w:sz w:val="21"/>
                <w:szCs w:val="21"/>
                <w:lang w:val="en-US" w:eastAsia="zh-CN"/>
              </w:rPr>
              <w:t>未提供服务方案或服务方案不满足基本要求；</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w:t>
            </w:r>
            <w:r>
              <w:rPr>
                <w:rFonts w:hint="eastAsia" w:hAnsi="宋体" w:eastAsia="宋体" w:cs="宋体"/>
                <w:color w:val="auto"/>
                <w:sz w:val="21"/>
                <w:szCs w:val="21"/>
                <w:lang w:val="en-US" w:eastAsia="zh-CN"/>
              </w:rPr>
              <w:t>5</w:t>
            </w:r>
            <w:r>
              <w:rPr>
                <w:rFonts w:hint="eastAsia" w:ascii="宋体" w:hAnsi="宋体" w:eastAsia="宋体" w:cs="宋体"/>
                <w:color w:val="auto"/>
                <w:sz w:val="21"/>
                <w:szCs w:val="21"/>
                <w:lang w:val="en-US" w:eastAsia="zh-CN"/>
              </w:rPr>
              <w:t>分）：服务方案基本满足要求</w:t>
            </w:r>
            <w:r>
              <w:rPr>
                <w:rFonts w:hint="eastAsia" w:hAnsi="宋体" w:cs="宋体"/>
                <w:color w:val="auto"/>
                <w:sz w:val="21"/>
                <w:szCs w:val="21"/>
                <w:lang w:val="en-US" w:eastAsia="zh-CN"/>
              </w:rPr>
              <w:t>；</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w:t>
            </w:r>
            <w:r>
              <w:rPr>
                <w:rFonts w:hint="eastAsia" w:hAnsi="宋体" w:eastAsia="宋体" w:cs="宋体"/>
                <w:color w:val="auto"/>
                <w:sz w:val="21"/>
                <w:szCs w:val="21"/>
                <w:lang w:val="en-US" w:eastAsia="zh-CN"/>
              </w:rPr>
              <w:t>8</w:t>
            </w:r>
            <w:r>
              <w:rPr>
                <w:rFonts w:hint="eastAsia" w:ascii="宋体" w:hAnsi="宋体" w:eastAsia="宋体" w:cs="宋体"/>
                <w:color w:val="auto"/>
                <w:sz w:val="21"/>
                <w:szCs w:val="21"/>
                <w:lang w:val="en-US" w:eastAsia="zh-CN"/>
              </w:rPr>
              <w:t>分）：服务方案表述清晰、完整，对本项目有正确理解与认识，有详细的服务流程规范及要求、服务承诺、人员的派遣分配等</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内容有相对合理的安排</w:t>
            </w:r>
            <w:r>
              <w:rPr>
                <w:rFonts w:hint="eastAsia" w:hAnsi="宋体" w:cs="宋体"/>
                <w:color w:val="auto"/>
                <w:sz w:val="21"/>
                <w:szCs w:val="21"/>
                <w:lang w:val="en-US" w:eastAsia="zh-CN"/>
              </w:rPr>
              <w:t>；</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四档（12分）：</w:t>
            </w:r>
            <w:r>
              <w:rPr>
                <w:rFonts w:hint="eastAsia" w:ascii="宋体" w:hAnsi="宋体" w:eastAsia="宋体" w:cs="宋体"/>
                <w:color w:val="auto"/>
                <w:sz w:val="21"/>
                <w:szCs w:val="21"/>
                <w:lang w:val="en-US" w:eastAsia="zh-CN"/>
              </w:rPr>
              <w:t>服务方案在满足</w:t>
            </w:r>
            <w:r>
              <w:rPr>
                <w:rFonts w:hint="eastAsia" w:hAnsi="宋体" w:eastAsia="宋体" w:cs="宋体"/>
                <w:color w:val="auto"/>
                <w:sz w:val="21"/>
                <w:szCs w:val="21"/>
                <w:lang w:val="en-US" w:eastAsia="zh-CN"/>
              </w:rPr>
              <w:t>第三</w:t>
            </w:r>
            <w:r>
              <w:rPr>
                <w:rFonts w:hint="eastAsia" w:ascii="宋体" w:hAnsi="宋体" w:eastAsia="宋体" w:cs="宋体"/>
                <w:color w:val="auto"/>
                <w:sz w:val="21"/>
                <w:szCs w:val="21"/>
                <w:lang w:val="en-US" w:eastAsia="zh-CN"/>
              </w:rPr>
              <w:t>档的基础上，能够完全响应文件要求，提供合理详细的服务流程，维护公共安全秩序可行性强，服务方案包含有以下内容：服务质量控制、人员的派遣分配、服务承诺等。服务承诺基本完整，具有服务期限、服务队伍、响应速度、设施、保障措施、服务质量及标准等，在日常工作中实施科学合理，可行性强。方案具有创新性、融合智能系统实行科技化管理（提供智能化系统截图），同时提供详细的文字描述及各种工作制度的工作流程图并附工作图片展示。</w:t>
            </w:r>
          </w:p>
          <w:p>
            <w:pPr>
              <w:pStyle w:val="11"/>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lang w:val="en-US" w:eastAsia="zh-CN"/>
              </w:rPr>
            </w:pPr>
            <w:r>
              <w:rPr>
                <w:rFonts w:hint="eastAsia" w:hAnsi="宋体" w:eastAsia="宋体" w:cs="宋体"/>
                <w:color w:val="auto"/>
                <w:sz w:val="21"/>
                <w:szCs w:val="21"/>
                <w:lang w:val="en-US" w:eastAsia="zh-CN"/>
              </w:rPr>
              <w:t>五档（15分）</w:t>
            </w:r>
            <w:r>
              <w:rPr>
                <w:rFonts w:hint="eastAsia" w:ascii="宋体" w:hAnsi="宋体" w:eastAsia="宋体" w:cs="宋体"/>
                <w:color w:val="auto"/>
                <w:sz w:val="21"/>
                <w:szCs w:val="21"/>
                <w:lang w:val="en-US" w:eastAsia="zh-CN"/>
              </w:rPr>
              <w:t>服务方案在满足</w:t>
            </w:r>
            <w:r>
              <w:rPr>
                <w:rFonts w:hint="eastAsia" w:hAnsi="宋体" w:eastAsia="宋体" w:cs="宋体"/>
                <w:color w:val="auto"/>
                <w:sz w:val="21"/>
                <w:szCs w:val="21"/>
                <w:lang w:val="en-US" w:eastAsia="zh-CN"/>
              </w:rPr>
              <w:t>第四</w:t>
            </w:r>
            <w:r>
              <w:rPr>
                <w:rFonts w:hint="eastAsia" w:ascii="宋体" w:hAnsi="宋体" w:eastAsia="宋体" w:cs="宋体"/>
                <w:color w:val="auto"/>
                <w:sz w:val="21"/>
                <w:szCs w:val="21"/>
                <w:lang w:val="en-US" w:eastAsia="zh-CN"/>
              </w:rPr>
              <w:t>档的基础上</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能够完全响应文件要求，提供合理详细的服务流程，维护公共安全秩序可行性强，服务方案包含有以下内容：服务质量控制、人员的派遣分配、服务承诺等。服务承诺基本完整，具有服务期限、服务队伍、响应速度、设施、保障措施、服务质量及标准等，在日常工作中实施科学合理，可行性强。方案具有创新性、融合智能系统实行科技化管理（提供智能化系统截图），同时提供详细的文字描述及各种工作制度的工作流程图并附工作图片展示。</w:t>
            </w:r>
            <w:r>
              <w:rPr>
                <w:rFonts w:hint="eastAsia" w:hAnsi="宋体" w:eastAsia="宋体" w:cs="宋体"/>
                <w:color w:val="auto"/>
                <w:sz w:val="21"/>
                <w:szCs w:val="21"/>
                <w:lang w:val="en-US" w:eastAsia="zh-CN"/>
              </w:rPr>
              <w:t>提供的服务方案详细全面，思路清晰、科学合理，工作安排及流程合理且详细，考虑周全，可操作性、可行性和针对性强，完全满足本项目需求。</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646" w:type="dxa"/>
            <w:vMerge w:val="continue"/>
            <w:tcBorders>
              <w:left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p>
        </w:tc>
        <w:tc>
          <w:tcPr>
            <w:tcW w:w="1120" w:type="dxa"/>
            <w:vMerge w:val="continue"/>
            <w:tcBorders>
              <w:left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p>
        </w:tc>
        <w:tc>
          <w:tcPr>
            <w:tcW w:w="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atLeast"/>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管理制度分</w:t>
            </w:r>
          </w:p>
        </w:tc>
        <w:tc>
          <w:tcPr>
            <w:tcW w:w="6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方案主要包括规章制度、管理架构、岗位职责、档案管理、运作机制、激励机制、监督机制、自我约束机制、信息反馈处理机制等内容。</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一档（0分）：</w:t>
            </w:r>
            <w:r>
              <w:rPr>
                <w:rFonts w:hint="eastAsia" w:hAnsi="宋体" w:eastAsia="宋体" w:cs="宋体"/>
                <w:color w:val="auto"/>
                <w:sz w:val="21"/>
                <w:szCs w:val="21"/>
                <w:lang w:val="en-US" w:eastAsia="zh-CN"/>
              </w:rPr>
              <w:t>未提供</w:t>
            </w:r>
            <w:r>
              <w:rPr>
                <w:rFonts w:hint="eastAsia" w:ascii="宋体" w:hAnsi="宋体" w:eastAsia="宋体" w:cs="宋体"/>
                <w:color w:val="auto"/>
                <w:sz w:val="21"/>
                <w:szCs w:val="21"/>
                <w:lang w:val="en-US" w:eastAsia="zh-CN"/>
              </w:rPr>
              <w:t>总体计划方案</w:t>
            </w:r>
            <w:r>
              <w:rPr>
                <w:rFonts w:hint="eastAsia" w:hAnsi="宋体" w:eastAsia="宋体" w:cs="宋体"/>
                <w:color w:val="auto"/>
                <w:sz w:val="21"/>
                <w:szCs w:val="21"/>
                <w:lang w:val="en-US" w:eastAsia="zh-CN"/>
              </w:rPr>
              <w:t>或</w:t>
            </w:r>
            <w:r>
              <w:rPr>
                <w:rFonts w:hint="eastAsia" w:ascii="宋体" w:hAnsi="宋体" w:eastAsia="宋体" w:cs="宋体"/>
                <w:color w:val="auto"/>
                <w:sz w:val="21"/>
                <w:szCs w:val="21"/>
                <w:lang w:val="en-US" w:eastAsia="zh-CN"/>
              </w:rPr>
              <w:t>总体计划方案</w:t>
            </w:r>
            <w:r>
              <w:rPr>
                <w:rFonts w:hint="eastAsia" w:hAnsi="宋体" w:eastAsia="宋体" w:cs="宋体"/>
                <w:color w:val="auto"/>
                <w:sz w:val="21"/>
                <w:szCs w:val="21"/>
                <w:lang w:val="en-US" w:eastAsia="zh-CN"/>
              </w:rPr>
              <w:t>不满足基本要求；</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二档（5分）：总体计划方案仅包括上述2-4项内容，仅有纲要、内容简略，未展开详细阐述但基本能够适用于本项目；</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8分）：总体计划方案包括上述5-7项内容，适用本项目用户需求，有管理规章制度且架构完整能够开展专业的物业管理工作，管理制度内容针对采购单位实际需求，机构设置合理，各岗位部门职责清晰明确；</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四档（</w:t>
            </w:r>
            <w:r>
              <w:rPr>
                <w:rFonts w:hint="eastAsia" w:ascii="宋体" w:hAnsi="宋体" w:eastAsia="宋体" w:cs="宋体"/>
                <w:color w:val="auto"/>
                <w:sz w:val="21"/>
                <w:szCs w:val="21"/>
                <w:lang w:val="en-US" w:eastAsia="zh-CN"/>
              </w:rPr>
              <w:t>12</w:t>
            </w:r>
            <w:r>
              <w:rPr>
                <w:rFonts w:hint="eastAsia" w:hAnsi="宋体" w:eastAsia="宋体" w:cs="宋体"/>
                <w:color w:val="auto"/>
                <w:sz w:val="21"/>
                <w:szCs w:val="21"/>
                <w:lang w:val="en-US" w:eastAsia="zh-CN"/>
              </w:rPr>
              <w:t>分）：</w:t>
            </w:r>
            <w:r>
              <w:rPr>
                <w:rFonts w:hint="eastAsia" w:ascii="宋体" w:hAnsi="宋体" w:eastAsia="宋体" w:cs="宋体"/>
                <w:color w:val="auto"/>
                <w:sz w:val="21"/>
                <w:szCs w:val="21"/>
                <w:lang w:val="en-US" w:eastAsia="zh-CN"/>
              </w:rPr>
              <w:t>在满足第三档的基础上，方案包括上述7项以上内容，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p>
            <w:pPr>
              <w:spacing w:line="400" w:lineRule="exact"/>
              <w:ind w:firstLine="447" w:firstLineChars="213"/>
              <w:jc w:val="left"/>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五档（15分）管理规章制度</w:t>
            </w:r>
            <w:r>
              <w:rPr>
                <w:rFonts w:hint="eastAsia" w:ascii="宋体" w:hAnsi="宋体" w:eastAsia="宋体" w:cs="宋体"/>
                <w:color w:val="auto"/>
                <w:sz w:val="21"/>
                <w:szCs w:val="21"/>
                <w:lang w:val="en-US" w:eastAsia="zh-CN"/>
              </w:rPr>
              <w:t>在满足第四档的基础上，</w:t>
            </w:r>
            <w:r>
              <w:rPr>
                <w:rFonts w:hint="eastAsia" w:ascii="宋体" w:hAnsi="Courier New" w:cs="Courier New"/>
                <w:kern w:val="0"/>
                <w:szCs w:val="21"/>
              </w:rPr>
              <w:t>提供的管理规章制度、操作规程内容完整且详细、合理、可行、严密，针对性强，保障措施有力，内容包括</w:t>
            </w:r>
            <w:r>
              <w:rPr>
                <w:rFonts w:hint="eastAsia" w:ascii="宋体" w:hAnsi="宋体" w:eastAsia="宋体" w:cs="宋体"/>
                <w:color w:val="auto"/>
                <w:sz w:val="21"/>
                <w:szCs w:val="21"/>
                <w:lang w:val="en-US" w:eastAsia="zh-CN"/>
              </w:rPr>
              <w:t>内部管理构架、管理运作机制、激励机制、监督机制、自我约束机制、信息反馈处理机制</w:t>
            </w:r>
            <w:r>
              <w:rPr>
                <w:rFonts w:hint="eastAsia" w:ascii="宋体" w:hAnsi="Courier New" w:cs="Courier New"/>
                <w:kern w:val="0"/>
                <w:szCs w:val="21"/>
              </w:rPr>
              <w:t>等）完全</w:t>
            </w:r>
            <w:r>
              <w:rPr>
                <w:rFonts w:hint="eastAsia" w:ascii="宋体" w:hAnsi="Courier New"/>
                <w:bCs/>
                <w:szCs w:val="20"/>
              </w:rPr>
              <w:t>满足</w:t>
            </w:r>
            <w:r>
              <w:rPr>
                <w:rFonts w:hint="eastAsia" w:ascii="宋体" w:hAnsi="Courier New" w:cs="Courier New"/>
                <w:kern w:val="0"/>
                <w:szCs w:val="21"/>
              </w:rPr>
              <w:t>项目需求</w:t>
            </w:r>
            <w:r>
              <w:rPr>
                <w:rFonts w:hint="eastAsia" w:ascii="宋体" w:hAnsi="Courier New"/>
                <w:bCs/>
                <w:szCs w:val="20"/>
              </w:rPr>
              <w:t>。</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default" w:ascii="宋体" w:hAnsi="宋体" w:eastAsia="宋体" w:cs="宋体"/>
                <w:color w:val="auto"/>
                <w:sz w:val="21"/>
                <w:szCs w:val="21"/>
                <w:lang w:val="en-US" w:eastAsia="zh-CN"/>
              </w:rPr>
            </w:pPr>
            <w:r>
              <w:rPr>
                <w:rFonts w:hint="eastAsia"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1120"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52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p>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p>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p>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p>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p>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snapToGrid w:val="0"/>
                <w:color w:val="auto"/>
                <w:sz w:val="21"/>
                <w:szCs w:val="21"/>
                <w:lang w:val="en-US" w:eastAsia="zh-CN"/>
              </w:rPr>
            </w:pPr>
            <w:r>
              <w:rPr>
                <w:rFonts w:hint="eastAsia" w:ascii="黑体" w:hAnsi="黑体" w:eastAsia="黑体" w:cs="黑体"/>
                <w:color w:val="auto"/>
                <w:sz w:val="21"/>
                <w:szCs w:val="21"/>
                <w:lang w:val="en-US" w:eastAsia="zh-CN"/>
              </w:rPr>
              <w:t>应急处置方案</w:t>
            </w:r>
          </w:p>
        </w:tc>
        <w:tc>
          <w:tcPr>
            <w:tcW w:w="6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方案主要包括内部管理、科学技术管理、风险防范措施、应急保障、</w:t>
            </w:r>
            <w:r>
              <w:rPr>
                <w:rFonts w:hint="eastAsia" w:ascii="宋体" w:hAnsi="宋体" w:eastAsia="宋体" w:cs="宋体"/>
                <w:color w:val="auto"/>
                <w:sz w:val="21"/>
                <w:szCs w:val="21"/>
                <w:lang w:val="en-US" w:eastAsia="zh-CN"/>
              </w:rPr>
              <w:t>消防、</w:t>
            </w:r>
            <w:r>
              <w:rPr>
                <w:rFonts w:hint="eastAsia" w:ascii="宋体" w:hAnsi="宋体" w:eastAsia="宋体" w:cs="宋体"/>
                <w:color w:val="auto"/>
                <w:sz w:val="21"/>
                <w:szCs w:val="21"/>
              </w:rPr>
              <w:t>服务质量管理等内容。</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r>
              <w:rPr>
                <w:rFonts w:hint="eastAsia" w:hAnsi="宋体" w:eastAsia="宋体" w:cs="宋体"/>
                <w:color w:val="auto"/>
                <w:sz w:val="21"/>
                <w:szCs w:val="21"/>
                <w:lang w:val="en-US" w:eastAsia="zh-CN"/>
              </w:rPr>
              <w:t>未提供</w:t>
            </w:r>
            <w:r>
              <w:rPr>
                <w:rFonts w:hint="eastAsia" w:ascii="宋体" w:hAnsi="宋体" w:eastAsia="宋体" w:cs="宋体"/>
                <w:color w:val="auto"/>
                <w:sz w:val="21"/>
                <w:szCs w:val="21"/>
                <w:lang w:val="en-US" w:eastAsia="zh-CN"/>
              </w:rPr>
              <w:t>应急处置方案</w:t>
            </w:r>
            <w:r>
              <w:rPr>
                <w:rFonts w:hint="eastAsia" w:hAnsi="宋体" w:eastAsia="宋体" w:cs="宋体"/>
                <w:color w:val="auto"/>
                <w:sz w:val="21"/>
                <w:szCs w:val="21"/>
                <w:lang w:val="en-US" w:eastAsia="zh-CN"/>
              </w:rPr>
              <w:t>或</w:t>
            </w:r>
            <w:r>
              <w:rPr>
                <w:rFonts w:hint="eastAsia" w:ascii="宋体" w:hAnsi="宋体" w:eastAsia="宋体" w:cs="宋体"/>
                <w:color w:val="auto"/>
                <w:sz w:val="21"/>
                <w:szCs w:val="21"/>
                <w:lang w:val="en-US" w:eastAsia="zh-CN"/>
              </w:rPr>
              <w:t>应急处置方案</w:t>
            </w:r>
            <w:r>
              <w:rPr>
                <w:rFonts w:hint="eastAsia" w:hAnsi="宋体" w:eastAsia="宋体" w:cs="宋体"/>
                <w:color w:val="auto"/>
                <w:sz w:val="21"/>
                <w:szCs w:val="21"/>
                <w:lang w:val="en-US" w:eastAsia="zh-CN"/>
              </w:rPr>
              <w:t>不满足基本要求；</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：针对本项目提出质量保障措施及应急</w:t>
            </w:r>
            <w:r>
              <w:rPr>
                <w:rFonts w:hint="eastAsia" w:ascii="宋体" w:hAnsi="宋体" w:eastAsia="宋体" w:cs="宋体"/>
                <w:color w:val="auto"/>
                <w:sz w:val="21"/>
                <w:szCs w:val="21"/>
                <w:lang w:val="en"/>
              </w:rPr>
              <w:t>措施</w:t>
            </w:r>
            <w:r>
              <w:rPr>
                <w:rFonts w:hint="eastAsia" w:ascii="宋体" w:hAnsi="宋体" w:eastAsia="宋体" w:cs="宋体"/>
                <w:color w:val="auto"/>
                <w:sz w:val="21"/>
                <w:szCs w:val="21"/>
              </w:rPr>
              <w:t>预案，但仅有纲要、内容简略，未展开阐述，包括上述1-2项内容；</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rPr>
              <w:t>：质量保障</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应急措施方案内容详细、有</w:t>
            </w:r>
            <w:r>
              <w:rPr>
                <w:rFonts w:hint="eastAsia" w:ascii="宋体" w:hAnsi="宋体" w:eastAsia="宋体" w:cs="宋体"/>
                <w:color w:val="auto"/>
                <w:sz w:val="21"/>
                <w:szCs w:val="21"/>
                <w:lang w:val="en"/>
              </w:rPr>
              <w:t>保障</w:t>
            </w:r>
            <w:r>
              <w:rPr>
                <w:rFonts w:hint="eastAsia" w:ascii="宋体" w:hAnsi="宋体" w:eastAsia="宋体" w:cs="宋体"/>
                <w:color w:val="auto"/>
                <w:sz w:val="21"/>
                <w:szCs w:val="21"/>
              </w:rPr>
              <w:t>工作计划、落实措施</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能够保证服务期内定期在工作现场巡视、监督服务质量，能够针对采购单位服务要求合理设置应急人员，保障应急工作顺利开展，包括上述3-4项内容</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rPr>
            </w:pPr>
            <w:r>
              <w:rPr>
                <w:rFonts w:hint="eastAsia" w:hAnsi="宋体" w:eastAsia="宋体" w:cs="宋体"/>
                <w:color w:val="auto"/>
                <w:sz w:val="21"/>
                <w:szCs w:val="21"/>
                <w:lang w:val="en-US" w:eastAsia="zh-CN"/>
              </w:rPr>
              <w:t>四档（</w:t>
            </w:r>
            <w:r>
              <w:rPr>
                <w:rFonts w:hint="eastAsia" w:ascii="宋体" w:hAnsi="宋体" w:eastAsia="宋体" w:cs="宋体"/>
                <w:color w:val="auto"/>
                <w:sz w:val="21"/>
                <w:szCs w:val="21"/>
                <w:lang w:val="en-US" w:eastAsia="zh-CN"/>
              </w:rPr>
              <w:t>8</w:t>
            </w:r>
            <w:r>
              <w:rPr>
                <w:rFonts w:hint="eastAsia" w:hAnsi="宋体" w:eastAsia="宋体" w:cs="宋体"/>
                <w:color w:val="auto"/>
                <w:sz w:val="21"/>
                <w:szCs w:val="21"/>
                <w:lang w:val="en-US" w:eastAsia="zh-CN"/>
              </w:rPr>
              <w:t>分）：</w:t>
            </w:r>
            <w:r>
              <w:rPr>
                <w:rFonts w:hint="eastAsia" w:ascii="宋体" w:hAnsi="宋体" w:eastAsia="宋体" w:cs="宋体"/>
                <w:color w:val="auto"/>
                <w:sz w:val="21"/>
                <w:szCs w:val="21"/>
              </w:rPr>
              <w:t>在</w:t>
            </w:r>
            <w:r>
              <w:rPr>
                <w:rFonts w:hint="eastAsia" w:ascii="宋体" w:hAnsi="宋体" w:cs="宋体"/>
                <w:color w:val="auto"/>
                <w:sz w:val="21"/>
                <w:szCs w:val="21"/>
                <w:lang w:val="en-US" w:eastAsia="zh-CN"/>
              </w:rPr>
              <w:t>满足第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档</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基础上，提出的质量保障措施详细，并细分成内部管理措施、现代化科学技术管理保证措施、法律风险、用工风险防范措施、人员招聘能力措施、企业文化和班组建设能力保障措施等内容，且适用本项目用户需求，应急措施方案中设置的应急人员能够详细分组，人员具有专业水平，定期开展应急培训，包括上述全部内容。</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五档（10分）：应急处置方案</w:t>
            </w:r>
            <w:r>
              <w:rPr>
                <w:rFonts w:hint="eastAsia" w:ascii="宋体" w:hAnsi="宋体" w:eastAsia="宋体" w:cs="宋体"/>
                <w:color w:val="auto"/>
                <w:sz w:val="21"/>
                <w:szCs w:val="21"/>
              </w:rPr>
              <w:t>在</w:t>
            </w:r>
            <w:r>
              <w:rPr>
                <w:rFonts w:hint="eastAsia" w:ascii="宋体" w:hAnsi="宋体" w:cs="宋体"/>
                <w:color w:val="auto"/>
                <w:sz w:val="21"/>
                <w:szCs w:val="21"/>
                <w:lang w:val="en-US" w:eastAsia="zh-CN"/>
              </w:rPr>
              <w:t>满足第</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档</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基础上，</w:t>
            </w:r>
            <w:r>
              <w:rPr>
                <w:rFonts w:hint="eastAsia" w:ascii="宋体" w:hAnsi="Courier New" w:cs="Courier New"/>
                <w:kern w:val="0"/>
                <w:szCs w:val="21"/>
              </w:rPr>
              <w:t>提供的应急处置方案内容细致、合理、可行、严密，针对性强，</w:t>
            </w:r>
            <w:r>
              <w:rPr>
                <w:rFonts w:hint="eastAsia" w:ascii="宋体" w:hAnsi="宋体" w:eastAsia="宋体" w:cs="宋体"/>
                <w:color w:val="auto"/>
                <w:sz w:val="21"/>
                <w:szCs w:val="21"/>
              </w:rPr>
              <w:t>提出的质量保障措施详细，并细分成内部管理措施、现代化科学技术管理保证措施、法律风险、用工风险防范措施、人员招聘能力措施、企业文化和班组建设能力保障措施等内容，且适用本项目用户需求，应急措施方案中设置的应急人员能够详细分组，人员具有专业水平，定期开展应急培训，包括上述全部内容。</w:t>
            </w:r>
            <w:r>
              <w:rPr>
                <w:rFonts w:hint="eastAsia" w:ascii="宋体" w:hAnsi="Courier New" w:cs="Courier New"/>
                <w:kern w:val="0"/>
                <w:szCs w:val="21"/>
              </w:rPr>
              <w:t>方案针对性强，完全满足本项目需求。</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p>
          <w:p>
            <w:pPr>
              <w:pStyle w:val="11"/>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6"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1120"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52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宋体" w:hAnsi="宋体" w:eastAsia="宋体" w:cs="宋体"/>
                <w:color w:val="auto"/>
                <w:sz w:val="21"/>
                <w:szCs w:val="21"/>
                <w:lang w:val="en-US" w:eastAsia="zh-CN"/>
              </w:rPr>
            </w:pPr>
            <w:r>
              <w:rPr>
                <w:rFonts w:hint="eastAsia" w:ascii="黑体" w:hAnsi="黑体" w:eastAsia="黑体" w:cs="黑体"/>
                <w:color w:val="auto"/>
                <w:sz w:val="21"/>
                <w:szCs w:val="21"/>
                <w:lang w:val="en-US" w:eastAsia="zh-CN"/>
              </w:rPr>
              <w:t>人员培训</w:t>
            </w:r>
          </w:p>
        </w:tc>
        <w:tc>
          <w:tcPr>
            <w:tcW w:w="650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拟投入人员的培训方案内容包括：①对各类人员的培训计划；②录用及考核方式、淘汰机制；③言行规范和仪表仪容管理；④</w:t>
            </w:r>
            <w:r>
              <w:rPr>
                <w:rFonts w:hint="eastAsia" w:ascii="宋体" w:hAnsi="宋体" w:eastAsia="宋体" w:cs="宋体"/>
                <w:bCs/>
                <w:color w:val="auto"/>
                <w:sz w:val="21"/>
                <w:szCs w:val="21"/>
                <w:lang w:val="en-US" w:eastAsia="zh-CN"/>
              </w:rPr>
              <w:t>协调关系，服务意识等</w:t>
            </w:r>
            <w:r>
              <w:rPr>
                <w:rFonts w:hint="eastAsia" w:ascii="宋体" w:hAnsi="宋体" w:eastAsia="宋体" w:cs="宋体"/>
                <w:color w:val="auto"/>
                <w:sz w:val="21"/>
                <w:szCs w:val="21"/>
                <w:lang w:val="en-US" w:eastAsia="zh-CN"/>
              </w:rPr>
              <w:t>。</w:t>
            </w:r>
          </w:p>
          <w:p>
            <w:pPr>
              <w:pStyle w:val="11"/>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得分规则：</w:t>
            </w:r>
          </w:p>
          <w:p>
            <w:pPr>
              <w:keepNext w:val="0"/>
              <w:keepLines w:val="0"/>
              <w:pageBreakBefore w:val="0"/>
              <w:widowControl w:val="0"/>
              <w:kinsoku/>
              <w:wordWrap/>
              <w:overflowPunct/>
              <w:topLinePunct w:val="0"/>
              <w:autoSpaceDE/>
              <w:autoSpaceDN/>
              <w:bidi w:val="0"/>
              <w:adjustRightInd/>
              <w:snapToGrid w:val="0"/>
              <w:spacing w:line="400" w:lineRule="atLeast"/>
              <w:ind w:firstLine="424" w:firstLineChars="202"/>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w:t>
            </w:r>
            <w:r>
              <w:rPr>
                <w:rFonts w:hint="eastAsia" w:ascii="宋体" w:hAnsi="宋体" w:eastAsia="宋体" w:cs="宋体"/>
                <w:color w:val="auto"/>
                <w:kern w:val="0"/>
                <w:sz w:val="21"/>
                <w:szCs w:val="21"/>
                <w:lang w:val="en-US" w:eastAsia="zh-CN" w:bidi="ar-SA"/>
              </w:rPr>
              <w:t>（0分</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w:t>
            </w:r>
            <w:r>
              <w:rPr>
                <w:rFonts w:hint="eastAsia" w:hAnsi="宋体" w:eastAsia="宋体" w:cs="宋体"/>
                <w:color w:val="auto"/>
                <w:sz w:val="21"/>
                <w:szCs w:val="21"/>
                <w:lang w:val="en-US" w:eastAsia="zh-CN"/>
              </w:rPr>
              <w:t>未提供</w:t>
            </w:r>
            <w:r>
              <w:rPr>
                <w:rFonts w:hint="eastAsia" w:ascii="宋体" w:hAnsi="宋体" w:eastAsia="宋体" w:cs="宋体"/>
                <w:color w:val="auto"/>
                <w:sz w:val="21"/>
                <w:szCs w:val="21"/>
                <w:lang w:val="en-US" w:eastAsia="zh-CN"/>
              </w:rPr>
              <w:t>人员培训方案</w:t>
            </w:r>
            <w:r>
              <w:rPr>
                <w:rFonts w:hint="eastAsia" w:hAnsi="宋体" w:eastAsia="宋体" w:cs="宋体"/>
                <w:color w:val="auto"/>
                <w:sz w:val="21"/>
                <w:szCs w:val="21"/>
                <w:lang w:val="en-US" w:eastAsia="zh-CN"/>
              </w:rPr>
              <w:t>或</w:t>
            </w:r>
            <w:r>
              <w:rPr>
                <w:rFonts w:hint="eastAsia" w:ascii="宋体" w:hAnsi="宋体" w:eastAsia="宋体" w:cs="宋体"/>
                <w:color w:val="auto"/>
                <w:sz w:val="21"/>
                <w:szCs w:val="21"/>
                <w:lang w:val="en-US" w:eastAsia="zh-CN"/>
              </w:rPr>
              <w:t>人员培训方案</w:t>
            </w:r>
            <w:r>
              <w:rPr>
                <w:rFonts w:hint="eastAsia" w:hAnsi="宋体" w:eastAsia="宋体" w:cs="宋体"/>
                <w:color w:val="auto"/>
                <w:sz w:val="21"/>
                <w:szCs w:val="21"/>
                <w:lang w:val="en-US" w:eastAsia="zh-CN"/>
              </w:rPr>
              <w:t>不满足基本要求；</w:t>
            </w:r>
          </w:p>
          <w:p>
            <w:pPr>
              <w:pStyle w:val="11"/>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w:t>
            </w:r>
            <w:r>
              <w:rPr>
                <w:rFonts w:hint="eastAsia" w:hAnsi="宋体" w:eastAsia="宋体" w:cs="宋体"/>
                <w:color w:val="auto"/>
                <w:sz w:val="21"/>
                <w:szCs w:val="21"/>
                <w:lang w:val="en-US" w:eastAsia="zh-CN"/>
              </w:rPr>
              <w:t>（5分）</w:t>
            </w:r>
            <w:r>
              <w:rPr>
                <w:rFonts w:hint="eastAsia" w:ascii="宋体" w:hAnsi="宋体" w:eastAsia="宋体" w:cs="宋体"/>
                <w:color w:val="auto"/>
                <w:sz w:val="21"/>
                <w:szCs w:val="21"/>
                <w:lang w:val="en-US" w:eastAsia="zh-CN"/>
              </w:rPr>
              <w:t>：员工培训、管理等方案简单，没有针对性；</w:t>
            </w:r>
          </w:p>
          <w:p>
            <w:pPr>
              <w:pStyle w:val="11"/>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w:t>
            </w:r>
            <w:r>
              <w:rPr>
                <w:rFonts w:hint="eastAsia" w:hAnsi="宋体" w:eastAsia="宋体" w:cs="宋体"/>
                <w:color w:val="auto"/>
                <w:sz w:val="21"/>
                <w:szCs w:val="21"/>
                <w:lang w:val="en-US" w:eastAsia="zh-CN"/>
              </w:rPr>
              <w:t>10</w:t>
            </w:r>
            <w:r>
              <w:rPr>
                <w:rFonts w:hint="eastAsia" w:ascii="宋体" w:hAnsi="宋体" w:eastAsia="宋体" w:cs="宋体"/>
                <w:color w:val="auto"/>
                <w:sz w:val="21"/>
                <w:szCs w:val="21"/>
                <w:lang w:val="en-US" w:eastAsia="zh-CN"/>
              </w:rPr>
              <w:t>分）：员工培训、管理等方案具体，各类人员的培训有计划、有考核方式及考核标准，服务人员的管理满足实际需要。有考核录用制度</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淘汰制度</w:t>
            </w:r>
            <w:r>
              <w:rPr>
                <w:rFonts w:hint="eastAsia"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信息反馈制度等</w:t>
            </w:r>
            <w:r>
              <w:rPr>
                <w:rFonts w:hint="eastAsia" w:hAnsi="宋体" w:cs="宋体"/>
                <w:color w:val="auto"/>
                <w:sz w:val="21"/>
                <w:szCs w:val="21"/>
                <w:lang w:val="en-US" w:eastAsia="zh-CN"/>
              </w:rPr>
              <w:t>；</w:t>
            </w:r>
          </w:p>
          <w:p>
            <w:pPr>
              <w:pStyle w:val="11"/>
              <w:keepNext w:val="0"/>
              <w:keepLines w:val="0"/>
              <w:pageBreakBefore w:val="0"/>
              <w:widowControl w:val="0"/>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hAnsi="宋体" w:eastAsia="宋体" w:cs="宋体"/>
                <w:color w:val="auto"/>
                <w:sz w:val="21"/>
                <w:szCs w:val="21"/>
                <w:lang w:val="en-US" w:eastAsia="zh-CN"/>
              </w:rPr>
              <w:t>四档（12分）：</w:t>
            </w:r>
            <w:r>
              <w:rPr>
                <w:rFonts w:hint="eastAsia" w:ascii="宋体" w:hAnsi="宋体" w:eastAsia="宋体" w:cs="宋体"/>
                <w:color w:val="auto"/>
                <w:sz w:val="21"/>
                <w:szCs w:val="21"/>
                <w:lang w:val="en-US" w:eastAsia="zh-CN"/>
              </w:rPr>
              <w:t>在满足第</w:t>
            </w:r>
            <w:r>
              <w:rPr>
                <w:rFonts w:hint="eastAsia" w:hAnsi="宋体" w:eastAsia="宋体" w:cs="宋体"/>
                <w:color w:val="auto"/>
                <w:sz w:val="21"/>
                <w:szCs w:val="21"/>
                <w:lang w:val="en-US" w:eastAsia="zh-CN"/>
              </w:rPr>
              <w:t>三</w:t>
            </w:r>
            <w:r>
              <w:rPr>
                <w:rFonts w:hint="eastAsia" w:ascii="宋体" w:hAnsi="宋体" w:eastAsia="宋体" w:cs="宋体"/>
                <w:color w:val="auto"/>
                <w:sz w:val="21"/>
                <w:szCs w:val="21"/>
                <w:lang w:val="en-US" w:eastAsia="zh-CN"/>
              </w:rPr>
              <w:t>档的基础上，</w:t>
            </w:r>
            <w:r>
              <w:rPr>
                <w:rFonts w:hint="eastAsia" w:ascii="宋体" w:hAnsi="宋体" w:eastAsia="宋体" w:cs="宋体"/>
                <w:bCs/>
                <w:color w:val="auto"/>
                <w:sz w:val="21"/>
                <w:szCs w:val="21"/>
                <w:lang w:val="en-US" w:eastAsia="zh-CN"/>
              </w:rPr>
              <w:t>培训方案完整详细，科学合理，针对性强，能突出培训能力的优势，完全适合本项目工作特点的实际要求，特色和亮点多，必须</w:t>
            </w:r>
            <w:r>
              <w:rPr>
                <w:rFonts w:hint="eastAsia" w:ascii="宋体" w:hAnsi="宋体" w:eastAsia="宋体" w:cs="宋体"/>
                <w:color w:val="auto"/>
                <w:sz w:val="21"/>
                <w:szCs w:val="21"/>
                <w:lang w:val="en-US" w:eastAsia="zh-CN"/>
              </w:rPr>
              <w:t>提供相关培训证明材料或案例。</w:t>
            </w:r>
          </w:p>
          <w:p>
            <w:pPr>
              <w:spacing w:line="400" w:lineRule="exact"/>
              <w:ind w:firstLine="447" w:firstLineChars="213"/>
              <w:jc w:val="left"/>
              <w:rPr>
                <w:rFonts w:hint="default"/>
                <w:lang w:val="en-US" w:eastAsia="zh-CN"/>
              </w:rPr>
            </w:pPr>
            <w:r>
              <w:rPr>
                <w:rFonts w:hint="eastAsia" w:ascii="宋体" w:hAnsi="宋体" w:eastAsia="宋体" w:cs="宋体"/>
                <w:color w:val="auto"/>
                <w:kern w:val="0"/>
                <w:sz w:val="21"/>
                <w:szCs w:val="21"/>
                <w:lang w:val="en-US" w:eastAsia="zh-CN" w:bidi="ar-SA"/>
              </w:rPr>
              <w:t>五档（15分）：在满足第四档的基础上，培训方案完整详细，科学合理，针对性强，能突出培训能力的优势，完全适合本项目工作特点的实际要求，特色和</w:t>
            </w:r>
            <w:r>
              <w:rPr>
                <w:rFonts w:hint="eastAsia" w:ascii="宋体" w:hAnsi="宋体" w:eastAsia="宋体" w:cs="宋体"/>
                <w:bCs/>
                <w:color w:val="auto"/>
                <w:sz w:val="21"/>
                <w:szCs w:val="21"/>
                <w:lang w:val="en-US" w:eastAsia="zh-CN"/>
              </w:rPr>
              <w:t>亮点多，必须</w:t>
            </w:r>
            <w:r>
              <w:rPr>
                <w:rFonts w:hint="eastAsia" w:ascii="宋体" w:hAnsi="宋体" w:eastAsia="宋体" w:cs="宋体"/>
                <w:color w:val="auto"/>
                <w:sz w:val="21"/>
                <w:szCs w:val="21"/>
                <w:lang w:val="en-US" w:eastAsia="zh-CN"/>
              </w:rPr>
              <w:t>提供相关培训证明材料或案例。人员培训方案</w:t>
            </w:r>
            <w:r>
              <w:rPr>
                <w:rFonts w:hint="eastAsia" w:ascii="宋体" w:hAnsi="Courier New" w:cs="Courier New"/>
                <w:kern w:val="0"/>
                <w:szCs w:val="21"/>
              </w:rPr>
              <w:t>全面、合理且详细、针对性和可行性强，完全</w:t>
            </w:r>
            <w:r>
              <w:rPr>
                <w:rFonts w:hint="eastAsia" w:ascii="宋体" w:hAnsi="Courier New"/>
                <w:bCs/>
                <w:szCs w:val="20"/>
              </w:rPr>
              <w:t>满足</w:t>
            </w:r>
            <w:r>
              <w:rPr>
                <w:rFonts w:hint="eastAsia" w:ascii="宋体" w:hAnsi="Courier New" w:cs="Courier New"/>
                <w:kern w:val="0"/>
                <w:szCs w:val="21"/>
              </w:rPr>
              <w:t>本项目需求。</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646"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1120" w:type="dxa"/>
            <w:vMerge w:val="continue"/>
            <w:tcBorders>
              <w:left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p>
        </w:tc>
        <w:tc>
          <w:tcPr>
            <w:tcW w:w="52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宋体" w:hAnsi="宋体" w:eastAsia="宋体" w:cs="宋体"/>
                <w:color w:val="auto"/>
                <w:sz w:val="21"/>
                <w:szCs w:val="21"/>
                <w:lang w:val="en-US" w:eastAsia="zh-CN"/>
              </w:rPr>
            </w:pPr>
            <w:r>
              <w:rPr>
                <w:rFonts w:hint="eastAsia" w:ascii="黑体" w:hAnsi="黑体" w:eastAsia="黑体" w:cs="黑体"/>
                <w:color w:val="auto"/>
                <w:sz w:val="21"/>
                <w:szCs w:val="21"/>
                <w:lang w:val="en-US" w:eastAsia="zh-CN"/>
              </w:rPr>
              <w:t>服务团队人员配置</w:t>
            </w:r>
          </w:p>
        </w:tc>
        <w:tc>
          <w:tcPr>
            <w:tcW w:w="6505" w:type="dxa"/>
            <w:tcBorders>
              <w:top w:val="single" w:color="auto" w:sz="4" w:space="0"/>
              <w:left w:val="single" w:color="auto" w:sz="4" w:space="0"/>
              <w:right w:val="single" w:color="auto" w:sz="4" w:space="0"/>
            </w:tcBorders>
            <w:vAlign w:val="center"/>
          </w:tcPr>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rPr>
              <w:t>服务团队人员配置包括：各类人员数量</w:t>
            </w:r>
            <w:r>
              <w:rPr>
                <w:rFonts w:hint="eastAsia" w:ascii="宋体" w:hAnsi="宋体" w:cs="宋体"/>
                <w:bCs/>
                <w:snapToGrid w:val="0"/>
                <w:color w:val="auto"/>
                <w:sz w:val="21"/>
                <w:szCs w:val="21"/>
                <w:lang w:eastAsia="zh-CN"/>
              </w:rPr>
              <w:t>、</w:t>
            </w:r>
            <w:r>
              <w:rPr>
                <w:rFonts w:hint="eastAsia" w:ascii="宋体" w:hAnsi="宋体" w:eastAsia="宋体" w:cs="宋体"/>
                <w:bCs/>
                <w:snapToGrid w:val="0"/>
                <w:color w:val="auto"/>
                <w:sz w:val="21"/>
                <w:szCs w:val="21"/>
              </w:rPr>
              <w:t>文化素质和专业素质、各岗人</w:t>
            </w:r>
            <w:r>
              <w:rPr>
                <w:rFonts w:hint="eastAsia" w:ascii="宋体" w:hAnsi="宋体" w:eastAsia="宋体" w:cs="宋体"/>
                <w:bCs/>
                <w:snapToGrid w:val="0"/>
                <w:color w:val="auto"/>
                <w:sz w:val="21"/>
                <w:szCs w:val="21"/>
                <w:highlight w:val="none"/>
              </w:rPr>
              <w:t>员的配置等，提供人员配置方案优先。</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rPr>
              <w:t>①拟投入的</w:t>
            </w:r>
            <w:r>
              <w:rPr>
                <w:rFonts w:hint="eastAsia" w:ascii="宋体" w:hAnsi="宋体" w:eastAsia="宋体" w:cs="宋体"/>
                <w:bCs/>
                <w:snapToGrid w:val="0"/>
                <w:color w:val="auto"/>
                <w:sz w:val="21"/>
                <w:szCs w:val="21"/>
                <w:highlight w:val="none"/>
                <w:lang w:eastAsia="zh-CN"/>
              </w:rPr>
              <w:t>物业经理</w:t>
            </w:r>
            <w:r>
              <w:rPr>
                <w:rFonts w:hint="eastAsia" w:ascii="宋体" w:hAnsi="宋体" w:eastAsia="宋体" w:cs="宋体"/>
                <w:color w:val="auto"/>
                <w:sz w:val="21"/>
                <w:szCs w:val="21"/>
                <w:highlight w:val="none"/>
              </w:rPr>
              <w:t>具备</w:t>
            </w:r>
            <w:r>
              <w:rPr>
                <w:rFonts w:hint="eastAsia" w:ascii="宋体" w:hAnsi="宋体" w:cs="宋体"/>
                <w:color w:val="auto"/>
                <w:sz w:val="21"/>
                <w:szCs w:val="21"/>
                <w:highlight w:val="none"/>
                <w:lang w:val="en-US" w:eastAsia="zh-CN"/>
              </w:rPr>
              <w:t>本科</w:t>
            </w:r>
            <w:r>
              <w:rPr>
                <w:rFonts w:hint="eastAsia" w:ascii="宋体" w:hAnsi="宋体" w:eastAsia="宋体" w:cs="宋体"/>
                <w:color w:val="auto"/>
                <w:sz w:val="21"/>
                <w:szCs w:val="21"/>
                <w:highlight w:val="none"/>
              </w:rPr>
              <w:t>及以上学历的，</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2分</w:t>
            </w:r>
            <w:r>
              <w:rPr>
                <w:rFonts w:hint="eastAsia" w:ascii="宋体" w:hAnsi="宋体" w:eastAsia="宋体" w:cs="宋体"/>
                <w:bCs/>
                <w:snapToGrid w:val="0"/>
                <w:color w:val="000000" w:themeColor="text1"/>
                <w:sz w:val="21"/>
                <w:szCs w:val="21"/>
                <w14:textFill>
                  <w14:solidFill>
                    <w14:schemeClr w14:val="tx1"/>
                  </w14:solidFill>
                </w14:textFill>
              </w:rPr>
              <w:t>（提供</w:t>
            </w:r>
            <w:r>
              <w:rPr>
                <w:rFonts w:hint="eastAsia" w:ascii="宋体" w:hAnsi="宋体" w:eastAsia="宋体" w:cs="宋体"/>
                <w:bCs/>
                <w:snapToGrid w:val="0"/>
                <w:color w:val="000000" w:themeColor="text1"/>
                <w:sz w:val="21"/>
                <w:szCs w:val="21"/>
                <w:lang w:val="en-US" w:eastAsia="zh-CN"/>
                <w14:textFill>
                  <w14:solidFill>
                    <w14:schemeClr w14:val="tx1"/>
                  </w14:solidFill>
                </w14:textFill>
              </w:rPr>
              <w:t>证书</w:t>
            </w:r>
            <w:r>
              <w:rPr>
                <w:rFonts w:hint="eastAsia" w:ascii="宋体" w:hAnsi="宋体" w:eastAsia="宋体" w:cs="宋体"/>
                <w:bCs/>
                <w:snapToGrid w:val="0"/>
                <w:color w:val="000000" w:themeColor="text1"/>
                <w:sz w:val="21"/>
                <w:szCs w:val="21"/>
                <w14:textFill>
                  <w14:solidFill>
                    <w14:schemeClr w14:val="tx1"/>
                  </w14:solidFill>
                </w14:textFill>
              </w:rPr>
              <w:t>扫描件）</w:t>
            </w:r>
            <w:r>
              <w:rPr>
                <w:rFonts w:hint="eastAsia" w:ascii="宋体" w:hAnsi="宋体" w:cs="宋体"/>
                <w:color w:val="auto"/>
                <w:sz w:val="21"/>
                <w:szCs w:val="21"/>
                <w:highlight w:val="none"/>
                <w:lang w:val="en-US" w:eastAsia="zh-CN"/>
              </w:rPr>
              <w:t>；</w:t>
            </w:r>
            <w:r>
              <w:rPr>
                <w:rFonts w:hint="eastAsia" w:ascii="宋体" w:hAnsi="宋体" w:eastAsia="宋体" w:cs="宋体"/>
                <w:bCs/>
                <w:snapToGrid w:val="0"/>
                <w:color w:val="auto"/>
                <w:sz w:val="21"/>
                <w:szCs w:val="21"/>
                <w:highlight w:val="none"/>
                <w:lang w:eastAsia="zh-CN"/>
              </w:rPr>
              <w:t>具有从事物业管理服务经验</w:t>
            </w:r>
            <w:r>
              <w:rPr>
                <w:rFonts w:hint="eastAsia" w:ascii="宋体" w:hAnsi="宋体" w:cs="宋体"/>
                <w:bCs/>
                <w:snapToGrid w:val="0"/>
                <w:color w:val="auto"/>
                <w:sz w:val="21"/>
                <w:szCs w:val="21"/>
                <w:highlight w:val="none"/>
                <w:lang w:val="en-US" w:eastAsia="zh-CN"/>
              </w:rPr>
              <w:t>2</w:t>
            </w:r>
            <w:r>
              <w:rPr>
                <w:rFonts w:hint="eastAsia" w:ascii="宋体" w:hAnsi="宋体" w:eastAsia="宋体" w:cs="宋体"/>
                <w:bCs/>
                <w:snapToGrid w:val="0"/>
                <w:color w:val="auto"/>
                <w:sz w:val="21"/>
                <w:szCs w:val="21"/>
                <w:highlight w:val="none"/>
                <w:lang w:eastAsia="zh-CN"/>
              </w:rPr>
              <w:t>年以上的得</w:t>
            </w:r>
            <w:r>
              <w:rPr>
                <w:rFonts w:hint="eastAsia" w:ascii="宋体" w:hAnsi="宋体" w:cs="宋体"/>
                <w:bCs/>
                <w:snapToGrid w:val="0"/>
                <w:color w:val="auto"/>
                <w:sz w:val="21"/>
                <w:szCs w:val="21"/>
                <w:highlight w:val="none"/>
                <w:lang w:val="en-US" w:eastAsia="zh-CN"/>
              </w:rPr>
              <w:t>1</w:t>
            </w:r>
            <w:r>
              <w:rPr>
                <w:rFonts w:hint="eastAsia" w:ascii="宋体" w:hAnsi="宋体" w:eastAsia="宋体" w:cs="宋体"/>
                <w:bCs/>
                <w:snapToGrid w:val="0"/>
                <w:color w:val="auto"/>
                <w:sz w:val="21"/>
                <w:szCs w:val="21"/>
                <w:highlight w:val="none"/>
                <w:lang w:eastAsia="zh-CN"/>
              </w:rPr>
              <w:t>分（提供劳动合同扫描件）</w:t>
            </w:r>
            <w:r>
              <w:rPr>
                <w:rFonts w:hint="eastAsia" w:ascii="宋体" w:hAnsi="宋体" w:cs="宋体"/>
                <w:bCs/>
                <w:snapToGrid w:val="0"/>
                <w:color w:val="auto"/>
                <w:sz w:val="21"/>
                <w:szCs w:val="21"/>
                <w:highlight w:val="none"/>
                <w:lang w:eastAsia="zh-CN"/>
              </w:rPr>
              <w:t>；</w:t>
            </w:r>
            <w:r>
              <w:rPr>
                <w:rFonts w:hint="eastAsia" w:ascii="宋体" w:hAnsi="宋体" w:eastAsia="宋体" w:cs="宋体"/>
                <w:bCs/>
                <w:snapToGrid w:val="0"/>
                <w:color w:val="auto"/>
                <w:sz w:val="21"/>
                <w:szCs w:val="21"/>
                <w:highlight w:val="none"/>
                <w:lang w:eastAsia="zh-CN"/>
              </w:rPr>
              <w:t>具有从事物业管理服务经验</w:t>
            </w:r>
            <w:r>
              <w:rPr>
                <w:rFonts w:hint="eastAsia" w:ascii="宋体" w:hAnsi="宋体" w:cs="宋体"/>
                <w:bCs/>
                <w:snapToGrid w:val="0"/>
                <w:color w:val="auto"/>
                <w:sz w:val="21"/>
                <w:szCs w:val="21"/>
                <w:highlight w:val="none"/>
                <w:lang w:val="en-US" w:eastAsia="zh-CN"/>
              </w:rPr>
              <w:t>3</w:t>
            </w:r>
            <w:r>
              <w:rPr>
                <w:rFonts w:hint="eastAsia" w:ascii="宋体" w:hAnsi="宋体" w:eastAsia="宋体" w:cs="宋体"/>
                <w:bCs/>
                <w:snapToGrid w:val="0"/>
                <w:color w:val="auto"/>
                <w:sz w:val="21"/>
                <w:szCs w:val="21"/>
                <w:highlight w:val="none"/>
                <w:lang w:eastAsia="zh-CN"/>
              </w:rPr>
              <w:t>年以上的得</w:t>
            </w:r>
            <w:r>
              <w:rPr>
                <w:rFonts w:hint="eastAsia" w:ascii="宋体" w:hAnsi="宋体" w:cs="宋体"/>
                <w:bCs/>
                <w:snapToGrid w:val="0"/>
                <w:color w:val="auto"/>
                <w:sz w:val="21"/>
                <w:szCs w:val="21"/>
                <w:highlight w:val="none"/>
                <w:lang w:val="en-US" w:eastAsia="zh-CN"/>
              </w:rPr>
              <w:t>2</w:t>
            </w:r>
            <w:r>
              <w:rPr>
                <w:rFonts w:hint="eastAsia" w:ascii="宋体" w:hAnsi="宋体" w:eastAsia="宋体" w:cs="宋体"/>
                <w:bCs/>
                <w:snapToGrid w:val="0"/>
                <w:color w:val="auto"/>
                <w:sz w:val="21"/>
                <w:szCs w:val="21"/>
                <w:highlight w:val="none"/>
                <w:lang w:eastAsia="zh-CN"/>
              </w:rPr>
              <w:t>分</w:t>
            </w:r>
            <w:r>
              <w:rPr>
                <w:rFonts w:hint="eastAsia" w:ascii="宋体" w:hAnsi="宋体" w:cs="宋体"/>
                <w:bCs/>
                <w:snapToGrid w:val="0"/>
                <w:color w:val="auto"/>
                <w:sz w:val="21"/>
                <w:szCs w:val="21"/>
                <w:highlight w:val="none"/>
                <w:lang w:eastAsia="zh-CN"/>
              </w:rPr>
              <w:t>；</w:t>
            </w:r>
            <w:r>
              <w:rPr>
                <w:rFonts w:hint="eastAsia" w:ascii="宋体" w:hAnsi="宋体" w:eastAsia="宋体" w:cs="宋体"/>
                <w:bCs/>
                <w:snapToGrid w:val="0"/>
                <w:color w:val="auto"/>
                <w:sz w:val="21"/>
                <w:szCs w:val="21"/>
                <w:highlight w:val="none"/>
                <w:lang w:eastAsia="zh-CN"/>
              </w:rPr>
              <w:t>（提供劳动合同扫描件）</w:t>
            </w:r>
            <w:r>
              <w:rPr>
                <w:rFonts w:hint="eastAsia" w:ascii="宋体" w:hAnsi="宋体" w:cs="宋体"/>
                <w:bCs/>
                <w:snapToGrid w:val="0"/>
                <w:color w:val="auto"/>
                <w:sz w:val="21"/>
                <w:szCs w:val="21"/>
                <w:highlight w:val="none"/>
                <w:lang w:eastAsia="zh-CN"/>
              </w:rPr>
              <w:t>；</w:t>
            </w:r>
            <w:r>
              <w:rPr>
                <w:rFonts w:hint="eastAsia" w:ascii="宋体" w:hAnsi="宋体" w:eastAsia="宋体" w:cs="宋体"/>
                <w:bCs/>
                <w:snapToGrid w:val="0"/>
                <w:color w:val="auto"/>
                <w:sz w:val="21"/>
                <w:szCs w:val="21"/>
                <w:highlight w:val="none"/>
                <w:lang w:eastAsia="zh-CN"/>
              </w:rPr>
              <w:t>本项最高</w:t>
            </w:r>
            <w:r>
              <w:rPr>
                <w:rFonts w:hint="eastAsia" w:ascii="宋体" w:hAnsi="宋体" w:cs="宋体"/>
                <w:bCs/>
                <w:snapToGrid w:val="0"/>
                <w:color w:val="auto"/>
                <w:sz w:val="21"/>
                <w:szCs w:val="21"/>
                <w:highlight w:val="none"/>
                <w:lang w:val="en-US" w:eastAsia="zh-CN"/>
              </w:rPr>
              <w:t>4</w:t>
            </w:r>
            <w:r>
              <w:rPr>
                <w:rFonts w:hint="eastAsia" w:ascii="宋体" w:hAnsi="宋体" w:eastAsia="宋体" w:cs="宋体"/>
                <w:bCs/>
                <w:snapToGrid w:val="0"/>
                <w:color w:val="auto"/>
                <w:sz w:val="21"/>
                <w:szCs w:val="21"/>
                <w:highlight w:val="none"/>
                <w:lang w:eastAsia="zh-CN"/>
              </w:rPr>
              <w:t>分。</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Cs/>
                <w:snapToGrid w:val="0"/>
                <w:color w:val="auto"/>
                <w:sz w:val="21"/>
                <w:szCs w:val="21"/>
              </w:rPr>
            </w:pPr>
            <w:r>
              <w:rPr>
                <w:rFonts w:hint="eastAsia" w:ascii="宋体" w:hAnsi="宋体" w:eastAsia="宋体" w:cs="宋体"/>
                <w:bCs/>
                <w:snapToGrid w:val="0"/>
                <w:color w:val="auto"/>
                <w:sz w:val="21"/>
                <w:szCs w:val="21"/>
                <w:highlight w:val="none"/>
              </w:rPr>
              <w:t>②</w:t>
            </w:r>
            <w:r>
              <w:rPr>
                <w:rFonts w:hint="eastAsia" w:ascii="宋体" w:hAnsi="宋体" w:eastAsia="宋体" w:cs="宋体"/>
                <w:bCs/>
                <w:snapToGrid w:val="0"/>
                <w:color w:val="auto"/>
                <w:sz w:val="21"/>
                <w:szCs w:val="21"/>
              </w:rPr>
              <w:t>拟投入的</w:t>
            </w:r>
            <w:r>
              <w:rPr>
                <w:rFonts w:hint="eastAsia" w:ascii="宋体" w:hAnsi="宋体" w:cs="宋体"/>
                <w:bCs/>
                <w:snapToGrid w:val="0"/>
                <w:color w:val="auto"/>
                <w:sz w:val="21"/>
                <w:szCs w:val="21"/>
                <w:lang w:val="en-US" w:eastAsia="zh-CN"/>
              </w:rPr>
              <w:t>保洁</w:t>
            </w:r>
            <w:r>
              <w:rPr>
                <w:rFonts w:hint="eastAsia" w:ascii="宋体" w:hAnsi="宋体" w:eastAsia="宋体" w:cs="宋体"/>
                <w:bCs/>
                <w:snapToGrid w:val="0"/>
                <w:color w:val="auto"/>
                <w:sz w:val="21"/>
                <w:szCs w:val="21"/>
              </w:rPr>
              <w:t>人员中</w:t>
            </w:r>
            <w:r>
              <w:rPr>
                <w:rFonts w:hint="eastAsia" w:ascii="宋体" w:hAnsi="宋体" w:eastAsia="宋体" w:cs="宋体"/>
                <w:bCs/>
                <w:snapToGrid w:val="0"/>
                <w:color w:val="auto"/>
                <w:sz w:val="21"/>
                <w:szCs w:val="21"/>
                <w:lang w:val="en-US" w:eastAsia="zh-CN"/>
              </w:rPr>
              <w:t>具有</w:t>
            </w:r>
            <w:r>
              <w:rPr>
                <w:rFonts w:hint="eastAsia" w:ascii="宋体" w:hAnsi="宋体" w:eastAsia="宋体" w:cs="宋体"/>
                <w:bCs/>
                <w:snapToGrid w:val="0"/>
                <w:color w:val="auto"/>
                <w:sz w:val="21"/>
                <w:szCs w:val="21"/>
              </w:rPr>
              <w:t>高级园林绿化工程师</w:t>
            </w:r>
            <w:r>
              <w:rPr>
                <w:rFonts w:hint="eastAsia" w:ascii="宋体" w:hAnsi="宋体" w:eastAsia="宋体" w:cs="宋体"/>
                <w:bCs/>
                <w:snapToGrid w:val="0"/>
                <w:color w:val="auto"/>
                <w:sz w:val="21"/>
                <w:szCs w:val="21"/>
                <w:lang w:val="en-US" w:eastAsia="zh-CN"/>
              </w:rPr>
              <w:t>证书</w:t>
            </w:r>
            <w:r>
              <w:rPr>
                <w:rFonts w:hint="eastAsia" w:ascii="宋体" w:hAnsi="宋体" w:eastAsia="宋体" w:cs="宋体"/>
                <w:bCs/>
                <w:snapToGrid w:val="0"/>
                <w:color w:val="auto"/>
                <w:sz w:val="21"/>
                <w:szCs w:val="21"/>
              </w:rPr>
              <w:t>的</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lang w:val="en-US" w:eastAsia="zh-CN"/>
              </w:rPr>
              <w:t>一人</w:t>
            </w:r>
            <w:r>
              <w:rPr>
                <w:rFonts w:hint="eastAsia" w:ascii="宋体" w:hAnsi="宋体" w:eastAsia="宋体" w:cs="宋体"/>
                <w:bCs/>
                <w:snapToGrid w:val="0"/>
                <w:color w:val="auto"/>
                <w:sz w:val="21"/>
                <w:szCs w:val="21"/>
              </w:rPr>
              <w:t>得</w:t>
            </w:r>
            <w:r>
              <w:rPr>
                <w:rFonts w:hint="eastAsia" w:ascii="宋体" w:hAnsi="宋体" w:eastAsia="宋体" w:cs="宋体"/>
                <w:bCs/>
                <w:snapToGrid w:val="0"/>
                <w:color w:val="auto"/>
                <w:sz w:val="21"/>
                <w:szCs w:val="21"/>
                <w:lang w:val="en-US" w:eastAsia="zh-CN"/>
              </w:rPr>
              <w:t>1.5</w:t>
            </w:r>
            <w:r>
              <w:rPr>
                <w:rFonts w:hint="eastAsia" w:ascii="宋体" w:hAnsi="宋体" w:eastAsia="宋体" w:cs="宋体"/>
                <w:bCs/>
                <w:snapToGrid w:val="0"/>
                <w:color w:val="auto"/>
                <w:sz w:val="21"/>
                <w:szCs w:val="21"/>
              </w:rPr>
              <w:t>分（提供</w:t>
            </w:r>
            <w:r>
              <w:rPr>
                <w:rFonts w:hint="eastAsia" w:ascii="宋体" w:hAnsi="宋体" w:eastAsia="宋体" w:cs="宋体"/>
                <w:bCs/>
                <w:snapToGrid w:val="0"/>
                <w:color w:val="auto"/>
                <w:sz w:val="21"/>
                <w:szCs w:val="21"/>
                <w:lang w:val="en-US" w:eastAsia="zh-CN"/>
              </w:rPr>
              <w:t>专业证书</w:t>
            </w:r>
            <w:r>
              <w:rPr>
                <w:rFonts w:hint="eastAsia" w:ascii="宋体" w:hAnsi="宋体" w:eastAsia="宋体" w:cs="宋体"/>
                <w:bCs/>
                <w:snapToGrid w:val="0"/>
                <w:color w:val="auto"/>
                <w:sz w:val="21"/>
                <w:szCs w:val="21"/>
              </w:rPr>
              <w:t>扫描件）</w:t>
            </w:r>
            <w:r>
              <w:rPr>
                <w:rFonts w:hint="eastAsia" w:ascii="宋体" w:hAnsi="宋体" w:cs="宋体"/>
                <w:bCs/>
                <w:snapToGrid w:val="0"/>
                <w:color w:val="auto"/>
                <w:sz w:val="21"/>
                <w:szCs w:val="21"/>
                <w:lang w:eastAsia="zh-CN"/>
              </w:rPr>
              <w:t>；</w:t>
            </w:r>
            <w:r>
              <w:rPr>
                <w:rFonts w:hint="eastAsia" w:ascii="宋体" w:hAnsi="宋体" w:eastAsia="宋体" w:cs="宋体"/>
                <w:bCs/>
                <w:snapToGrid w:val="0"/>
                <w:color w:val="auto"/>
                <w:sz w:val="21"/>
                <w:szCs w:val="21"/>
                <w:lang w:eastAsia="zh-CN"/>
              </w:rPr>
              <w:t>具有</w:t>
            </w:r>
            <w:r>
              <w:rPr>
                <w:rFonts w:hint="eastAsia" w:ascii="宋体" w:hAnsi="宋体" w:eastAsia="宋体" w:cs="宋体"/>
                <w:bCs/>
                <w:snapToGrid w:val="0"/>
                <w:color w:val="auto"/>
                <w:sz w:val="21"/>
                <w:szCs w:val="21"/>
                <w:lang w:val="en-US" w:eastAsia="zh-CN"/>
              </w:rPr>
              <w:t>2年以上绿化养护经验的，一人得1分</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rPr>
              <w:t>提供劳动合同扫描件）</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lang w:eastAsia="zh-CN"/>
              </w:rPr>
              <w:t>具有</w:t>
            </w:r>
            <w:r>
              <w:rPr>
                <w:rFonts w:hint="eastAsia" w:ascii="宋体" w:hAnsi="宋体" w:cs="宋体"/>
                <w:bCs/>
                <w:snapToGrid w:val="0"/>
                <w:color w:val="auto"/>
                <w:sz w:val="21"/>
                <w:szCs w:val="21"/>
                <w:lang w:val="en-US" w:eastAsia="zh-CN"/>
              </w:rPr>
              <w:t>3</w:t>
            </w:r>
            <w:r>
              <w:rPr>
                <w:rFonts w:hint="eastAsia" w:ascii="宋体" w:hAnsi="宋体" w:eastAsia="宋体" w:cs="宋体"/>
                <w:bCs/>
                <w:snapToGrid w:val="0"/>
                <w:color w:val="auto"/>
                <w:sz w:val="21"/>
                <w:szCs w:val="21"/>
                <w:lang w:val="en-US" w:eastAsia="zh-CN"/>
              </w:rPr>
              <w:t>年以上绿化养护经验的，一人得</w:t>
            </w:r>
            <w:r>
              <w:rPr>
                <w:rFonts w:hint="eastAsia" w:ascii="宋体" w:hAnsi="宋体" w:cs="宋体"/>
                <w:bCs/>
                <w:snapToGrid w:val="0"/>
                <w:color w:val="auto"/>
                <w:sz w:val="21"/>
                <w:szCs w:val="21"/>
                <w:lang w:val="en-US" w:eastAsia="zh-CN"/>
              </w:rPr>
              <w:t>1.5</w:t>
            </w:r>
            <w:r>
              <w:rPr>
                <w:rFonts w:hint="eastAsia" w:ascii="宋体" w:hAnsi="宋体" w:eastAsia="宋体" w:cs="宋体"/>
                <w:bCs/>
                <w:snapToGrid w:val="0"/>
                <w:color w:val="auto"/>
                <w:sz w:val="21"/>
                <w:szCs w:val="21"/>
                <w:lang w:val="en-US" w:eastAsia="zh-CN"/>
              </w:rPr>
              <w:t>分</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rPr>
              <w:t>提供劳动合同扫描件）</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rPr>
              <w:t>本项满分</w:t>
            </w:r>
            <w:r>
              <w:rPr>
                <w:rFonts w:hint="eastAsia" w:ascii="宋体" w:hAnsi="宋体" w:cs="宋体"/>
                <w:bCs/>
                <w:snapToGrid w:val="0"/>
                <w:color w:val="auto"/>
                <w:sz w:val="21"/>
                <w:szCs w:val="21"/>
                <w:lang w:val="en-US" w:eastAsia="zh-CN"/>
              </w:rPr>
              <w:t>6</w:t>
            </w:r>
            <w:r>
              <w:rPr>
                <w:rFonts w:hint="eastAsia" w:ascii="宋体" w:hAnsi="宋体" w:eastAsia="宋体" w:cs="宋体"/>
                <w:bCs/>
                <w:snapToGrid w:val="0"/>
                <w:color w:val="auto"/>
                <w:sz w:val="21"/>
                <w:szCs w:val="21"/>
              </w:rPr>
              <w:t>分。</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highlight w:val="none"/>
              </w:rPr>
              <w:t>③拟投入的</w:t>
            </w:r>
            <w:r>
              <w:rPr>
                <w:rFonts w:hint="eastAsia" w:ascii="宋体" w:hAnsi="宋体" w:eastAsia="宋体" w:cs="宋体"/>
                <w:bCs/>
                <w:snapToGrid w:val="0"/>
                <w:color w:val="auto"/>
                <w:sz w:val="21"/>
                <w:szCs w:val="21"/>
                <w:highlight w:val="none"/>
                <w:lang w:eastAsia="zh-CN"/>
              </w:rPr>
              <w:t>保安</w:t>
            </w:r>
            <w:r>
              <w:rPr>
                <w:rFonts w:hint="eastAsia" w:ascii="宋体" w:hAnsi="宋体" w:eastAsia="宋体" w:cs="宋体"/>
                <w:bCs/>
                <w:snapToGrid w:val="0"/>
                <w:color w:val="auto"/>
                <w:sz w:val="21"/>
                <w:szCs w:val="21"/>
                <w:highlight w:val="none"/>
              </w:rPr>
              <w:t>员中具</w:t>
            </w:r>
            <w:r>
              <w:rPr>
                <w:rFonts w:hint="eastAsia" w:ascii="宋体" w:hAnsi="宋体" w:eastAsia="宋体" w:cs="宋体"/>
                <w:bCs/>
                <w:snapToGrid w:val="0"/>
                <w:color w:val="auto"/>
                <w:sz w:val="21"/>
                <w:szCs w:val="21"/>
                <w:highlight w:val="none"/>
                <w:lang w:val="en-US" w:eastAsia="zh-CN"/>
              </w:rPr>
              <w:t>有</w:t>
            </w:r>
            <w:r>
              <w:rPr>
                <w:rFonts w:hint="eastAsia" w:ascii="宋体" w:hAnsi="宋体" w:eastAsia="宋体" w:cs="宋体"/>
                <w:bCs/>
                <w:snapToGrid w:val="0"/>
                <w:color w:val="auto"/>
                <w:sz w:val="21"/>
                <w:szCs w:val="21"/>
                <w:highlight w:val="none"/>
              </w:rPr>
              <w:t>保安员证的每一人得</w:t>
            </w:r>
            <w:r>
              <w:rPr>
                <w:rFonts w:hint="eastAsia" w:ascii="宋体" w:hAnsi="宋体" w:eastAsia="宋体" w:cs="宋体"/>
                <w:bCs/>
                <w:snapToGrid w:val="0"/>
                <w:color w:val="auto"/>
                <w:sz w:val="21"/>
                <w:szCs w:val="21"/>
                <w:highlight w:val="none"/>
                <w:lang w:val="en-US" w:eastAsia="zh-CN"/>
              </w:rPr>
              <w:t>1</w:t>
            </w:r>
            <w:r>
              <w:rPr>
                <w:rFonts w:hint="eastAsia" w:ascii="宋体" w:hAnsi="宋体" w:eastAsia="宋体" w:cs="宋体"/>
                <w:bCs/>
                <w:snapToGrid w:val="0"/>
                <w:color w:val="auto"/>
                <w:sz w:val="21"/>
                <w:szCs w:val="21"/>
              </w:rPr>
              <w:t>分</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rPr>
              <w:t>本项满分</w:t>
            </w:r>
            <w:r>
              <w:rPr>
                <w:rFonts w:hint="eastAsia" w:ascii="宋体" w:hAnsi="宋体" w:cs="宋体"/>
                <w:bCs/>
                <w:snapToGrid w:val="0"/>
                <w:color w:val="auto"/>
                <w:sz w:val="21"/>
                <w:szCs w:val="21"/>
                <w:lang w:val="en-US" w:eastAsia="zh-CN"/>
              </w:rPr>
              <w:t>3</w:t>
            </w:r>
            <w:r>
              <w:rPr>
                <w:rFonts w:hint="eastAsia" w:ascii="宋体" w:hAnsi="宋体" w:eastAsia="宋体" w:cs="宋体"/>
                <w:bCs/>
                <w:snapToGrid w:val="0"/>
                <w:color w:val="auto"/>
                <w:sz w:val="21"/>
                <w:szCs w:val="21"/>
              </w:rPr>
              <w:t>分</w:t>
            </w:r>
            <w:r>
              <w:rPr>
                <w:rFonts w:hint="eastAsia" w:ascii="宋体" w:hAnsi="宋体" w:cs="宋体"/>
                <w:bCs/>
                <w:snapToGrid w:val="0"/>
                <w:color w:val="auto"/>
                <w:sz w:val="21"/>
                <w:szCs w:val="21"/>
                <w:lang w:eastAsia="zh-CN"/>
              </w:rPr>
              <w:t>。</w:t>
            </w:r>
            <w:r>
              <w:rPr>
                <w:rFonts w:hint="eastAsia" w:ascii="宋体" w:hAnsi="宋体" w:eastAsia="宋体" w:cs="宋体"/>
                <w:bCs/>
                <w:snapToGrid w:val="0"/>
                <w:color w:val="000000" w:themeColor="text1"/>
                <w:sz w:val="21"/>
                <w:szCs w:val="21"/>
                <w14:textFill>
                  <w14:solidFill>
                    <w14:schemeClr w14:val="tx1"/>
                  </w14:solidFill>
                </w14:textFill>
              </w:rPr>
              <w:t>（提供</w:t>
            </w:r>
            <w:r>
              <w:rPr>
                <w:rFonts w:hint="eastAsia" w:ascii="宋体" w:hAnsi="宋体" w:eastAsia="宋体" w:cs="宋体"/>
                <w:bCs/>
                <w:snapToGrid w:val="0"/>
                <w:color w:val="000000" w:themeColor="text1"/>
                <w:sz w:val="21"/>
                <w:szCs w:val="21"/>
                <w:lang w:val="en-US" w:eastAsia="zh-CN"/>
                <w14:textFill>
                  <w14:solidFill>
                    <w14:schemeClr w14:val="tx1"/>
                  </w14:solidFill>
                </w14:textFill>
              </w:rPr>
              <w:t>专业证书</w:t>
            </w:r>
            <w:r>
              <w:rPr>
                <w:rFonts w:hint="eastAsia" w:ascii="宋体" w:hAnsi="宋体" w:eastAsia="宋体" w:cs="宋体"/>
                <w:bCs/>
                <w:snapToGrid w:val="0"/>
                <w:color w:val="000000" w:themeColor="text1"/>
                <w:sz w:val="21"/>
                <w:szCs w:val="21"/>
                <w14:textFill>
                  <w14:solidFill>
                    <w14:schemeClr w14:val="tx1"/>
                  </w14:solidFill>
                </w14:textFill>
              </w:rPr>
              <w:t>扫描件）</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default" w:ascii="宋体" w:hAnsi="宋体" w:eastAsia="宋体" w:cs="宋体"/>
                <w:bCs/>
                <w:snapToGrid w:val="0"/>
                <w:color w:val="FF0000"/>
                <w:sz w:val="21"/>
                <w:szCs w:val="21"/>
                <w:lang w:val="en-US" w:eastAsia="zh-CN"/>
              </w:rPr>
            </w:pPr>
            <w:r>
              <w:rPr>
                <w:rFonts w:hint="eastAsia" w:ascii="宋体" w:hAnsi="宋体" w:eastAsia="宋体" w:cs="宋体"/>
                <w:bCs/>
                <w:snapToGrid w:val="0"/>
                <w:color w:val="auto"/>
                <w:sz w:val="21"/>
                <w:szCs w:val="21"/>
              </w:rPr>
              <w:t>④拟投入</w:t>
            </w:r>
            <w:r>
              <w:rPr>
                <w:rFonts w:hint="eastAsia" w:ascii="宋体" w:hAnsi="宋体" w:eastAsia="宋体" w:cs="宋体"/>
                <w:bCs/>
                <w:snapToGrid w:val="0"/>
                <w:color w:val="auto"/>
                <w:sz w:val="21"/>
                <w:szCs w:val="21"/>
                <w:lang w:eastAsia="zh-CN"/>
              </w:rPr>
              <w:t>保安</w:t>
            </w:r>
            <w:r>
              <w:rPr>
                <w:rFonts w:hint="eastAsia" w:ascii="宋体" w:hAnsi="宋体" w:eastAsia="宋体" w:cs="宋体"/>
                <w:bCs/>
                <w:snapToGrid w:val="0"/>
                <w:color w:val="auto"/>
                <w:sz w:val="21"/>
                <w:szCs w:val="21"/>
              </w:rPr>
              <w:t>员中具有</w:t>
            </w:r>
            <w:r>
              <w:rPr>
                <w:rFonts w:hint="eastAsia" w:ascii="宋体" w:hAnsi="宋体" w:eastAsia="宋体" w:cs="宋体"/>
                <w:bCs/>
                <w:snapToGrid w:val="0"/>
                <w:color w:val="auto"/>
                <w:sz w:val="21"/>
                <w:szCs w:val="21"/>
                <w:lang w:val="en-US" w:eastAsia="zh-CN"/>
              </w:rPr>
              <w:t>国家认可</w:t>
            </w:r>
            <w:r>
              <w:rPr>
                <w:rFonts w:hint="eastAsia" w:ascii="宋体" w:hAnsi="宋体" w:eastAsia="宋体" w:cs="宋体"/>
                <w:bCs/>
                <w:snapToGrid w:val="0"/>
                <w:color w:val="000000" w:themeColor="text1"/>
                <w:sz w:val="21"/>
                <w:szCs w:val="21"/>
                <w:lang w:val="en-US" w:eastAsia="zh-CN"/>
                <w14:textFill>
                  <w14:solidFill>
                    <w14:schemeClr w14:val="tx1"/>
                  </w14:solidFill>
                </w14:textFill>
              </w:rPr>
              <w:t>的消防证书</w:t>
            </w:r>
            <w:r>
              <w:rPr>
                <w:rFonts w:hint="eastAsia" w:ascii="宋体" w:hAnsi="宋体" w:eastAsia="宋体" w:cs="宋体"/>
                <w:bCs/>
                <w:snapToGrid w:val="0"/>
                <w:color w:val="000000" w:themeColor="text1"/>
                <w:sz w:val="21"/>
                <w:szCs w:val="21"/>
                <w14:textFill>
                  <w14:solidFill>
                    <w14:schemeClr w14:val="tx1"/>
                  </w14:solidFill>
                </w14:textFill>
              </w:rPr>
              <w:t>的每一人得</w:t>
            </w:r>
            <w:r>
              <w:rPr>
                <w:rFonts w:hint="eastAsia" w:ascii="宋体" w:hAnsi="宋体" w:eastAsia="宋体" w:cs="宋体"/>
                <w:bCs/>
                <w:snapToGrid w:val="0"/>
                <w:color w:val="000000" w:themeColor="text1"/>
                <w:sz w:val="21"/>
                <w:szCs w:val="21"/>
                <w:lang w:val="en-US" w:eastAsia="zh-CN"/>
                <w14:textFill>
                  <w14:solidFill>
                    <w14:schemeClr w14:val="tx1"/>
                  </w14:solidFill>
                </w14:textFill>
              </w:rPr>
              <w:t>1</w:t>
            </w:r>
            <w:r>
              <w:rPr>
                <w:rFonts w:hint="eastAsia" w:ascii="宋体" w:hAnsi="宋体" w:eastAsia="宋体" w:cs="宋体"/>
                <w:bCs/>
                <w:snapToGrid w:val="0"/>
                <w:color w:val="000000" w:themeColor="text1"/>
                <w:sz w:val="21"/>
                <w:szCs w:val="21"/>
                <w14:textFill>
                  <w14:solidFill>
                    <w14:schemeClr w14:val="tx1"/>
                  </w14:solidFill>
                </w14:textFill>
              </w:rPr>
              <w:t>分</w:t>
            </w:r>
            <w:r>
              <w:rPr>
                <w:rFonts w:hint="eastAsia" w:ascii="宋体" w:hAnsi="宋体" w:eastAsia="宋体" w:cs="宋体"/>
                <w:bCs/>
                <w:snapToGrid w:val="0"/>
                <w:color w:val="000000" w:themeColor="text1"/>
                <w:sz w:val="21"/>
                <w:szCs w:val="21"/>
                <w:lang w:eastAsia="zh-CN"/>
                <w14:textFill>
                  <w14:solidFill>
                    <w14:schemeClr w14:val="tx1"/>
                  </w14:solidFill>
                </w14:textFill>
              </w:rPr>
              <w:t>。</w:t>
            </w:r>
            <w:r>
              <w:rPr>
                <w:rFonts w:hint="eastAsia" w:ascii="宋体" w:hAnsi="宋体" w:eastAsia="宋体" w:cs="宋体"/>
                <w:bCs/>
                <w:snapToGrid w:val="0"/>
                <w:color w:val="000000" w:themeColor="text1"/>
                <w:sz w:val="21"/>
                <w:szCs w:val="21"/>
                <w14:textFill>
                  <w14:solidFill>
                    <w14:schemeClr w14:val="tx1"/>
                  </w14:solidFill>
                </w14:textFill>
              </w:rPr>
              <w:t>本项满分</w:t>
            </w:r>
            <w:r>
              <w:rPr>
                <w:rFonts w:hint="eastAsia" w:ascii="宋体" w:hAnsi="宋体" w:cs="宋体"/>
                <w:bCs/>
                <w:snapToGrid w:val="0"/>
                <w:color w:val="000000" w:themeColor="text1"/>
                <w:sz w:val="21"/>
                <w:szCs w:val="21"/>
                <w:lang w:val="en-US" w:eastAsia="zh-CN"/>
                <w14:textFill>
                  <w14:solidFill>
                    <w14:schemeClr w14:val="tx1"/>
                  </w14:solidFill>
                </w14:textFill>
              </w:rPr>
              <w:t>3</w:t>
            </w:r>
            <w:r>
              <w:rPr>
                <w:rFonts w:hint="eastAsia" w:ascii="宋体" w:hAnsi="宋体" w:eastAsia="宋体" w:cs="宋体"/>
                <w:bCs/>
                <w:snapToGrid w:val="0"/>
                <w:color w:val="000000" w:themeColor="text1"/>
                <w:sz w:val="21"/>
                <w:szCs w:val="21"/>
                <w14:textFill>
                  <w14:solidFill>
                    <w14:schemeClr w14:val="tx1"/>
                  </w14:solidFill>
                </w14:textFill>
              </w:rPr>
              <w:t>分</w:t>
            </w:r>
            <w:r>
              <w:rPr>
                <w:rFonts w:hint="eastAsia" w:ascii="宋体" w:hAnsi="宋体" w:eastAsia="宋体" w:cs="宋体"/>
                <w:bCs/>
                <w:snapToGrid w:val="0"/>
                <w:color w:val="000000" w:themeColor="text1"/>
                <w:sz w:val="21"/>
                <w:szCs w:val="21"/>
                <w:lang w:eastAsia="zh-CN"/>
                <w14:textFill>
                  <w14:solidFill>
                    <w14:schemeClr w14:val="tx1"/>
                  </w14:solidFill>
                </w14:textFill>
              </w:rPr>
              <w:t>。</w:t>
            </w:r>
            <w:r>
              <w:rPr>
                <w:rFonts w:hint="eastAsia" w:ascii="宋体" w:hAnsi="宋体" w:eastAsia="宋体" w:cs="宋体"/>
                <w:bCs/>
                <w:snapToGrid w:val="0"/>
                <w:color w:val="000000" w:themeColor="text1"/>
                <w:sz w:val="21"/>
                <w:szCs w:val="21"/>
                <w14:textFill>
                  <w14:solidFill>
                    <w14:schemeClr w14:val="tx1"/>
                  </w14:solidFill>
                </w14:textFill>
              </w:rPr>
              <w:t>（提供</w:t>
            </w:r>
            <w:r>
              <w:rPr>
                <w:rFonts w:hint="eastAsia" w:ascii="宋体" w:hAnsi="宋体" w:eastAsia="宋体" w:cs="宋体"/>
                <w:bCs/>
                <w:snapToGrid w:val="0"/>
                <w:color w:val="000000" w:themeColor="text1"/>
                <w:sz w:val="21"/>
                <w:szCs w:val="21"/>
                <w:lang w:val="en-US" w:eastAsia="zh-CN"/>
                <w14:textFill>
                  <w14:solidFill>
                    <w14:schemeClr w14:val="tx1"/>
                  </w14:solidFill>
                </w14:textFill>
              </w:rPr>
              <w:t>专业证书</w:t>
            </w:r>
            <w:r>
              <w:rPr>
                <w:rFonts w:hint="eastAsia" w:ascii="宋体" w:hAnsi="宋体" w:eastAsia="宋体" w:cs="宋体"/>
                <w:bCs/>
                <w:snapToGrid w:val="0"/>
                <w:color w:val="000000" w:themeColor="text1"/>
                <w:sz w:val="21"/>
                <w:szCs w:val="21"/>
                <w14:textFill>
                  <w14:solidFill>
                    <w14:schemeClr w14:val="tx1"/>
                  </w14:solidFill>
                </w14:textFill>
              </w:rPr>
              <w:t>扫描件）</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Cs/>
                <w:snapToGrid w:val="0"/>
                <w:color w:val="000000" w:themeColor="text1"/>
                <w:sz w:val="21"/>
                <w:szCs w:val="21"/>
                <w14:textFill>
                  <w14:solidFill>
                    <w14:schemeClr w14:val="tx1"/>
                  </w14:solidFill>
                </w14:textFill>
              </w:rPr>
            </w:pPr>
            <w:r>
              <w:rPr>
                <w:rFonts w:hint="eastAsia" w:ascii="宋体" w:hAnsi="宋体" w:eastAsia="宋体" w:cs="宋体"/>
                <w:bCs/>
                <w:snapToGrid w:val="0"/>
                <w:color w:val="auto"/>
                <w:sz w:val="21"/>
                <w:szCs w:val="21"/>
              </w:rPr>
              <w:t>⑤拟投入的</w:t>
            </w:r>
            <w:r>
              <w:rPr>
                <w:rFonts w:hint="eastAsia" w:ascii="宋体" w:hAnsi="宋体" w:eastAsia="宋体" w:cs="宋体"/>
                <w:bCs/>
                <w:snapToGrid w:val="0"/>
                <w:color w:val="auto"/>
                <w:sz w:val="21"/>
                <w:szCs w:val="21"/>
                <w:lang w:val="en-US" w:eastAsia="zh-CN"/>
              </w:rPr>
              <w:t>工程维修员</w:t>
            </w:r>
            <w:r>
              <w:rPr>
                <w:rFonts w:hint="eastAsia" w:ascii="宋体" w:hAnsi="宋体" w:eastAsia="宋体" w:cs="宋体"/>
                <w:bCs/>
                <w:snapToGrid w:val="0"/>
                <w:color w:val="auto"/>
                <w:sz w:val="21"/>
                <w:szCs w:val="21"/>
              </w:rPr>
              <w:t>中具有</w:t>
            </w:r>
            <w:r>
              <w:rPr>
                <w:rFonts w:hint="eastAsia" w:ascii="宋体" w:hAnsi="宋体" w:eastAsia="宋体" w:cs="宋体"/>
                <w:bCs/>
                <w:snapToGrid w:val="0"/>
                <w:color w:val="auto"/>
                <w:sz w:val="21"/>
                <w:szCs w:val="21"/>
                <w:lang w:eastAsia="zh-CN"/>
              </w:rPr>
              <w:t>大专学历</w:t>
            </w:r>
            <w:r>
              <w:rPr>
                <w:rFonts w:hint="eastAsia" w:ascii="宋体" w:hAnsi="宋体" w:eastAsia="宋体" w:cs="宋体"/>
                <w:bCs/>
                <w:snapToGrid w:val="0"/>
                <w:color w:val="auto"/>
                <w:sz w:val="21"/>
                <w:szCs w:val="21"/>
              </w:rPr>
              <w:t>，得</w:t>
            </w:r>
            <w:r>
              <w:rPr>
                <w:rFonts w:hint="eastAsia" w:ascii="宋体" w:hAnsi="宋体" w:eastAsia="宋体" w:cs="宋体"/>
                <w:bCs/>
                <w:snapToGrid w:val="0"/>
                <w:color w:val="auto"/>
                <w:sz w:val="21"/>
                <w:szCs w:val="21"/>
                <w:lang w:val="en-US" w:eastAsia="zh-CN"/>
              </w:rPr>
              <w:t>2</w:t>
            </w:r>
            <w:r>
              <w:rPr>
                <w:rFonts w:hint="eastAsia" w:ascii="宋体" w:hAnsi="宋体" w:eastAsia="宋体" w:cs="宋体"/>
                <w:bCs/>
                <w:snapToGrid w:val="0"/>
                <w:color w:val="auto"/>
                <w:sz w:val="21"/>
                <w:szCs w:val="21"/>
              </w:rPr>
              <w:t>分</w:t>
            </w:r>
            <w:r>
              <w:rPr>
                <w:rFonts w:hint="eastAsia" w:ascii="宋体" w:hAnsi="宋体" w:eastAsia="宋体" w:cs="宋体"/>
                <w:bCs/>
                <w:snapToGrid w:val="0"/>
                <w:color w:val="000000" w:themeColor="text1"/>
                <w:sz w:val="21"/>
                <w:szCs w:val="21"/>
                <w14:textFill>
                  <w14:solidFill>
                    <w14:schemeClr w14:val="tx1"/>
                  </w14:solidFill>
                </w14:textFill>
              </w:rPr>
              <w:t>（提供</w:t>
            </w:r>
            <w:r>
              <w:rPr>
                <w:rFonts w:hint="eastAsia" w:ascii="宋体" w:hAnsi="宋体" w:eastAsia="宋体" w:cs="宋体"/>
                <w:bCs/>
                <w:snapToGrid w:val="0"/>
                <w:color w:val="000000" w:themeColor="text1"/>
                <w:sz w:val="21"/>
                <w:szCs w:val="21"/>
                <w:lang w:val="en-US" w:eastAsia="zh-CN"/>
                <w14:textFill>
                  <w14:solidFill>
                    <w14:schemeClr w14:val="tx1"/>
                  </w14:solidFill>
                </w14:textFill>
              </w:rPr>
              <w:t>专业证书</w:t>
            </w:r>
            <w:r>
              <w:rPr>
                <w:rFonts w:hint="eastAsia" w:ascii="宋体" w:hAnsi="宋体" w:eastAsia="宋体" w:cs="宋体"/>
                <w:bCs/>
                <w:snapToGrid w:val="0"/>
                <w:color w:val="000000" w:themeColor="text1"/>
                <w:sz w:val="21"/>
                <w:szCs w:val="21"/>
                <w14:textFill>
                  <w14:solidFill>
                    <w14:schemeClr w14:val="tx1"/>
                  </w14:solidFill>
                </w14:textFill>
              </w:rPr>
              <w:t>扫描件）</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000000" w:themeColor="text1"/>
                <w:sz w:val="21"/>
                <w:szCs w:val="21"/>
                <w14:textFill>
                  <w14:solidFill>
                    <w14:schemeClr w14:val="tx1"/>
                  </w14:solidFill>
                </w14:textFill>
              </w:rPr>
              <w:t>电</w:t>
            </w:r>
            <w:r>
              <w:rPr>
                <w:rFonts w:hint="eastAsia" w:ascii="宋体" w:hAnsi="宋体" w:cs="宋体"/>
                <w:bCs/>
                <w:snapToGrid w:val="0"/>
                <w:color w:val="000000" w:themeColor="text1"/>
                <w:sz w:val="21"/>
                <w:szCs w:val="21"/>
                <w:lang w:val="en-US" w:eastAsia="zh-CN"/>
                <w14:textFill>
                  <w14:solidFill>
                    <w14:schemeClr w14:val="tx1"/>
                  </w14:solidFill>
                </w14:textFill>
              </w:rPr>
              <w:t>工</w:t>
            </w:r>
            <w:r>
              <w:rPr>
                <w:rFonts w:hint="eastAsia" w:ascii="宋体" w:hAnsi="宋体" w:eastAsia="宋体" w:cs="宋体"/>
                <w:bCs/>
                <w:snapToGrid w:val="0"/>
                <w:color w:val="000000" w:themeColor="text1"/>
                <w:sz w:val="21"/>
                <w:szCs w:val="21"/>
                <w14:textFill>
                  <w14:solidFill>
                    <w14:schemeClr w14:val="tx1"/>
                  </w14:solidFill>
                </w14:textFill>
              </w:rPr>
              <w:t>证</w:t>
            </w:r>
            <w:r>
              <w:rPr>
                <w:rFonts w:hint="eastAsia" w:ascii="宋体" w:hAnsi="宋体" w:eastAsia="宋体" w:cs="宋体"/>
                <w:bCs/>
                <w:snapToGrid w:val="0"/>
                <w:color w:val="000000" w:themeColor="text1"/>
                <w:sz w:val="21"/>
                <w:szCs w:val="21"/>
                <w:lang w:eastAsia="zh-CN"/>
                <w14:textFill>
                  <w14:solidFill>
                    <w14:schemeClr w14:val="tx1"/>
                  </w14:solidFill>
                </w14:textFill>
              </w:rPr>
              <w:t>及以上</w:t>
            </w:r>
            <w:r>
              <w:rPr>
                <w:rFonts w:hint="eastAsia" w:ascii="宋体" w:hAnsi="宋体" w:eastAsia="宋体" w:cs="宋体"/>
                <w:bCs/>
                <w:snapToGrid w:val="0"/>
                <w:color w:val="000000" w:themeColor="text1"/>
                <w:sz w:val="21"/>
                <w:szCs w:val="21"/>
                <w14:textFill>
                  <w14:solidFill>
                    <w14:schemeClr w14:val="tx1"/>
                  </w14:solidFill>
                </w14:textFill>
              </w:rPr>
              <w:t>的一人得</w:t>
            </w:r>
            <w:r>
              <w:rPr>
                <w:rFonts w:hint="eastAsia" w:ascii="宋体" w:hAnsi="宋体" w:eastAsia="宋体" w:cs="宋体"/>
                <w:bCs/>
                <w:snapToGrid w:val="0"/>
                <w:color w:val="000000" w:themeColor="text1"/>
                <w:sz w:val="21"/>
                <w:szCs w:val="21"/>
                <w:lang w:val="en-US" w:eastAsia="zh-CN"/>
                <w14:textFill>
                  <w14:solidFill>
                    <w14:schemeClr w14:val="tx1"/>
                  </w14:solidFill>
                </w14:textFill>
              </w:rPr>
              <w:t>2</w:t>
            </w:r>
            <w:r>
              <w:rPr>
                <w:rFonts w:hint="eastAsia" w:ascii="宋体" w:hAnsi="宋体" w:eastAsia="宋体" w:cs="宋体"/>
                <w:bCs/>
                <w:snapToGrid w:val="0"/>
                <w:color w:val="000000" w:themeColor="text1"/>
                <w:sz w:val="21"/>
                <w:szCs w:val="21"/>
                <w14:textFill>
                  <w14:solidFill>
                    <w14:schemeClr w14:val="tx1"/>
                  </w14:solidFill>
                </w14:textFill>
              </w:rPr>
              <w:t>分（提供</w:t>
            </w:r>
            <w:r>
              <w:rPr>
                <w:rFonts w:hint="eastAsia" w:ascii="宋体" w:hAnsi="宋体" w:eastAsia="宋体" w:cs="宋体"/>
                <w:bCs/>
                <w:snapToGrid w:val="0"/>
                <w:color w:val="000000" w:themeColor="text1"/>
                <w:sz w:val="21"/>
                <w:szCs w:val="21"/>
                <w:lang w:val="en-US" w:eastAsia="zh-CN"/>
                <w14:textFill>
                  <w14:solidFill>
                    <w14:schemeClr w14:val="tx1"/>
                  </w14:solidFill>
                </w14:textFill>
              </w:rPr>
              <w:t>专业证书</w:t>
            </w:r>
            <w:r>
              <w:rPr>
                <w:rFonts w:hint="eastAsia" w:ascii="宋体" w:hAnsi="宋体" w:eastAsia="宋体" w:cs="宋体"/>
                <w:bCs/>
                <w:snapToGrid w:val="0"/>
                <w:color w:val="000000" w:themeColor="text1"/>
                <w:sz w:val="21"/>
                <w:szCs w:val="21"/>
                <w14:textFill>
                  <w14:solidFill>
                    <w14:schemeClr w14:val="tx1"/>
                  </w14:solidFill>
                </w14:textFill>
              </w:rPr>
              <w:t>扫描件）</w:t>
            </w:r>
            <w:r>
              <w:rPr>
                <w:rFonts w:hint="eastAsia" w:ascii="宋体" w:hAnsi="宋体" w:cs="宋体"/>
                <w:bCs/>
                <w:snapToGrid w:val="0"/>
                <w:color w:val="000000" w:themeColor="text1"/>
                <w:sz w:val="21"/>
                <w:szCs w:val="21"/>
                <w:lang w:eastAsia="zh-CN"/>
                <w14:textFill>
                  <w14:solidFill>
                    <w14:schemeClr w14:val="tx1"/>
                  </w14:solidFill>
                </w14:textFill>
              </w:rPr>
              <w:t>；</w:t>
            </w:r>
            <w:r>
              <w:rPr>
                <w:rFonts w:hint="eastAsia" w:ascii="宋体" w:hAnsi="宋体" w:eastAsia="宋体" w:cs="宋体"/>
                <w:bCs/>
                <w:snapToGrid w:val="0"/>
                <w:color w:val="000000" w:themeColor="text1"/>
                <w:sz w:val="21"/>
                <w:szCs w:val="21"/>
                <w14:textFill>
                  <w14:solidFill>
                    <w14:schemeClr w14:val="tx1"/>
                  </w14:solidFill>
                </w14:textFill>
              </w:rPr>
              <w:t>本项满分</w:t>
            </w:r>
            <w:r>
              <w:rPr>
                <w:rFonts w:hint="eastAsia" w:ascii="宋体" w:hAnsi="宋体" w:eastAsia="宋体" w:cs="宋体"/>
                <w:bCs/>
                <w:snapToGrid w:val="0"/>
                <w:color w:val="000000" w:themeColor="text1"/>
                <w:sz w:val="21"/>
                <w:szCs w:val="21"/>
                <w:lang w:val="en-US" w:eastAsia="zh-CN"/>
                <w14:textFill>
                  <w14:solidFill>
                    <w14:schemeClr w14:val="tx1"/>
                  </w14:solidFill>
                </w14:textFill>
              </w:rPr>
              <w:t>4</w:t>
            </w:r>
            <w:r>
              <w:rPr>
                <w:rFonts w:hint="eastAsia" w:ascii="宋体" w:hAnsi="宋体" w:eastAsia="宋体" w:cs="宋体"/>
                <w:bCs/>
                <w:snapToGrid w:val="0"/>
                <w:color w:val="000000" w:themeColor="text1"/>
                <w:sz w:val="21"/>
                <w:szCs w:val="21"/>
                <w14:textFill>
                  <w14:solidFill>
                    <w14:schemeClr w14:val="tx1"/>
                  </w14:solidFill>
                </w14:textFill>
              </w:rPr>
              <w:t>分。</w:t>
            </w:r>
          </w:p>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snapToGrid w:val="0"/>
                <w:color w:val="auto"/>
                <w:sz w:val="21"/>
                <w:szCs w:val="21"/>
                <w:lang w:val="en-US" w:eastAsia="zh-CN"/>
              </w:rPr>
              <w:t>注：符合得分条件的拟投入人员须提供相关人员证书复印件及劳动合同复印件并加盖电子公章。</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default" w:ascii="宋体" w:hAnsi="宋体" w:eastAsia="宋体" w:cs="宋体"/>
                <w:color w:val="auto"/>
                <w:sz w:val="21"/>
                <w:szCs w:val="21"/>
                <w:lang w:val="en-US" w:eastAsia="zh-CN"/>
              </w:rPr>
            </w:pPr>
            <w:r>
              <w:rPr>
                <w:rFonts w:hint="eastAsia" w:hAnsi="宋体" w:eastAsia="宋体" w:cs="宋体"/>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6" w:hRule="atLeast"/>
          <w:jc w:val="center"/>
        </w:trPr>
        <w:tc>
          <w:tcPr>
            <w:tcW w:w="646" w:type="dxa"/>
            <w:tcBorders>
              <w:left w:val="single" w:color="auto" w:sz="4" w:space="0"/>
              <w:bottom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w:t>
            </w:r>
          </w:p>
        </w:tc>
        <w:tc>
          <w:tcPr>
            <w:tcW w:w="1120" w:type="dxa"/>
            <w:tcBorders>
              <w:left w:val="single" w:color="auto" w:sz="4" w:space="0"/>
              <w:right w:val="single" w:color="auto" w:sz="4" w:space="0"/>
            </w:tcBorders>
            <w:vAlign w:val="center"/>
          </w:tcPr>
          <w:p>
            <w:pPr>
              <w:pStyle w:val="11"/>
              <w:spacing w:line="44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商务分</w:t>
            </w:r>
          </w:p>
          <w:p>
            <w:pPr>
              <w:pStyle w:val="11"/>
              <w:spacing w:line="440" w:lineRule="exact"/>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（10分）</w:t>
            </w:r>
          </w:p>
        </w:tc>
        <w:tc>
          <w:tcPr>
            <w:tcW w:w="524" w:type="dxa"/>
            <w:tcBorders>
              <w:top w:val="single" w:color="auto" w:sz="4" w:space="0"/>
              <w:left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业绩、信誉分</w:t>
            </w:r>
          </w:p>
        </w:tc>
        <w:tc>
          <w:tcPr>
            <w:tcW w:w="6505" w:type="dxa"/>
            <w:tcBorders>
              <w:top w:val="single" w:color="auto" w:sz="4" w:space="0"/>
              <w:left w:val="single" w:color="auto" w:sz="4" w:space="0"/>
              <w:right w:val="single" w:color="auto" w:sz="4" w:space="0"/>
            </w:tcBorders>
            <w:vAlign w:val="center"/>
          </w:tcPr>
          <w:p>
            <w:pPr>
              <w:pStyle w:val="24"/>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default" w:ascii="宋体" w:hAnsi="宋体" w:eastAsia="宋体" w:cs="宋体"/>
                <w:bCs/>
                <w:snapToGrid w:val="0"/>
                <w:color w:val="auto"/>
                <w:sz w:val="21"/>
                <w:szCs w:val="21"/>
                <w:lang w:val="en-US" w:eastAsia="zh-CN"/>
              </w:rPr>
            </w:pPr>
            <w:r>
              <w:rPr>
                <w:rFonts w:hint="default" w:ascii="宋体" w:hAnsi="宋体" w:eastAsia="宋体" w:cs="宋体"/>
                <w:bCs/>
                <w:snapToGrid w:val="0"/>
                <w:color w:val="auto"/>
                <w:sz w:val="21"/>
                <w:szCs w:val="21"/>
                <w:lang w:val="en-US" w:eastAsia="zh-CN"/>
              </w:rPr>
              <w:t>自202</w:t>
            </w:r>
            <w:r>
              <w:rPr>
                <w:rFonts w:hint="eastAsia" w:ascii="宋体" w:hAnsi="宋体" w:cs="宋体"/>
                <w:bCs/>
                <w:snapToGrid w:val="0"/>
                <w:color w:val="auto"/>
                <w:sz w:val="21"/>
                <w:szCs w:val="21"/>
                <w:lang w:val="en-US" w:eastAsia="zh-CN"/>
              </w:rPr>
              <w:t>0</w:t>
            </w:r>
            <w:r>
              <w:rPr>
                <w:rFonts w:hint="default" w:ascii="宋体" w:hAnsi="宋体" w:eastAsia="宋体" w:cs="宋体"/>
                <w:bCs/>
                <w:snapToGrid w:val="0"/>
                <w:color w:val="auto"/>
                <w:sz w:val="21"/>
                <w:szCs w:val="21"/>
                <w:lang w:val="en-US" w:eastAsia="zh-CN"/>
              </w:rPr>
              <w:t>年以来供应商提供同类服务内容业绩的相关证明材料（以中标、成交通知书或签订的采购合同扫描件为准并能清晰反映所提供的服务类型、种类、金额，否则将不予计分；同一个编号的项目有两个或两个以上的分标中标的只算一次），每项得</w:t>
            </w:r>
            <w:r>
              <w:rPr>
                <w:rFonts w:hint="eastAsia" w:ascii="宋体" w:hAnsi="宋体" w:cs="宋体"/>
                <w:bCs/>
                <w:snapToGrid w:val="0"/>
                <w:color w:val="auto"/>
                <w:sz w:val="21"/>
                <w:szCs w:val="21"/>
                <w:lang w:val="en-US" w:eastAsia="zh-CN"/>
              </w:rPr>
              <w:t>2</w:t>
            </w:r>
            <w:r>
              <w:rPr>
                <w:rFonts w:hint="default" w:ascii="宋体" w:hAnsi="宋体" w:eastAsia="宋体" w:cs="宋体"/>
                <w:bCs/>
                <w:snapToGrid w:val="0"/>
                <w:color w:val="auto"/>
                <w:sz w:val="21"/>
                <w:szCs w:val="21"/>
                <w:lang w:val="en-US" w:eastAsia="zh-CN"/>
              </w:rPr>
              <w:t>分，满分为</w:t>
            </w:r>
            <w:r>
              <w:rPr>
                <w:rFonts w:hint="eastAsia" w:ascii="宋体" w:hAnsi="宋体" w:cs="宋体"/>
                <w:bCs/>
                <w:snapToGrid w:val="0"/>
                <w:color w:val="auto"/>
                <w:sz w:val="21"/>
                <w:szCs w:val="21"/>
                <w:lang w:val="en-US" w:eastAsia="zh-CN"/>
              </w:rPr>
              <w:t>10</w:t>
            </w:r>
            <w:r>
              <w:rPr>
                <w:rFonts w:hint="default" w:ascii="宋体" w:hAnsi="宋体" w:eastAsia="宋体" w:cs="宋体"/>
                <w:bCs/>
                <w:snapToGrid w:val="0"/>
                <w:color w:val="auto"/>
                <w:sz w:val="21"/>
                <w:szCs w:val="21"/>
                <w:lang w:val="en-US" w:eastAsia="zh-CN"/>
              </w:rPr>
              <w:t>分。（需提供相关证明材料扫描件并加盖单位公章（CA签章），否则不得分）</w:t>
            </w:r>
          </w:p>
          <w:p>
            <w:pPr>
              <w:pStyle w:val="24"/>
              <w:keepNext w:val="0"/>
              <w:keepLines w:val="0"/>
              <w:pageBreakBefore w:val="0"/>
              <w:kinsoku/>
              <w:wordWrap/>
              <w:overflowPunct/>
              <w:topLinePunct w:val="0"/>
              <w:autoSpaceDE/>
              <w:autoSpaceDN/>
              <w:bidi w:val="0"/>
              <w:adjustRightInd/>
              <w:snapToGrid/>
              <w:spacing w:line="400" w:lineRule="atLeast"/>
              <w:ind w:firstLine="640" w:firstLineChars="200"/>
              <w:textAlignment w:val="auto"/>
              <w:rPr>
                <w:rFonts w:hint="default" w:eastAsia="宋体"/>
                <w:lang w:val="en-US" w:eastAsia="zh-CN"/>
              </w:rPr>
            </w:pP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lang w:val="en-US" w:eastAsia="zh-CN"/>
              </w:rPr>
            </w:pPr>
            <w:r>
              <w:rPr>
                <w:rFonts w:hint="eastAsia"/>
                <w:lang w:val="en-US" w:eastAsia="zh-CN"/>
              </w:rPr>
              <w:t>10</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766" w:type="dxa"/>
            <w:gridSpan w:val="2"/>
            <w:tcBorders>
              <w:top w:val="single" w:color="auto" w:sz="4" w:space="0"/>
              <w:left w:val="single" w:color="auto" w:sz="4" w:space="0"/>
              <w:bottom w:val="single" w:color="auto" w:sz="4" w:space="0"/>
              <w:right w:val="single" w:color="auto" w:sz="4" w:space="0"/>
            </w:tcBorders>
            <w:vAlign w:val="center"/>
          </w:tcPr>
          <w:p>
            <w:pPr>
              <w:pStyle w:val="11"/>
              <w:spacing w:line="440" w:lineRule="exact"/>
              <w:ind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总得分</w:t>
            </w:r>
          </w:p>
        </w:tc>
        <w:tc>
          <w:tcPr>
            <w:tcW w:w="7029" w:type="dxa"/>
            <w:gridSpan w:val="2"/>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pacing w:line="400" w:lineRule="atLeast"/>
              <w:ind w:firstLine="392" w:firstLineChars="20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7"/>
                <w:sz w:val="21"/>
                <w:szCs w:val="21"/>
                <w:lang w:val="en-US" w:eastAsia="zh-CN"/>
              </w:rPr>
              <w:t>价格分+技术分+商务分</w:t>
            </w:r>
          </w:p>
        </w:tc>
        <w:tc>
          <w:tcPr>
            <w:tcW w:w="744" w:type="dxa"/>
            <w:tcBorders>
              <w:top w:val="single" w:color="auto" w:sz="4" w:space="0"/>
              <w:left w:val="single" w:color="auto" w:sz="4" w:space="0"/>
              <w:bottom w:val="single" w:color="auto" w:sz="4" w:space="0"/>
              <w:right w:val="single" w:color="auto" w:sz="4" w:space="0"/>
            </w:tcBorders>
            <w:vAlign w:val="center"/>
          </w:tcPr>
          <w:p>
            <w:pPr>
              <w:pStyle w:val="11"/>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r>
    </w:tbl>
    <w:p>
      <w:pPr>
        <w:pStyle w:val="25"/>
        <w:ind w:left="0" w:leftChars="0" w:firstLine="0" w:firstLineChars="0"/>
      </w:pPr>
    </w:p>
    <w:p>
      <w:pPr>
        <w:pStyle w:val="2"/>
        <w:rPr>
          <w:rFonts w:hint="eastAsia"/>
          <w:lang w:val="en-US" w:eastAsia="zh-CN"/>
        </w:rPr>
      </w:pPr>
    </w:p>
    <w:p>
      <w:pPr>
        <w:pageBreakBefore w:val="0"/>
        <w:kinsoku/>
        <w:overflowPunct/>
        <w:topLinePunct w:val="0"/>
        <w:bidi w:val="0"/>
        <w:spacing w:line="560" w:lineRule="exact"/>
        <w:rPr>
          <w:rFonts w:hint="eastAsia"/>
          <w:color w:val="auto"/>
          <w:highlight w:val="none"/>
        </w:rPr>
      </w:pPr>
      <w:r>
        <w:rPr>
          <w:rFonts w:hint="eastAsia"/>
          <w:color w:val="auto"/>
          <w:highlight w:val="none"/>
          <w:lang w:val="en-US" w:eastAsia="zh-CN"/>
        </w:rPr>
        <w:t>注</w:t>
      </w:r>
      <w:r>
        <w:rPr>
          <w:rFonts w:hint="eastAsia"/>
          <w:color w:val="auto"/>
          <w:highlight w:val="none"/>
        </w:rPr>
        <w:t>：</w:t>
      </w:r>
      <w:r>
        <w:rPr>
          <w:rFonts w:hint="default"/>
          <w:color w:val="auto"/>
          <w:highlight w:val="none"/>
          <w:lang w:val="en"/>
        </w:rPr>
        <w:t>磋商小组</w:t>
      </w:r>
      <w:r>
        <w:rPr>
          <w:rFonts w:hint="eastAsia"/>
          <w:color w:val="auto"/>
          <w:highlight w:val="none"/>
        </w:rPr>
        <w:t>评分时可打至小数后第二位，汇总计算时将按四舍五入的原则精确至小数点后两位。</w:t>
      </w:r>
    </w:p>
    <w:p>
      <w:pPr>
        <w:pageBreakBefore w:val="0"/>
        <w:kinsoku/>
        <w:overflowPunct/>
        <w:topLinePunct w:val="0"/>
        <w:bidi w:val="0"/>
        <w:spacing w:line="560" w:lineRule="exact"/>
        <w:rPr>
          <w:b/>
          <w:bCs/>
          <w:color w:val="auto"/>
          <w:highlight w:val="none"/>
        </w:rPr>
      </w:pPr>
      <w:r>
        <w:rPr>
          <w:rFonts w:hint="eastAsia"/>
          <w:b/>
          <w:bCs/>
          <w:color w:val="auto"/>
          <w:highlight w:val="none"/>
        </w:rPr>
        <w:t>三、总得分=磋商报价得分+商务技术分</w:t>
      </w:r>
    </w:p>
    <w:p>
      <w:pPr>
        <w:pStyle w:val="11"/>
        <w:pageBreakBefore w:val="0"/>
        <w:kinsoku/>
        <w:overflowPunct/>
        <w:topLinePunct w:val="0"/>
        <w:bidi w:val="0"/>
        <w:spacing w:line="560" w:lineRule="exact"/>
        <w:rPr>
          <w:rFonts w:hAnsi="宋体"/>
          <w:b/>
          <w:bCs/>
          <w:color w:val="auto"/>
          <w:highlight w:val="none"/>
        </w:rPr>
      </w:pPr>
      <w:r>
        <w:rPr>
          <w:rFonts w:hint="eastAsia"/>
          <w:b/>
          <w:bCs/>
          <w:color w:val="auto"/>
          <w:highlight w:val="none"/>
        </w:rPr>
        <w:t>四</w:t>
      </w:r>
      <w:r>
        <w:rPr>
          <w:rFonts w:hint="eastAsia" w:hAnsi="宋体"/>
          <w:b/>
          <w:bCs/>
          <w:color w:val="auto"/>
          <w:highlight w:val="none"/>
        </w:rPr>
        <w:t>、成交供应商的推荐</w:t>
      </w:r>
    </w:p>
    <w:p>
      <w:pPr>
        <w:pageBreakBefore w:val="0"/>
        <w:kinsoku/>
        <w:overflowPunct/>
        <w:topLinePunct w:val="0"/>
        <w:bidi w:val="0"/>
        <w:spacing w:line="560" w:lineRule="exact"/>
        <w:ind w:firstLine="420" w:firstLineChars="200"/>
        <w:rPr>
          <w:rFonts w:hint="eastAsia"/>
          <w:color w:val="auto"/>
          <w:highlight w:val="none"/>
        </w:rPr>
      </w:pPr>
      <w:r>
        <w:rPr>
          <w:rFonts w:hint="eastAsia"/>
          <w:color w:val="auto"/>
          <w:highlight w:val="none"/>
        </w:rPr>
        <w:t>磋商小组应当根据综合评分情况，按照评审得分由高到低顺序推荐3名以上成交候选供应商，并编写评审报告。符合</w:t>
      </w:r>
      <w:bookmarkStart w:id="132" w:name="OLE_LINK13"/>
      <w:r>
        <w:rPr>
          <w:rFonts w:hint="eastAsia"/>
          <w:color w:val="auto"/>
          <w:highlight w:val="none"/>
        </w:rPr>
        <w:t>《政府采购竞争性磋商采购方式管理暂行办法》（财库〔2014〕214号）</w:t>
      </w:r>
      <w:bookmarkEnd w:id="132"/>
      <w:r>
        <w:rPr>
          <w:rFonts w:hint="eastAsia"/>
          <w:color w:val="auto"/>
          <w:highlight w:val="none"/>
        </w:rPr>
        <w:t>第二十一条第三款情形的，可以推荐2家成交候选供应商。评审得分相同的，按照最后报价由低到高的顺序推荐。评审得分且最后报价相同的，按照技术指标优劣顺序推荐。</w:t>
      </w:r>
    </w:p>
    <w:p>
      <w:pPr>
        <w:ind w:firstLine="405"/>
        <w:jc w:val="left"/>
        <w:rPr>
          <w:rFonts w:hint="eastAsia" w:ascii="宋体" w:hAnsi="宋体" w:cs="Arial Unicode MS"/>
          <w:color w:val="auto"/>
          <w:kern w:val="0"/>
          <w:sz w:val="30"/>
          <w:szCs w:val="30"/>
          <w:highlight w:val="none"/>
        </w:rPr>
      </w:pPr>
      <w:bookmarkStart w:id="133" w:name="OLE_LINK84"/>
    </w:p>
    <w:p>
      <w:pPr>
        <w:pStyle w:val="25"/>
        <w:ind w:left="0" w:leftChars="0" w:firstLine="0" w:firstLineChars="0"/>
        <w:rPr>
          <w:rFonts w:hint="eastAsia"/>
        </w:rPr>
      </w:pPr>
    </w:p>
    <w:p>
      <w:pPr>
        <w:ind w:firstLine="405"/>
        <w:jc w:val="left"/>
        <w:rPr>
          <w:rFonts w:ascii="宋体" w:hAnsi="宋体" w:cs="Arial Unicode MS"/>
          <w:color w:val="auto"/>
          <w:kern w:val="0"/>
          <w:sz w:val="28"/>
          <w:szCs w:val="28"/>
          <w:highlight w:val="none"/>
        </w:rPr>
      </w:pPr>
      <w:r>
        <w:rPr>
          <w:rFonts w:hint="eastAsia" w:ascii="宋体" w:hAnsi="宋体" w:cs="Arial Unicode MS"/>
          <w:color w:val="auto"/>
          <w:kern w:val="0"/>
          <w:sz w:val="28"/>
          <w:szCs w:val="28"/>
          <w:highlight w:val="none"/>
        </w:rPr>
        <w:t>附件1：</w:t>
      </w:r>
    </w:p>
    <w:p>
      <w:pPr>
        <w:jc w:val="center"/>
        <w:rPr>
          <w:rFonts w:ascii="宋体" w:hAnsi="宋体" w:cs="Arial Unicode MS"/>
          <w:color w:val="auto"/>
          <w:kern w:val="0"/>
          <w:sz w:val="32"/>
          <w:szCs w:val="32"/>
          <w:highlight w:val="none"/>
        </w:rPr>
      </w:pPr>
      <w:r>
        <w:rPr>
          <w:rFonts w:hint="eastAsia" w:ascii="宋体" w:hAnsi="宋体" w:cs="Arial Unicode MS"/>
          <w:color w:val="auto"/>
          <w:kern w:val="0"/>
          <w:sz w:val="40"/>
          <w:szCs w:val="40"/>
          <w:highlight w:val="none"/>
        </w:rPr>
        <w:t>中小微企业划型标准</w:t>
      </w:r>
    </w:p>
    <w:tbl>
      <w:tblPr>
        <w:tblStyle w:val="19"/>
        <w:tblW w:w="10033" w:type="dxa"/>
        <w:tblInd w:w="-839" w:type="dxa"/>
        <w:tblLayout w:type="fixed"/>
        <w:tblCellMar>
          <w:top w:w="0" w:type="dxa"/>
          <w:left w:w="108" w:type="dxa"/>
          <w:bottom w:w="0" w:type="dxa"/>
          <w:right w:w="108" w:type="dxa"/>
        </w:tblCellMar>
      </w:tblPr>
      <w:tblGrid>
        <w:gridCol w:w="2383"/>
        <w:gridCol w:w="1617"/>
        <w:gridCol w:w="1333"/>
        <w:gridCol w:w="1867"/>
        <w:gridCol w:w="1633"/>
        <w:gridCol w:w="1200"/>
      </w:tblGrid>
      <w:tr>
        <w:tblPrEx>
          <w:tblLayout w:type="fixed"/>
          <w:tblCellMar>
            <w:top w:w="0" w:type="dxa"/>
            <w:left w:w="108" w:type="dxa"/>
            <w:bottom w:w="0" w:type="dxa"/>
            <w:right w:w="108" w:type="dxa"/>
          </w:tblCellMar>
        </w:tblPrEx>
        <w:trPr>
          <w:trHeight w:val="285" w:hRule="atLeast"/>
        </w:trPr>
        <w:tc>
          <w:tcPr>
            <w:tcW w:w="23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7"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33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67"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3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20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Layout w:type="fixed"/>
          <w:tblCellMar>
            <w:top w:w="0" w:type="dxa"/>
            <w:left w:w="108" w:type="dxa"/>
            <w:bottom w:w="0" w:type="dxa"/>
            <w:right w:w="108" w:type="dxa"/>
          </w:tblCellMar>
        </w:tblPrEx>
        <w:trPr>
          <w:trHeight w:val="225" w:hRule="atLeast"/>
        </w:trPr>
        <w:tc>
          <w:tcPr>
            <w:tcW w:w="2383"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hint="default" w:ascii="仿宋_GB2312" w:hAnsi="仿宋" w:eastAsia="仿宋_GB2312" w:cs="宋体"/>
                <w:color w:val="auto"/>
                <w:kern w:val="0"/>
                <w:sz w:val="18"/>
                <w:szCs w:val="18"/>
                <w:highlight w:val="none"/>
                <w:lang w:val="en-US" w:eastAsia="zh-CN"/>
              </w:rPr>
            </w:pPr>
            <w:r>
              <w:rPr>
                <w:rFonts w:hint="eastAsia" w:ascii="仿宋_GB2312" w:hAnsi="仿宋" w:eastAsia="仿宋_GB2312" w:cs="宋体"/>
                <w:color w:val="auto"/>
                <w:kern w:val="0"/>
                <w:sz w:val="18"/>
                <w:szCs w:val="18"/>
                <w:highlight w:val="none"/>
              </w:rPr>
              <w:t>100≤X＜2000</w:t>
            </w:r>
            <w:r>
              <w:rPr>
                <w:rFonts w:hint="eastAsia" w:ascii="仿宋_GB2312" w:hAnsi="仿宋" w:eastAsia="仿宋_GB2312" w:cs="宋体"/>
                <w:color w:val="auto"/>
                <w:kern w:val="0"/>
                <w:sz w:val="18"/>
                <w:szCs w:val="18"/>
                <w:highlight w:val="none"/>
                <w:lang w:val="en-US" w:eastAsia="zh-CN"/>
              </w:rPr>
              <w:t xml:space="preserve">  </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Layout w:type="fixed"/>
          <w:tblCellMar>
            <w:top w:w="0" w:type="dxa"/>
            <w:left w:w="108" w:type="dxa"/>
            <w:bottom w:w="0" w:type="dxa"/>
            <w:right w:w="108" w:type="dxa"/>
          </w:tblCellMar>
        </w:tblPrEx>
        <w:trPr>
          <w:trHeight w:val="225" w:hRule="atLeast"/>
        </w:trPr>
        <w:tc>
          <w:tcPr>
            <w:tcW w:w="238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2383"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2383" w:type="dxa"/>
            <w:tcBorders>
              <w:top w:val="nil"/>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3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7"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0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33"/>
    <w:p>
      <w:pPr>
        <w:pStyle w:val="27"/>
        <w:pageBreakBefore w:val="0"/>
        <w:kinsoku/>
        <w:overflowPunct/>
        <w:topLinePunct w:val="0"/>
        <w:bidi w:val="0"/>
        <w:spacing w:line="560" w:lineRule="exact"/>
        <w:rPr>
          <w:rFonts w:ascii="宋体" w:hAnsi="宋体" w:cs="宋体"/>
          <w:color w:val="auto"/>
          <w:highlight w:val="none"/>
        </w:rPr>
      </w:pPr>
    </w:p>
    <w:p>
      <w:pPr>
        <w:pStyle w:val="3"/>
        <w:pageBreakBefore w:val="0"/>
        <w:tabs>
          <w:tab w:val="left" w:pos="0"/>
        </w:tabs>
        <w:kinsoku/>
        <w:overflowPunct/>
        <w:topLinePunct w:val="0"/>
        <w:autoSpaceDE w:val="0"/>
        <w:autoSpaceDN w:val="0"/>
        <w:bidi w:val="0"/>
        <w:adjustRightInd w:val="0"/>
        <w:spacing w:before="0" w:after="0" w:line="560" w:lineRule="exact"/>
        <w:jc w:val="center"/>
        <w:rPr>
          <w:rFonts w:hint="eastAsia" w:ascii="宋体" w:hAnsi="宋体" w:eastAsia="宋体" w:cs="宋体"/>
          <w:color w:val="auto"/>
          <w:sz w:val="32"/>
          <w:szCs w:val="32"/>
          <w:highlight w:val="none"/>
          <w:lang w:eastAsia="zh-CN"/>
        </w:rPr>
      </w:pPr>
      <w:bookmarkStart w:id="134" w:name="_Toc5351"/>
      <w:r>
        <w:rPr>
          <w:rFonts w:hint="eastAsia" w:ascii="宋体" w:hAnsi="宋体" w:cs="宋体"/>
          <w:color w:val="auto"/>
          <w:sz w:val="32"/>
          <w:szCs w:val="32"/>
          <w:highlight w:val="none"/>
        </w:rPr>
        <w:t>第五章</w:t>
      </w:r>
      <w:r>
        <w:rPr>
          <w:rFonts w:hint="eastAsia" w:ascii="宋体" w:hAnsi="宋体" w:cs="宋体"/>
          <w:color w:val="auto"/>
          <w:sz w:val="32"/>
          <w:szCs w:val="32"/>
          <w:highlight w:val="none"/>
          <w:lang w:val="en-US" w:eastAsia="zh-CN"/>
        </w:rPr>
        <w:t xml:space="preserve"> </w:t>
      </w:r>
      <w:bookmarkEnd w:id="134"/>
      <w:r>
        <w:rPr>
          <w:rFonts w:hint="eastAsia" w:ascii="宋体" w:hAnsi="宋体" w:cs="宋体"/>
          <w:color w:val="auto"/>
          <w:sz w:val="32"/>
          <w:szCs w:val="32"/>
          <w:highlight w:val="none"/>
        </w:rPr>
        <w:t>合同条款及格式</w:t>
      </w:r>
    </w:p>
    <w:p>
      <w:pPr>
        <w:pageBreakBefore w:val="0"/>
        <w:kinsoku/>
        <w:overflowPunct/>
        <w:topLinePunct w:val="0"/>
        <w:bidi w:val="0"/>
        <w:spacing w:line="560" w:lineRule="exact"/>
        <w:jc w:val="center"/>
        <w:rPr>
          <w:rFonts w:hint="eastAsia" w:ascii="仿宋_GB2312" w:hAnsi="仿宋_GB2312" w:eastAsia="仿宋_GB2312" w:cs="仿宋_GB2312"/>
          <w:b/>
          <w:color w:val="auto"/>
          <w:kern w:val="0"/>
          <w:sz w:val="32"/>
          <w:szCs w:val="32"/>
          <w:highlight w:val="none"/>
        </w:rPr>
      </w:pPr>
    </w:p>
    <w:p>
      <w:pPr>
        <w:pageBreakBefore w:val="0"/>
        <w:kinsoku/>
        <w:overflowPunct/>
        <w:topLinePunct w:val="0"/>
        <w:bidi w:val="0"/>
        <w:spacing w:line="560" w:lineRule="exact"/>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物业服务</w:t>
      </w:r>
      <w:r>
        <w:rPr>
          <w:rFonts w:hint="eastAsia" w:ascii="仿宋_GB2312" w:hAnsi="仿宋_GB2312" w:eastAsia="仿宋_GB2312" w:cs="仿宋_GB2312"/>
          <w:b/>
          <w:color w:val="auto"/>
          <w:kern w:val="0"/>
          <w:sz w:val="32"/>
          <w:szCs w:val="32"/>
          <w:highlight w:val="none"/>
          <w:lang w:eastAsia="zh-CN"/>
        </w:rPr>
        <w:t>采购</w:t>
      </w:r>
      <w:r>
        <w:rPr>
          <w:rFonts w:hint="eastAsia" w:ascii="仿宋_GB2312" w:hAnsi="仿宋_GB2312" w:eastAsia="仿宋_GB2312" w:cs="仿宋_GB2312"/>
          <w:b/>
          <w:color w:val="auto"/>
          <w:kern w:val="0"/>
          <w:sz w:val="32"/>
          <w:szCs w:val="32"/>
          <w:highlight w:val="none"/>
        </w:rPr>
        <w:t>合同</w:t>
      </w:r>
    </w:p>
    <w:p>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p>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tbl>
      <w:tblPr>
        <w:tblStyle w:val="19"/>
        <w:tblW w:w="6967" w:type="dxa"/>
        <w:jc w:val="center"/>
        <w:tblInd w:w="0" w:type="dxa"/>
        <w:tblLayout w:type="fixed"/>
        <w:tblCellMar>
          <w:top w:w="0" w:type="dxa"/>
          <w:left w:w="108" w:type="dxa"/>
          <w:bottom w:w="0" w:type="dxa"/>
          <w:right w:w="108" w:type="dxa"/>
        </w:tblCellMar>
      </w:tblPr>
      <w:tblGrid>
        <w:gridCol w:w="6967"/>
      </w:tblGrid>
      <w:tr>
        <w:tblPrEx>
          <w:tblLayout w:type="fixed"/>
          <w:tblCellMar>
            <w:top w:w="0" w:type="dxa"/>
            <w:left w:w="108" w:type="dxa"/>
            <w:bottom w:w="0" w:type="dxa"/>
            <w:right w:w="108" w:type="dxa"/>
          </w:tblCellMar>
        </w:tblPrEx>
        <w:trPr>
          <w:trHeight w:val="446" w:hRule="atLeast"/>
          <w:jc w:val="center"/>
        </w:trPr>
        <w:tc>
          <w:tcPr>
            <w:tcW w:w="6967" w:type="dxa"/>
            <w:vAlign w:val="top"/>
          </w:tcPr>
          <w:p>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tc>
      </w:tr>
      <w:tr>
        <w:tblPrEx>
          <w:tblLayout w:type="fixed"/>
          <w:tblCellMar>
            <w:top w:w="0" w:type="dxa"/>
            <w:left w:w="108" w:type="dxa"/>
            <w:bottom w:w="0" w:type="dxa"/>
            <w:right w:w="108" w:type="dxa"/>
          </w:tblCellMar>
        </w:tblPrEx>
        <w:trPr>
          <w:trHeight w:val="446" w:hRule="atLeast"/>
          <w:jc w:val="center"/>
        </w:trPr>
        <w:tc>
          <w:tcPr>
            <w:tcW w:w="6967" w:type="dxa"/>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p>
        </w:tc>
      </w:tr>
      <w:tr>
        <w:tblPrEx>
          <w:tblLayout w:type="fixed"/>
          <w:tblCellMar>
            <w:top w:w="0" w:type="dxa"/>
            <w:left w:w="108" w:type="dxa"/>
            <w:bottom w:w="0" w:type="dxa"/>
            <w:right w:w="108" w:type="dxa"/>
          </w:tblCellMar>
        </w:tblPrEx>
        <w:trPr>
          <w:trHeight w:val="446" w:hRule="atLeast"/>
          <w:jc w:val="center"/>
        </w:trPr>
        <w:tc>
          <w:tcPr>
            <w:tcW w:w="6967" w:type="dxa"/>
            <w:vAlign w:val="top"/>
          </w:tcPr>
          <w:p>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tc>
      </w:tr>
      <w:tr>
        <w:tblPrEx>
          <w:tblLayout w:type="fixed"/>
          <w:tblCellMar>
            <w:top w:w="0" w:type="dxa"/>
            <w:left w:w="108" w:type="dxa"/>
            <w:bottom w:w="0" w:type="dxa"/>
            <w:right w:w="108" w:type="dxa"/>
          </w:tblCellMar>
        </w:tblPrEx>
        <w:trPr>
          <w:trHeight w:val="460" w:hRule="atLeast"/>
          <w:jc w:val="center"/>
        </w:trPr>
        <w:tc>
          <w:tcPr>
            <w:tcW w:w="6967" w:type="dxa"/>
            <w:vAlign w:val="top"/>
          </w:tcPr>
          <w:p>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p>
        </w:tc>
      </w:tr>
    </w:tbl>
    <w:p>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签订地点：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eastAsia="zh-CN"/>
        </w:rPr>
        <w:t>防城港市</w:t>
      </w:r>
      <w:r>
        <w:rPr>
          <w:rFonts w:hint="eastAsia" w:ascii="仿宋_GB2312" w:hAnsi="仿宋_GB2312" w:eastAsia="仿宋_GB2312" w:cs="仿宋_GB2312"/>
          <w:bCs/>
          <w:color w:val="auto"/>
          <w:sz w:val="32"/>
          <w:szCs w:val="32"/>
          <w:highlight w:val="none"/>
          <w:u w:val="single"/>
          <w:lang w:val="en-US" w:eastAsia="zh-CN"/>
        </w:rPr>
        <w:t>商务局</w:t>
      </w:r>
      <w:r>
        <w:rPr>
          <w:rFonts w:hint="eastAsia" w:ascii="仿宋_GB2312" w:hAnsi="仿宋_GB2312" w:eastAsia="仿宋_GB2312" w:cs="仿宋_GB2312"/>
          <w:bCs/>
          <w:color w:val="auto"/>
          <w:sz w:val="32"/>
          <w:szCs w:val="32"/>
          <w:highlight w:val="none"/>
          <w:u w:val="single"/>
        </w:rPr>
        <w:t xml:space="preserve">      </w:t>
      </w:r>
    </w:p>
    <w:p>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bCs/>
          <w:color w:val="auto"/>
          <w:sz w:val="32"/>
          <w:szCs w:val="32"/>
          <w:highlight w:val="none"/>
          <w:u w:val="single"/>
        </w:rPr>
        <w:t xml:space="preserve">                       </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Cs/>
          <w:color w:val="auto"/>
          <w:kern w:val="0"/>
          <w:sz w:val="32"/>
          <w:szCs w:val="32"/>
          <w:highlight w:val="none"/>
        </w:rPr>
      </w:pPr>
    </w:p>
    <w:p>
      <w:pPr>
        <w:pStyle w:val="12"/>
        <w:rPr>
          <w:rFonts w:hint="eastAsia" w:ascii="仿宋_GB2312" w:hAnsi="仿宋_GB2312" w:eastAsia="仿宋_GB2312" w:cs="仿宋_GB2312"/>
          <w:bCs/>
          <w:color w:val="auto"/>
          <w:kern w:val="0"/>
          <w:sz w:val="32"/>
          <w:szCs w:val="32"/>
          <w:highlight w:val="none"/>
        </w:rPr>
      </w:pPr>
    </w:p>
    <w:p>
      <w:pPr>
        <w:rPr>
          <w:rFonts w:hint="eastAsia" w:ascii="仿宋_GB2312" w:hAnsi="仿宋_GB2312" w:eastAsia="仿宋_GB2312" w:cs="仿宋_GB2312"/>
          <w:bCs/>
          <w:color w:val="auto"/>
          <w:kern w:val="0"/>
          <w:sz w:val="32"/>
          <w:szCs w:val="32"/>
          <w:highlight w:val="none"/>
        </w:rPr>
      </w:pPr>
    </w:p>
    <w:p>
      <w:pPr>
        <w:pStyle w:val="12"/>
        <w:rPr>
          <w:rFonts w:hint="eastAsia" w:ascii="仿宋_GB2312" w:hAnsi="仿宋_GB2312" w:eastAsia="仿宋_GB2312" w:cs="仿宋_GB2312"/>
          <w:bCs/>
          <w:color w:val="auto"/>
          <w:kern w:val="0"/>
          <w:sz w:val="32"/>
          <w:szCs w:val="32"/>
          <w:highlight w:val="none"/>
        </w:rPr>
      </w:pPr>
    </w:p>
    <w:p>
      <w:pPr>
        <w:jc w:val="center"/>
        <w:rPr>
          <w:rFonts w:hint="default" w:ascii="黑体" w:hAnsi="黑体" w:eastAsia="黑体" w:cs="黑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合同文本（格式）</w:t>
      </w:r>
    </w:p>
    <w:p>
      <w:pPr>
        <w:jc w:val="center"/>
        <w:rPr>
          <w:rFonts w:hint="eastAsia" w:ascii="黑体" w:hAnsi="黑体" w:eastAsia="黑体" w:cs="黑体"/>
          <w:color w:val="000000" w:themeColor="text1"/>
          <w:szCs w:val="21"/>
          <w:lang w:val="en-US" w:eastAsia="zh-CN"/>
          <w14:textFill>
            <w14:solidFill>
              <w14:schemeClr w14:val="tx1"/>
            </w14:solidFill>
          </w14:textFill>
        </w:rPr>
      </w:pPr>
    </w:p>
    <w:p>
      <w:pPr>
        <w:pStyle w:val="11"/>
        <w:pageBreakBefore w:val="0"/>
        <w:kinsoku/>
        <w:overflowPunct/>
        <w:topLinePunct w:val="0"/>
        <w:bidi w:val="0"/>
        <w:spacing w:line="240" w:lineRule="auto"/>
        <w:ind w:firstLine="420" w:firstLineChars="200"/>
        <w:rPr>
          <w:rFonts w:hAnsi="宋体"/>
          <w:bCs/>
          <w:sz w:val="21"/>
        </w:rPr>
      </w:pP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hAnsi="宋体"/>
          <w:bCs/>
          <w:sz w:val="21"/>
        </w:rPr>
        <w:t xml:space="preserve">甲方（采购人）：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合同编号：</w:t>
      </w:r>
    </w:p>
    <w:p>
      <w:pPr>
        <w:pStyle w:val="11"/>
        <w:pageBreakBefore w:val="0"/>
        <w:kinsoku/>
        <w:overflowPunct/>
        <w:topLinePunct w:val="0"/>
        <w:bidi w:val="0"/>
        <w:spacing w:line="240" w:lineRule="auto"/>
        <w:rPr>
          <w:rFonts w:hAnsi="宋体"/>
          <w:bCs/>
          <w:sz w:val="21"/>
        </w:rPr>
      </w:pPr>
      <w:r>
        <w:rPr>
          <w:rFonts w:hint="eastAsia" w:hAnsi="宋体"/>
          <w:bCs/>
          <w:sz w:val="21"/>
        </w:rPr>
        <w:t xml:space="preserve">乙方（中标人）：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签订地点：</w:t>
      </w:r>
    </w:p>
    <w:p>
      <w:pPr>
        <w:pStyle w:val="11"/>
        <w:pageBreakBefore w:val="0"/>
        <w:kinsoku/>
        <w:overflowPunct/>
        <w:topLinePunct w:val="0"/>
        <w:bidi w:val="0"/>
        <w:spacing w:line="240" w:lineRule="auto"/>
        <w:ind w:firstLine="420" w:firstLineChars="200"/>
        <w:rPr>
          <w:rFonts w:hAnsi="宋体"/>
          <w:bCs/>
          <w:sz w:val="21"/>
        </w:rPr>
      </w:pPr>
    </w:p>
    <w:p>
      <w:pPr>
        <w:pageBreakBefore w:val="0"/>
        <w:kinsoku/>
        <w:overflowPunct/>
        <w:topLinePunct w:val="0"/>
        <w:bidi w:val="0"/>
        <w:spacing w:line="240" w:lineRule="auto"/>
        <w:ind w:firstLine="420" w:firstLineChars="200"/>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b/>
          <w:bCs/>
          <w:color w:val="000000" w:themeColor="text1"/>
          <w:szCs w:val="21"/>
          <w:lang w:val="en-US" w:eastAsia="zh-CN"/>
          <w14:textFill>
            <w14:solidFill>
              <w14:schemeClr w14:val="tx1"/>
            </w14:solidFill>
          </w14:textFill>
        </w:rPr>
        <w:t>一、物业基本情况</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物业名称：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物业类型：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坐落位置：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物业管理范围：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（具体物业范围及构成详见本项目招标文件中第</w:t>
      </w:r>
      <w:r>
        <w:rPr>
          <w:rFonts w:hint="eastAsia" w:ascii="宋体" w:hAnsi="宋体"/>
          <w:color w:val="000000" w:themeColor="text1"/>
          <w:szCs w:val="21"/>
          <w:lang w:val="en-US" w:eastAsia="zh-CN"/>
          <w14:textFill>
            <w14:solidFill>
              <w14:schemeClr w14:val="tx1"/>
            </w14:solidFill>
          </w14:textFill>
        </w:rPr>
        <w:t>三</w:t>
      </w:r>
      <w:r>
        <w:rPr>
          <w:rFonts w:hint="default" w:ascii="宋体" w:hAnsi="宋体" w:eastAsia="宋体"/>
          <w:color w:val="000000" w:themeColor="text1"/>
          <w:szCs w:val="21"/>
          <w:lang w:val="en-US" w:eastAsia="zh-CN"/>
          <w14:textFill>
            <w14:solidFill>
              <w14:schemeClr w14:val="tx1"/>
            </w14:solidFill>
          </w14:textFill>
        </w:rPr>
        <w:t>章《采购需求》的相关内容。）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二、物业管理服务内容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乙方提供的物业管理服务包括以下内容：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物业共用部位的日常维修、养护和管理；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物业共用设施设备的日常运行、维修、养护和管理；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物业管理区域内共用部位和共用设施设备的清扫保洁、生活垃圾的收集清理；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公共绿化的养护和管理；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车辆行驶、停放管理；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6、</w:t>
      </w:r>
      <w:r>
        <w:rPr>
          <w:rFonts w:hint="default" w:ascii="宋体" w:hAnsi="宋体" w:eastAsia="宋体"/>
          <w:color w:val="000000" w:themeColor="text1"/>
          <w:szCs w:val="21"/>
          <w:lang w:val="en-US" w:eastAsia="zh-CN"/>
          <w14:textFill>
            <w14:solidFill>
              <w14:schemeClr w14:val="tx1"/>
            </w14:solidFill>
          </w14:textFill>
        </w:rPr>
        <w:t>公共秩序维护、安全防范等事项的协助管理；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7、</w:t>
      </w:r>
      <w:r>
        <w:rPr>
          <w:rFonts w:hint="default" w:ascii="宋体" w:hAnsi="宋体" w:eastAsia="宋体"/>
          <w:color w:val="000000" w:themeColor="text1"/>
          <w:szCs w:val="21"/>
          <w:lang w:val="en-US" w:eastAsia="zh-CN"/>
          <w14:textFill>
            <w14:solidFill>
              <w14:schemeClr w14:val="tx1"/>
            </w14:solidFill>
          </w14:textFill>
        </w:rPr>
        <w:t>物业管理区域内的巡视检查；</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8、</w:t>
      </w:r>
      <w:r>
        <w:rPr>
          <w:rFonts w:hint="default" w:ascii="宋体" w:hAnsi="宋体" w:eastAsia="宋体"/>
          <w:color w:val="000000" w:themeColor="text1"/>
          <w:szCs w:val="21"/>
          <w:lang w:val="en-US" w:eastAsia="zh-CN"/>
          <w14:textFill>
            <w14:solidFill>
              <w14:schemeClr w14:val="tx1"/>
            </w14:solidFill>
          </w14:textFill>
        </w:rPr>
        <w:t>物业管理档案资料的管理；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9、</w:t>
      </w:r>
      <w:r>
        <w:rPr>
          <w:rFonts w:hint="default" w:ascii="宋体" w:hAnsi="宋体" w:eastAsia="宋体"/>
          <w:color w:val="000000" w:themeColor="text1"/>
          <w:szCs w:val="21"/>
          <w:lang w:val="en-US" w:eastAsia="zh-CN"/>
          <w14:textFill>
            <w14:solidFill>
              <w14:schemeClr w14:val="tx1"/>
            </w14:solidFill>
          </w14:textFill>
        </w:rPr>
        <w:t>其他双方约定的内容：________。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具体服务内容、标准及人员配置要求以本项目招标文件《采购需求》、乙方的投标文件《服务方案》及其所有承诺为准。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三、服务期限</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本合同服务期限自 2026年1月1日 起至 2027年12月31日 止。</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b/>
          <w:bCs/>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四、服务质量标准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乙方提供的物业管理服务质量应同时符合以下标准：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国家、地方现行物业管理服务相关法律法规及标准规范；</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本合同约定的物业服务质量要求；</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乙方在投标文件中所作的服务承诺。</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五、服务费用与支付方式</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物业服务费：本合同项下物业服务费为固定总价，共计人民币 ____ 元（大写：____）。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支付方式：甲方按【季度/月度】支付物业服务费。乙方在每【季度</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/月度】结束并圆满完成该期间服务内容，经甲方考核通过后，向甲方开具合法有效的增值税发票。甲方在收到发票后 15个工作日 内，以银行转账方式向乙方支付该期费用。</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乙方银行账户信息：</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开户名：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开户行：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银行账号：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六、双方的权利义务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（一）甲方的权利义务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审定乙方制定的物业管理方案、年度管理计划、年度费用预算及决算报告。</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对乙方的物业管理服务活动实施监督，每半年进行一次全面考核评定。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在约定期限内向乙方提供 ____ 平方米建筑面积的管理用房，由乙方在本合同期限内无偿使用。</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在合同生效之日起20日内，与乙方办理物业及附属设施、设备、相关图纸档案资料的移交验收手续。</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按时、足额向乙方支付物业服务费。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（二）乙方的权利义务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设立专门项目管理团队，不得将管理项目整体转包，未经甲方书面同意不得将专项服务分包。</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对物业管理范围内的物业及设施进行专业、规范、安全的管理和维护。</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及时、妥善处理甲方的投诉和建议，接受甲方的监督和指导。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建立完善的物业管理档案制度。合同终止时，应向甲方移交全部物业、档案资料及公共财产。</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为其全体员工办理社会保险及必要的商业保险（如意外伤害险）。乙方员工在提供服务过程中发生人身伤害或财产损失的，由乙方独立承担全部法律责任。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七、违约责任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若乙方管理不善，导致发生重大责任事故，甲方有权书面要求乙方整改；若乙方未在限期内有效整改或一年内累计收到三次书面整改通知，甲方有权单方解除合同。</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 xml:space="preserve">甲方逾期支付服务费，每逾期一日，应按逾期支付金额的 </w:t>
      </w:r>
      <w:r>
        <w:rPr>
          <w:rFonts w:hint="eastAsia" w:ascii="宋体" w:hAnsi="宋体"/>
          <w:color w:val="000000" w:themeColor="text1"/>
          <w:szCs w:val="21"/>
          <w:lang w:val="en-US" w:eastAsia="zh-CN"/>
          <w14:textFill>
            <w14:solidFill>
              <w14:schemeClr w14:val="tx1"/>
            </w14:solidFill>
          </w14:textFill>
        </w:rPr>
        <w:t>____</w:t>
      </w:r>
      <w:r>
        <w:rPr>
          <w:rFonts w:hint="default" w:ascii="宋体" w:hAnsi="宋体" w:eastAsia="宋体"/>
          <w:color w:val="000000" w:themeColor="text1"/>
          <w:szCs w:val="21"/>
          <w:lang w:val="en-US" w:eastAsia="zh-CN"/>
          <w14:textFill>
            <w14:solidFill>
              <w14:schemeClr w14:val="tx1"/>
            </w14:solidFill>
          </w14:textFill>
        </w:rPr>
        <w:t> ‰（如千分之二）向乙方支付违约金。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乙方擅自将项目转包或分包的，甲方有权单方解除合同，并要求乙方支付合同总金额 _____% 的违约金。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任何一方违反合同约定，均应承担继续履行、采取补救措施或赔偿损失等违约责任。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八、不可抗力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因不可抗力（如地震、战争等不能预见、不能避免且不能克服的事件）导致合同不能履行时，受影响方应及时通知对方并提供证明，可根据影响程度，部分或全部免除违约责任。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九、争议解决</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因本合同发生的争议，由双方协商解决；协商不成的，任何一方均有权向 甲方所在地人民法院提起诉讼。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十、其他约定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本合同附件（包括招标文件、投标文件、中标通知书等）与本合同具有同等法律效力。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本合同一式 ________ 份，甲方执 ________ 份，乙方执 ________ 份，经双方签字盖章后生效。</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双方确认本合同落款处填写的地址为有效送达地址。任何一方变更地址，应提前15日书面通知对方。</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甲方（盖章）</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乙方（盖章）</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联系电话：________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联系电话：________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单位地址：________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单位地址：________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签订日期：____年____月____日</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签订日期：____年____月____日</w:t>
      </w:r>
      <w:r>
        <w:rPr>
          <w:rFonts w:hint="default" w:ascii="宋体" w:hAnsi="宋体" w:eastAsia="宋体"/>
          <w:color w:val="000000" w:themeColor="text1"/>
          <w:szCs w:val="21"/>
          <w:lang w:val="en-US" w:eastAsia="zh-CN"/>
          <w14:textFill>
            <w14:solidFill>
              <w14:schemeClr w14:val="tx1"/>
            </w14:solidFill>
          </w14:textFill>
        </w:rPr>
        <w:br w:type="textWrapping"/>
      </w:r>
    </w:p>
    <w:p>
      <w:pPr>
        <w:rPr>
          <w:rFonts w:hint="eastAsia"/>
        </w:rPr>
        <w:sectPr>
          <w:footerReference r:id="rId5" w:type="default"/>
          <w:pgSz w:w="11906" w:h="16838"/>
          <w:pgMar w:top="1984" w:right="1474" w:bottom="2098" w:left="1587" w:header="851" w:footer="992" w:gutter="0"/>
          <w:pgNumType w:fmt="decimal" w:start="1"/>
          <w:cols w:space="425" w:num="1"/>
          <w:docGrid w:type="lines" w:linePitch="312" w:charSpace="0"/>
        </w:sectPr>
      </w:pPr>
    </w:p>
    <w:p>
      <w:pPr>
        <w:pStyle w:val="4"/>
        <w:pageBreakBefore w:val="0"/>
        <w:kinsoku/>
        <w:overflowPunct/>
        <w:topLinePunct w:val="0"/>
        <w:bidi w:val="0"/>
        <w:spacing w:line="560" w:lineRule="exact"/>
        <w:ind w:left="0" w:firstLine="0"/>
        <w:jc w:val="center"/>
        <w:rPr>
          <w:rFonts w:ascii="宋体" w:hAnsi="宋体" w:cs="宋体"/>
          <w:b/>
          <w:color w:val="auto"/>
          <w:highlight w:val="none"/>
        </w:rPr>
      </w:pPr>
      <w:r>
        <w:rPr>
          <w:rFonts w:hint="eastAsia" w:ascii="宋体" w:hAnsi="宋体" w:cs="宋体"/>
          <w:b/>
          <w:color w:val="auto"/>
          <w:kern w:val="44"/>
          <w:sz w:val="32"/>
          <w:highlight w:val="none"/>
        </w:rPr>
        <w:t xml:space="preserve">第六章  </w:t>
      </w:r>
      <w:bookmarkStart w:id="135" w:name="_Toc13185"/>
      <w:r>
        <w:rPr>
          <w:rFonts w:hint="eastAsia" w:ascii="宋体" w:hAnsi="宋体"/>
          <w:b/>
          <w:color w:val="auto"/>
          <w:sz w:val="32"/>
          <w:highlight w:val="none"/>
        </w:rPr>
        <w:t>响应文件基本格式</w:t>
      </w:r>
      <w:bookmarkEnd w:id="135"/>
    </w:p>
    <w:p>
      <w:pPr>
        <w:pageBreakBefore w:val="0"/>
        <w:kinsoku/>
        <w:overflowPunct/>
        <w:topLinePunct w:val="0"/>
        <w:bidi w:val="0"/>
        <w:spacing w:line="560" w:lineRule="exact"/>
        <w:rPr>
          <w:rFonts w:ascii="宋体" w:hAnsi="宋体" w:cs="宋体"/>
          <w:color w:val="auto"/>
          <w:highlight w:val="none"/>
        </w:rPr>
      </w:pPr>
    </w:p>
    <w:p>
      <w:pPr>
        <w:pageBreakBefore w:val="0"/>
        <w:kinsoku/>
        <w:overflowPunct/>
        <w:topLinePunct w:val="0"/>
        <w:bidi w:val="0"/>
        <w:spacing w:line="560" w:lineRule="exact"/>
        <w:jc w:val="right"/>
        <w:rPr>
          <w:rFonts w:ascii="宋体" w:hAnsi="宋体"/>
          <w:color w:val="auto"/>
          <w:sz w:val="28"/>
          <w:szCs w:val="28"/>
          <w:highlight w:val="none"/>
        </w:rPr>
      </w:pPr>
      <w:r>
        <w:rPr>
          <w:rFonts w:hint="eastAsia" w:hAnsi="宋体" w:cs="宋体"/>
          <w:b/>
          <w:color w:val="auto"/>
          <w:sz w:val="28"/>
          <w:szCs w:val="28"/>
          <w:highlight w:val="none"/>
        </w:rPr>
        <w:t xml:space="preserve">  </w:t>
      </w:r>
      <w:r>
        <w:rPr>
          <w:rFonts w:hint="eastAsia" w:ascii="宋体" w:hAnsi="宋体"/>
          <w:color w:val="auto"/>
          <w:sz w:val="28"/>
          <w:szCs w:val="28"/>
          <w:highlight w:val="none"/>
        </w:rPr>
        <w:t>全流程电子标</w:t>
      </w:r>
    </w:p>
    <w:p>
      <w:pPr>
        <w:pageBreakBefore w:val="0"/>
        <w:kinsoku/>
        <w:overflowPunct/>
        <w:topLinePunct w:val="0"/>
        <w:bidi w:val="0"/>
        <w:spacing w:line="560" w:lineRule="exact"/>
        <w:jc w:val="center"/>
        <w:rPr>
          <w:rFonts w:ascii="宋体" w:hAnsi="宋体"/>
          <w:b/>
          <w:color w:val="auto"/>
          <w:sz w:val="44"/>
          <w:szCs w:val="32"/>
          <w:highlight w:val="none"/>
        </w:rPr>
      </w:pPr>
    </w:p>
    <w:p>
      <w:pPr>
        <w:pageBreakBefore w:val="0"/>
        <w:kinsoku/>
        <w:overflowPunct/>
        <w:topLinePunct w:val="0"/>
        <w:bidi w:val="0"/>
        <w:spacing w:line="560" w:lineRule="exact"/>
        <w:jc w:val="center"/>
        <w:rPr>
          <w:rFonts w:ascii="宋体" w:hAnsi="宋体"/>
          <w:b/>
          <w:color w:val="auto"/>
          <w:sz w:val="40"/>
          <w:szCs w:val="32"/>
          <w:highlight w:val="none"/>
        </w:rPr>
      </w:pPr>
      <w:r>
        <w:rPr>
          <w:rFonts w:hint="eastAsia" w:ascii="宋体" w:hAnsi="宋体"/>
          <w:b/>
          <w:color w:val="auto"/>
          <w:sz w:val="40"/>
          <w:szCs w:val="32"/>
          <w:highlight w:val="none"/>
        </w:rPr>
        <w:t>磋商响应文件</w:t>
      </w: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pPr>
        <w:pageBreakBefore w:val="0"/>
        <w:tabs>
          <w:tab w:val="left" w:pos="3240"/>
        </w:tabs>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pPr>
        <w:pageBreakBefore w:val="0"/>
        <w:tabs>
          <w:tab w:val="left" w:pos="2625"/>
        </w:tabs>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首次响应文件提交截止时间前不得解密</w:t>
      </w:r>
    </w:p>
    <w:p>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w:t>
      </w:r>
    </w:p>
    <w:p>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pPr>
        <w:pageBreakBefore w:val="0"/>
        <w:kinsoku/>
        <w:overflowPunct/>
        <w:topLinePunct w:val="0"/>
        <w:bidi w:val="0"/>
        <w:spacing w:line="560" w:lineRule="exact"/>
        <w:jc w:val="center"/>
        <w:rPr>
          <w:rFonts w:ascii="宋体" w:hAnsi="宋体"/>
          <w:b/>
          <w:color w:val="auto"/>
          <w:sz w:val="32"/>
          <w:szCs w:val="32"/>
          <w:highlight w:val="none"/>
        </w:rPr>
      </w:pPr>
    </w:p>
    <w:p>
      <w:pPr>
        <w:pStyle w:val="18"/>
        <w:pageBreakBefore w:val="0"/>
        <w:kinsoku/>
        <w:overflowPunct/>
        <w:topLinePunct w:val="0"/>
        <w:bidi w:val="0"/>
        <w:spacing w:line="560" w:lineRule="exact"/>
        <w:ind w:firstLine="210"/>
        <w:rPr>
          <w:color w:val="auto"/>
          <w:highlight w:val="none"/>
        </w:rPr>
        <w:sectPr>
          <w:pgSz w:w="11906" w:h="16838"/>
          <w:pgMar w:top="1304" w:right="1304" w:bottom="1304" w:left="1304" w:header="720" w:footer="720" w:gutter="0"/>
          <w:pgNumType w:fmt="decimal"/>
          <w:cols w:space="720" w:num="1"/>
          <w:docGrid w:type="lines" w:linePitch="312" w:charSpace="0"/>
        </w:sectPr>
      </w:pP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jc w:val="center"/>
        <w:rPr>
          <w:rFonts w:hint="eastAsia" w:ascii="宋体" w:hAnsi="宋体"/>
          <w:b/>
          <w:color w:val="auto"/>
          <w:sz w:val="44"/>
          <w:szCs w:val="32"/>
          <w:highlight w:val="none"/>
        </w:rPr>
      </w:pPr>
    </w:p>
    <w:p>
      <w:pPr>
        <w:pageBreakBefore w:val="0"/>
        <w:kinsoku/>
        <w:overflowPunct/>
        <w:topLinePunct w:val="0"/>
        <w:bidi w:val="0"/>
        <w:spacing w:line="560" w:lineRule="exact"/>
        <w:jc w:val="center"/>
        <w:rPr>
          <w:rFonts w:hint="eastAsia" w:ascii="宋体" w:hAnsi="宋体"/>
          <w:b/>
          <w:color w:val="auto"/>
          <w:sz w:val="44"/>
          <w:szCs w:val="32"/>
          <w:highlight w:val="none"/>
        </w:rPr>
      </w:pPr>
    </w:p>
    <w:p>
      <w:pPr>
        <w:pageBreakBefore w:val="0"/>
        <w:kinsoku/>
        <w:overflowPunct/>
        <w:topLinePunct w:val="0"/>
        <w:bidi w:val="0"/>
        <w:spacing w:line="560" w:lineRule="exact"/>
        <w:jc w:val="center"/>
        <w:rPr>
          <w:rFonts w:hint="eastAsia" w:ascii="宋体" w:hAnsi="宋体"/>
          <w:b/>
          <w:color w:val="auto"/>
          <w:sz w:val="44"/>
          <w:szCs w:val="32"/>
          <w:highlight w:val="none"/>
        </w:rPr>
      </w:pPr>
    </w:p>
    <w:p>
      <w:pPr>
        <w:pageBreakBefore w:val="0"/>
        <w:kinsoku/>
        <w:overflowPunct/>
        <w:topLinePunct w:val="0"/>
        <w:bidi w:val="0"/>
        <w:spacing w:line="560" w:lineRule="exact"/>
        <w:jc w:val="center"/>
        <w:rPr>
          <w:rFonts w:hint="eastAsia" w:ascii="宋体" w:hAnsi="宋体"/>
          <w:b/>
          <w:color w:val="auto"/>
          <w:sz w:val="44"/>
          <w:szCs w:val="32"/>
          <w:highlight w:val="none"/>
        </w:rPr>
      </w:pPr>
    </w:p>
    <w:p>
      <w:pPr>
        <w:pageBreakBefore w:val="0"/>
        <w:kinsoku/>
        <w:overflowPunct/>
        <w:topLinePunct w:val="0"/>
        <w:bidi w:val="0"/>
        <w:spacing w:line="560" w:lineRule="exact"/>
        <w:jc w:val="center"/>
        <w:rPr>
          <w:rFonts w:hint="eastAsia" w:ascii="宋体" w:hAnsi="宋体"/>
          <w:b/>
          <w:color w:val="auto"/>
          <w:sz w:val="44"/>
          <w:szCs w:val="32"/>
          <w:highlight w:val="none"/>
        </w:rPr>
      </w:pPr>
    </w:p>
    <w:p>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资格文件（封面）</w:t>
      </w: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pPr>
        <w:pageBreakBefore w:val="0"/>
        <w:kinsoku/>
        <w:overflowPunct/>
        <w:topLinePunct w:val="0"/>
        <w:bidi w:val="0"/>
        <w:spacing w:line="560" w:lineRule="exact"/>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pPr>
        <w:pageBreakBefore w:val="0"/>
        <w:kinsoku/>
        <w:overflowPunct/>
        <w:topLinePunct w:val="0"/>
        <w:bidi w:val="0"/>
        <w:spacing w:line="560" w:lineRule="exact"/>
        <w:jc w:val="center"/>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pPr>
        <w:pStyle w:val="2"/>
        <w:ind w:firstLine="2891" w:firstLineChars="900"/>
        <w:rPr>
          <w:rFonts w:hint="eastAsia" w:ascii="宋体" w:hAnsi="宋体"/>
          <w:color w:val="auto"/>
          <w:szCs w:val="21"/>
          <w:highlight w:val="none"/>
        </w:rPr>
      </w:pPr>
      <w:r>
        <w:rPr>
          <w:rFonts w:hint="eastAsia" w:ascii="宋体" w:hAnsi="宋体"/>
          <w:color w:val="auto"/>
          <w:szCs w:val="21"/>
          <w:highlight w:val="none"/>
        </w:rPr>
        <w:t>目录（页码自行编制）</w:t>
      </w:r>
    </w:p>
    <w:p>
      <w:pPr>
        <w:rPr>
          <w:rFonts w:hint="default"/>
          <w:lang w:val="en-US"/>
        </w:rPr>
      </w:pPr>
    </w:p>
    <w:p>
      <w:pPr>
        <w:rPr>
          <w:rFonts w:hint="default"/>
          <w:lang w:val="en-US"/>
        </w:rPr>
      </w:pPr>
    </w:p>
    <w:p>
      <w:pPr>
        <w:pageBreakBefore w:val="0"/>
        <w:kinsoku/>
        <w:overflowPunct/>
        <w:topLinePunct w:val="0"/>
        <w:bidi w:val="0"/>
        <w:spacing w:line="560" w:lineRule="exact"/>
        <w:ind w:firstLine="420" w:firstLineChars="200"/>
        <w:rPr>
          <w:rFonts w:hint="eastAsia" w:ascii="宋体" w:hAnsi="宋体"/>
          <w:color w:val="auto"/>
          <w:szCs w:val="21"/>
          <w:highlight w:val="none"/>
        </w:rPr>
      </w:pPr>
      <w:r>
        <w:rPr>
          <w:rFonts w:hint="eastAsia" w:ascii="Calibri" w:hAnsi="Calibri" w:cs="Calibri"/>
          <w:b w:val="0"/>
          <w:color w:val="auto"/>
          <w:kern w:val="2"/>
          <w:sz w:val="21"/>
          <w:szCs w:val="21"/>
          <w:highlight w:val="none"/>
          <w:lang w:val="en-US" w:eastAsia="zh-CN" w:bidi="ar-SA"/>
        </w:rPr>
        <w:t>（1）</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eastAsia="宋体" w:cs="宋体"/>
          <w:b/>
          <w:szCs w:val="21"/>
        </w:rPr>
        <w:t>（必须提供，并加盖单位电子公章，否则磋商无效）</w:t>
      </w:r>
    </w:p>
    <w:p>
      <w:pPr>
        <w:pageBreakBefore w:val="0"/>
        <w:tabs>
          <w:tab w:val="left" w:pos="3870"/>
          <w:tab w:val="left" w:pos="4085"/>
        </w:tabs>
        <w:kinsoku/>
        <w:overflowPunct/>
        <w:topLinePunct w:val="0"/>
        <w:bidi w:val="0"/>
        <w:snapToGrid w:val="0"/>
        <w:spacing w:line="560" w:lineRule="exact"/>
        <w:ind w:firstLine="420"/>
        <w:rPr>
          <w:rFonts w:hint="eastAsia" w:ascii="宋体" w:hAnsi="宋体" w:cs="Times New Roman"/>
          <w:color w:val="auto"/>
          <w:szCs w:val="21"/>
          <w:highlight w:val="none"/>
          <w:lang w:eastAsia="zh-CN"/>
        </w:rPr>
      </w:pPr>
      <w:r>
        <w:rPr>
          <w:rFonts w:hint="eastAsia" w:ascii="Calibri" w:hAnsi="Calibri" w:cs="Calibri"/>
          <w:bCs/>
          <w:color w:val="auto"/>
          <w:kern w:val="0"/>
          <w:szCs w:val="21"/>
          <w:highlight w:val="none"/>
          <w:lang w:eastAsia="zh-CN"/>
        </w:rPr>
        <w:t>（</w:t>
      </w:r>
      <w:r>
        <w:rPr>
          <w:rFonts w:hint="eastAsia" w:ascii="Calibri" w:hAnsi="Calibri" w:cs="Calibri"/>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pPr>
        <w:pageBreakBefore w:val="0"/>
        <w:tabs>
          <w:tab w:val="left" w:pos="3870"/>
          <w:tab w:val="left" w:pos="4085"/>
        </w:tabs>
        <w:kinsoku/>
        <w:overflowPunct/>
        <w:topLinePunct w:val="0"/>
        <w:bidi w:val="0"/>
        <w:snapToGrid w:val="0"/>
        <w:spacing w:line="56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资格声明函（格式见第六章）。</w:t>
      </w:r>
      <w:r>
        <w:rPr>
          <w:rFonts w:hint="eastAsia" w:ascii="宋体" w:hAnsi="宋体" w:eastAsia="宋体" w:cs="宋体"/>
          <w:b/>
          <w:szCs w:val="21"/>
        </w:rPr>
        <w:t>（必须提供，并加盖单位电子公章，否则磋商无效。）</w:t>
      </w:r>
    </w:p>
    <w:p>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ageBreakBefore w:val="0"/>
        <w:kinsoku/>
        <w:overflowPunct/>
        <w:topLinePunct w:val="0"/>
        <w:bidi w:val="0"/>
        <w:spacing w:line="560" w:lineRule="exact"/>
        <w:ind w:firstLine="420" w:firstLineChars="200"/>
        <w:rPr>
          <w:rFonts w:hint="eastAsia" w:ascii="宋体" w:hAnsi="宋体"/>
          <w:color w:val="auto"/>
          <w:szCs w:val="21"/>
          <w:highlight w:val="none"/>
        </w:rPr>
      </w:pPr>
      <w:r>
        <w:rPr>
          <w:rFonts w:hint="eastAsia" w:ascii="Calibri" w:hAnsi="Calibri" w:cs="Calibri"/>
          <w:b w:val="0"/>
          <w:color w:val="auto"/>
          <w:kern w:val="2"/>
          <w:sz w:val="21"/>
          <w:szCs w:val="21"/>
          <w:highlight w:val="none"/>
          <w:lang w:val="en-US" w:eastAsia="zh-CN" w:bidi="ar-SA"/>
        </w:rPr>
        <w:t>（1）</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eastAsia="宋体" w:cs="宋体"/>
          <w:b/>
          <w:szCs w:val="21"/>
        </w:rPr>
        <w:t>（必须提供，并加盖单位电子公章，否则磋商无效）</w:t>
      </w: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ageBreakBefore w:val="0"/>
        <w:widowControl w:val="0"/>
        <w:kinsoku/>
        <w:wordWrap/>
        <w:overflowPunct/>
        <w:topLinePunct w:val="0"/>
        <w:autoSpaceDE w:val="0"/>
        <w:autoSpaceDN w:val="0"/>
        <w:bidi w:val="0"/>
        <w:adjustRightInd/>
        <w:snapToGrid/>
        <w:spacing w:line="500" w:lineRule="exact"/>
        <w:jc w:val="center"/>
        <w:textAlignment w:val="auto"/>
        <w:rPr>
          <w:rFonts w:ascii="方正小标宋简体" w:hAnsi="仿宋" w:eastAsia="方正小标宋简体"/>
          <w:color w:val="auto"/>
          <w:sz w:val="36"/>
          <w:szCs w:val="36"/>
          <w:highlight w:val="none"/>
        </w:rPr>
      </w:pPr>
      <w:r>
        <w:rPr>
          <w:rFonts w:hint="eastAsia" w:ascii="宋体" w:hAnsi="宋体"/>
          <w:color w:val="auto"/>
          <w:kern w:val="0"/>
          <w:sz w:val="34"/>
          <w:szCs w:val="21"/>
          <w:highlight w:val="none"/>
        </w:rPr>
        <w:t>2</w:t>
      </w:r>
      <w:r>
        <w:rPr>
          <w:rFonts w:hint="eastAsia" w:ascii="宋体" w:hAnsi="宋体"/>
          <w:color w:val="auto"/>
          <w:kern w:val="0"/>
          <w:sz w:val="34"/>
          <w:szCs w:val="21"/>
          <w:highlight w:val="none"/>
          <w:lang w:val="en-US" w:eastAsia="zh-CN"/>
        </w:rPr>
        <w:t>.</w:t>
      </w:r>
      <w:r>
        <w:rPr>
          <w:rFonts w:hint="eastAsia" w:ascii="宋体" w:hAnsi="宋体"/>
          <w:color w:val="auto"/>
          <w:kern w:val="0"/>
          <w:sz w:val="34"/>
          <w:szCs w:val="21"/>
          <w:highlight w:val="none"/>
        </w:rPr>
        <w:t>防城港市政府采购供应商信用承诺函</w:t>
      </w:r>
    </w:p>
    <w:p>
      <w:pPr>
        <w:pageBreakBefore w:val="0"/>
        <w:widowControl w:val="0"/>
        <w:kinsoku/>
        <w:wordWrap/>
        <w:overflowPunct/>
        <w:topLinePunct w:val="0"/>
        <w:bidi w:val="0"/>
        <w:adjustRightInd/>
        <w:snapToGrid/>
        <w:spacing w:line="500" w:lineRule="exact"/>
        <w:ind w:firstLine="640" w:firstLineChars="200"/>
        <w:textAlignment w:val="auto"/>
        <w:rPr>
          <w:rFonts w:ascii="仿宋_GB2312" w:hAnsi="黑体" w:eastAsia="仿宋_GB2312"/>
          <w:color w:val="auto"/>
          <w:sz w:val="32"/>
          <w:szCs w:val="32"/>
          <w:highlight w:val="none"/>
        </w:rPr>
      </w:pPr>
    </w:p>
    <w:p>
      <w:pPr>
        <w:pageBreakBefore w:val="0"/>
        <w:widowControl w:val="0"/>
        <w:kinsoku/>
        <w:wordWrap/>
        <w:overflowPunct/>
        <w:topLinePunct w:val="0"/>
        <w:bidi w:val="0"/>
        <w:adjustRightInd/>
        <w:snapToGrid/>
        <w:spacing w:line="500" w:lineRule="exact"/>
        <w:textAlignment w:val="auto"/>
        <w:rPr>
          <w:rFonts w:ascii="宋体" w:hAnsi="宋体" w:cs="宋体"/>
          <w:color w:val="auto"/>
          <w:sz w:val="28"/>
          <w:szCs w:val="28"/>
          <w:highlight w:val="none"/>
        </w:rPr>
      </w:pPr>
      <w:r>
        <w:rPr>
          <w:rFonts w:hint="eastAsia" w:ascii="宋体" w:hAnsi="宋体" w:cs="宋体"/>
          <w:color w:val="auto"/>
          <w:sz w:val="28"/>
          <w:szCs w:val="28"/>
          <w:highlight w:val="none"/>
        </w:rPr>
        <w:t>致（采购人或采购代理机构） ：</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我方自愿参加</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项目（</w:t>
      </w:r>
      <w:r>
        <w:rPr>
          <w:rFonts w:hint="eastAsia" w:ascii="宋体" w:hAnsi="宋体" w:cs="宋体"/>
          <w:color w:val="auto"/>
          <w:sz w:val="28"/>
          <w:szCs w:val="28"/>
          <w:highlight w:val="none"/>
          <w:u w:val="single"/>
        </w:rPr>
        <w:t xml:space="preserve">项目编号：         </w:t>
      </w:r>
      <w:r>
        <w:rPr>
          <w:rFonts w:hint="eastAsia" w:ascii="宋体" w:hAnsi="宋体" w:cs="宋体"/>
          <w:color w:val="auto"/>
          <w:sz w:val="28"/>
          <w:szCs w:val="28"/>
          <w:highlight w:val="none"/>
        </w:rPr>
        <w:t xml:space="preserve">）的政府采购活动，严格遵守《中华人民共和国政府采购法》及相关法律法规，依法诚信经营，无条件遵守本次政府采购活动的各项规定，并郑重承诺： </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资格要求的财务状况报告。 </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2.我方具有符合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资格要求的依法缴纳税收和社会保障资金的良好记录。 </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3.我方参加政府采购活动前三年内在经营活动中没有重大违法记录。 </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我方对以上承诺内容的真实性负责。如有虚假，将依法承担相应责任。</w:t>
      </w:r>
    </w:p>
    <w:p>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r>
        <w:rPr>
          <w:rFonts w:hint="eastAsia" w:ascii="宋体" w:hAnsi="宋体" w:cs="宋体"/>
          <w:color w:val="auto"/>
          <w:sz w:val="28"/>
          <w:szCs w:val="28"/>
          <w:highlight w:val="none"/>
        </w:rPr>
        <w:t>供应商名称（公章）：</w:t>
      </w:r>
    </w:p>
    <w:p>
      <w:pPr>
        <w:pageBreakBefore w:val="0"/>
        <w:widowControl w:val="0"/>
        <w:kinsoku/>
        <w:wordWrap/>
        <w:overflowPunct/>
        <w:topLinePunct w:val="0"/>
        <w:bidi w:val="0"/>
        <w:adjustRightInd/>
        <w:snapToGrid/>
        <w:spacing w:line="500" w:lineRule="exact"/>
        <w:ind w:firstLine="3080" w:firstLineChars="1100"/>
        <w:textAlignment w:val="auto"/>
        <w:rPr>
          <w:rFonts w:ascii="宋体" w:hAnsi="宋体" w:cs="宋体"/>
          <w:color w:val="auto"/>
          <w:sz w:val="28"/>
          <w:szCs w:val="28"/>
          <w:highlight w:val="none"/>
        </w:rPr>
      </w:pPr>
      <w:r>
        <w:rPr>
          <w:rFonts w:hint="eastAsia" w:ascii="宋体" w:hAnsi="宋体" w:cs="宋体"/>
          <w:color w:val="auto"/>
          <w:sz w:val="28"/>
          <w:szCs w:val="28"/>
          <w:highlight w:val="none"/>
        </w:rPr>
        <w:t>统一社会信用代码：</w:t>
      </w:r>
    </w:p>
    <w:p>
      <w:pPr>
        <w:pageBreakBefore w:val="0"/>
        <w:widowControl w:val="0"/>
        <w:kinsoku/>
        <w:wordWrap/>
        <w:overflowPunct/>
        <w:topLinePunct w:val="0"/>
        <w:bidi w:val="0"/>
        <w:adjustRightInd/>
        <w:snapToGrid/>
        <w:spacing w:line="500" w:lineRule="exact"/>
        <w:ind w:firstLine="1960" w:firstLineChars="7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法定代表人或授权代表(签名)：</w:t>
      </w:r>
    </w:p>
    <w:p>
      <w:pPr>
        <w:pageBreakBefore w:val="0"/>
        <w:widowControl w:val="0"/>
        <w:kinsoku/>
        <w:wordWrap/>
        <w:overflowPunct/>
        <w:topLinePunct w:val="0"/>
        <w:bidi w:val="0"/>
        <w:adjustRightInd/>
        <w:snapToGrid/>
        <w:spacing w:line="500" w:lineRule="exact"/>
        <w:ind w:firstLine="3640" w:firstLineChars="13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p>
    <w:p>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注：1.供应商须在响应文件中按此模板提供承诺函，未提供视为未实质性响应</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要求，按无效响应处理。</w:t>
      </w:r>
    </w:p>
    <w:p>
      <w:pPr>
        <w:pageBreakBefore w:val="0"/>
        <w:widowControl w:val="0"/>
        <w:kinsoku/>
        <w:wordWrap/>
        <w:overflowPunct/>
        <w:topLinePunct w:val="0"/>
        <w:bidi w:val="0"/>
        <w:adjustRightInd/>
        <w:snapToGrid/>
        <w:spacing w:line="500" w:lineRule="exact"/>
        <w:ind w:firstLine="560" w:firstLineChars="200"/>
        <w:textAlignment w:val="auto"/>
        <w:rPr>
          <w:rFonts w:ascii="Calibri"/>
          <w:color w:val="auto"/>
          <w:highlight w:val="none"/>
        </w:rPr>
      </w:pPr>
      <w:r>
        <w:rPr>
          <w:rFonts w:hint="eastAsia" w:ascii="宋体" w:hAnsi="宋体" w:cs="宋体"/>
          <w:color w:val="auto"/>
          <w:sz w:val="28"/>
          <w:szCs w:val="28"/>
          <w:highlight w:val="none"/>
        </w:rPr>
        <w:t>2.供应商的法定代表人（其他组织的为负责人）或者授权代表的签名或盖章应真实、有效，如由授权代表签名或盖章的，应提供“法定代表人授权书”。</w:t>
      </w:r>
    </w:p>
    <w:p>
      <w:pPr>
        <w:pStyle w:val="2"/>
        <w:pageBreakBefore w:val="0"/>
        <w:widowControl w:val="0"/>
        <w:kinsoku/>
        <w:wordWrap/>
        <w:overflowPunct/>
        <w:topLinePunct w:val="0"/>
        <w:bidi w:val="0"/>
        <w:adjustRightInd/>
        <w:snapToGrid/>
        <w:spacing w:line="500" w:lineRule="exact"/>
        <w:textAlignment w:val="auto"/>
        <w:rPr>
          <w:rFonts w:hint="default"/>
          <w:lang w:val="en-US"/>
        </w:rPr>
      </w:pPr>
    </w:p>
    <w:p>
      <w:pPr>
        <w:pageBreakBefore w:val="0"/>
        <w:widowControl w:val="0"/>
        <w:kinsoku/>
        <w:wordWrap/>
        <w:overflowPunct/>
        <w:topLinePunct w:val="0"/>
        <w:bidi w:val="0"/>
        <w:adjustRightInd/>
        <w:snapToGrid/>
        <w:spacing w:line="500" w:lineRule="exact"/>
        <w:textAlignment w:val="auto"/>
        <w:rPr>
          <w:rFonts w:hint="default"/>
          <w:lang w:val="en-US"/>
        </w:rPr>
      </w:pPr>
    </w:p>
    <w:p>
      <w:pPr>
        <w:pStyle w:val="12"/>
        <w:rPr>
          <w:rFonts w:hint="default"/>
          <w:lang w:val="en-US"/>
        </w:rPr>
      </w:pPr>
    </w:p>
    <w:p>
      <w:pPr>
        <w:rPr>
          <w:rFonts w:hint="default"/>
          <w:lang w:val="en-US"/>
        </w:rPr>
      </w:pPr>
    </w:p>
    <w:p>
      <w:pPr>
        <w:pageBreakBefore w:val="0"/>
        <w:kinsoku/>
        <w:overflowPunct/>
        <w:topLinePunct w:val="0"/>
        <w:bidi w:val="0"/>
        <w:spacing w:line="560" w:lineRule="exact"/>
        <w:ind w:firstLine="3740" w:firstLineChars="1100"/>
        <w:jc w:val="both"/>
        <w:rPr>
          <w:rFonts w:ascii="宋体" w:hAnsi="宋体"/>
          <w:color w:val="auto"/>
          <w:kern w:val="0"/>
          <w:sz w:val="34"/>
          <w:szCs w:val="21"/>
          <w:highlight w:val="none"/>
        </w:rPr>
      </w:pPr>
      <w:r>
        <w:rPr>
          <w:rFonts w:hint="eastAsia" w:ascii="宋体" w:hAnsi="宋体"/>
          <w:color w:val="auto"/>
          <w:kern w:val="0"/>
          <w:sz w:val="34"/>
          <w:szCs w:val="21"/>
          <w:highlight w:val="none"/>
          <w:lang w:val="en-US" w:eastAsia="zh-CN"/>
        </w:rPr>
        <w:t>3.</w:t>
      </w:r>
      <w:r>
        <w:rPr>
          <w:rFonts w:hint="eastAsia" w:ascii="宋体" w:hAnsi="宋体"/>
          <w:color w:val="auto"/>
          <w:kern w:val="0"/>
          <w:sz w:val="34"/>
          <w:szCs w:val="21"/>
          <w:highlight w:val="none"/>
        </w:rPr>
        <w:t>资格声明函</w:t>
      </w:r>
    </w:p>
    <w:p>
      <w:pPr>
        <w:pageBreakBefore w:val="0"/>
        <w:kinsoku/>
        <w:overflowPunct/>
        <w:topLinePunct w:val="0"/>
        <w:bidi w:val="0"/>
        <w:spacing w:line="560" w:lineRule="exact"/>
        <w:jc w:val="left"/>
        <w:rPr>
          <w:rFonts w:ascii="宋体" w:hAnsi="宋体"/>
          <w:color w:val="auto"/>
          <w:szCs w:val="21"/>
          <w:highlight w:val="none"/>
        </w:rPr>
      </w:pPr>
    </w:p>
    <w:p>
      <w:pPr>
        <w:pageBreakBefore w:val="0"/>
        <w:kinsoku/>
        <w:overflowPunct/>
        <w:topLinePunct w:val="0"/>
        <w:bidi w:val="0"/>
        <w:spacing w:line="560" w:lineRule="exact"/>
        <w:jc w:val="lef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r>
        <w:rPr>
          <w:rFonts w:hint="eastAsia" w:ascii="宋体" w:hAnsi="宋体"/>
          <w:color w:val="auto"/>
          <w:szCs w:val="21"/>
          <w:highlight w:val="none"/>
        </w:rPr>
        <w:t>：</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（供应商名称）   </w:t>
      </w:r>
      <w:r>
        <w:rPr>
          <w:rFonts w:hint="eastAsia" w:ascii="宋体" w:hAnsi="宋体"/>
          <w:color w:val="auto"/>
          <w:szCs w:val="21"/>
          <w:highlight w:val="none"/>
        </w:rPr>
        <w:t>系中华人民共和国合法供应商， 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项目的竞标，为便于贵方公正、择优地确定成交供应商及其竞标产品和服务，我方就本次竞标有关事项郑重声明如下：</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3.在此，我方宣布同意如下：</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（1）将按竞争性磋商文件的约定履行合同责任和义务；</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（2）已详细审查全部竞争性磋商文件，包括澄清或者更正公告（如有）；</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（3）同意提供按照贵方可能要求的与磋商有关的一切数据或者资料；</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（4）响应竞争性磋商文件规定的竞标有效期。</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4.我方承诺符合《中华人民共和国政府采购法》第二十二条规定：</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□我方本次响应文件内容中未涉及商业秘密；</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□我方本次响应文件涉及商业秘密的内容有：</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7.与本磋商有关的一切正式往来信函请寄：</w:t>
      </w:r>
      <w:r>
        <w:rPr>
          <w:rFonts w:hint="eastAsia" w:ascii="宋体" w:hAnsi="宋体"/>
          <w:color w:val="auto"/>
          <w:szCs w:val="21"/>
          <w:highlight w:val="none"/>
          <w:u w:val="single"/>
        </w:rPr>
        <w:t xml:space="preserve">          </w:t>
      </w:r>
      <w:r>
        <w:rPr>
          <w:rFonts w:hint="eastAsia" w:ascii="宋体" w:hAnsi="宋体"/>
          <w:color w:val="auto"/>
          <w:szCs w:val="21"/>
          <w:highlight w:val="none"/>
        </w:rPr>
        <w:t>邮政编号：</w:t>
      </w:r>
      <w:r>
        <w:rPr>
          <w:rFonts w:hint="eastAsia" w:ascii="宋体" w:hAnsi="宋体"/>
          <w:color w:val="auto"/>
          <w:szCs w:val="21"/>
          <w:highlight w:val="none"/>
          <w:u w:val="single"/>
        </w:rPr>
        <w:t xml:space="preserve">         </w:t>
      </w:r>
    </w:p>
    <w:p>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电话/传真：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电子函件：</w:t>
      </w:r>
      <w:r>
        <w:rPr>
          <w:rFonts w:hint="eastAsia" w:ascii="宋体" w:hAnsi="宋体"/>
          <w:color w:val="auto"/>
          <w:szCs w:val="21"/>
          <w:highlight w:val="none"/>
          <w:u w:val="single"/>
        </w:rPr>
        <w:t xml:space="preserve">                    </w:t>
      </w:r>
    </w:p>
    <w:p>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8.以上事项如有虚假或者隐瞒，我方愿意承担一切后果，并不再寻求任何旨在减轻或者免除法律责任的辩解。</w:t>
      </w:r>
    </w:p>
    <w:p>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pPr>
        <w:pageBreakBefore w:val="0"/>
        <w:kinsoku/>
        <w:wordWrap w:val="0"/>
        <w:overflowPunct/>
        <w:topLinePunct w:val="0"/>
        <w:bidi w:val="0"/>
        <w:spacing w:line="560" w:lineRule="exact"/>
        <w:ind w:firstLine="5460" w:firstLineChars="2600"/>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s="宋体"/>
          <w:color w:val="auto"/>
          <w:kern w:val="0"/>
          <w:szCs w:val="21"/>
          <w:highlight w:val="none"/>
        </w:rPr>
        <w:t>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pageBreakBefore w:val="0"/>
        <w:kinsoku/>
        <w:overflowPunct/>
        <w:topLinePunct w:val="0"/>
        <w:bidi w:val="0"/>
        <w:spacing w:line="560" w:lineRule="exact"/>
        <w:ind w:firstLine="5953" w:firstLineChars="2835"/>
        <w:rPr>
          <w:rFonts w:hint="eastAsia" w:ascii="宋体" w:hAnsi="宋体"/>
          <w:color w:val="auto"/>
          <w:szCs w:val="21"/>
          <w:highlight w:val="none"/>
        </w:rPr>
      </w:pPr>
      <w:r>
        <w:rPr>
          <w:rFonts w:hint="eastAsia" w:ascii="宋体" w:hAnsi="宋体"/>
          <w:color w:val="auto"/>
          <w:szCs w:val="21"/>
          <w:highlight w:val="none"/>
        </w:rPr>
        <w:t>日期：   年   月   日</w:t>
      </w: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pageBreakBefore w:val="0"/>
        <w:kinsoku/>
        <w:overflowPunct/>
        <w:topLinePunct w:val="0"/>
        <w:bidi w:val="0"/>
        <w:spacing w:line="560" w:lineRule="exact"/>
        <w:jc w:val="center"/>
        <w:rPr>
          <w:rFonts w:ascii="宋体" w:hAnsi="Courier New"/>
          <w:b/>
          <w:color w:val="auto"/>
          <w:szCs w:val="20"/>
          <w:highlight w:val="none"/>
        </w:rPr>
      </w:pPr>
      <w:r>
        <w:rPr>
          <w:rFonts w:hint="eastAsia" w:ascii="宋体" w:hAnsi="Courier New"/>
          <w:b/>
          <w:color w:val="auto"/>
          <w:sz w:val="24"/>
          <w:szCs w:val="20"/>
          <w:highlight w:val="none"/>
          <w:lang w:val="en-US" w:eastAsia="zh-CN"/>
        </w:rPr>
        <w:t>4.</w:t>
      </w:r>
      <w:r>
        <w:rPr>
          <w:rFonts w:ascii="宋体" w:hAnsi="Courier New"/>
          <w:b/>
          <w:color w:val="auto"/>
          <w:sz w:val="24"/>
          <w:szCs w:val="20"/>
          <w:highlight w:val="none"/>
        </w:rPr>
        <w:t>中小企业声明函</w:t>
      </w:r>
    </w:p>
    <w:p>
      <w:pPr>
        <w:pageBreakBefore w:val="0"/>
        <w:kinsoku/>
        <w:overflowPunct/>
        <w:topLinePunct w:val="0"/>
        <w:bidi w:val="0"/>
        <w:spacing w:line="560" w:lineRule="exact"/>
        <w:ind w:firstLine="420" w:firstLineChars="200"/>
        <w:jc w:val="left"/>
        <w:rPr>
          <w:rFonts w:ascii="宋体" w:hAnsi="Courier New"/>
          <w:color w:val="auto"/>
          <w:szCs w:val="20"/>
          <w:highlight w:val="none"/>
        </w:rPr>
      </w:pPr>
      <w:r>
        <w:rPr>
          <w:rFonts w:hint="eastAsia" w:ascii="宋体" w:hAnsi="Courier New"/>
          <w:color w:val="auto"/>
          <w:szCs w:val="20"/>
          <w:highlight w:val="none"/>
        </w:rPr>
        <w:t>本公司（联合体）郑重声明，根据《政府采购促进中小企业发展管理办法》（财库﹝2020﹞46 号）的规定，本公司（联合体）参加</w:t>
      </w:r>
      <w:r>
        <w:rPr>
          <w:rFonts w:hint="eastAsia" w:ascii="宋体" w:hAnsi="Courier New"/>
          <w:color w:val="auto"/>
          <w:szCs w:val="20"/>
          <w:highlight w:val="none"/>
          <w:u w:val="single"/>
        </w:rPr>
        <w:t xml:space="preserve">           </w:t>
      </w:r>
      <w:r>
        <w:rPr>
          <w:rFonts w:hint="eastAsia" w:ascii="宋体" w:hAnsi="Courier New"/>
          <w:color w:val="auto"/>
          <w:szCs w:val="20"/>
          <w:highlight w:val="none"/>
        </w:rPr>
        <w:t>（单位名称）的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（项目名称）采购活动，服务全部由符合政策要求的中小企业承接。相关企业（含联合体中的中小企业、签订分包意向协议的中小企业）的具体情况如下：</w:t>
      </w:r>
    </w:p>
    <w:p>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 xml:space="preserve">1. </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2.</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p>
    <w:p>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r>
        <w:rPr>
          <w:rFonts w:hint="eastAsia" w:ascii="宋体" w:hAnsi="Courier New"/>
          <w:color w:val="auto"/>
          <w:szCs w:val="20"/>
          <w:highlight w:val="none"/>
        </w:rPr>
        <w:t>以上企业，不属于大企业的分支机构，不存在控股股东为大企业的情形，也不存在与大企业的负责人为同一人的情形。</w:t>
      </w:r>
    </w:p>
    <w:p>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hint="eastAsia" w:ascii="宋体" w:hAnsi="Courier New"/>
          <w:color w:val="auto"/>
          <w:szCs w:val="20"/>
          <w:highlight w:val="none"/>
        </w:rPr>
        <w:t>本企业对上述声明内容的真实性负责。如有虚假，将依法承担相应责任。</w:t>
      </w:r>
      <w:r>
        <w:rPr>
          <w:rFonts w:ascii="宋体" w:hAnsi="Courier New"/>
          <w:color w:val="auto"/>
          <w:szCs w:val="20"/>
          <w:highlight w:val="none"/>
        </w:rPr>
        <w:t xml:space="preserve"> </w:t>
      </w:r>
    </w:p>
    <w:p>
      <w:pPr>
        <w:pageBreakBefore w:val="0"/>
        <w:kinsoku/>
        <w:wordWrap w:val="0"/>
        <w:overflowPunct/>
        <w:topLinePunct w:val="0"/>
        <w:bidi w:val="0"/>
        <w:spacing w:line="560" w:lineRule="exact"/>
        <w:jc w:val="right"/>
        <w:rPr>
          <w:rFonts w:ascii="宋体" w:hAnsi="Courier New"/>
          <w:color w:val="auto"/>
          <w:szCs w:val="20"/>
          <w:highlight w:val="none"/>
        </w:rPr>
      </w:pPr>
      <w:r>
        <w:rPr>
          <w:rFonts w:ascii="宋体" w:hAnsi="Courier New"/>
          <w:color w:val="auto"/>
          <w:szCs w:val="20"/>
          <w:highlight w:val="none"/>
        </w:rPr>
        <w:t>企业名称（</w:t>
      </w:r>
      <w:r>
        <w:rPr>
          <w:rFonts w:hint="eastAsia" w:ascii="宋体" w:hAnsi="宋体"/>
          <w:color w:val="auto"/>
          <w:szCs w:val="21"/>
          <w:highlight w:val="none"/>
        </w:rPr>
        <w:t>盖</w:t>
      </w:r>
      <w:r>
        <w:rPr>
          <w:rFonts w:ascii="宋体" w:hAnsi="Courier New"/>
          <w:color w:val="auto"/>
          <w:szCs w:val="20"/>
          <w:highlight w:val="none"/>
        </w:rPr>
        <w:t>章）：</w:t>
      </w:r>
      <w:r>
        <w:rPr>
          <w:rFonts w:ascii="宋体" w:hAnsi="Courier New"/>
          <w:color w:val="auto"/>
          <w:szCs w:val="20"/>
          <w:highlight w:val="none"/>
          <w:u w:val="single"/>
        </w:rPr>
        <w:t xml:space="preserve">         </w:t>
      </w:r>
      <w:r>
        <w:rPr>
          <w:rFonts w:ascii="宋体" w:hAnsi="Courier New"/>
          <w:color w:val="auto"/>
          <w:szCs w:val="20"/>
          <w:highlight w:val="none"/>
        </w:rPr>
        <w:t xml:space="preserve"> </w:t>
      </w:r>
    </w:p>
    <w:p>
      <w:pPr>
        <w:pageBreakBefore w:val="0"/>
        <w:kinsoku/>
        <w:wordWrap w:val="0"/>
        <w:overflowPunct/>
        <w:topLinePunct w:val="0"/>
        <w:bidi w:val="0"/>
        <w:spacing w:line="560" w:lineRule="exact"/>
        <w:jc w:val="right"/>
        <w:rPr>
          <w:rFonts w:ascii="宋体" w:hAnsi="宋体"/>
          <w:color w:val="auto"/>
          <w:szCs w:val="21"/>
          <w:highlight w:val="none"/>
        </w:rPr>
      </w:pPr>
      <w:r>
        <w:rPr>
          <w:rFonts w:ascii="宋体" w:hAnsi="Courier New"/>
          <w:color w:val="auto"/>
          <w:szCs w:val="20"/>
          <w:highlight w:val="none"/>
        </w:rPr>
        <w:t>日 期：</w:t>
      </w:r>
      <w:r>
        <w:rPr>
          <w:rFonts w:ascii="宋体" w:hAnsi="Courier New"/>
          <w:color w:val="auto"/>
          <w:szCs w:val="20"/>
          <w:highlight w:val="none"/>
          <w:u w:val="single"/>
        </w:rPr>
        <w:t xml:space="preserve">          </w:t>
      </w:r>
    </w:p>
    <w:p>
      <w:pPr>
        <w:pageBreakBefore w:val="0"/>
        <w:tabs>
          <w:tab w:val="left" w:pos="3870"/>
          <w:tab w:val="left" w:pos="4085"/>
        </w:tabs>
        <w:kinsoku/>
        <w:overflowPunct/>
        <w:topLinePunct w:val="0"/>
        <w:bidi w:val="0"/>
        <w:snapToGrid w:val="0"/>
        <w:spacing w:line="560" w:lineRule="exact"/>
        <w:ind w:firstLine="420" w:firstLineChars="200"/>
        <w:jc w:val="left"/>
        <w:rPr>
          <w:rFonts w:hAnsi="Courier New"/>
          <w:color w:val="auto"/>
          <w:sz w:val="18"/>
          <w:highlight w:val="none"/>
        </w:rPr>
      </w:pPr>
      <w:r>
        <w:rPr>
          <w:rFonts w:hint="eastAsia" w:ascii="宋体"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w:t>
      </w:r>
      <w:r>
        <w:rPr>
          <w:rFonts w:hint="eastAsia" w:ascii="宋体" w:hAnsi="宋体"/>
          <w:color w:val="auto"/>
          <w:szCs w:val="21"/>
          <w:highlight w:val="none"/>
          <w:lang w:val="en-US" w:eastAsia="zh-CN"/>
        </w:rPr>
        <w:t>人</w:t>
      </w:r>
      <w:r>
        <w:rPr>
          <w:rFonts w:hint="eastAsia" w:ascii="宋体" w:hAnsi="宋体"/>
          <w:color w:val="auto"/>
          <w:szCs w:val="21"/>
          <w:highlight w:val="none"/>
        </w:rPr>
        <w:t>将在成交公告中公布供应商《中小企业声明函》中的声明信息，接受社会监督，</w:t>
      </w:r>
      <w:r>
        <w:rPr>
          <w:rFonts w:hint="eastAsia" w:ascii="宋体" w:hAnsi="宋体"/>
          <w:color w:val="auto"/>
          <w:szCs w:val="21"/>
          <w:highlight w:val="none"/>
          <w:lang w:val="en-US" w:eastAsia="zh-CN"/>
        </w:rPr>
        <w:t>供应商</w:t>
      </w:r>
      <w:r>
        <w:rPr>
          <w:rFonts w:hint="eastAsia" w:ascii="宋体" w:hAnsi="宋体"/>
          <w:color w:val="auto"/>
          <w:szCs w:val="21"/>
          <w:highlight w:val="none"/>
        </w:rPr>
        <w:t>如有虚假，将依法承担相应责任</w:t>
      </w:r>
      <w:r>
        <w:rPr>
          <w:rFonts w:hint="eastAsia" w:ascii="宋体" w:hAnsi="宋体"/>
          <w:color w:val="auto"/>
          <w:szCs w:val="21"/>
          <w:highlight w:val="none"/>
          <w:lang w:eastAsia="zh-CN"/>
        </w:rPr>
        <w:t>。</w:t>
      </w:r>
    </w:p>
    <w:p>
      <w:pPr>
        <w:pStyle w:val="8"/>
        <w:pageBreakBefore w:val="0"/>
        <w:kinsoku/>
        <w:overflowPunct/>
        <w:topLinePunct w:val="0"/>
        <w:bidi w:val="0"/>
        <w:spacing w:line="560" w:lineRule="exact"/>
        <w:rPr>
          <w:rFonts w:hAnsi="Courier New"/>
          <w:color w:val="auto"/>
          <w:sz w:val="18"/>
          <w:highlight w:val="none"/>
        </w:rPr>
      </w:pPr>
      <w:r>
        <w:rPr>
          <w:rFonts w:hAnsi="Courier New"/>
          <w:color w:val="auto"/>
          <w:sz w:val="18"/>
          <w:highlight w:val="none"/>
        </w:rPr>
        <w:t>从业人员、营业收入、资产总额填报上一年度数据，无上一年度数据的新成立企业可不填报。</w:t>
      </w:r>
    </w:p>
    <w:p>
      <w:pPr>
        <w:pageBreakBefore w:val="0"/>
        <w:kinsoku/>
        <w:overflowPunct/>
        <w:topLinePunct w:val="0"/>
        <w:bidi w:val="0"/>
        <w:spacing w:line="560" w:lineRule="exact"/>
        <w:ind w:firstLine="420" w:firstLineChars="200"/>
        <w:jc w:val="left"/>
        <w:rPr>
          <w:rFonts w:hint="eastAsia" w:ascii="宋体" w:hAnsi="Courier New" w:eastAsia="宋体" w:cs="Times New Roman"/>
          <w:color w:val="auto"/>
          <w:szCs w:val="20"/>
          <w:highlight w:val="none"/>
        </w:rPr>
      </w:pPr>
    </w:p>
    <w:p>
      <w:pPr>
        <w:pageBreakBefore w:val="0"/>
        <w:kinsoku/>
        <w:overflowPunct/>
        <w:topLinePunct w:val="0"/>
        <w:bidi w:val="0"/>
        <w:spacing w:line="560" w:lineRule="exact"/>
        <w:ind w:firstLine="420" w:firstLineChars="200"/>
        <w:jc w:val="left"/>
        <w:rPr>
          <w:rFonts w:hint="eastAsia" w:ascii="宋体" w:hAnsi="Courier New" w:eastAsia="宋体" w:cs="Times New Roman"/>
          <w:color w:val="auto"/>
          <w:szCs w:val="20"/>
          <w:highlight w:val="none"/>
        </w:rPr>
      </w:pPr>
    </w:p>
    <w:p>
      <w:pPr>
        <w:pageBreakBefore w:val="0"/>
        <w:kinsoku/>
        <w:overflowPunct/>
        <w:topLinePunct w:val="0"/>
        <w:bidi w:val="0"/>
        <w:spacing w:line="560" w:lineRule="exact"/>
        <w:ind w:firstLine="420" w:firstLineChars="200"/>
        <w:jc w:val="left"/>
        <w:rPr>
          <w:rFonts w:hint="eastAsia" w:ascii="宋体" w:hAnsi="Courier New" w:eastAsia="宋体" w:cs="Times New Roman"/>
          <w:color w:val="auto"/>
          <w:szCs w:val="20"/>
          <w:highlight w:val="none"/>
          <w:lang w:val="en-US" w:eastAsia="zh-CN"/>
        </w:rPr>
      </w:pPr>
      <w:r>
        <w:rPr>
          <w:rFonts w:hint="eastAsia" w:ascii="宋体" w:hAnsi="Courier New" w:eastAsia="宋体" w:cs="Times New Roman"/>
          <w:color w:val="auto"/>
          <w:szCs w:val="20"/>
          <w:highlight w:val="none"/>
        </w:rPr>
        <w:t>监狱企业证明文件</w:t>
      </w:r>
      <w:r>
        <w:rPr>
          <w:rFonts w:hint="eastAsia" w:ascii="宋体" w:hAnsi="Courier New" w:cs="Times New Roman"/>
          <w:color w:val="auto"/>
          <w:szCs w:val="20"/>
          <w:highlight w:val="none"/>
          <w:lang w:eastAsia="zh-CN"/>
        </w:rPr>
        <w:t>。</w:t>
      </w:r>
    </w:p>
    <w:p>
      <w:pPr>
        <w:pageBreakBefore w:val="0"/>
        <w:kinsoku/>
        <w:overflowPunct/>
        <w:topLinePunct w:val="0"/>
        <w:bidi w:val="0"/>
        <w:spacing w:line="560" w:lineRule="exact"/>
        <w:ind w:firstLine="4200" w:firstLineChars="2000"/>
        <w:jc w:val="left"/>
        <w:rPr>
          <w:rFonts w:hint="eastAsia" w:ascii="宋体" w:hAnsi="Courier New" w:eastAsia="宋体" w:cs="Times New Roman"/>
          <w:color w:val="auto"/>
          <w:szCs w:val="20"/>
          <w:highlight w:val="none"/>
        </w:rPr>
      </w:pPr>
      <w:r>
        <w:rPr>
          <w:rFonts w:hint="eastAsia" w:ascii="宋体" w:hAnsi="Courier New" w:eastAsia="宋体" w:cs="Times New Roman"/>
          <w:color w:val="auto"/>
          <w:szCs w:val="20"/>
          <w:highlight w:val="none"/>
          <w:lang w:val="en-US" w:eastAsia="zh-CN"/>
        </w:rPr>
        <w:t xml:space="preserve"> </w:t>
      </w:r>
      <w:r>
        <w:rPr>
          <w:rFonts w:hint="eastAsia" w:ascii="宋体" w:hAnsi="Courier New" w:eastAsia="宋体" w:cs="Times New Roman"/>
          <w:color w:val="auto"/>
          <w:szCs w:val="20"/>
          <w:highlight w:val="none"/>
        </w:rPr>
        <w:t>供应商自行提供，格式自拟</w:t>
      </w:r>
    </w:p>
    <w:p>
      <w:pPr>
        <w:pStyle w:val="18"/>
        <w:ind w:firstLine="210"/>
        <w:jc w:val="center"/>
        <w:rPr>
          <w:rFonts w:hint="eastAsia" w:ascii="宋体" w:hAnsi="宋体"/>
          <w:color w:val="auto"/>
          <w:szCs w:val="21"/>
          <w:highlight w:val="none"/>
        </w:rPr>
      </w:pPr>
    </w:p>
    <w:p>
      <w:pPr>
        <w:pStyle w:val="18"/>
        <w:ind w:firstLine="210"/>
        <w:jc w:val="center"/>
        <w:rPr>
          <w:rFonts w:hint="eastAsia" w:ascii="宋体" w:hAnsi="宋体"/>
          <w:color w:val="auto"/>
          <w:szCs w:val="21"/>
          <w:highlight w:val="none"/>
        </w:rPr>
      </w:pPr>
    </w:p>
    <w:p>
      <w:pPr>
        <w:pStyle w:val="18"/>
        <w:ind w:firstLine="210"/>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残疾人福利性单位声明函</w:t>
      </w: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中国残疾人联合会关于促进残疾人就业政府采购政策的通知》（财库〔2017〕141号）的规定，本单位为符合条件的残疾人福利性单位，且本单位参加防城港市</w:t>
      </w:r>
      <w:r>
        <w:rPr>
          <w:rFonts w:hint="eastAsia" w:ascii="宋体" w:hAnsi="宋体" w:cs="Times New Roman"/>
          <w:color w:val="auto"/>
          <w:kern w:val="2"/>
          <w:sz w:val="21"/>
          <w:szCs w:val="21"/>
          <w:highlight w:val="none"/>
          <w:lang w:val="en-US" w:eastAsia="zh-CN" w:bidi="ar-SA"/>
        </w:rPr>
        <w:t>商务局</w:t>
      </w:r>
      <w:r>
        <w:rPr>
          <w:rFonts w:hint="eastAsia" w:ascii="宋体" w:hAnsi="宋体" w:eastAsia="宋体" w:cs="Times New Roman"/>
          <w:color w:val="auto"/>
          <w:kern w:val="2"/>
          <w:sz w:val="21"/>
          <w:szCs w:val="21"/>
          <w:highlight w:val="none"/>
          <w:lang w:val="en-US" w:eastAsia="zh-CN" w:bidi="ar-SA"/>
        </w:rPr>
        <w:t>单位</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的防城港口岸联检附楼物业服务采购项目</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采购活</w:t>
      </w:r>
      <w:r>
        <w:rPr>
          <w:rFonts w:hint="eastAsia" w:ascii="宋体" w:hAnsi="宋体" w:eastAsia="宋体" w:cs="Times New Roman"/>
          <w:color w:val="auto"/>
          <w:kern w:val="2"/>
          <w:sz w:val="21"/>
          <w:szCs w:val="21"/>
          <w:highlight w:val="none"/>
          <w:lang w:val="en-US" w:eastAsia="zh-CN" w:bidi="ar-SA"/>
        </w:rPr>
        <w:t>动提供本单位制造的货物（由本单位承担工程/提供服务），或者提供其他残疾人福利性单位制造的货物（不包括使用非残疾人福利性单位注册商标的货物）。</w:t>
      </w:r>
    </w:p>
    <w:p>
      <w:pPr>
        <w:pStyle w:val="18"/>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本单位对上述声明的真实性负责。如有虚假，将依法承担相应责任。</w:t>
      </w: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供应商名称（盖章）：  </w:t>
      </w:r>
      <w:r>
        <w:rPr>
          <w:rFonts w:ascii="宋体" w:hAnsi="宋体"/>
          <w:bCs/>
          <w:color w:val="auto"/>
          <w:kern w:val="0"/>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日  期： </w:t>
      </w:r>
      <w:r>
        <w:rPr>
          <w:rFonts w:ascii="宋体" w:hAnsi="宋体"/>
          <w:bCs/>
          <w:color w:val="auto"/>
          <w:kern w:val="0"/>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pStyle w:val="18"/>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备注：采购代理机构将在成交公告中公布成交人《残疾人福利性单位声明函》中的声明信息，接受社会监督，供应商如有虚假，将依法承担相应责任。</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Times New Roman"/>
          <w:color w:val="auto"/>
          <w:kern w:val="2"/>
          <w:sz w:val="21"/>
          <w:szCs w:val="21"/>
          <w:highlight w:val="none"/>
          <w:lang w:val="en-US" w:eastAsia="zh-CN" w:bidi="ar-SA"/>
        </w:rPr>
      </w:pPr>
    </w:p>
    <w:p>
      <w:pPr>
        <w:pStyle w:val="25"/>
        <w:pageBreakBefore w:val="0"/>
        <w:kinsoku/>
        <w:overflowPunct/>
        <w:topLinePunct w:val="0"/>
        <w:bidi w:val="0"/>
        <w:spacing w:line="560" w:lineRule="exact"/>
        <w:rPr>
          <w:rFonts w:hint="eastAsia" w:ascii="宋体" w:hAnsi="宋体"/>
          <w:color w:val="auto"/>
          <w:szCs w:val="21"/>
          <w:highlight w:val="none"/>
        </w:rPr>
      </w:pPr>
    </w:p>
    <w:p>
      <w:pPr>
        <w:pStyle w:val="25"/>
        <w:pageBreakBefore w:val="0"/>
        <w:kinsoku/>
        <w:overflowPunct/>
        <w:topLinePunct w:val="0"/>
        <w:bidi w:val="0"/>
        <w:spacing w:line="560" w:lineRule="exact"/>
        <w:rPr>
          <w:rFonts w:hint="eastAsia" w:ascii="宋体" w:hAnsi="宋体"/>
          <w:color w:val="auto"/>
          <w:szCs w:val="21"/>
          <w:highlight w:val="none"/>
        </w:rPr>
      </w:pPr>
    </w:p>
    <w:p>
      <w:pPr>
        <w:widowControl w:val="0"/>
        <w:numPr>
          <w:ilvl w:val="0"/>
          <w:numId w:val="0"/>
        </w:numPr>
        <w:jc w:val="both"/>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rPr>
          <w:rFonts w:hint="default"/>
          <w:lang w:val="en-US"/>
        </w:rPr>
      </w:pPr>
    </w:p>
    <w:p>
      <w:pPr>
        <w:pStyle w:val="8"/>
        <w:pageBreakBefore w:val="0"/>
        <w:kinsoku/>
        <w:overflowPunct/>
        <w:topLinePunct w:val="0"/>
        <w:bidi w:val="0"/>
        <w:spacing w:line="560" w:lineRule="exact"/>
        <w:jc w:val="center"/>
        <w:rPr>
          <w:rFonts w:ascii="Calibri"/>
          <w:color w:val="auto"/>
          <w:highlight w:val="none"/>
        </w:rPr>
      </w:pPr>
    </w:p>
    <w:p>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商务和技术文件（封面）</w:t>
      </w: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pPr>
        <w:pageBreakBefore w:val="0"/>
        <w:kinsoku/>
        <w:overflowPunct/>
        <w:topLinePunct w:val="0"/>
        <w:bidi w:val="0"/>
        <w:spacing w:line="560" w:lineRule="exact"/>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pPr>
        <w:pageBreakBefore w:val="0"/>
        <w:kinsoku/>
        <w:overflowPunct/>
        <w:topLinePunct w:val="0"/>
        <w:bidi w:val="0"/>
        <w:spacing w:line="560" w:lineRule="exact"/>
        <w:ind w:right="384" w:rightChars="183"/>
        <w:jc w:val="left"/>
        <w:rPr>
          <w:rFonts w:ascii="宋体" w:hAnsi="宋体"/>
          <w:bCs/>
          <w:color w:val="auto"/>
          <w:szCs w:val="21"/>
          <w:highlight w:val="none"/>
        </w:rPr>
        <w:sectPr>
          <w:pgSz w:w="11907" w:h="16840"/>
          <w:pgMar w:top="1440" w:right="1440" w:bottom="1440" w:left="1418" w:header="851" w:footer="851" w:gutter="0"/>
          <w:pgNumType w:fmt="decimal"/>
          <w:cols w:space="720" w:num="1"/>
          <w:docGrid w:linePitch="312" w:charSpace="0"/>
        </w:sectPr>
      </w:pPr>
    </w:p>
    <w:p>
      <w:pPr>
        <w:pStyle w:val="2"/>
        <w:rPr>
          <w:rFonts w:hint="default"/>
          <w:lang w:val="en-US"/>
        </w:rPr>
      </w:pPr>
    </w:p>
    <w:p>
      <w:pPr>
        <w:pageBreakBefore w:val="0"/>
        <w:kinsoku/>
        <w:overflowPunct/>
        <w:topLinePunct w:val="0"/>
        <w:bidi w:val="0"/>
        <w:spacing w:line="560" w:lineRule="exact"/>
        <w:ind w:firstLine="485" w:firstLineChars="151"/>
        <w:jc w:val="center"/>
        <w:rPr>
          <w:rFonts w:hint="eastAsia" w:ascii="宋体" w:hAnsi="宋体"/>
          <w:b/>
          <w:bCs/>
          <w:color w:val="auto"/>
          <w:sz w:val="32"/>
          <w:szCs w:val="32"/>
          <w:highlight w:val="none"/>
        </w:rPr>
      </w:pPr>
      <w:r>
        <w:rPr>
          <w:rFonts w:hint="eastAsia" w:ascii="宋体" w:hAnsi="宋体"/>
          <w:b/>
          <w:bCs/>
          <w:color w:val="auto"/>
          <w:sz w:val="32"/>
          <w:szCs w:val="32"/>
          <w:highlight w:val="none"/>
        </w:rPr>
        <w:t>目录（页码自行编制）</w:t>
      </w:r>
    </w:p>
    <w:p>
      <w:pPr>
        <w:pStyle w:val="12"/>
      </w:pP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（1）无串通竞标行为的承诺函。</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360" w:lineRule="exact"/>
        <w:ind w:left="-27" w:leftChars="-13" w:firstLine="420" w:firstLineChars="200"/>
        <w:textAlignment w:val="auto"/>
        <w:rPr>
          <w:rFonts w:hint="eastAsia" w:ascii="宋体" w:hAnsi="宋体" w:eastAsia="宋体" w:cs="宋体"/>
          <w:b/>
          <w:szCs w:val="21"/>
        </w:rPr>
      </w:pP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pPr>
        <w:pageBreakBefore w:val="0"/>
        <w:kinsoku/>
        <w:overflowPunct/>
        <w:topLinePunct w:val="0"/>
        <w:bidi w:val="0"/>
        <w:snapToGrid w:val="0"/>
        <w:spacing w:line="560" w:lineRule="exact"/>
        <w:ind w:firstLine="420" w:firstLineChars="200"/>
        <w:rPr>
          <w:rFonts w:hint="eastAsia" w:ascii="宋体" w:hAnsi="宋体" w:eastAsia="宋体" w:cs="宋体"/>
          <w:b/>
          <w:szCs w:val="21"/>
        </w:rPr>
      </w:pP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eastAsia="宋体" w:cs="宋体"/>
          <w:b/>
          <w:szCs w:val="21"/>
        </w:rPr>
        <w:t>必须提供，并加盖单位电子公章，否则磋商无效。）</w:t>
      </w:r>
    </w:p>
    <w:p>
      <w:pPr>
        <w:pageBreakBefore w:val="0"/>
        <w:kinsoku/>
        <w:overflowPunct/>
        <w:topLinePunct w:val="0"/>
        <w:bidi w:val="0"/>
        <w:snapToGrid w:val="0"/>
        <w:spacing w:line="560" w:lineRule="exact"/>
        <w:ind w:firstLine="420" w:firstLineChars="200"/>
        <w:rPr>
          <w:rFonts w:hint="eastAsia" w:eastAsia="宋体"/>
          <w:lang w:val="en-US" w:eastAsia="zh-CN"/>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根据采购需求及《评定标准及推荐原则》的要求提供，格式自拟）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）服务方案。（格式自拟，内容要求详见第四章评审方法中评分标准拟定）</w:t>
      </w:r>
      <w:r>
        <w:rPr>
          <w:rFonts w:hint="eastAsia" w:ascii="宋体" w:hAnsi="宋体" w:eastAsia="宋体" w:cs="宋体"/>
          <w:b/>
          <w:szCs w:val="21"/>
        </w:rPr>
        <w:t>（必须提供，并加盖单位电子公章，否则磋商无效。）</w:t>
      </w:r>
    </w:p>
    <w:p>
      <w:pPr>
        <w:pageBreakBefore w:val="0"/>
        <w:kinsoku/>
        <w:overflowPunct/>
        <w:topLinePunct w:val="0"/>
        <w:bidi w:val="0"/>
        <w:snapToGrid w:val="0"/>
        <w:spacing w:line="560" w:lineRule="exact"/>
        <w:ind w:firstLine="420" w:firstLineChars="200"/>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eastAsia="宋体" w:cs="Times New Roman"/>
          <w:b w:val="0"/>
          <w:color w:val="auto"/>
          <w:kern w:val="2"/>
          <w:sz w:val="21"/>
          <w:szCs w:val="24"/>
          <w:highlight w:val="none"/>
          <w:lang w:val="en-US" w:eastAsia="zh-CN" w:bidi="ar-SA"/>
        </w:rPr>
        <w:t>《采购需求》中要求必须提供的材料</w:t>
      </w:r>
      <w:r>
        <w:rPr>
          <w:rFonts w:hint="eastAsia" w:ascii="宋体" w:hAnsi="宋体" w:eastAsia="宋体" w:cs="Times New Roman"/>
          <w:b/>
          <w:bCs/>
          <w:color w:val="auto"/>
          <w:kern w:val="2"/>
          <w:sz w:val="21"/>
          <w:szCs w:val="24"/>
          <w:highlight w:val="none"/>
          <w:lang w:val="en-US" w:eastAsia="zh-CN" w:bidi="ar-SA"/>
        </w:rPr>
        <w:t>（如有，必须提供）</w:t>
      </w:r>
    </w:p>
    <w:p>
      <w:pPr>
        <w:pStyle w:val="2"/>
        <w:rPr>
          <w:rFonts w:hint="default"/>
          <w:lang w:val="en-US" w:eastAsia="zh-CN"/>
        </w:rPr>
      </w:pPr>
      <w:r>
        <w:rPr>
          <w:rFonts w:hint="eastAsia" w:ascii="宋体" w:hAnsi="宋体" w:cs="Times New Roman"/>
          <w:b w:val="0"/>
          <w:color w:val="auto"/>
          <w:kern w:val="2"/>
          <w:sz w:val="21"/>
          <w:szCs w:val="24"/>
          <w:highlight w:val="none"/>
          <w:lang w:val="en-US" w:eastAsia="zh-CN" w:bidi="ar-SA"/>
        </w:rPr>
        <w:t xml:space="preserve">    </w:t>
      </w: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Style w:val="2"/>
        <w:rPr>
          <w:rFonts w:hint="eastAsia"/>
          <w:lang w:val="en-US" w:eastAsia="zh-CN"/>
        </w:rPr>
      </w:pPr>
    </w:p>
    <w:p>
      <w:pPr>
        <w:pStyle w:val="2"/>
        <w:rPr>
          <w:rFonts w:hint="eastAsia" w:ascii="宋体" w:hAnsi="宋体" w:eastAsia="宋体" w:cs="Times New Roman"/>
          <w:b w:val="0"/>
          <w:color w:val="auto"/>
          <w:kern w:val="2"/>
          <w:sz w:val="21"/>
          <w:szCs w:val="24"/>
          <w:highlight w:val="none"/>
          <w:lang w:val="en-US" w:eastAsia="zh-CN" w:bidi="ar-SA"/>
        </w:rPr>
      </w:pPr>
    </w:p>
    <w:p>
      <w:pPr>
        <w:rPr>
          <w:rFonts w:hint="eastAsia" w:ascii="宋体" w:hAnsi="宋体" w:eastAsia="宋体" w:cs="Times New Roman"/>
          <w:b w:val="0"/>
          <w:color w:val="auto"/>
          <w:kern w:val="2"/>
          <w:sz w:val="21"/>
          <w:szCs w:val="24"/>
          <w:highlight w:val="none"/>
          <w:lang w:val="en-US" w:eastAsia="zh-CN" w:bidi="ar-SA"/>
        </w:rPr>
      </w:pPr>
    </w:p>
    <w:p>
      <w:pPr>
        <w:pageBreakBefore w:val="0"/>
        <w:numPr>
          <w:ilvl w:val="0"/>
          <w:numId w:val="4"/>
        </w:numPr>
        <w:kinsoku/>
        <w:overflowPunct/>
        <w:topLinePunct w:val="0"/>
        <w:bidi w:val="0"/>
        <w:spacing w:line="560" w:lineRule="exact"/>
        <w:ind w:left="-27" w:leftChars="-13" w:firstLine="317" w:firstLineChars="151"/>
        <w:rPr>
          <w:rFonts w:hint="eastAsia" w:ascii="宋体" w:hAnsi="宋体" w:cs="宋体"/>
          <w:color w:val="auto"/>
          <w:szCs w:val="20"/>
          <w:highlight w:val="none"/>
        </w:rPr>
      </w:pPr>
      <w:r>
        <w:rPr>
          <w:rFonts w:hint="eastAsia" w:ascii="宋体" w:hAnsi="宋体" w:cs="宋体"/>
          <w:color w:val="auto"/>
          <w:szCs w:val="20"/>
          <w:highlight w:val="none"/>
        </w:rPr>
        <w:t>无串通竞标行为的承诺函</w:t>
      </w:r>
    </w:p>
    <w:p>
      <w:pPr>
        <w:pageBreakBefore w:val="0"/>
        <w:kinsoku/>
        <w:overflowPunct/>
        <w:topLinePunct w:val="0"/>
        <w:bidi w:val="0"/>
        <w:spacing w:line="560" w:lineRule="exact"/>
        <w:ind w:left="-27" w:leftChars="-13" w:firstLine="333" w:firstLineChars="151"/>
        <w:jc w:val="center"/>
        <w:rPr>
          <w:rFonts w:ascii="宋体" w:hAnsi="宋体" w:cs="宋体"/>
          <w:b/>
          <w:color w:val="auto"/>
          <w:sz w:val="22"/>
          <w:szCs w:val="20"/>
          <w:highlight w:val="none"/>
        </w:rPr>
      </w:pPr>
      <w:r>
        <w:rPr>
          <w:rFonts w:hint="eastAsia" w:ascii="宋体" w:hAnsi="宋体" w:cs="宋体"/>
          <w:b/>
          <w:color w:val="auto"/>
          <w:sz w:val="22"/>
          <w:szCs w:val="20"/>
          <w:highlight w:val="none"/>
        </w:rPr>
        <w:t>无串通竞标行为的承诺函</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一、我方承诺无下列相互串通竞标的情形：</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1.不同供应商的响应文件由同一单位或者个人编制；</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2.不同供应商委托同一单位或者个人办理竞标事宜；</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3.不同供应商的响应文件载明的项目管理员为同一个人；</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4.不同供应商的响应文件异常一致或者响应报价呈规律性差异；</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5.不同供应商的响应文件相互混装；</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6.不同供应商的磋商保证金从同一单位或者个人账户转出。</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二、我方承诺无下列恶意串通的情形：</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1.供应商直接或者间接从采购人或者采购代理机构处获得其他供应商的相关信息并修改其响应文件；</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2.供应商按照采购人或者采购代理机构的授意撤换、修改响应文件；</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3.供应商之间协商报价、技术方案等响应文件的实质性内容；</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4.属于同一集团、协会、商会等组织成员的供应商按照该组织要求协同参加政府采购活动；</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5.供应商之间事先约定一致抬高或者压低响应报价，或者在竞争性磋商项目中事先约定轮流以高价位或者低价位成交，或者事先约定由某一特定供应商成交，然后再参加竞标；</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6.供应商之间商定部分供应商放弃参加政府采购活动或者放弃成交；</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7.供应商与采购人或者采购代理机构之间、供应商相互之间，为谋求特定供应商成交或者排斥其他供应商的其他串通行为。</w:t>
      </w:r>
    </w:p>
    <w:p>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hAnsi="宋体"/>
          <w:color w:val="auto"/>
          <w:szCs w:val="21"/>
          <w:highlight w:val="none"/>
        </w:rPr>
      </w:pPr>
      <w:r>
        <w:rPr>
          <w:rFonts w:hint="eastAsia" w:ascii="宋体" w:hAnsi="宋体" w:cs="宋体"/>
          <w:color w:val="auto"/>
          <w:szCs w:val="20"/>
          <w:highlight w:val="none"/>
        </w:rPr>
        <w:t>以上情形一经核查属实，我方愿意承担一切后果，并不再寻求任何旨在减轻或者免除法律责任的辩解。</w:t>
      </w:r>
    </w:p>
    <w:p>
      <w:pPr>
        <w:keepNext w:val="0"/>
        <w:keepLines w:val="0"/>
        <w:pageBreakBefore w:val="0"/>
        <w:widowControl w:val="0"/>
        <w:kinsoku/>
        <w:wordWrap w:val="0"/>
        <w:overflowPunct/>
        <w:topLinePunct w:val="0"/>
        <w:autoSpaceDE/>
        <w:autoSpaceDN/>
        <w:bidi w:val="0"/>
        <w:adjustRightInd/>
        <w:snapToGrid/>
        <w:spacing w:line="520" w:lineRule="exact"/>
        <w:ind w:left="-27" w:leftChars="-13"/>
        <w:jc w:val="right"/>
        <w:textAlignment w:val="auto"/>
        <w:rPr>
          <w:rFonts w:ascii="宋体" w:hAnsi="宋体" w:cs="宋体"/>
          <w:color w:val="auto"/>
          <w:szCs w:val="20"/>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left="-27" w:leftChars="-13" w:firstLine="5838" w:firstLineChars="2780"/>
        <w:textAlignment w:val="auto"/>
        <w:rPr>
          <w:rFonts w:ascii="宋体" w:hAnsi="宋体" w:cs="宋体"/>
          <w:color w:val="auto"/>
          <w:szCs w:val="20"/>
          <w:highlight w:val="none"/>
        </w:rPr>
      </w:pPr>
      <w:r>
        <w:rPr>
          <w:rFonts w:hint="eastAsia" w:ascii="宋体" w:hAnsi="宋体" w:cs="宋体"/>
          <w:color w:val="auto"/>
          <w:szCs w:val="20"/>
          <w:highlight w:val="none"/>
        </w:rPr>
        <w:t>日期：    年    月   日</w:t>
      </w:r>
    </w:p>
    <w:p>
      <w:pPr>
        <w:pStyle w:val="18"/>
        <w:keepNext w:val="0"/>
        <w:keepLines w:val="0"/>
        <w:pageBreakBefore w:val="0"/>
        <w:widowControl w:val="0"/>
        <w:kinsoku/>
        <w:overflowPunct/>
        <w:topLinePunct w:val="0"/>
        <w:autoSpaceDE/>
        <w:autoSpaceDN/>
        <w:bidi w:val="0"/>
        <w:adjustRightInd/>
        <w:snapToGrid/>
        <w:spacing w:after="0" w:line="520" w:lineRule="exact"/>
        <w:ind w:firstLine="210"/>
        <w:textAlignment w:val="auto"/>
        <w:rPr>
          <w:color w:val="auto"/>
          <w:highlight w:val="none"/>
        </w:rPr>
        <w:sectPr>
          <w:pgSz w:w="11907" w:h="16840"/>
          <w:pgMar w:top="1440" w:right="1440" w:bottom="1440" w:left="1418" w:header="851" w:footer="851" w:gutter="0"/>
          <w:pgNumType w:fmt="decimal"/>
          <w:cols w:space="720" w:num="1"/>
          <w:docGrid w:linePitch="312" w:charSpace="0"/>
        </w:sectPr>
      </w:pPr>
    </w:p>
    <w:p>
      <w:pPr>
        <w:pageBreakBefore w:val="0"/>
        <w:kinsoku/>
        <w:overflowPunct/>
        <w:topLinePunct w:val="0"/>
        <w:bidi w:val="0"/>
        <w:spacing w:line="560" w:lineRule="exact"/>
        <w:rPr>
          <w:rFonts w:hint="eastAsia" w:ascii="宋体" w:hAnsi="宋体"/>
          <w:color w:val="auto"/>
          <w:szCs w:val="21"/>
          <w:highlight w:val="none"/>
        </w:rPr>
      </w:pPr>
    </w:p>
    <w:p>
      <w:pPr>
        <w:pageBreakBefore w:val="0"/>
        <w:kinsoku/>
        <w:overflowPunct/>
        <w:topLinePunct w:val="0"/>
        <w:bidi w:val="0"/>
        <w:spacing w:line="560" w:lineRule="exact"/>
        <w:ind w:left="-27" w:leftChars="-13" w:firstLine="317" w:firstLineChars="151"/>
        <w:rPr>
          <w:rFonts w:ascii="宋体" w:hAnsi="宋体" w:cs="宋体"/>
          <w:color w:val="auto"/>
          <w:szCs w:val="20"/>
          <w:highlight w:val="none"/>
        </w:rPr>
      </w:pPr>
      <w:r>
        <w:rPr>
          <w:rFonts w:hint="eastAsia" w:ascii="宋体" w:hAnsi="宋体"/>
          <w:color w:val="auto"/>
          <w:szCs w:val="21"/>
          <w:highlight w:val="none"/>
          <w:lang w:val="en-US" w:eastAsia="zh-CN"/>
        </w:rPr>
        <w:t>2.</w:t>
      </w:r>
      <w:r>
        <w:rPr>
          <w:rFonts w:hint="eastAsia" w:ascii="宋体" w:hAnsi="宋体" w:eastAsia="宋体" w:cs="宋体"/>
          <w:szCs w:val="21"/>
        </w:rPr>
        <w:t>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p>
    <w:p>
      <w:pPr>
        <w:spacing w:line="0" w:lineRule="atLeast"/>
        <w:rPr>
          <w:color w:val="auto"/>
          <w:sz w:val="30"/>
          <w:szCs w:val="20"/>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法定代表人（负责人）身份证明</w:t>
      </w:r>
    </w:p>
    <w:p>
      <w:pPr>
        <w:autoSpaceDE w:val="0"/>
        <w:autoSpaceDN w:val="0"/>
        <w:adjustRightInd w:val="0"/>
        <w:spacing w:line="480" w:lineRule="exact"/>
        <w:rPr>
          <w:rFonts w:ascii="宋体" w:hAnsi="宋体"/>
          <w:color w:val="auto"/>
          <w:kern w:val="0"/>
          <w:szCs w:val="21"/>
          <w:highlight w:val="none"/>
        </w:rPr>
      </w:pPr>
    </w:p>
    <w:p>
      <w:pPr>
        <w:wordWrap w:val="0"/>
        <w:autoSpaceDE w:val="0"/>
        <w:autoSpaceDN w:val="0"/>
        <w:adjustRightInd w:val="0"/>
        <w:ind w:firstLine="1365" w:firstLineChars="650"/>
        <w:rPr>
          <w:rFonts w:ascii="宋体" w:hAnsi="宋体"/>
          <w:bCs/>
          <w:color w:val="auto"/>
          <w:kern w:val="0"/>
          <w:szCs w:val="21"/>
          <w:highlight w:val="none"/>
          <w:u w:val="single"/>
        </w:rPr>
      </w:pPr>
      <w:r>
        <w:rPr>
          <w:rFonts w:hint="eastAsia" w:ascii="宋体" w:hAnsi="宋体"/>
          <w:bCs/>
          <w:color w:val="auto"/>
          <w:kern w:val="0"/>
          <w:szCs w:val="21"/>
          <w:highlight w:val="none"/>
        </w:rPr>
        <w:t>供应商名称</w:t>
      </w:r>
      <w:r>
        <w:rPr>
          <w:rFonts w:ascii="宋体" w:hAnsi="宋体"/>
          <w:bCs/>
          <w:color w:val="auto"/>
          <w:kern w:val="0"/>
          <w:szCs w:val="21"/>
          <w:highlight w:val="none"/>
        </w:rPr>
        <w:t>：</w:t>
      </w:r>
      <w:r>
        <w:rPr>
          <w:rFonts w:ascii="宋体" w:hAnsi="宋体"/>
          <w:bCs/>
          <w:color w:val="auto"/>
          <w:kern w:val="0"/>
          <w:szCs w:val="21"/>
          <w:highlight w:val="none"/>
          <w:u w:val="single"/>
        </w:rPr>
        <w:t xml:space="preserve">                                             </w:t>
      </w:r>
    </w:p>
    <w:p>
      <w:pPr>
        <w:autoSpaceDE w:val="0"/>
        <w:autoSpaceDN w:val="0"/>
        <w:adjustRightInd w:val="0"/>
        <w:ind w:firstLine="1365" w:firstLineChars="650"/>
        <w:rPr>
          <w:rFonts w:ascii="宋体" w:hAnsi="宋体"/>
          <w:bCs/>
          <w:color w:val="auto"/>
          <w:kern w:val="0"/>
          <w:szCs w:val="21"/>
          <w:highlight w:val="none"/>
        </w:rPr>
      </w:pPr>
    </w:p>
    <w:p>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单位性质：</w:t>
      </w:r>
      <w:r>
        <w:rPr>
          <w:rFonts w:ascii="宋体" w:hAnsi="宋体"/>
          <w:bCs/>
          <w:color w:val="auto"/>
          <w:kern w:val="0"/>
          <w:szCs w:val="21"/>
          <w:highlight w:val="none"/>
          <w:u w:val="single"/>
        </w:rPr>
        <w:t xml:space="preserve">                                             </w:t>
      </w:r>
    </w:p>
    <w:p>
      <w:pPr>
        <w:autoSpaceDE w:val="0"/>
        <w:autoSpaceDN w:val="0"/>
        <w:adjustRightInd w:val="0"/>
        <w:ind w:firstLine="1365" w:firstLineChars="650"/>
        <w:rPr>
          <w:rFonts w:ascii="宋体" w:hAnsi="宋体"/>
          <w:bCs/>
          <w:color w:val="auto"/>
          <w:kern w:val="0"/>
          <w:szCs w:val="21"/>
          <w:highlight w:val="none"/>
        </w:rPr>
      </w:pPr>
    </w:p>
    <w:p>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地 址：</w:t>
      </w:r>
      <w:r>
        <w:rPr>
          <w:rFonts w:ascii="宋体" w:hAnsi="宋体"/>
          <w:bCs/>
          <w:color w:val="auto"/>
          <w:kern w:val="0"/>
          <w:szCs w:val="21"/>
          <w:highlight w:val="none"/>
          <w:u w:val="single"/>
        </w:rPr>
        <w:t xml:space="preserve">                                                </w:t>
      </w:r>
    </w:p>
    <w:p>
      <w:pPr>
        <w:autoSpaceDE w:val="0"/>
        <w:autoSpaceDN w:val="0"/>
        <w:adjustRightInd w:val="0"/>
        <w:ind w:firstLine="1365" w:firstLineChars="650"/>
        <w:rPr>
          <w:rFonts w:ascii="宋体" w:hAnsi="宋体"/>
          <w:bCs/>
          <w:color w:val="auto"/>
          <w:kern w:val="0"/>
          <w:szCs w:val="21"/>
          <w:highlight w:val="none"/>
        </w:rPr>
      </w:pPr>
    </w:p>
    <w:p>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成立时间： </w:t>
      </w:r>
      <w:r>
        <w:rPr>
          <w:rFonts w:ascii="宋体" w:hAnsi="宋体"/>
          <w:bCs/>
          <w:color w:val="auto"/>
          <w:kern w:val="0"/>
          <w:szCs w:val="21"/>
          <w:highlight w:val="none"/>
          <w:u w:val="single"/>
        </w:rPr>
        <w:t xml:space="preserve">       </w:t>
      </w:r>
      <w:r>
        <w:rPr>
          <w:rFonts w:ascii="宋体" w:hAnsi="宋体"/>
          <w:bCs/>
          <w:color w:val="auto"/>
          <w:kern w:val="0"/>
          <w:szCs w:val="21"/>
          <w:highlight w:val="none"/>
        </w:rPr>
        <w:t>年</w:t>
      </w:r>
      <w:r>
        <w:rPr>
          <w:rFonts w:ascii="宋体" w:hAnsi="宋体"/>
          <w:bCs/>
          <w:color w:val="auto"/>
          <w:kern w:val="0"/>
          <w:szCs w:val="21"/>
          <w:highlight w:val="none"/>
          <w:u w:val="single"/>
        </w:rPr>
        <w:t xml:space="preserve">       </w:t>
      </w:r>
      <w:r>
        <w:rPr>
          <w:rFonts w:ascii="宋体" w:hAnsi="宋体"/>
          <w:bCs/>
          <w:color w:val="auto"/>
          <w:kern w:val="0"/>
          <w:szCs w:val="21"/>
          <w:highlight w:val="none"/>
        </w:rPr>
        <w:t>月</w:t>
      </w:r>
      <w:r>
        <w:rPr>
          <w:rFonts w:ascii="宋体" w:hAnsi="宋体"/>
          <w:bCs/>
          <w:color w:val="auto"/>
          <w:kern w:val="0"/>
          <w:szCs w:val="21"/>
          <w:highlight w:val="none"/>
          <w:u w:val="single"/>
        </w:rPr>
        <w:t xml:space="preserve">       </w:t>
      </w:r>
      <w:r>
        <w:rPr>
          <w:rFonts w:ascii="宋体" w:hAnsi="宋体"/>
          <w:bCs/>
          <w:color w:val="auto"/>
          <w:kern w:val="0"/>
          <w:szCs w:val="21"/>
          <w:highlight w:val="none"/>
        </w:rPr>
        <w:t>日</w:t>
      </w:r>
    </w:p>
    <w:p>
      <w:pPr>
        <w:autoSpaceDE w:val="0"/>
        <w:autoSpaceDN w:val="0"/>
        <w:adjustRightInd w:val="0"/>
        <w:ind w:firstLine="1365" w:firstLineChars="650"/>
        <w:rPr>
          <w:rFonts w:ascii="宋体" w:hAnsi="宋体"/>
          <w:bCs/>
          <w:color w:val="auto"/>
          <w:kern w:val="0"/>
          <w:szCs w:val="21"/>
          <w:highlight w:val="none"/>
        </w:rPr>
      </w:pPr>
    </w:p>
    <w:p>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经营期限：</w:t>
      </w:r>
      <w:r>
        <w:rPr>
          <w:rFonts w:ascii="宋体" w:hAnsi="宋体"/>
          <w:bCs/>
          <w:color w:val="auto"/>
          <w:kern w:val="0"/>
          <w:szCs w:val="21"/>
          <w:highlight w:val="none"/>
          <w:u w:val="single"/>
        </w:rPr>
        <w:t xml:space="preserve">                                             </w:t>
      </w:r>
    </w:p>
    <w:p>
      <w:pPr>
        <w:autoSpaceDE w:val="0"/>
        <w:autoSpaceDN w:val="0"/>
        <w:adjustRightInd w:val="0"/>
        <w:ind w:firstLine="1365" w:firstLineChars="650"/>
        <w:rPr>
          <w:rFonts w:ascii="宋体" w:hAnsi="宋体"/>
          <w:bCs/>
          <w:color w:val="auto"/>
          <w:kern w:val="0"/>
          <w:szCs w:val="21"/>
          <w:highlight w:val="none"/>
        </w:rPr>
      </w:pPr>
    </w:p>
    <w:p>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姓 名：</w:t>
      </w:r>
      <w:r>
        <w:rPr>
          <w:rFonts w:ascii="宋体" w:hAnsi="宋体"/>
          <w:bCs/>
          <w:color w:val="auto"/>
          <w:kern w:val="0"/>
          <w:szCs w:val="21"/>
          <w:highlight w:val="none"/>
          <w:u w:val="single"/>
        </w:rPr>
        <w:t xml:space="preserve">       </w:t>
      </w:r>
      <w:r>
        <w:rPr>
          <w:rFonts w:ascii="宋体" w:hAnsi="宋体"/>
          <w:bCs/>
          <w:color w:val="auto"/>
          <w:kern w:val="0"/>
          <w:szCs w:val="21"/>
          <w:highlight w:val="none"/>
        </w:rPr>
        <w:t xml:space="preserve"> 性 别：</w:t>
      </w:r>
      <w:r>
        <w:rPr>
          <w:rFonts w:ascii="宋体" w:hAnsi="宋体"/>
          <w:bCs/>
          <w:color w:val="auto"/>
          <w:kern w:val="0"/>
          <w:szCs w:val="21"/>
          <w:highlight w:val="none"/>
          <w:u w:val="single"/>
        </w:rPr>
        <w:t xml:space="preserve">       </w:t>
      </w:r>
      <w:r>
        <w:rPr>
          <w:rFonts w:ascii="宋体" w:hAnsi="宋体"/>
          <w:bCs/>
          <w:color w:val="auto"/>
          <w:kern w:val="0"/>
          <w:szCs w:val="21"/>
          <w:highlight w:val="none"/>
        </w:rPr>
        <w:t>年 龄：</w:t>
      </w:r>
      <w:r>
        <w:rPr>
          <w:rFonts w:ascii="宋体" w:hAnsi="宋体"/>
          <w:bCs/>
          <w:color w:val="auto"/>
          <w:kern w:val="0"/>
          <w:szCs w:val="21"/>
          <w:highlight w:val="none"/>
          <w:u w:val="single"/>
        </w:rPr>
        <w:t xml:space="preserve">      </w:t>
      </w:r>
      <w:r>
        <w:rPr>
          <w:rFonts w:ascii="宋体" w:hAnsi="宋体"/>
          <w:bCs/>
          <w:color w:val="auto"/>
          <w:kern w:val="0"/>
          <w:szCs w:val="21"/>
          <w:highlight w:val="none"/>
        </w:rPr>
        <w:t>职 务：</w:t>
      </w:r>
      <w:r>
        <w:rPr>
          <w:rFonts w:ascii="宋体" w:hAnsi="宋体"/>
          <w:bCs/>
          <w:color w:val="auto"/>
          <w:kern w:val="0"/>
          <w:szCs w:val="21"/>
          <w:highlight w:val="none"/>
          <w:u w:val="single"/>
        </w:rPr>
        <w:t xml:space="preserve">      </w:t>
      </w:r>
    </w:p>
    <w:p>
      <w:pPr>
        <w:autoSpaceDE w:val="0"/>
        <w:autoSpaceDN w:val="0"/>
        <w:adjustRightInd w:val="0"/>
        <w:ind w:firstLine="1365" w:firstLineChars="650"/>
        <w:rPr>
          <w:rFonts w:ascii="宋体" w:hAnsi="宋体"/>
          <w:bCs/>
          <w:color w:val="auto"/>
          <w:kern w:val="0"/>
          <w:szCs w:val="21"/>
          <w:highlight w:val="none"/>
        </w:rPr>
      </w:pPr>
    </w:p>
    <w:p>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系 </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r>
        <w:rPr>
          <w:rFonts w:hint="eastAsia" w:ascii="宋体" w:hAnsi="宋体"/>
          <w:bCs/>
          <w:color w:val="auto"/>
          <w:kern w:val="0"/>
          <w:szCs w:val="21"/>
          <w:highlight w:val="none"/>
        </w:rPr>
        <w:t>供应商</w:t>
      </w:r>
      <w:r>
        <w:rPr>
          <w:rFonts w:ascii="宋体" w:hAnsi="宋体"/>
          <w:bCs/>
          <w:color w:val="auto"/>
          <w:kern w:val="0"/>
          <w:szCs w:val="21"/>
          <w:highlight w:val="none"/>
        </w:rPr>
        <w:t>名称）的法定代表人（负责人）。</w:t>
      </w:r>
    </w:p>
    <w:p>
      <w:pPr>
        <w:autoSpaceDE w:val="0"/>
        <w:autoSpaceDN w:val="0"/>
        <w:adjustRightInd w:val="0"/>
        <w:ind w:firstLine="1365" w:firstLineChars="650"/>
        <w:rPr>
          <w:rFonts w:ascii="宋体" w:hAnsi="宋体"/>
          <w:bCs/>
          <w:color w:val="auto"/>
          <w:kern w:val="0"/>
          <w:szCs w:val="21"/>
          <w:highlight w:val="none"/>
        </w:rPr>
      </w:pPr>
    </w:p>
    <w:p>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特此证明。</w:t>
      </w:r>
    </w:p>
    <w:p>
      <w:pPr>
        <w:autoSpaceDE w:val="0"/>
        <w:autoSpaceDN w:val="0"/>
        <w:adjustRightInd w:val="0"/>
        <w:rPr>
          <w:rFonts w:ascii="宋体" w:hAnsi="宋体"/>
          <w:bCs/>
          <w:color w:val="auto"/>
          <w:kern w:val="0"/>
          <w:szCs w:val="21"/>
          <w:highlight w:val="none"/>
        </w:rPr>
      </w:pPr>
    </w:p>
    <w:p>
      <w:pPr>
        <w:autoSpaceDE w:val="0"/>
        <w:autoSpaceDN w:val="0"/>
        <w:adjustRightInd w:val="0"/>
        <w:ind w:firstLine="1365" w:firstLineChars="650"/>
        <w:rPr>
          <w:rFonts w:ascii="宋体" w:hAnsi="宋体"/>
          <w:bCs/>
          <w:color w:val="auto"/>
          <w:kern w:val="0"/>
          <w:szCs w:val="21"/>
          <w:highlight w:val="none"/>
        </w:rPr>
      </w:pPr>
    </w:p>
    <w:p>
      <w:pPr>
        <w:autoSpaceDE w:val="0"/>
        <w:autoSpaceDN w:val="0"/>
        <w:adjustRightInd w:val="0"/>
        <w:ind w:firstLine="3360" w:firstLineChars="1600"/>
        <w:rPr>
          <w:rFonts w:ascii="宋体" w:hAnsi="宋体"/>
          <w:bCs/>
          <w:color w:val="auto"/>
          <w:kern w:val="0"/>
          <w:szCs w:val="21"/>
          <w:highlight w:val="none"/>
        </w:rPr>
      </w:pPr>
      <w:r>
        <w:rPr>
          <w:rFonts w:hint="eastAsia" w:ascii="宋体" w:hAnsi="宋体"/>
          <w:bCs/>
          <w:color w:val="auto"/>
          <w:kern w:val="0"/>
          <w:szCs w:val="21"/>
          <w:highlight w:val="none"/>
        </w:rPr>
        <w:t>供应商</w:t>
      </w:r>
      <w:r>
        <w:rPr>
          <w:rFonts w:ascii="宋体" w:hAnsi="宋体"/>
          <w:bCs/>
          <w:color w:val="auto"/>
          <w:kern w:val="0"/>
          <w:szCs w:val="21"/>
          <w:highlight w:val="none"/>
        </w:rPr>
        <w:t>名称：</w:t>
      </w:r>
      <w:r>
        <w:rPr>
          <w:rFonts w:ascii="宋体" w:hAnsi="宋体"/>
          <w:bCs/>
          <w:color w:val="auto"/>
          <w:kern w:val="0"/>
          <w:szCs w:val="21"/>
          <w:highlight w:val="none"/>
          <w:u w:val="single"/>
        </w:rPr>
        <w:t xml:space="preserve">                       </w:t>
      </w:r>
      <w:r>
        <w:rPr>
          <w:rFonts w:ascii="宋体" w:hAnsi="宋体"/>
          <w:bCs/>
          <w:color w:val="auto"/>
          <w:kern w:val="0"/>
          <w:szCs w:val="21"/>
          <w:highlight w:val="none"/>
        </w:rPr>
        <w:t>（盖章）</w:t>
      </w:r>
    </w:p>
    <w:p>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                        </w:t>
      </w:r>
    </w:p>
    <w:p>
      <w:pPr>
        <w:ind w:firstLine="3885" w:firstLineChars="1850"/>
        <w:rPr>
          <w:rFonts w:ascii="宋体" w:hAnsi="宋体"/>
          <w:color w:val="auto"/>
          <w:kern w:val="0"/>
          <w:szCs w:val="21"/>
          <w:highlight w:val="none"/>
        </w:rPr>
      </w:pPr>
      <w:r>
        <w:rPr>
          <w:rFonts w:ascii="宋体" w:hAnsi="宋体"/>
          <w:color w:val="auto"/>
          <w:kern w:val="0"/>
          <w:szCs w:val="21"/>
          <w:highlight w:val="none"/>
        </w:rPr>
        <w:t>日期：</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spacing w:line="480" w:lineRule="exact"/>
        <w:ind w:firstLine="3885" w:firstLineChars="1850"/>
        <w:rPr>
          <w:rFonts w:ascii="宋体" w:hAnsi="宋体"/>
          <w:color w:val="auto"/>
          <w:kern w:val="0"/>
          <w:szCs w:val="21"/>
          <w:highlight w:val="none"/>
        </w:rPr>
      </w:pPr>
    </w:p>
    <w:tbl>
      <w:tblPr>
        <w:tblStyle w:val="19"/>
        <w:tblW w:w="943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5" w:hRule="atLeast"/>
        </w:trPr>
        <w:tc>
          <w:tcPr>
            <w:tcW w:w="9435" w:type="dxa"/>
          </w:tcPr>
          <w:p>
            <w:pPr>
              <w:spacing w:line="300" w:lineRule="auto"/>
              <w:ind w:left="86"/>
              <w:rPr>
                <w:rFonts w:ascii="宋体" w:hAnsi="宋体"/>
                <w:color w:val="auto"/>
                <w:szCs w:val="21"/>
                <w:highlight w:val="none"/>
              </w:rPr>
            </w:pPr>
            <w:r>
              <w:rPr>
                <w:rFonts w:hint="eastAsia" w:ascii="宋体" w:hAnsi="宋体"/>
                <w:color w:val="auto"/>
                <w:szCs w:val="21"/>
                <w:highlight w:val="none"/>
              </w:rPr>
              <w:t>粘贴法定代表人（负责人）身份证（复印件）</w:t>
            </w:r>
          </w:p>
          <w:p>
            <w:pPr>
              <w:spacing w:line="480" w:lineRule="exact"/>
              <w:ind w:left="86" w:firstLine="3885" w:firstLineChars="1850"/>
              <w:rPr>
                <w:rFonts w:ascii="宋体" w:hAnsi="宋体"/>
                <w:color w:val="auto"/>
                <w:kern w:val="0"/>
                <w:szCs w:val="21"/>
                <w:highlight w:val="none"/>
              </w:rPr>
            </w:pPr>
          </w:p>
          <w:p>
            <w:pPr>
              <w:adjustRightInd w:val="0"/>
              <w:snapToGrid w:val="0"/>
              <w:spacing w:line="300" w:lineRule="auto"/>
              <w:jc w:val="center"/>
              <w:rPr>
                <w:rFonts w:ascii="宋体" w:hAnsi="宋体"/>
                <w:b/>
                <w:color w:val="auto"/>
                <w:sz w:val="28"/>
                <w:szCs w:val="28"/>
                <w:highlight w:val="none"/>
              </w:rPr>
            </w:pPr>
          </w:p>
          <w:p>
            <w:pPr>
              <w:adjustRightInd w:val="0"/>
              <w:snapToGrid w:val="0"/>
              <w:spacing w:line="300" w:lineRule="auto"/>
              <w:jc w:val="center"/>
              <w:rPr>
                <w:rFonts w:ascii="宋体" w:hAnsi="宋体"/>
                <w:b/>
                <w:color w:val="auto"/>
                <w:sz w:val="28"/>
                <w:szCs w:val="28"/>
                <w:highlight w:val="none"/>
              </w:rPr>
            </w:pPr>
          </w:p>
          <w:p>
            <w:pPr>
              <w:adjustRightInd w:val="0"/>
              <w:snapToGrid w:val="0"/>
              <w:spacing w:line="300" w:lineRule="auto"/>
              <w:jc w:val="center"/>
              <w:rPr>
                <w:rFonts w:ascii="宋体" w:hAnsi="宋体"/>
                <w:b/>
                <w:color w:val="auto"/>
                <w:sz w:val="28"/>
                <w:szCs w:val="28"/>
                <w:highlight w:val="none"/>
              </w:rPr>
            </w:pPr>
          </w:p>
          <w:p>
            <w:pPr>
              <w:adjustRightInd w:val="0"/>
              <w:snapToGrid w:val="0"/>
              <w:spacing w:line="300" w:lineRule="auto"/>
              <w:jc w:val="center"/>
              <w:rPr>
                <w:rFonts w:ascii="宋体" w:hAnsi="宋体"/>
                <w:b/>
                <w:color w:val="auto"/>
                <w:sz w:val="28"/>
                <w:szCs w:val="28"/>
                <w:highlight w:val="none"/>
              </w:rPr>
            </w:pPr>
          </w:p>
          <w:p>
            <w:pPr>
              <w:adjustRightInd w:val="0"/>
              <w:snapToGrid w:val="0"/>
              <w:spacing w:line="300" w:lineRule="auto"/>
              <w:jc w:val="center"/>
              <w:rPr>
                <w:rFonts w:ascii="宋体" w:hAnsi="宋体"/>
                <w:color w:val="auto"/>
                <w:szCs w:val="21"/>
                <w:highlight w:val="none"/>
              </w:rPr>
            </w:pPr>
          </w:p>
        </w:tc>
      </w:tr>
    </w:tbl>
    <w:p>
      <w:pPr>
        <w:pStyle w:val="18"/>
        <w:pageBreakBefore w:val="0"/>
        <w:widowControl w:val="0"/>
        <w:numPr>
          <w:ilvl w:val="0"/>
          <w:numId w:val="0"/>
        </w:numPr>
        <w:kinsoku/>
        <w:overflowPunct/>
        <w:topLinePunct w:val="0"/>
        <w:bidi w:val="0"/>
        <w:spacing w:after="120" w:line="560" w:lineRule="exact"/>
        <w:jc w:val="both"/>
        <w:rPr>
          <w:rFonts w:hint="eastAsia" w:ascii="宋体" w:hAnsi="宋体"/>
          <w:color w:val="auto"/>
          <w:szCs w:val="21"/>
          <w:highlight w:val="none"/>
          <w:lang w:val="en-US" w:eastAsia="zh-CN"/>
        </w:rPr>
      </w:pP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授权委托书格式</w:t>
      </w:r>
    </w:p>
    <w:p>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授权委托书</w:t>
      </w:r>
    </w:p>
    <w:p>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pPr>
        <w:pageBreakBefore w:val="0"/>
        <w:kinsoku/>
        <w:overflowPunct/>
        <w:topLinePunct w:val="0"/>
        <w:bidi w:val="0"/>
        <w:spacing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pPr>
        <w:pageBreakBefore w:val="0"/>
        <w:kinsoku/>
        <w:overflowPunct/>
        <w:topLinePunct w:val="0"/>
        <w:bidi w:val="0"/>
        <w:spacing w:line="240" w:lineRule="auto"/>
        <w:ind w:firstLine="495" w:firstLineChars="236"/>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136" w:name="_Hlk65851555"/>
      <w:bookmarkStart w:id="137" w:name="_Hlk65851620"/>
      <w:r>
        <w:rPr>
          <w:rFonts w:hint="eastAsia" w:ascii="宋体" w:hAnsi="宋体" w:eastAsia="宋体" w:cs="宋体"/>
          <w:color w:val="auto"/>
          <w:sz w:val="21"/>
          <w:szCs w:val="21"/>
          <w:highlight w:val="none"/>
        </w:rPr>
        <w:t>法定代表人必须在授权委托书上签字或者盖章或者电子签名，</w:t>
      </w:r>
      <w:bookmarkEnd w:id="136"/>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137"/>
    </w:p>
    <w:p>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pPr>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r>
        <w:rPr>
          <w:rFonts w:hint="eastAsia"/>
          <w:lang w:val="en-US" w:eastAsia="zh-CN"/>
        </w:rPr>
        <w:br w:type="page"/>
      </w:r>
    </w:p>
    <w:p>
      <w:pPr>
        <w:pStyle w:val="2"/>
        <w:rPr>
          <w:rFonts w:hint="eastAsia"/>
        </w:rPr>
      </w:pPr>
    </w:p>
    <w:p>
      <w:pPr>
        <w:pageBreakBefore w:val="0"/>
        <w:kinsoku/>
        <w:overflowPunct/>
        <w:topLinePunct w:val="0"/>
        <w:bidi w:val="0"/>
        <w:spacing w:line="5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3.商务</w:t>
      </w:r>
      <w:r>
        <w:rPr>
          <w:rFonts w:hint="eastAsia" w:ascii="宋体" w:hAnsi="宋体"/>
          <w:color w:val="000000" w:themeColor="text1"/>
          <w:szCs w:val="21"/>
          <w:highlight w:val="none"/>
          <w14:textFill>
            <w14:solidFill>
              <w14:schemeClr w14:val="tx1"/>
            </w14:solidFill>
          </w14:textFill>
        </w:rPr>
        <w:t>响应表</w:t>
      </w:r>
    </w:p>
    <w:p>
      <w:pPr>
        <w:pStyle w:val="18"/>
        <w:pageBreakBefore w:val="0"/>
        <w:kinsoku/>
        <w:overflowPunct/>
        <w:topLinePunct w:val="0"/>
        <w:bidi w:val="0"/>
        <w:spacing w:line="560" w:lineRule="exact"/>
        <w:ind w:firstLine="210"/>
        <w:rPr>
          <w:color w:val="auto"/>
          <w:highlight w:val="none"/>
        </w:rPr>
      </w:pPr>
    </w:p>
    <w:p>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商务</w:t>
      </w:r>
      <w:r>
        <w:rPr>
          <w:rFonts w:hint="eastAsia" w:ascii="宋体" w:hAnsi="宋体"/>
          <w:b/>
          <w:color w:val="auto"/>
          <w:sz w:val="28"/>
          <w:szCs w:val="28"/>
          <w:highlight w:val="none"/>
        </w:rPr>
        <w:t>响应表</w:t>
      </w:r>
    </w:p>
    <w:p>
      <w:pPr>
        <w:rPr>
          <w:rFonts w:hint="default"/>
          <w:lang w:val="en-US"/>
        </w:rPr>
      </w:pPr>
    </w:p>
    <w:tbl>
      <w:tblPr>
        <w:tblStyle w:val="19"/>
        <w:tblpPr w:leftFromText="180" w:rightFromText="180" w:vertAnchor="text" w:horzAnchor="page" w:tblpX="1367" w:tblpY="616"/>
        <w:tblOverlap w:val="never"/>
        <w:tblW w:w="90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2253"/>
        <w:gridCol w:w="2100"/>
        <w:gridCol w:w="1800"/>
        <w:gridCol w:w="1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09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25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21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的承诺</w:t>
            </w:r>
          </w:p>
        </w:tc>
        <w:tc>
          <w:tcPr>
            <w:tcW w:w="18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09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109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u w:val="single"/>
              </w:rPr>
            </w:pPr>
          </w:p>
        </w:tc>
        <w:tc>
          <w:tcPr>
            <w:tcW w:w="21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bl>
    <w:p>
      <w:pPr>
        <w:pStyle w:val="2"/>
        <w:rPr>
          <w:rFonts w:hint="default"/>
          <w:lang w:val="en-US"/>
        </w:rPr>
      </w:pPr>
    </w:p>
    <w:p>
      <w:pPr>
        <w:pStyle w:val="7"/>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Style w:val="9"/>
        <w:pageBreakBefore w:val="0"/>
        <w:kinsoku/>
        <w:overflowPunct/>
        <w:topLinePunct w:val="0"/>
        <w:bidi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章 采购需求”中的要求逐条作明确的投标响应，并作出偏离说明。</w:t>
      </w:r>
    </w:p>
    <w:p>
      <w:pPr>
        <w:pStyle w:val="7"/>
        <w:pageBreakBefore w:val="0"/>
        <w:kinsoku/>
        <w:overflowPunct/>
        <w:topLinePunct w:val="0"/>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应根据自身的承诺，对照</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bookmarkStart w:id="138" w:name="OLE_LINK19"/>
      <w:r>
        <w:rPr>
          <w:rFonts w:hint="eastAsia" w:ascii="宋体" w:hAnsi="宋体" w:eastAsia="宋体" w:cs="宋体"/>
          <w:color w:val="auto"/>
          <w:sz w:val="21"/>
          <w:szCs w:val="21"/>
          <w:highlight w:val="none"/>
        </w:rPr>
        <w:t>负偏离</w:t>
      </w:r>
      <w:bookmarkEnd w:id="138"/>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1"/>
          <w:szCs w:val="21"/>
          <w:highlight w:val="none"/>
        </w:rPr>
      </w:pPr>
      <w:r>
        <w:rPr>
          <w:rFonts w:hint="eastAsia" w:ascii="宋体" w:hAnsi="宋体" w:cs="宋体"/>
          <w:color w:val="auto"/>
          <w:spacing w:val="20"/>
          <w:sz w:val="21"/>
          <w:szCs w:val="21"/>
          <w:highlight w:val="none"/>
          <w:lang w:val="en-US" w:eastAsia="zh-CN"/>
        </w:rPr>
        <w:t>供应商</w:t>
      </w:r>
      <w:r>
        <w:rPr>
          <w:rFonts w:hint="eastAsia" w:ascii="宋体" w:hAnsi="宋体" w:eastAsia="宋体" w:cs="宋体"/>
          <w:color w:val="auto"/>
          <w:spacing w:val="20"/>
          <w:sz w:val="21"/>
          <w:szCs w:val="21"/>
          <w:highlight w:val="none"/>
        </w:rPr>
        <w:t>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pPr>
        <w:rPr>
          <w:rFonts w:hint="eastAsia"/>
          <w:lang w:val="en-US" w:eastAsia="zh-CN"/>
        </w:rPr>
      </w:pPr>
      <w:r>
        <w:rPr>
          <w:rFonts w:hint="eastAsia"/>
          <w:lang w:val="en-US" w:eastAsia="zh-CN"/>
        </w:rPr>
        <w:br w:type="page"/>
      </w:r>
    </w:p>
    <w:p>
      <w:pPr>
        <w:pStyle w:val="2"/>
        <w:rPr>
          <w:rFonts w:hint="default"/>
          <w:lang w:val="en-US"/>
        </w:rPr>
      </w:pPr>
    </w:p>
    <w:p>
      <w:pPr>
        <w:rPr>
          <w:rFonts w:hint="default"/>
          <w:lang w:val="en-US"/>
        </w:rPr>
      </w:pPr>
    </w:p>
    <w:p>
      <w:pPr>
        <w:pageBreakBefore w:val="0"/>
        <w:kinsoku/>
        <w:overflowPunct/>
        <w:topLinePunct w:val="0"/>
        <w:bidi w:val="0"/>
        <w:snapToGrid w:val="0"/>
        <w:spacing w:line="560" w:lineRule="exact"/>
        <w:ind w:firstLine="420" w:firstLineChars="200"/>
        <w:rPr>
          <w:rFonts w:hint="eastAsia" w:ascii="宋体" w:hAnsi="宋体" w:cs="Times New Roman"/>
          <w:b w:val="0"/>
          <w:color w:val="auto"/>
          <w:kern w:val="2"/>
          <w:sz w:val="21"/>
          <w:szCs w:val="24"/>
          <w:highlight w:val="none"/>
          <w:lang w:val="en-US" w:eastAsia="zh-CN" w:bidi="ar-SA"/>
        </w:rPr>
      </w:pPr>
    </w:p>
    <w:p>
      <w:pPr>
        <w:pageBreakBefore w:val="0"/>
        <w:widowControl w:val="0"/>
        <w:numPr>
          <w:ilvl w:val="0"/>
          <w:numId w:val="5"/>
        </w:numPr>
        <w:kinsoku/>
        <w:wordWrap/>
        <w:overflowPunct/>
        <w:topLinePunct w:val="0"/>
        <w:autoSpaceDE/>
        <w:autoSpaceDN/>
        <w:bidi w:val="0"/>
        <w:adjustRightInd/>
        <w:snapToGrid w:val="0"/>
        <w:spacing w:line="500" w:lineRule="exact"/>
        <w:ind w:firstLine="420" w:firstLineChars="200"/>
        <w:textAlignment w:val="auto"/>
        <w:rPr>
          <w:rFonts w:hint="eastAsia"/>
        </w:rPr>
      </w:pPr>
      <w:r>
        <w:rPr>
          <w:rFonts w:hint="eastAsia" w:ascii="宋体" w:hAnsi="宋体" w:eastAsia="宋体" w:cs="Times New Roman"/>
          <w:b w:val="0"/>
          <w:color w:val="auto"/>
          <w:kern w:val="2"/>
          <w:sz w:val="21"/>
          <w:szCs w:val="24"/>
          <w:highlight w:val="none"/>
          <w:lang w:val="en-US" w:eastAsia="zh-CN" w:bidi="ar-SA"/>
        </w:rPr>
        <w:t>技术方案</w:t>
      </w:r>
    </w:p>
    <w:p>
      <w:pPr>
        <w:pStyle w:val="18"/>
        <w:pageBreakBefore w:val="0"/>
        <w:widowControl w:val="0"/>
        <w:kinsoku/>
        <w:wordWrap/>
        <w:overflowPunct/>
        <w:topLinePunct w:val="0"/>
        <w:autoSpaceDE/>
        <w:autoSpaceDN/>
        <w:bidi w:val="0"/>
        <w:adjustRightInd/>
        <w:spacing w:line="500" w:lineRule="exact"/>
        <w:ind w:firstLine="210"/>
        <w:jc w:val="center"/>
        <w:textAlignment w:val="auto"/>
        <w:rPr>
          <w:rFonts w:hint="eastAsia"/>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供应商自行提供，格式自拟</w:t>
      </w:r>
    </w:p>
    <w:p>
      <w:pPr>
        <w:pStyle w:val="2"/>
        <w:pageBreakBefore w:val="0"/>
        <w:widowControl w:val="0"/>
        <w:kinsoku/>
        <w:wordWrap/>
        <w:overflowPunct/>
        <w:topLinePunct w:val="0"/>
        <w:autoSpaceDE/>
        <w:autoSpaceDN/>
        <w:bidi w:val="0"/>
        <w:adjustRightInd/>
        <w:spacing w:line="500" w:lineRule="exact"/>
        <w:textAlignment w:val="auto"/>
        <w:rPr>
          <w:rFonts w:hint="eastAsia"/>
        </w:rPr>
      </w:pPr>
    </w:p>
    <w:p>
      <w:pPr>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宋体" w:hAnsi="宋体" w:cs="宋体"/>
          <w:b/>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服务承诺书</w:t>
      </w:r>
    </w:p>
    <w:p>
      <w:pPr>
        <w:pStyle w:val="18"/>
        <w:pageBreakBefore w:val="0"/>
        <w:widowControl w:val="0"/>
        <w:kinsoku/>
        <w:wordWrap/>
        <w:overflowPunct/>
        <w:topLinePunct w:val="0"/>
        <w:autoSpaceDE/>
        <w:autoSpaceDN/>
        <w:bidi w:val="0"/>
        <w:adjustRightInd/>
        <w:spacing w:line="500" w:lineRule="exact"/>
        <w:ind w:firstLine="2520" w:firstLineChars="1200"/>
        <w:jc w:val="both"/>
        <w:textAlignment w:val="auto"/>
        <w:rPr>
          <w:rFonts w:ascii="宋体" w:hAnsi="宋体"/>
          <w:color w:val="auto"/>
          <w:szCs w:val="21"/>
          <w:highlight w:val="none"/>
        </w:rPr>
      </w:pPr>
      <w:r>
        <w:rPr>
          <w:rFonts w:hint="eastAsia" w:ascii="宋体" w:hAnsi="宋体" w:cs="宋体"/>
          <w:szCs w:val="21"/>
          <w:lang w:val="en-US" w:eastAsia="zh-CN"/>
        </w:rPr>
        <w:t xml:space="preserve">            </w:t>
      </w:r>
      <w:r>
        <w:rPr>
          <w:rFonts w:hint="eastAsia" w:ascii="宋体" w:hAnsi="宋体"/>
          <w:color w:val="auto"/>
          <w:szCs w:val="21"/>
          <w:highlight w:val="none"/>
        </w:rPr>
        <w:t>供应商自行提供，格式自拟</w:t>
      </w:r>
    </w:p>
    <w:p>
      <w:pPr>
        <w:pStyle w:val="2"/>
        <w:pageBreakBefore w:val="0"/>
        <w:widowControl w:val="0"/>
        <w:numPr>
          <w:ilvl w:val="0"/>
          <w:numId w:val="0"/>
        </w:numPr>
        <w:kinsoku/>
        <w:wordWrap/>
        <w:overflowPunct/>
        <w:topLinePunct w:val="0"/>
        <w:autoSpaceDE/>
        <w:autoSpaceDN/>
        <w:bidi w:val="0"/>
        <w:adjustRightInd/>
        <w:spacing w:line="5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eastAsia="宋体" w:cs="宋体"/>
          <w:szCs w:val="21"/>
        </w:rPr>
        <w:t>拟投入本项目的人员配置情况</w:t>
      </w:r>
    </w:p>
    <w:p>
      <w:pPr>
        <w:pStyle w:val="18"/>
        <w:pageBreakBefore w:val="0"/>
        <w:widowControl w:val="0"/>
        <w:kinsoku/>
        <w:wordWrap/>
        <w:overflowPunct/>
        <w:topLinePunct w:val="0"/>
        <w:autoSpaceDE/>
        <w:autoSpaceDN/>
        <w:bidi w:val="0"/>
        <w:adjustRightInd/>
        <w:spacing w:line="500" w:lineRule="exact"/>
        <w:ind w:firstLine="210"/>
        <w:jc w:val="center"/>
        <w:textAlignment w:val="auto"/>
        <w:rPr>
          <w:rFonts w:hint="default" w:eastAsia="宋体"/>
          <w:lang w:val="en-US" w:eastAsia="zh-CN"/>
        </w:rPr>
      </w:pPr>
      <w:r>
        <w:rPr>
          <w:rFonts w:hint="eastAsia" w:ascii="宋体" w:hAnsi="宋体" w:cs="宋体"/>
          <w:szCs w:val="21"/>
          <w:lang w:val="en-US" w:eastAsia="zh-CN"/>
        </w:rPr>
        <w:t xml:space="preserve">       </w:t>
      </w:r>
      <w:bookmarkStart w:id="139" w:name="OLE_LINK53"/>
      <w:r>
        <w:rPr>
          <w:rFonts w:hint="eastAsia" w:ascii="宋体" w:hAnsi="宋体"/>
          <w:color w:val="auto"/>
          <w:szCs w:val="21"/>
          <w:highlight w:val="none"/>
        </w:rPr>
        <w:t>供应商自行提供，格式自拟</w:t>
      </w:r>
      <w:bookmarkEnd w:id="139"/>
    </w:p>
    <w:p>
      <w:pPr>
        <w:pageBreakBefore w:val="0"/>
        <w:widowControl w:val="0"/>
        <w:kinsoku/>
        <w:wordWrap/>
        <w:overflowPunct/>
        <w:topLinePunct w:val="0"/>
        <w:autoSpaceDE/>
        <w:autoSpaceDN/>
        <w:bidi w:val="0"/>
        <w:adjustRightInd/>
        <w:spacing w:line="50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zCs w:val="21"/>
        </w:rPr>
      </w:pPr>
    </w:p>
    <w:p>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textAlignment w:val="auto"/>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eastAsia="宋体" w:cs="宋体"/>
          <w:szCs w:val="21"/>
        </w:rPr>
        <w:t>服务方案</w:t>
      </w:r>
    </w:p>
    <w:p>
      <w:pPr>
        <w:pStyle w:val="18"/>
        <w:pageBreakBefore w:val="0"/>
        <w:widowControl w:val="0"/>
        <w:kinsoku/>
        <w:wordWrap/>
        <w:overflowPunct/>
        <w:topLinePunct w:val="0"/>
        <w:autoSpaceDE/>
        <w:autoSpaceDN/>
        <w:bidi w:val="0"/>
        <w:adjustRightInd/>
        <w:spacing w:line="500" w:lineRule="exact"/>
        <w:ind w:firstLine="210"/>
        <w:jc w:val="center"/>
        <w:textAlignment w:val="auto"/>
        <w:rPr>
          <w:rFonts w:hint="eastAsia"/>
        </w:rPr>
      </w:pPr>
      <w:r>
        <w:rPr>
          <w:rFonts w:hint="eastAsia"/>
          <w:lang w:val="en-US" w:eastAsia="zh-CN"/>
        </w:rPr>
        <w:t xml:space="preserve">         </w:t>
      </w:r>
      <w:r>
        <w:rPr>
          <w:rFonts w:hint="eastAsia" w:ascii="宋体" w:hAnsi="宋体"/>
          <w:color w:val="auto"/>
          <w:szCs w:val="21"/>
          <w:highlight w:val="none"/>
        </w:rPr>
        <w:t>供应商自行提供，格式自拟</w:t>
      </w:r>
    </w:p>
    <w:p>
      <w:pPr>
        <w:pStyle w:val="2"/>
        <w:pageBreakBefore w:val="0"/>
        <w:widowControl w:val="0"/>
        <w:kinsoku/>
        <w:wordWrap/>
        <w:overflowPunct/>
        <w:topLinePunct w:val="0"/>
        <w:autoSpaceDE/>
        <w:autoSpaceDN/>
        <w:bidi w:val="0"/>
        <w:adjustRightInd/>
        <w:spacing w:line="500" w:lineRule="exact"/>
        <w:textAlignment w:val="auto"/>
        <w:rPr>
          <w:rFonts w:hint="eastAsia"/>
        </w:rPr>
      </w:pPr>
    </w:p>
    <w:p>
      <w:pPr>
        <w:rPr>
          <w:rFonts w:hint="eastAsia"/>
        </w:rPr>
      </w:pPr>
    </w:p>
    <w:p>
      <w:pPr>
        <w:pageBreakBefore w:val="0"/>
        <w:widowControl w:val="0"/>
        <w:numPr>
          <w:ilvl w:val="0"/>
          <w:numId w:val="6"/>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《采购需求》中要求必须提供的材料（如有，必须提供）</w:t>
      </w:r>
    </w:p>
    <w:p>
      <w:pPr>
        <w:pageBreakBefore w:val="0"/>
        <w:widowControl w:val="0"/>
        <w:numPr>
          <w:ilvl w:val="0"/>
          <w:numId w:val="0"/>
        </w:numPr>
        <w:kinsoku/>
        <w:wordWrap/>
        <w:overflowPunct/>
        <w:topLinePunct w:val="0"/>
        <w:autoSpaceDE/>
        <w:autoSpaceDN/>
        <w:bidi w:val="0"/>
        <w:adjustRightInd/>
        <w:snapToGrid w:val="0"/>
        <w:spacing w:line="500" w:lineRule="exact"/>
        <w:ind w:firstLine="3990" w:firstLineChars="19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供应商自行提供，格式自拟</w:t>
      </w:r>
    </w:p>
    <w:p>
      <w:pPr>
        <w:pStyle w:val="18"/>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pPr>
        <w:pStyle w:val="18"/>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pPr>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p>
    <w:p>
      <w:pPr>
        <w:pStyle w:val="18"/>
        <w:pageBreakBefore w:val="0"/>
        <w:widowControl w:val="0"/>
        <w:numPr>
          <w:ilvl w:val="0"/>
          <w:numId w:val="0"/>
        </w:numPr>
        <w:kinsoku/>
        <w:wordWrap/>
        <w:overflowPunct/>
        <w:topLinePunct w:val="0"/>
        <w:autoSpaceDE/>
        <w:autoSpaceDN/>
        <w:bidi w:val="0"/>
        <w:adjustRightInd/>
        <w:spacing w:after="120" w:line="500" w:lineRule="exact"/>
        <w:ind w:firstLine="4410" w:firstLineChars="2100"/>
        <w:jc w:val="both"/>
        <w:textAlignment w:val="auto"/>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r>
        <w:rPr>
          <w:rFonts w:hint="eastAsia" w:ascii="宋体" w:hAnsi="宋体"/>
          <w:color w:val="auto"/>
          <w:szCs w:val="21"/>
          <w:highlight w:val="none"/>
          <w:lang w:val="en-US" w:eastAsia="zh-CN"/>
        </w:rPr>
        <w:t>供应商自行提供，格式自拟</w:t>
      </w:r>
    </w:p>
    <w:p>
      <w:pPr>
        <w:pStyle w:val="18"/>
        <w:pageBreakBefore w:val="0"/>
        <w:widowControl w:val="0"/>
        <w:numPr>
          <w:ilvl w:val="0"/>
          <w:numId w:val="0"/>
        </w:numPr>
        <w:kinsoku/>
        <w:overflowPunct/>
        <w:topLinePunct w:val="0"/>
        <w:bidi w:val="0"/>
        <w:spacing w:after="120" w:line="560" w:lineRule="exact"/>
        <w:jc w:val="both"/>
        <w:rPr>
          <w:rFonts w:hint="eastAsia" w:ascii="宋体" w:hAnsi="宋体"/>
          <w:color w:val="auto"/>
          <w:szCs w:val="21"/>
          <w:highlight w:val="none"/>
          <w:lang w:val="en-US" w:eastAsia="zh-CN"/>
        </w:rPr>
      </w:pPr>
    </w:p>
    <w:p>
      <w:pPr>
        <w:pageBreakBefore w:val="0"/>
        <w:kinsoku/>
        <w:overflowPunct/>
        <w:topLinePunct w:val="0"/>
        <w:bidi w:val="0"/>
        <w:spacing w:line="560" w:lineRule="exact"/>
        <w:rPr>
          <w:rFonts w:ascii="宋体" w:hAnsi="宋体"/>
          <w:color w:val="auto"/>
          <w:sz w:val="28"/>
          <w:szCs w:val="28"/>
          <w:highlight w:val="none"/>
        </w:rPr>
      </w:pPr>
    </w:p>
    <w:p>
      <w:pPr>
        <w:pStyle w:val="12"/>
        <w:rPr>
          <w:rFonts w:ascii="宋体" w:hAnsi="宋体"/>
          <w:color w:val="auto"/>
          <w:sz w:val="28"/>
          <w:szCs w:val="28"/>
          <w:highlight w:val="none"/>
        </w:rPr>
      </w:pPr>
    </w:p>
    <w:p>
      <w:pPr>
        <w:rPr>
          <w:rFonts w:ascii="宋体" w:hAnsi="宋体"/>
          <w:color w:val="auto"/>
          <w:sz w:val="28"/>
          <w:szCs w:val="28"/>
          <w:highlight w:val="none"/>
        </w:rPr>
      </w:pPr>
    </w:p>
    <w:p>
      <w:pPr>
        <w:pStyle w:val="12"/>
        <w:rPr>
          <w:rFonts w:ascii="宋体" w:hAnsi="宋体"/>
          <w:color w:val="auto"/>
          <w:sz w:val="28"/>
          <w:szCs w:val="28"/>
          <w:highlight w:val="none"/>
        </w:rPr>
      </w:pPr>
    </w:p>
    <w:p/>
    <w:p>
      <w:pPr>
        <w:pStyle w:val="2"/>
        <w:pageBreakBefore w:val="0"/>
        <w:kinsoku/>
        <w:overflowPunct/>
        <w:topLinePunct w:val="0"/>
        <w:bidi w:val="0"/>
        <w:spacing w:line="560" w:lineRule="exact"/>
        <w:rPr>
          <w:rFonts w:ascii="宋体" w:hAnsi="宋体"/>
          <w:color w:val="auto"/>
          <w:sz w:val="28"/>
          <w:szCs w:val="28"/>
          <w:highlight w:val="none"/>
        </w:rPr>
      </w:pPr>
    </w:p>
    <w:p>
      <w:pPr>
        <w:pageBreakBefore w:val="0"/>
        <w:kinsoku/>
        <w:overflowPunct/>
        <w:topLinePunct w:val="0"/>
        <w:bidi w:val="0"/>
        <w:spacing w:line="560" w:lineRule="exact"/>
        <w:jc w:val="both"/>
        <w:rPr>
          <w:rFonts w:ascii="宋体" w:hAnsi="宋体"/>
          <w:b/>
          <w:color w:val="auto"/>
          <w:sz w:val="44"/>
          <w:szCs w:val="32"/>
          <w:highlight w:val="none"/>
        </w:rPr>
      </w:pPr>
    </w:p>
    <w:p>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价格文件（封面）</w:t>
      </w: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p>
    <w:p>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pPr>
        <w:pageBreakBefore w:val="0"/>
        <w:kinsoku/>
        <w:overflowPunct/>
        <w:topLinePunct w:val="0"/>
        <w:bidi w:val="0"/>
        <w:spacing w:line="560" w:lineRule="exact"/>
        <w:rPr>
          <w:rFonts w:ascii="宋体" w:hAnsi="宋体"/>
          <w:color w:val="auto"/>
          <w:sz w:val="28"/>
          <w:szCs w:val="28"/>
          <w:highlight w:val="none"/>
        </w:rPr>
      </w:pPr>
    </w:p>
    <w:p>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pPr>
        <w:pageBreakBefore w:val="0"/>
        <w:kinsoku/>
        <w:overflowPunct/>
        <w:topLinePunct w:val="0"/>
        <w:bidi w:val="0"/>
        <w:spacing w:line="560" w:lineRule="exact"/>
        <w:ind w:right="384" w:rightChars="183"/>
        <w:jc w:val="left"/>
        <w:rPr>
          <w:rFonts w:ascii="宋体" w:hAnsi="宋体"/>
          <w:b/>
          <w:color w:val="auto"/>
          <w:sz w:val="28"/>
          <w:szCs w:val="28"/>
          <w:highlight w:val="none"/>
        </w:rPr>
      </w:pPr>
    </w:p>
    <w:p>
      <w:pPr>
        <w:pageBreakBefore w:val="0"/>
        <w:kinsoku/>
        <w:overflowPunct/>
        <w:topLinePunct w:val="0"/>
        <w:bidi w:val="0"/>
        <w:spacing w:line="560" w:lineRule="exact"/>
        <w:ind w:right="384" w:rightChars="183"/>
        <w:jc w:val="left"/>
        <w:rPr>
          <w:rFonts w:ascii="宋体" w:hAnsi="宋体"/>
          <w:b/>
          <w:color w:val="auto"/>
          <w:sz w:val="28"/>
          <w:szCs w:val="28"/>
          <w:highlight w:val="none"/>
        </w:rPr>
        <w:sectPr>
          <w:pgSz w:w="11906" w:h="16838"/>
          <w:pgMar w:top="1304" w:right="1304" w:bottom="1304" w:left="1304" w:header="720" w:footer="720" w:gutter="0"/>
          <w:pgNumType w:fmt="decimal"/>
          <w:cols w:space="720" w:num="1"/>
          <w:docGrid w:type="lines" w:linePitch="312" w:charSpace="0"/>
        </w:sectPr>
      </w:pPr>
    </w:p>
    <w:p>
      <w:pPr>
        <w:pageBreakBefore w:val="0"/>
        <w:kinsoku/>
        <w:overflowPunct/>
        <w:topLinePunct w:val="0"/>
        <w:bidi w:val="0"/>
        <w:spacing w:line="560" w:lineRule="exact"/>
        <w:ind w:firstLine="485" w:firstLineChars="151"/>
        <w:jc w:val="center"/>
        <w:rPr>
          <w:rFonts w:ascii="宋体" w:hAnsi="宋体"/>
          <w:color w:val="auto"/>
          <w:szCs w:val="21"/>
          <w:highlight w:val="none"/>
        </w:rPr>
      </w:pPr>
      <w:r>
        <w:rPr>
          <w:rFonts w:hint="eastAsia" w:ascii="宋体" w:hAnsi="宋体"/>
          <w:b/>
          <w:bCs/>
          <w:color w:val="auto"/>
          <w:sz w:val="32"/>
          <w:szCs w:val="32"/>
          <w:highlight w:val="none"/>
        </w:rPr>
        <w:t>目录（页码自行编制）</w:t>
      </w:r>
    </w:p>
    <w:p>
      <w:pPr>
        <w:pageBreakBefore w:val="0"/>
        <w:kinsoku/>
        <w:overflowPunct/>
        <w:topLinePunct w:val="0"/>
        <w:bidi w:val="0"/>
        <w:spacing w:line="560" w:lineRule="exact"/>
        <w:ind w:firstLine="317" w:firstLineChars="151"/>
        <w:jc w:val="center"/>
        <w:rPr>
          <w:rFonts w:ascii="宋体" w:hAnsi="宋体"/>
          <w:color w:val="auto"/>
          <w:szCs w:val="21"/>
          <w:highlight w:val="none"/>
        </w:rPr>
      </w:pP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pPr>
        <w:pStyle w:val="2"/>
        <w:numPr>
          <w:ilvl w:val="0"/>
          <w:numId w:val="0"/>
        </w:numPr>
        <w:ind w:leftChars="200"/>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pStyle w:val="2"/>
        <w:rPr>
          <w:rFonts w:hint="default"/>
          <w:lang w:val="en-US"/>
        </w:rPr>
      </w:pPr>
    </w:p>
    <w:p>
      <w:pPr>
        <w:rPr>
          <w:rFonts w:hint="default"/>
          <w:lang w:val="en-US"/>
        </w:rPr>
      </w:pPr>
    </w:p>
    <w:p>
      <w:pPr>
        <w:rPr>
          <w:rFonts w:hint="default"/>
          <w:lang w:val="en-US"/>
        </w:rPr>
      </w:pPr>
    </w:p>
    <w:p>
      <w:pPr>
        <w:pageBreakBefore w:val="0"/>
        <w:kinsoku/>
        <w:overflowPunct/>
        <w:topLinePunct w:val="0"/>
        <w:bidi w:val="0"/>
        <w:spacing w:line="5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磋商响应函</w:t>
      </w:r>
    </w:p>
    <w:p>
      <w:pPr>
        <w:pageBreakBefore w:val="0"/>
        <w:kinsoku/>
        <w:overflowPunct/>
        <w:topLinePunct w:val="0"/>
        <w:bidi w:val="0"/>
        <w:spacing w:line="560" w:lineRule="exact"/>
        <w:ind w:firstLine="420" w:firstLineChars="200"/>
        <w:jc w:val="center"/>
        <w:rPr>
          <w:rFonts w:ascii="宋体" w:hAnsi="宋体"/>
          <w:color w:val="auto"/>
          <w:szCs w:val="21"/>
          <w:highlight w:val="none"/>
        </w:rPr>
      </w:pPr>
      <w:r>
        <w:rPr>
          <w:rFonts w:hint="eastAsia" w:ascii="宋体" w:hAnsi="宋体"/>
          <w:color w:val="auto"/>
          <w:szCs w:val="21"/>
          <w:highlight w:val="none"/>
        </w:rPr>
        <w:t>磋商响应函</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我方已仔细阅读了贵方组织的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rPr>
        <w:t>的竞争性磋商文件的全部内容，现正式递交下述文件参加贵方组织的本次政府采购活动：</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一、首次价格文件电子版份（包含按编制要求提交的全部文件）；</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二、技术文件电子版份（包含按按编制要求提交的全部文件）；商务文件电子版份（包含按按编制要求提交的全部文件）；（商务、技术文件已合并成册）</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据此函，签字人兹宣布：</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1、我方愿意以（大写）人民币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元)的磋商总报价，提供服务期：</w:t>
      </w:r>
      <w:r>
        <w:rPr>
          <w:rFonts w:hint="eastAsia" w:ascii="宋体" w:hAnsi="宋体"/>
          <w:color w:val="auto"/>
          <w:szCs w:val="21"/>
          <w:highlight w:val="none"/>
          <w:u w:val="single"/>
        </w:rPr>
        <w:t xml:space="preserve">            </w:t>
      </w:r>
      <w:r>
        <w:rPr>
          <w:rFonts w:hint="eastAsia" w:ascii="宋体" w:hAnsi="宋体"/>
          <w:color w:val="auto"/>
          <w:szCs w:val="21"/>
          <w:highlight w:val="none"/>
        </w:rPr>
        <w:t>，提供本项目竞争性磋商文件第</w:t>
      </w:r>
      <w:r>
        <w:rPr>
          <w:rFonts w:hint="eastAsia" w:ascii="宋体" w:hAnsi="宋体"/>
          <w:color w:val="auto"/>
          <w:szCs w:val="21"/>
          <w:highlight w:val="none"/>
          <w:lang w:val="en-US" w:eastAsia="zh-CN"/>
        </w:rPr>
        <w:t>三</w:t>
      </w:r>
      <w:r>
        <w:rPr>
          <w:rFonts w:hint="eastAsia" w:ascii="宋体" w:hAnsi="宋体"/>
          <w:color w:val="auto"/>
          <w:szCs w:val="21"/>
          <w:highlight w:val="none"/>
        </w:rPr>
        <w:t>章“采购需求”中相应的采购内容。</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2、我方同意自本项目竞争性磋商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采购公告规定的递交响应文件截止时间起遵循本响应函，并承诺在“第二章</w:t>
      </w:r>
      <w:r>
        <w:rPr>
          <w:rFonts w:hint="eastAsia" w:ascii="宋体" w:hAnsi="宋体"/>
          <w:color w:val="auto"/>
          <w:szCs w:val="21"/>
          <w:highlight w:val="none"/>
          <w:lang w:val="en-US" w:eastAsia="zh-CN"/>
        </w:rPr>
        <w:t>供应商</w:t>
      </w:r>
      <w:r>
        <w:rPr>
          <w:rFonts w:hint="eastAsia" w:ascii="宋体" w:hAnsi="宋体"/>
          <w:color w:val="auto"/>
          <w:szCs w:val="21"/>
          <w:highlight w:val="none"/>
        </w:rPr>
        <w:t>须知前附表”规定的响应有效期内不修改、撤销响应文件。</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3、我方在此声明，所递交的响应文件及有关资料内容完整、真实和准确。</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4、如本项目采购内容涉及须符合国家强制规定的，我方承诺我方本次磋商均符合国家有关强制规定。</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（1）具有独立承担民事责任的能力；</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（6）法律、行政法规规定的其他条件。</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6、如我方成交，我方承诺在收到成交通知书后，在成交通知书规定的期限内，根据竞争性磋商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、我方的响应文件及有关澄清承诺书的要求按第五章“</w:t>
      </w:r>
      <w:r>
        <w:rPr>
          <w:rFonts w:hint="eastAsia" w:hAnsi="宋体"/>
          <w:color w:val="auto"/>
          <w:szCs w:val="21"/>
          <w:highlight w:val="none"/>
        </w:rPr>
        <w:t>合同条款及格式</w:t>
      </w:r>
      <w:r>
        <w:rPr>
          <w:rFonts w:hint="eastAsia" w:ascii="宋体" w:hAnsi="宋体"/>
          <w:color w:val="auto"/>
          <w:szCs w:val="21"/>
          <w:highlight w:val="none"/>
        </w:rPr>
        <w:t>”与采购人订立书面合同，并按照合同约定承担完成合同的责任和义务。</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7、我方已详细审核竞争性磋商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，我方知道必须放弃提出含糊不清或误解问题的权利。</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8、我方承诺满足竞争性磋商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第五章“</w:t>
      </w:r>
      <w:r>
        <w:rPr>
          <w:rFonts w:hint="eastAsia" w:hAnsi="宋体"/>
          <w:color w:val="auto"/>
          <w:szCs w:val="21"/>
          <w:highlight w:val="none"/>
        </w:rPr>
        <w:t>合同条款及格式</w:t>
      </w:r>
      <w:r>
        <w:rPr>
          <w:rFonts w:hint="eastAsia" w:ascii="宋体" w:hAnsi="宋体"/>
          <w:color w:val="auto"/>
          <w:szCs w:val="21"/>
          <w:highlight w:val="none"/>
        </w:rPr>
        <w:t>”的条款，承担完成合同的责任和义务。</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9、我方同意应贵方要求提供与本磋商有关的任何数据或资料。若贵方需要，我方愿意提供我方</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作出的一切承诺的证明材料。</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10、我方完全理解贵方不一定接受响应报价最低的供应商为成交供应商的行为。</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（1）提供虚假材料谋取中标、成交的；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（2）采取不正当手段诋毁、排挤其他供应商的；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（3）与采购人、其他供应商或者采购代理机构恶意串通的；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（5）在采购过程中与采购人进行协商磋商的；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（6）拒绝有关部门监督检查或提供虚假情况的。</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12.与本磋商有关的一切正式往来信函请寄：</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r>
        <w:rPr>
          <w:rFonts w:hint="eastAsia" w:ascii="宋体" w:hAnsi="宋体"/>
          <w:color w:val="auto"/>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ascii="宋体" w:hAnsi="宋体"/>
          <w:color w:val="auto"/>
          <w:szCs w:val="21"/>
          <w:highlight w:val="none"/>
        </w:rPr>
      </w:pPr>
      <w:r>
        <w:rPr>
          <w:rFonts w:hint="eastAsia" w:ascii="宋体" w:hAnsi="宋体"/>
          <w:color w:val="auto"/>
          <w:szCs w:val="21"/>
          <w:highlight w:val="none"/>
        </w:rPr>
        <w:t>供应商名称（盖章）：</w:t>
      </w:r>
      <w:r>
        <w:rPr>
          <w:rFonts w:hint="eastAsia" w:ascii="宋体" w:hAnsi="宋体"/>
          <w:color w:val="auto"/>
          <w:szCs w:val="21"/>
          <w:highlight w:val="none"/>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firstLine="5953" w:firstLineChars="2835"/>
        <w:textAlignment w:val="auto"/>
        <w:rPr>
          <w:rFonts w:ascii="宋体" w:hAnsi="宋体"/>
          <w:color w:val="auto"/>
          <w:szCs w:val="21"/>
          <w:highlight w:val="none"/>
        </w:rPr>
      </w:pPr>
      <w:r>
        <w:rPr>
          <w:rFonts w:hint="eastAsia" w:ascii="宋体" w:hAnsi="宋体"/>
          <w:color w:val="auto"/>
          <w:szCs w:val="21"/>
          <w:highlight w:val="none"/>
        </w:rPr>
        <w:t>日期：   年    月   日</w:t>
      </w:r>
    </w:p>
    <w:p>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pPr>
        <w:pageBreakBefore w:val="0"/>
        <w:kinsoku/>
        <w:overflowPunct/>
        <w:topLinePunct w:val="0"/>
        <w:bidi w:val="0"/>
        <w:spacing w:line="5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磋商报价表</w:t>
      </w:r>
    </w:p>
    <w:p>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磋商报价表</w:t>
      </w:r>
    </w:p>
    <w:p>
      <w:pPr>
        <w:pageBreakBefore w:val="0"/>
        <w:kinsoku/>
        <w:overflowPunct/>
        <w:topLinePunct w:val="0"/>
        <w:bidi w:val="0"/>
        <w:spacing w:line="560" w:lineRule="exact"/>
        <w:jc w:val="center"/>
        <w:rPr>
          <w:rFonts w:ascii="宋体" w:hAnsi="宋体"/>
          <w:b/>
          <w:color w:val="auto"/>
          <w:sz w:val="32"/>
          <w:szCs w:val="32"/>
          <w:highlight w:val="none"/>
        </w:rPr>
      </w:pPr>
    </w:p>
    <w:p>
      <w:pPr>
        <w:pageBreakBefore w:val="0"/>
        <w:kinsoku/>
        <w:wordWrap w:val="0"/>
        <w:overflowPunct/>
        <w:topLinePunct w:val="0"/>
        <w:bidi w:val="0"/>
        <w:spacing w:line="560" w:lineRule="exact"/>
        <w:rPr>
          <w:rFonts w:ascii="宋体" w:hAnsi="宋体"/>
          <w:color w:val="auto"/>
          <w:szCs w:val="21"/>
          <w:highlight w:val="none"/>
          <w:u w:val="single"/>
        </w:rPr>
      </w:pPr>
      <w:r>
        <w:rPr>
          <w:rFonts w:hint="eastAsia" w:ascii="宋体" w:hAnsi="宋体"/>
          <w:color w:val="auto"/>
          <w:szCs w:val="21"/>
          <w:highlight w:val="none"/>
        </w:rPr>
        <w:t>采购项目编号:</w:t>
      </w:r>
    </w:p>
    <w:p>
      <w:pPr>
        <w:pageBreakBefore w:val="0"/>
        <w:kinsoku/>
        <w:wordWrap w:val="0"/>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采购项目名称:</w:t>
      </w:r>
      <w:r>
        <w:rPr>
          <w:rFonts w:hint="eastAsia"/>
          <w:color w:val="auto"/>
          <w:highlight w:val="none"/>
        </w:rPr>
        <w:t xml:space="preserve"> </w:t>
      </w:r>
    </w:p>
    <w:p>
      <w:pPr>
        <w:pageBreakBefore w:val="0"/>
        <w:kinsoku/>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u w:val="single"/>
        </w:rPr>
        <w:t xml:space="preserve">    /     </w:t>
      </w:r>
      <w:r>
        <w:rPr>
          <w:rFonts w:hint="eastAsia" w:ascii="宋体" w:hAnsi="宋体"/>
          <w:color w:val="auto"/>
          <w:szCs w:val="21"/>
          <w:highlight w:val="none"/>
        </w:rPr>
        <w:t>（有分标时填写）</w:t>
      </w:r>
    </w:p>
    <w:tbl>
      <w:tblPr>
        <w:tblStyle w:val="19"/>
        <w:tblW w:w="9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3671"/>
        <w:gridCol w:w="734"/>
        <w:gridCol w:w="1175"/>
        <w:gridCol w:w="1616"/>
        <w:gridCol w:w="1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trPr>
        <w:tc>
          <w:tcPr>
            <w:tcW w:w="406"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项号</w:t>
            </w:r>
          </w:p>
        </w:tc>
        <w:tc>
          <w:tcPr>
            <w:tcW w:w="3671"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服务内容</w:t>
            </w:r>
          </w:p>
        </w:tc>
        <w:tc>
          <w:tcPr>
            <w:tcW w:w="734"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单位</w:t>
            </w:r>
          </w:p>
        </w:tc>
        <w:tc>
          <w:tcPr>
            <w:tcW w:w="1175"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数量</w:t>
            </w:r>
          </w:p>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①</w:t>
            </w:r>
          </w:p>
        </w:tc>
        <w:tc>
          <w:tcPr>
            <w:tcW w:w="1616"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单价（元)</w:t>
            </w:r>
          </w:p>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②</w:t>
            </w:r>
          </w:p>
        </w:tc>
        <w:tc>
          <w:tcPr>
            <w:tcW w:w="1615" w:type="dxa"/>
            <w:tcBorders>
              <w:top w:val="single" w:color="auto" w:sz="4" w:space="0"/>
              <w:left w:val="single" w:color="auto" w:sz="4" w:space="0"/>
              <w:bottom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单项合价（元）</w:t>
            </w:r>
          </w:p>
          <w:p>
            <w:pPr>
              <w:pStyle w:val="11"/>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24" w:hRule="atLeast"/>
        </w:trPr>
        <w:tc>
          <w:tcPr>
            <w:tcW w:w="4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3671"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spacing w:line="5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 xml:space="preserve"> </w:t>
            </w:r>
          </w:p>
        </w:tc>
        <w:tc>
          <w:tcPr>
            <w:tcW w:w="734" w:type="dxa"/>
            <w:tcBorders>
              <w:top w:val="single" w:color="auto" w:sz="4" w:space="0"/>
              <w:left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r>
              <w:rPr>
                <w:rFonts w:hint="eastAsia"/>
                <w:color w:val="auto"/>
                <w:highlight w:val="none"/>
              </w:rPr>
              <w:t>项</w:t>
            </w:r>
          </w:p>
        </w:tc>
        <w:tc>
          <w:tcPr>
            <w:tcW w:w="1175" w:type="dxa"/>
            <w:tcBorders>
              <w:top w:val="single" w:color="auto" w:sz="4" w:space="0"/>
              <w:left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1616" w:type="dxa"/>
            <w:tcBorders>
              <w:top w:val="single" w:color="auto" w:sz="4" w:space="0"/>
              <w:left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p>
        </w:tc>
        <w:tc>
          <w:tcPr>
            <w:tcW w:w="1615" w:type="dxa"/>
            <w:tcBorders>
              <w:top w:val="single" w:color="auto" w:sz="4" w:space="0"/>
              <w:left w:val="single" w:color="auto" w:sz="4" w:space="0"/>
              <w:right w:val="single" w:color="auto" w:sz="4" w:space="0"/>
            </w:tcBorders>
            <w:vAlign w:val="center"/>
          </w:tcPr>
          <w:p>
            <w:pPr>
              <w:pStyle w:val="11"/>
              <w:pageBreakBefore w:val="0"/>
              <w:kinsoku/>
              <w:overflowPunct/>
              <w:topLinePunct w:val="0"/>
              <w:bidi w:val="0"/>
              <w:spacing w:line="56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50" w:line="560" w:lineRule="exact"/>
              <w:rPr>
                <w:rFonts w:ascii="宋体" w:hAnsi="宋体" w:cs="仿宋"/>
                <w:color w:val="auto"/>
                <w:szCs w:val="21"/>
                <w:highlight w:val="none"/>
              </w:rPr>
            </w:pPr>
            <w:r>
              <w:rPr>
                <w:rFonts w:hint="eastAsia" w:ascii="宋体" w:hAnsi="宋体" w:cs="仿宋"/>
                <w:color w:val="auto"/>
                <w:szCs w:val="21"/>
                <w:highlight w:val="none"/>
              </w:rPr>
              <w:t>总报价：（大写）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（小写）</w:t>
            </w:r>
            <w:r>
              <w:rPr>
                <w:rFonts w:hint="eastAsia"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50" w:line="560" w:lineRule="exact"/>
              <w:rPr>
                <w:rFonts w:ascii="宋体" w:hAnsi="宋体" w:cs="仿宋"/>
                <w:color w:val="auto"/>
                <w:spacing w:val="20"/>
                <w:szCs w:val="21"/>
                <w:highlight w:val="none"/>
              </w:rPr>
            </w:pPr>
            <w:r>
              <w:rPr>
                <w:rFonts w:hint="eastAsia" w:ascii="宋体" w:hAnsi="宋体" w:cs="仿宋"/>
                <w:color w:val="auto"/>
                <w:spacing w:val="20"/>
                <w:szCs w:val="21"/>
                <w:highlight w:val="none"/>
              </w:rPr>
              <w:t>服务期限</w:t>
            </w:r>
            <w:r>
              <w:rPr>
                <w:rFonts w:hint="eastAsia" w:ascii="宋体" w:hAnsi="宋体" w:cs="仿宋"/>
                <w:color w:val="auto"/>
                <w:szCs w:val="21"/>
                <w:highlight w:val="none"/>
              </w:rPr>
              <w:t xml:space="preserve">： </w:t>
            </w:r>
          </w:p>
        </w:tc>
      </w:tr>
    </w:tbl>
    <w:p>
      <w:pPr>
        <w:pStyle w:val="11"/>
        <w:pageBreakBefore w:val="0"/>
        <w:kinsoku/>
        <w:overflowPunct/>
        <w:topLinePunct w:val="0"/>
        <w:bidi w:val="0"/>
        <w:spacing w:line="560" w:lineRule="exact"/>
        <w:rPr>
          <w:rFonts w:hAnsi="宋体"/>
          <w:color w:val="auto"/>
          <w:szCs w:val="21"/>
          <w:highlight w:val="none"/>
        </w:rPr>
      </w:pPr>
    </w:p>
    <w:p>
      <w:pPr>
        <w:pStyle w:val="11"/>
        <w:pageBreakBefore w:val="0"/>
        <w:kinsoku/>
        <w:overflowPunct/>
        <w:topLinePunct w:val="0"/>
        <w:bidi w:val="0"/>
        <w:spacing w:line="560" w:lineRule="exact"/>
        <w:jc w:val="center"/>
        <w:rPr>
          <w:rFonts w:hAnsi="宋体"/>
          <w:color w:val="auto"/>
          <w:szCs w:val="21"/>
          <w:highlight w:val="none"/>
        </w:rPr>
      </w:pPr>
    </w:p>
    <w:p>
      <w:pPr>
        <w:pStyle w:val="11"/>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pPr>
        <w:pStyle w:val="11"/>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p>
    <w:p>
      <w:pPr>
        <w:pStyle w:val="11"/>
        <w:pageBreakBefore w:val="0"/>
        <w:kinsoku/>
        <w:overflowPunct/>
        <w:topLinePunct w:val="0"/>
        <w:bidi w:val="0"/>
        <w:spacing w:line="560" w:lineRule="exact"/>
        <w:rPr>
          <w:rFonts w:hAnsi="宋体"/>
          <w:color w:val="auto"/>
          <w:szCs w:val="21"/>
          <w:highlight w:val="none"/>
          <w:u w:val="single"/>
        </w:rPr>
      </w:pPr>
    </w:p>
    <w:p>
      <w:pPr>
        <w:pageBreakBefore w:val="0"/>
        <w:kinsoku/>
        <w:overflowPunct/>
        <w:topLinePunct w:val="0"/>
        <w:bidi w:val="0"/>
        <w:spacing w:line="560" w:lineRule="exact"/>
        <w:rPr>
          <w:rFonts w:ascii="Calibri" w:hAnsi="Calibri"/>
          <w:color w:val="auto"/>
          <w:highlight w:val="none"/>
        </w:rPr>
      </w:pPr>
    </w:p>
    <w:p>
      <w:pPr>
        <w:pageBreakBefore w:val="0"/>
        <w:kinsoku/>
        <w:overflowPunct/>
        <w:topLinePunct w:val="0"/>
        <w:bidi w:val="0"/>
        <w:spacing w:line="560" w:lineRule="exact"/>
        <w:jc w:val="left"/>
        <w:rPr>
          <w:rFonts w:hint="eastAsia" w:ascii="宋体" w:hAnsi="宋体"/>
          <w:color w:val="auto"/>
          <w:szCs w:val="21"/>
          <w:highlight w:val="none"/>
        </w:rPr>
      </w:pPr>
    </w:p>
    <w:p>
      <w:pPr>
        <w:pageBreakBefore w:val="0"/>
        <w:kinsoku/>
        <w:overflowPunct/>
        <w:topLinePunct w:val="0"/>
        <w:bidi w:val="0"/>
        <w:spacing w:line="5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供应商针对报价需要说明的其他文件和说明。</w:t>
      </w:r>
    </w:p>
    <w:p>
      <w:pPr>
        <w:pageBreakBefore w:val="0"/>
        <w:kinsoku/>
        <w:overflowPunct/>
        <w:topLinePunct w:val="0"/>
        <w:bidi w:val="0"/>
        <w:spacing w:line="560" w:lineRule="exact"/>
        <w:ind w:firstLine="420" w:firstLineChars="200"/>
        <w:jc w:val="center"/>
        <w:rPr>
          <w:rFonts w:ascii="宋体" w:hAnsi="宋体"/>
          <w:color w:val="auto"/>
          <w:szCs w:val="21"/>
          <w:highlight w:val="none"/>
        </w:rPr>
      </w:pPr>
      <w:r>
        <w:rPr>
          <w:rFonts w:hint="eastAsia" w:ascii="宋体" w:hAnsi="宋体"/>
          <w:color w:val="auto"/>
          <w:szCs w:val="21"/>
          <w:highlight w:val="none"/>
        </w:rPr>
        <w:t>供应商自行提供，格式自拟</w:t>
      </w:r>
    </w:p>
    <w:p>
      <w:pPr>
        <w:pStyle w:val="11"/>
        <w:pageBreakBefore w:val="0"/>
        <w:kinsoku/>
        <w:overflowPunct/>
        <w:topLinePunct w:val="0"/>
        <w:bidi w:val="0"/>
        <w:spacing w:line="560" w:lineRule="exact"/>
        <w:rPr>
          <w:rFonts w:hint="eastAsia" w:ascii="宋体" w:hAnsi="宋体" w:eastAsia="宋体" w:cs="Times New Roman"/>
          <w:color w:val="auto"/>
          <w:kern w:val="2"/>
          <w:sz w:val="21"/>
          <w:szCs w:val="21"/>
          <w:highlight w:val="none"/>
          <w:lang w:val="en-US" w:eastAsia="zh-CN" w:bidi="ar-SA"/>
        </w:rPr>
      </w:pPr>
      <w:r>
        <w:rPr>
          <w:rFonts w:hint="eastAsia" w:hAnsi="宋体" w:cs="宋体"/>
          <w:b/>
          <w:color w:val="auto"/>
          <w:sz w:val="28"/>
          <w:szCs w:val="28"/>
          <w:highlight w:val="none"/>
        </w:rPr>
        <w:t xml:space="preserve">       </w:t>
      </w:r>
      <w:r>
        <w:rPr>
          <w:rFonts w:hint="eastAsia" w:hAnsi="宋体" w:cs="宋体"/>
          <w:color w:val="auto"/>
          <w:sz w:val="28"/>
          <w:szCs w:val="28"/>
          <w:highlight w:val="none"/>
        </w:rPr>
        <w:t xml:space="preserve"> </w:t>
      </w:r>
      <w:r>
        <w:rPr>
          <w:rFonts w:hint="eastAsia" w:hAnsi="宋体" w:cs="宋体"/>
          <w:color w:val="auto"/>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Ansi="宋体" w:cs="宋体"/>
          <w:b/>
          <w:bCs/>
          <w:color w:val="auto"/>
          <w:kern w:val="0"/>
          <w:szCs w:val="21"/>
          <w:highlight w:val="none"/>
        </w:rPr>
      </w:pPr>
      <w:r>
        <w:rPr>
          <w:rFonts w:hint="eastAsia" w:hAnsi="宋体" w:cs="宋体"/>
          <w:b/>
          <w:bCs/>
          <w:color w:val="auto"/>
          <w:kern w:val="0"/>
          <w:szCs w:val="21"/>
          <w:highlight w:val="none"/>
        </w:rPr>
        <w:t>广西壮族自治区政府采购项目</w:t>
      </w:r>
      <w:bookmarkStart w:id="140" w:name="OLE_LINK65"/>
      <w:r>
        <w:rPr>
          <w:rFonts w:hint="eastAsia" w:hAnsi="宋体" w:cs="宋体"/>
          <w:b/>
          <w:bCs/>
          <w:color w:val="auto"/>
          <w:kern w:val="0"/>
          <w:szCs w:val="21"/>
          <w:highlight w:val="none"/>
        </w:rPr>
        <w:t>合同验收书</w:t>
      </w:r>
      <w:bookmarkEnd w:id="140"/>
      <w:r>
        <w:rPr>
          <w:rFonts w:hint="eastAsia" w:hAnsi="宋体" w:cs="宋体"/>
          <w:b/>
          <w:bCs/>
          <w:color w:val="auto"/>
          <w:kern w:val="0"/>
          <w:szCs w:val="21"/>
          <w:highlight w:val="none"/>
        </w:rPr>
        <w:t>（格式）</w:t>
      </w:r>
    </w:p>
    <w:p>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19"/>
        <w:tblW w:w="8930" w:type="dxa"/>
        <w:jc w:val="center"/>
        <w:tblInd w:w="0" w:type="dxa"/>
        <w:tblLayout w:type="fixed"/>
        <w:tblCellMar>
          <w:top w:w="0" w:type="dxa"/>
          <w:left w:w="0" w:type="dxa"/>
          <w:bottom w:w="0" w:type="dxa"/>
          <w:right w:w="0" w:type="dxa"/>
        </w:tblCellMar>
      </w:tblPr>
      <w:tblGrid>
        <w:gridCol w:w="1331"/>
        <w:gridCol w:w="1921"/>
        <w:gridCol w:w="798"/>
        <w:gridCol w:w="102"/>
        <w:gridCol w:w="2002"/>
        <w:gridCol w:w="178"/>
        <w:gridCol w:w="685"/>
        <w:gridCol w:w="1913"/>
      </w:tblGrid>
      <w:tr>
        <w:tblPrEx>
          <w:tblLayout w:type="fixed"/>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tblPrEx>
          <w:tblLayout w:type="fixed"/>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金 额</w:t>
            </w: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tblPrEx>
          <w:tblLayout w:type="fixed"/>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ascii="宋体" w:hAnsi="宋体" w:cs="宋体"/>
                <w:color w:val="auto"/>
                <w:kern w:val="0"/>
                <w:szCs w:val="21"/>
                <w:highlight w:val="none"/>
              </w:rPr>
            </w:pPr>
          </w:p>
        </w:tc>
      </w:tr>
      <w:tr>
        <w:tblPrEx>
          <w:tblLayout w:type="fixed"/>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（应按采购合同、</w:t>
            </w:r>
            <w:r>
              <w:rPr>
                <w:rFonts w:hint="eastAsia" w:ascii="宋体" w:hAnsi="宋体" w:cs="宋体"/>
                <w:color w:val="auto"/>
                <w:kern w:val="0"/>
                <w:szCs w:val="21"/>
                <w:highlight w:val="none"/>
              </w:rPr>
              <w:t>磋商</w:t>
            </w:r>
            <w:r>
              <w:rPr>
                <w:rFonts w:ascii="宋体" w:hAnsi="宋体" w:cs="宋体"/>
                <w:color w:val="auto"/>
                <w:kern w:val="0"/>
                <w:szCs w:val="21"/>
                <w:highlight w:val="none"/>
              </w:rPr>
              <w:t>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Layout w:type="fixed"/>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tblPrEx>
          <w:tblLayout w:type="fixed"/>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签字：</w:t>
            </w:r>
          </w:p>
        </w:tc>
      </w:tr>
      <w:tr>
        <w:tblPrEx>
          <w:tblLayout w:type="fixed"/>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tblPrEx>
          <w:tblLayout w:type="fixed"/>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tblPrEx>
          <w:tblLayout w:type="fixed"/>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r>
              <w:rPr>
                <w:rFonts w:hint="eastAsia" w:ascii="宋体" w:hAnsi="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315" w:firstLineChars="150"/>
              <w:jc w:val="left"/>
              <w:textAlignment w:val="auto"/>
              <w:rPr>
                <w:rFonts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525" w:firstLineChars="2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 xml:space="preserve">联系电话：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pPr>
        <w:pStyle w:val="11"/>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highlight w:val="none"/>
        </w:rPr>
      </w:pPr>
      <w:r>
        <w:rPr>
          <w:rFonts w:hint="eastAsia" w:hAnsi="宋体" w:cs="宋体"/>
          <w:b/>
          <w:color w:val="auto"/>
          <w:highlight w:val="none"/>
        </w:rPr>
        <w:br w:type="page"/>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b/>
          <w:bCs/>
          <w:color w:val="auto"/>
          <w:kern w:val="0"/>
          <w:szCs w:val="21"/>
          <w:highlight w:val="none"/>
        </w:rPr>
        <w:t>政府采购项目履约保证金退付意见书（格式）</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p>
    <w:tbl>
      <w:tblPr>
        <w:tblStyle w:val="1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8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037" w:type="dxa"/>
            <w:vMerge w:val="restart"/>
            <w:vAlign w:val="center"/>
          </w:tcPr>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供</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应</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商</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申</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请</w:t>
            </w:r>
          </w:p>
        </w:tc>
        <w:tc>
          <w:tcPr>
            <w:tcW w:w="8223" w:type="dxa"/>
            <w:vAlign w:val="center"/>
          </w:tcPr>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采购编号：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1037" w:type="dxa"/>
            <w:vMerge w:val="continue"/>
          </w:tcPr>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tc>
        <w:tc>
          <w:tcPr>
            <w:tcW w:w="8223" w:type="dxa"/>
            <w:vAlign w:val="center"/>
          </w:tcPr>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7" w:hRule="atLeast"/>
        </w:trPr>
        <w:tc>
          <w:tcPr>
            <w:tcW w:w="1037" w:type="dxa"/>
            <w:vMerge w:val="continue"/>
          </w:tcPr>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tc>
        <w:tc>
          <w:tcPr>
            <w:tcW w:w="8223" w:type="dxa"/>
          </w:tcPr>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p>
            <w:pPr>
              <w:pageBreakBefore w:val="0"/>
              <w:widowControl w:val="0"/>
              <w:kinsoku/>
              <w:wordWrap/>
              <w:overflowPunct/>
              <w:topLinePunct w:val="0"/>
              <w:autoSpaceDE/>
              <w:autoSpaceDN/>
              <w:bidi w:val="0"/>
              <w:adjustRightInd/>
              <w:spacing w:line="400" w:lineRule="exact"/>
              <w:ind w:firstLine="525" w:firstLineChars="250"/>
              <w:textAlignment w:val="auto"/>
              <w:rPr>
                <w:rFonts w:hAnsi="宋体" w:cs="宋体"/>
                <w:color w:val="auto"/>
                <w:szCs w:val="21"/>
                <w:highlight w:val="none"/>
              </w:rPr>
            </w:pPr>
            <w:r>
              <w:rPr>
                <w:rFonts w:hint="eastAsia" w:hAnsi="宋体" w:cs="宋体"/>
                <w:color w:val="auto"/>
                <w:szCs w:val="21"/>
                <w:highlight w:val="none"/>
              </w:rPr>
              <w:t xml:space="preserve">该项目已于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年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月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日验收并交付使用。根据合同规定，可将履约保证金（大写）人民币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元（小写）￥ </w:t>
            </w:r>
            <w:r>
              <w:rPr>
                <w:rFonts w:hint="eastAsia" w:hAnsi="宋体" w:cs="宋体"/>
                <w:color w:val="auto"/>
                <w:szCs w:val="21"/>
                <w:highlight w:val="none"/>
                <w:u w:val="single"/>
              </w:rPr>
              <w:t xml:space="preserve">           </w:t>
            </w:r>
            <w:r>
              <w:rPr>
                <w:rFonts w:hint="eastAsia" w:hAnsi="宋体" w:cs="宋体"/>
                <w:color w:val="auto"/>
                <w:szCs w:val="21"/>
                <w:highlight w:val="none"/>
              </w:rPr>
              <w:t>元退付到达以下帐户：</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单位名称：</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开户银行：</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银行帐号：</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联系人：</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联系电话：</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 xml:space="preserve">                                       供应商签章</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r>
              <w:rPr>
                <w:rFonts w:hint="eastAsia" w:hAnsi="宋体" w:cs="宋体"/>
                <w:color w:val="auto"/>
                <w:szCs w:val="21"/>
                <w:highlight w:val="none"/>
              </w:rPr>
              <w:t xml:space="preserve">                                     年     月    日</w:t>
            </w:r>
          </w:p>
          <w:p>
            <w:pPr>
              <w:pageBreakBefore w:val="0"/>
              <w:widowControl w:val="0"/>
              <w:kinsoku/>
              <w:wordWrap/>
              <w:overflowPunct/>
              <w:topLinePunct w:val="0"/>
              <w:autoSpaceDE/>
              <w:autoSpaceDN/>
              <w:bidi w:val="0"/>
              <w:adjustRightInd/>
              <w:spacing w:line="400" w:lineRule="exact"/>
              <w:textAlignment w:val="auto"/>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6" w:hRule="atLeast"/>
        </w:trPr>
        <w:tc>
          <w:tcPr>
            <w:tcW w:w="1037" w:type="dxa"/>
            <w:vAlign w:val="center"/>
          </w:tcPr>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采</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购</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单</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位</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意</w:t>
            </w:r>
          </w:p>
          <w:p>
            <w:pPr>
              <w:pageBreakBefore w:val="0"/>
              <w:widowControl w:val="0"/>
              <w:kinsoku/>
              <w:wordWrap/>
              <w:overflowPunct/>
              <w:topLinePunct w:val="0"/>
              <w:autoSpaceDE/>
              <w:autoSpaceDN/>
              <w:bidi w:val="0"/>
              <w:adjustRightInd/>
              <w:spacing w:line="400" w:lineRule="exact"/>
              <w:jc w:val="center"/>
              <w:textAlignment w:val="auto"/>
              <w:rPr>
                <w:rFonts w:hAnsi="宋体" w:cs="宋体"/>
                <w:color w:val="auto"/>
                <w:szCs w:val="21"/>
                <w:highlight w:val="none"/>
              </w:rPr>
            </w:pPr>
            <w:r>
              <w:rPr>
                <w:rFonts w:hint="eastAsia" w:hAnsi="宋体" w:cs="宋体"/>
                <w:color w:val="auto"/>
                <w:szCs w:val="21"/>
                <w:highlight w:val="none"/>
              </w:rPr>
              <w:t>见</w:t>
            </w:r>
          </w:p>
        </w:tc>
        <w:tc>
          <w:tcPr>
            <w:tcW w:w="8223" w:type="dxa"/>
          </w:tcPr>
          <w:p>
            <w:pPr>
              <w:pageBreakBefore w:val="0"/>
              <w:widowControl w:val="0"/>
              <w:kinsoku/>
              <w:wordWrap/>
              <w:overflowPunct/>
              <w:topLinePunct w:val="0"/>
              <w:autoSpaceDE/>
              <w:autoSpaceDN/>
              <w:bidi w:val="0"/>
              <w:adjustRightInd/>
              <w:spacing w:line="400" w:lineRule="exact"/>
              <w:textAlignment w:val="auto"/>
              <w:rPr>
                <w:color w:val="auto"/>
                <w:highlight w:val="none"/>
              </w:rPr>
            </w:pPr>
          </w:p>
          <w:p>
            <w:pPr>
              <w:pageBreakBefore w:val="0"/>
              <w:widowControl w:val="0"/>
              <w:kinsoku/>
              <w:wordWrap/>
              <w:overflowPunct/>
              <w:topLinePunct w:val="0"/>
              <w:autoSpaceDE/>
              <w:autoSpaceDN/>
              <w:bidi w:val="0"/>
              <w:adjustRightInd/>
              <w:spacing w:line="400" w:lineRule="exact"/>
              <w:textAlignment w:val="auto"/>
              <w:rPr>
                <w:color w:val="auto"/>
                <w:highlight w:val="none"/>
              </w:rPr>
            </w:pPr>
            <w:r>
              <w:rPr>
                <w:rFonts w:hint="eastAsia"/>
                <w:color w:val="auto"/>
                <w:highlight w:val="none"/>
              </w:rPr>
              <w:t>退付意见：是否同意退付履约保证金及退付金额：</w:t>
            </w:r>
          </w:p>
          <w:p>
            <w:pPr>
              <w:pageBreakBefore w:val="0"/>
              <w:widowControl w:val="0"/>
              <w:kinsoku/>
              <w:wordWrap/>
              <w:overflowPunct/>
              <w:topLinePunct w:val="0"/>
              <w:autoSpaceDE/>
              <w:autoSpaceDN/>
              <w:bidi w:val="0"/>
              <w:adjustRightInd/>
              <w:spacing w:line="400" w:lineRule="exact"/>
              <w:textAlignment w:val="auto"/>
              <w:rPr>
                <w:color w:val="auto"/>
                <w:highlight w:val="none"/>
              </w:rPr>
            </w:pPr>
          </w:p>
          <w:p>
            <w:pPr>
              <w:pageBreakBefore w:val="0"/>
              <w:widowControl w:val="0"/>
              <w:kinsoku/>
              <w:wordWrap/>
              <w:overflowPunct/>
              <w:topLinePunct w:val="0"/>
              <w:autoSpaceDE/>
              <w:autoSpaceDN/>
              <w:bidi w:val="0"/>
              <w:adjustRightInd/>
              <w:spacing w:line="40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 w:val="24"/>
                <w:szCs w:val="24"/>
                <w:highlight w:val="none"/>
              </w:rPr>
            </w:pPr>
            <w:r>
              <w:rPr>
                <w:rFonts w:hint="eastAsia"/>
                <w:b w:val="0"/>
                <w:bCs w:val="0"/>
                <w:color w:val="auto"/>
                <w:sz w:val="24"/>
                <w:szCs w:val="24"/>
                <w:highlight w:val="none"/>
              </w:rPr>
              <w:t>局财务意见：</w:t>
            </w:r>
          </w:p>
          <w:p>
            <w:pPr>
              <w:pStyle w:val="2"/>
              <w:pageBreakBefore w:val="0"/>
              <w:widowControl w:val="0"/>
              <w:kinsoku/>
              <w:wordWrap/>
              <w:overflowPunct/>
              <w:topLinePunct w:val="0"/>
              <w:autoSpaceDE/>
              <w:autoSpaceDN/>
              <w:bidi w:val="0"/>
              <w:adjustRightInd/>
              <w:spacing w:line="400" w:lineRule="exact"/>
              <w:textAlignment w:val="auto"/>
              <w:rPr>
                <w:rFonts w:hint="eastAsia"/>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财务负责人意见：</w:t>
            </w:r>
          </w:p>
          <w:p>
            <w:pPr>
              <w:pStyle w:val="2"/>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 w:val="24"/>
                <w:szCs w:val="24"/>
                <w:highlight w:val="none"/>
                <w:lang w:eastAsia="zh-CN"/>
              </w:rPr>
            </w:pPr>
          </w:p>
          <w:p>
            <w:pPr>
              <w:pStyle w:val="2"/>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领导意见：</w:t>
            </w:r>
          </w:p>
          <w:p>
            <w:pPr>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 w:val="24"/>
                <w:szCs w:val="24"/>
                <w:highlight w:val="none"/>
                <w:lang w:eastAsia="zh-CN"/>
              </w:rPr>
            </w:pPr>
          </w:p>
          <w:p>
            <w:pPr>
              <w:pStyle w:val="2"/>
              <w:pageBreakBefore w:val="0"/>
              <w:widowControl w:val="0"/>
              <w:kinsoku/>
              <w:wordWrap/>
              <w:overflowPunct/>
              <w:topLinePunct w:val="0"/>
              <w:autoSpaceDE/>
              <w:autoSpaceDN/>
              <w:bidi w:val="0"/>
              <w:adjustRightInd/>
              <w:spacing w:line="400" w:lineRule="exact"/>
              <w:textAlignment w:val="auto"/>
              <w:rPr>
                <w:color w:val="auto"/>
                <w:highlight w:val="none"/>
              </w:rPr>
            </w:pPr>
          </w:p>
        </w:tc>
      </w:tr>
    </w:tbl>
    <w:p>
      <w:pPr>
        <w:pStyle w:val="8"/>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宋体" w:hAnsi="宋体" w:cs="Arial Unicode MS"/>
          <w:color w:val="auto"/>
          <w:kern w:val="0"/>
          <w:sz w:val="30"/>
          <w:szCs w:val="30"/>
          <w:highlight w:val="none"/>
          <w:lang w:val="en-US"/>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p>
  <w:p>
    <w:pPr>
      <w:pStyle w:val="12"/>
    </w:pPr>
    <w:r>
      <w:rPr>
        <w:rFonts w:hint="eastAsia"/>
      </w:rPr>
      <w:t>防城港市政府采购中心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p>
  <w:p>
    <w:pPr>
      <w:pStyle w:val="12"/>
    </w:pPr>
    <w:r>
      <w:rPr>
        <w:rFonts w:hint="eastAsia"/>
      </w:rPr>
      <w:t>防城港市政府采购中心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pPr>
    <w:r>
      <w:rPr>
        <w:rFonts w:hint="eastAsia"/>
      </w:rPr>
      <w:t>防城港市政府采购中心                                                         竞争性磋商</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3363C"/>
    <w:multiLevelType w:val="singleLevel"/>
    <w:tmpl w:val="8B53363C"/>
    <w:lvl w:ilvl="0" w:tentative="0">
      <w:start w:val="1"/>
      <w:numFmt w:val="decimal"/>
      <w:lvlText w:val="%1."/>
      <w:lvlJc w:val="left"/>
      <w:pPr>
        <w:tabs>
          <w:tab w:val="left" w:pos="312"/>
        </w:tabs>
      </w:pPr>
    </w:lvl>
  </w:abstractNum>
  <w:abstractNum w:abstractNumId="1">
    <w:nsid w:val="BBBD2FE3"/>
    <w:multiLevelType w:val="singleLevel"/>
    <w:tmpl w:val="BBBD2FE3"/>
    <w:lvl w:ilvl="0" w:tentative="0">
      <w:start w:val="4"/>
      <w:numFmt w:val="decimal"/>
      <w:suff w:val="nothing"/>
      <w:lvlText w:val="（%1）"/>
      <w:lvlJc w:val="left"/>
    </w:lvl>
  </w:abstractNum>
  <w:abstractNum w:abstractNumId="2">
    <w:nsid w:val="08C68D73"/>
    <w:multiLevelType w:val="singleLevel"/>
    <w:tmpl w:val="08C68D73"/>
    <w:lvl w:ilvl="0" w:tentative="0">
      <w:start w:val="8"/>
      <w:numFmt w:val="decimal"/>
      <w:suff w:val="nothing"/>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510D820F"/>
    <w:multiLevelType w:val="singleLevel"/>
    <w:tmpl w:val="510D820F"/>
    <w:lvl w:ilvl="0" w:tentative="0">
      <w:start w:val="2"/>
      <w:numFmt w:val="chineseCounting"/>
      <w:suff w:val="nothing"/>
      <w:lvlText w:val="%1、"/>
      <w:lvlJc w:val="left"/>
      <w:rPr>
        <w:rFonts w:hint="eastAsia"/>
      </w:rPr>
    </w:lvl>
  </w:abstractNum>
  <w:abstractNum w:abstractNumId="5">
    <w:nsid w:val="76F4E9D4"/>
    <w:multiLevelType w:val="singleLevel"/>
    <w:tmpl w:val="76F4E9D4"/>
    <w:lvl w:ilvl="0" w:tentative="0">
      <w:start w:val="1"/>
      <w:numFmt w:val="chineseCounting"/>
      <w:suff w:val="space"/>
      <w:lvlText w:val="第%1章"/>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3482"/>
    <w:rsid w:val="02381DDF"/>
    <w:rsid w:val="05D831E7"/>
    <w:rsid w:val="07561CA1"/>
    <w:rsid w:val="07AB6BC0"/>
    <w:rsid w:val="07E60B4E"/>
    <w:rsid w:val="07E6173F"/>
    <w:rsid w:val="08835B1F"/>
    <w:rsid w:val="0AA503BB"/>
    <w:rsid w:val="0C0B1E8C"/>
    <w:rsid w:val="0C66698F"/>
    <w:rsid w:val="0F257699"/>
    <w:rsid w:val="0F2A40E0"/>
    <w:rsid w:val="1187251D"/>
    <w:rsid w:val="14F02E9C"/>
    <w:rsid w:val="16BB67F5"/>
    <w:rsid w:val="16E572EB"/>
    <w:rsid w:val="17B67D6F"/>
    <w:rsid w:val="1B7140BF"/>
    <w:rsid w:val="1B9826C3"/>
    <w:rsid w:val="1DE64547"/>
    <w:rsid w:val="1EEA7155"/>
    <w:rsid w:val="1F746706"/>
    <w:rsid w:val="20906067"/>
    <w:rsid w:val="20961F62"/>
    <w:rsid w:val="20ED5CB5"/>
    <w:rsid w:val="20F753F5"/>
    <w:rsid w:val="234A09F6"/>
    <w:rsid w:val="243513D7"/>
    <w:rsid w:val="2437771A"/>
    <w:rsid w:val="243B4B37"/>
    <w:rsid w:val="24D4796E"/>
    <w:rsid w:val="282C0CF5"/>
    <w:rsid w:val="298320C6"/>
    <w:rsid w:val="2B437D64"/>
    <w:rsid w:val="2C6A01B9"/>
    <w:rsid w:val="2FB86DD9"/>
    <w:rsid w:val="30C33F94"/>
    <w:rsid w:val="31AA1C8B"/>
    <w:rsid w:val="31C30F61"/>
    <w:rsid w:val="33A3156C"/>
    <w:rsid w:val="34437FF4"/>
    <w:rsid w:val="35E241D9"/>
    <w:rsid w:val="363A0BAD"/>
    <w:rsid w:val="373C6B7A"/>
    <w:rsid w:val="37FD62FF"/>
    <w:rsid w:val="380040AD"/>
    <w:rsid w:val="38B41063"/>
    <w:rsid w:val="38C21F81"/>
    <w:rsid w:val="38EF6DCA"/>
    <w:rsid w:val="38F6736C"/>
    <w:rsid w:val="39032F58"/>
    <w:rsid w:val="3B6E4E4C"/>
    <w:rsid w:val="3B722ADF"/>
    <w:rsid w:val="3B800BC0"/>
    <w:rsid w:val="3DF836C4"/>
    <w:rsid w:val="3F5B2CF9"/>
    <w:rsid w:val="3FDA35FE"/>
    <w:rsid w:val="41AB373B"/>
    <w:rsid w:val="465F2AF3"/>
    <w:rsid w:val="49E82FE1"/>
    <w:rsid w:val="4AB60359"/>
    <w:rsid w:val="4CA75FC0"/>
    <w:rsid w:val="4E7B395B"/>
    <w:rsid w:val="52D95D3A"/>
    <w:rsid w:val="541049ED"/>
    <w:rsid w:val="541F6E21"/>
    <w:rsid w:val="567D6EEE"/>
    <w:rsid w:val="56A25BBD"/>
    <w:rsid w:val="56F31239"/>
    <w:rsid w:val="574D7FDB"/>
    <w:rsid w:val="595E3042"/>
    <w:rsid w:val="59A24E2F"/>
    <w:rsid w:val="5AE31EE2"/>
    <w:rsid w:val="5E193185"/>
    <w:rsid w:val="5E7852C6"/>
    <w:rsid w:val="61916B82"/>
    <w:rsid w:val="630B041B"/>
    <w:rsid w:val="644D5565"/>
    <w:rsid w:val="65210087"/>
    <w:rsid w:val="66D255BA"/>
    <w:rsid w:val="67497E3A"/>
    <w:rsid w:val="68687A12"/>
    <w:rsid w:val="68A526B3"/>
    <w:rsid w:val="68E40221"/>
    <w:rsid w:val="6969308C"/>
    <w:rsid w:val="6A3677F1"/>
    <w:rsid w:val="6AF378A5"/>
    <w:rsid w:val="6B5E36C0"/>
    <w:rsid w:val="6C216ADF"/>
    <w:rsid w:val="6E856882"/>
    <w:rsid w:val="70835491"/>
    <w:rsid w:val="70F767E0"/>
    <w:rsid w:val="74791AC1"/>
    <w:rsid w:val="77B368A2"/>
    <w:rsid w:val="7B571437"/>
    <w:rsid w:val="7BA90D3E"/>
    <w:rsid w:val="7D5539FD"/>
    <w:rsid w:val="7EBC6A1B"/>
    <w:rsid w:val="7EE9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2">
    <w:name w:val="heading 3"/>
    <w:basedOn w:val="1"/>
    <w:next w:val="1"/>
    <w:qFormat/>
    <w:uiPriority w:val="0"/>
    <w:pPr>
      <w:keepNext/>
      <w:keepLines/>
      <w:outlineLvl w:val="2"/>
    </w:pPr>
    <w:rPr>
      <w:rFonts w:ascii="Calibri" w:hAnsi="Calibri"/>
      <w:b/>
      <w:sz w:val="32"/>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line="500" w:lineRule="exact"/>
    </w:pPr>
    <w:rPr>
      <w:b/>
      <w:bCs/>
      <w:kern w:val="0"/>
      <w:sz w:val="24"/>
    </w:rPr>
  </w:style>
  <w:style w:type="paragraph" w:styleId="8">
    <w:name w:val="Body Text"/>
    <w:basedOn w:val="1"/>
    <w:qFormat/>
    <w:uiPriority w:val="0"/>
  </w:style>
  <w:style w:type="paragraph" w:styleId="9">
    <w:name w:val="Body Text Indent"/>
    <w:basedOn w:val="1"/>
    <w:qFormat/>
    <w:uiPriority w:val="0"/>
    <w:pPr>
      <w:spacing w:after="120"/>
      <w:ind w:left="420" w:leftChars="200"/>
    </w:pPr>
  </w:style>
  <w:style w:type="paragraph" w:styleId="10">
    <w:name w:val="Block Text"/>
    <w:basedOn w:val="1"/>
    <w:qFormat/>
    <w:uiPriority w:val="0"/>
    <w:pPr>
      <w:adjustRightInd w:val="0"/>
      <w:ind w:left="420" w:right="33"/>
      <w:jc w:val="left"/>
      <w:textAlignment w:val="baseline"/>
    </w:pPr>
    <w:rPr>
      <w:kern w:val="0"/>
      <w:sz w:val="24"/>
      <w:szCs w:val="20"/>
    </w:rPr>
  </w:style>
  <w:style w:type="paragraph" w:styleId="11">
    <w:name w:val="Plain Text"/>
    <w:basedOn w:val="1"/>
    <w:next w:val="1"/>
    <w:qFormat/>
    <w:uiPriority w:val="99"/>
    <w:rPr>
      <w:rFonts w:ascii="宋体" w:hAnsi="Courier New"/>
      <w:szCs w:val="20"/>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index 1"/>
    <w:basedOn w:val="1"/>
    <w:next w:val="1"/>
    <w:semiHidden/>
    <w:qFormat/>
    <w:uiPriority w:val="0"/>
    <w:pPr>
      <w:spacing w:line="400" w:lineRule="exact"/>
      <w:ind w:firstLine="420" w:firstLineChars="200"/>
    </w:pPr>
    <w:rPr>
      <w:rFonts w:ascii="宋体" w:hAnsi="Courier New"/>
      <w:b/>
      <w:szCs w:val="20"/>
    </w:rPr>
  </w:style>
  <w:style w:type="paragraph" w:styleId="18">
    <w:name w:val="Body Text First Indent"/>
    <w:basedOn w:val="8"/>
    <w:qFormat/>
    <w:uiPriority w:val="0"/>
    <w:pPr>
      <w:spacing w:after="120"/>
      <w:ind w:firstLine="420" w:firstLineChars="100"/>
    </w:pPr>
    <w:rPr>
      <w:rFonts w:ascii="Calibri" w:hAnsi="Calibri"/>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styleId="23">
    <w:name w:val="HTML Sample"/>
    <w:basedOn w:val="21"/>
    <w:qFormat/>
    <w:uiPriority w:val="0"/>
    <w:rPr>
      <w:rFonts w:ascii="Courier New" w:hAnsi="Courier New"/>
    </w:rPr>
  </w:style>
  <w:style w:type="paragraph" w:customStyle="1" w:styleId="24">
    <w:name w:val="TOC 标题2"/>
    <w:next w:val="1"/>
    <w:qFormat/>
    <w:uiPriority w:val="0"/>
    <w:pPr>
      <w:wordWrap w:val="0"/>
    </w:pPr>
    <w:rPr>
      <w:rFonts w:ascii="Times New Roman" w:hAnsi="Times New Roman" w:eastAsia="宋体" w:cs="Times New Roman"/>
      <w:sz w:val="32"/>
      <w:lang w:val="en-US" w:eastAsia="zh-CN" w:bidi="ar-SA"/>
    </w:rPr>
  </w:style>
  <w:style w:type="paragraph" w:customStyle="1" w:styleId="25">
    <w:name w:val="样式 0正文 + 首行缩进:  2 字符1"/>
    <w:basedOn w:val="1"/>
    <w:qFormat/>
    <w:uiPriority w:val="99"/>
    <w:pPr>
      <w:spacing w:line="360" w:lineRule="auto"/>
      <w:ind w:firstLine="200" w:firstLineChars="200"/>
    </w:pPr>
    <w:rPr>
      <w:szCs w:val="20"/>
    </w:rPr>
  </w:style>
  <w:style w:type="character" w:customStyle="1" w:styleId="26">
    <w:name w:val="bookmark-item uuid-1595987359344 code-00004 addword single-line-text-input-box-cls"/>
    <w:qFormat/>
    <w:uiPriority w:val="0"/>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List Paragraph"/>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2025-11-12T06:00:00Z</dcterms:created>
  <dc:creator>Dell</dc:creator>
  <cp:lastModifiedBy>陈雨丸</cp:lastModifiedBy>
  <cp:lastPrinted>2025-12-25T06:28:00Z</cp:lastPrinted>
  <dcterms:modified xsi:type="dcterms:W3CDTF">2025-12-26T06:45:08Z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