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EE11C">
      <w:pPr>
        <w:spacing w:before="312" w:beforeLines="100" w:after="156" w:afterLines="50" w:line="600" w:lineRule="exact"/>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防城港市政府采购中心</w:t>
      </w:r>
    </w:p>
    <w:p w14:paraId="3A6AE8A4">
      <w:pPr>
        <w:spacing w:line="360" w:lineRule="auto"/>
        <w:rPr>
          <w:rFonts w:hint="eastAsia" w:ascii="方正小标宋简体" w:hAnsi="方正小标宋简体" w:eastAsia="方正小标宋简体" w:cs="方正小标宋简体"/>
          <w:b/>
          <w:color w:val="auto"/>
          <w:sz w:val="44"/>
          <w:szCs w:val="44"/>
          <w:highlight w:val="none"/>
        </w:rPr>
      </w:pPr>
    </w:p>
    <w:p w14:paraId="384521B3">
      <w:pPr>
        <w:spacing w:line="360" w:lineRule="auto"/>
        <w:rPr>
          <w:rFonts w:hint="eastAsia" w:ascii="方正小标宋简体" w:hAnsi="方正小标宋简体" w:eastAsia="方正小标宋简体" w:cs="方正小标宋简体"/>
          <w:b/>
          <w:color w:val="auto"/>
          <w:sz w:val="44"/>
          <w:szCs w:val="44"/>
          <w:highlight w:val="none"/>
        </w:rPr>
      </w:pPr>
    </w:p>
    <w:p w14:paraId="697C1AFC">
      <w:pPr>
        <w:spacing w:line="360" w:lineRule="auto"/>
        <w:rPr>
          <w:rFonts w:hint="eastAsia" w:ascii="方正小标宋简体" w:hAnsi="方正小标宋简体" w:eastAsia="方正小标宋简体" w:cs="方正小标宋简体"/>
          <w:b/>
          <w:color w:val="auto"/>
          <w:sz w:val="44"/>
          <w:szCs w:val="44"/>
          <w:highlight w:val="none"/>
        </w:rPr>
      </w:pPr>
    </w:p>
    <w:p w14:paraId="584D054D">
      <w:pPr>
        <w:spacing w:before="312" w:beforeLines="100" w:after="156" w:afterLines="50" w:line="600" w:lineRule="exact"/>
        <w:jc w:val="center"/>
        <w:rPr>
          <w:rFonts w:hint="eastAsia" w:ascii="宋体" w:hAnsi="宋体"/>
          <w:b/>
          <w:color w:val="auto"/>
          <w:sz w:val="84"/>
          <w:szCs w:val="84"/>
          <w:highlight w:val="none"/>
        </w:rPr>
      </w:pPr>
      <w:r>
        <w:rPr>
          <w:rFonts w:hint="eastAsia" w:ascii="宋体" w:hAnsi="宋体"/>
          <w:b/>
          <w:color w:val="auto"/>
          <w:sz w:val="84"/>
          <w:szCs w:val="84"/>
          <w:highlight w:val="none"/>
        </w:rPr>
        <w:t>竞争性谈判文件</w:t>
      </w:r>
    </w:p>
    <w:p w14:paraId="45F61C23">
      <w:pPr>
        <w:spacing w:before="312" w:beforeLines="100" w:after="156" w:afterLines="50" w:line="600" w:lineRule="exact"/>
        <w:jc w:val="center"/>
        <w:rPr>
          <w:rFonts w:hint="eastAsia" w:ascii="宋体" w:hAnsi="宋体"/>
          <w:b/>
          <w:color w:val="auto"/>
          <w:sz w:val="84"/>
          <w:szCs w:val="84"/>
          <w:highlight w:val="none"/>
        </w:rPr>
      </w:pPr>
    </w:p>
    <w:p w14:paraId="4A0699E3">
      <w:pPr>
        <w:snapToGrid w:val="0"/>
        <w:spacing w:before="156" w:beforeLines="5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505F0BF4">
      <w:pPr>
        <w:snapToGrid w:val="0"/>
        <w:spacing w:before="156" w:beforeLines="50" w:line="360" w:lineRule="auto"/>
        <w:jc w:val="center"/>
        <w:rPr>
          <w:rFonts w:hint="eastAsia" w:ascii="宋体" w:hAnsi="宋体" w:eastAsia="宋体"/>
          <w:b/>
          <w:color w:val="auto"/>
          <w:sz w:val="36"/>
          <w:szCs w:val="36"/>
          <w:highlight w:val="yellow"/>
          <w:lang w:eastAsia="zh-CN"/>
        </w:rPr>
      </w:pP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远程异地评审</w:t>
      </w:r>
      <w:r>
        <w:rPr>
          <w:rFonts w:hint="eastAsia" w:ascii="宋体" w:hAnsi="宋体"/>
          <w:b/>
          <w:color w:val="auto"/>
          <w:sz w:val="36"/>
          <w:szCs w:val="36"/>
          <w:highlight w:val="none"/>
          <w:lang w:eastAsia="zh-CN"/>
        </w:rPr>
        <w:t>）</w:t>
      </w:r>
    </w:p>
    <w:p w14:paraId="4BB82664">
      <w:pPr>
        <w:snapToGrid w:val="0"/>
        <w:spacing w:before="156" w:beforeLines="50" w:line="360" w:lineRule="auto"/>
        <w:jc w:val="center"/>
        <w:rPr>
          <w:rFonts w:hint="eastAsia" w:ascii="宋体" w:hAnsi="宋体"/>
          <w:b/>
          <w:color w:val="auto"/>
          <w:sz w:val="48"/>
          <w:szCs w:val="48"/>
          <w:highlight w:val="none"/>
        </w:rPr>
      </w:pPr>
    </w:p>
    <w:p w14:paraId="561A610B">
      <w:pPr>
        <w:snapToGrid w:val="0"/>
        <w:spacing w:before="156" w:beforeLines="50" w:line="360" w:lineRule="auto"/>
        <w:rPr>
          <w:rFonts w:hint="eastAsia" w:ascii="宋体" w:hAnsi="宋体"/>
          <w:b/>
          <w:color w:val="auto"/>
          <w:sz w:val="48"/>
          <w:szCs w:val="48"/>
          <w:highlight w:val="none"/>
        </w:rPr>
      </w:pPr>
    </w:p>
    <w:p w14:paraId="0A1412CB">
      <w:pPr>
        <w:pStyle w:val="12"/>
        <w:snapToGrid w:val="0"/>
        <w:spacing w:line="360" w:lineRule="auto"/>
        <w:rPr>
          <w:rFonts w:hint="eastAsia" w:hAnsi="宋体"/>
          <w:b/>
          <w:bCs/>
          <w:color w:val="auto"/>
          <w:sz w:val="30"/>
          <w:szCs w:val="30"/>
          <w:highlight w:val="none"/>
        </w:rPr>
      </w:pPr>
    </w:p>
    <w:p w14:paraId="19F3B113">
      <w:pPr>
        <w:pStyle w:val="12"/>
        <w:snapToGrid w:val="0"/>
        <w:spacing w:line="360" w:lineRule="auto"/>
        <w:ind w:left="2391" w:leftChars="427" w:hanging="1494" w:hangingChars="496"/>
        <w:rPr>
          <w:rFonts w:hint="eastAsia" w:hAnsi="宋体" w:eastAsia="宋体"/>
          <w:b/>
          <w:bCs/>
          <w:color w:val="auto"/>
          <w:sz w:val="30"/>
          <w:szCs w:val="30"/>
          <w:highlight w:val="none"/>
          <w:lang w:eastAsia="zh-CN"/>
        </w:rPr>
      </w:pPr>
      <w:r>
        <w:rPr>
          <w:rFonts w:hint="eastAsia" w:hAnsi="宋体"/>
          <w:b/>
          <w:bCs/>
          <w:color w:val="auto"/>
          <w:sz w:val="30"/>
          <w:szCs w:val="30"/>
          <w:highlight w:val="none"/>
        </w:rPr>
        <w:t>项目名称：</w:t>
      </w:r>
      <w:r>
        <w:rPr>
          <w:rFonts w:hint="eastAsia" w:hAnsi="宋体"/>
          <w:b/>
          <w:bCs/>
          <w:color w:val="auto"/>
          <w:sz w:val="30"/>
          <w:szCs w:val="30"/>
          <w:highlight w:val="none"/>
          <w:lang w:val="en-US" w:eastAsia="zh-CN"/>
        </w:rPr>
        <w:t>防城港市示范性养老服务中心项目电梯采购（重3）</w:t>
      </w:r>
    </w:p>
    <w:p w14:paraId="15BA04FE">
      <w:pPr>
        <w:pStyle w:val="12"/>
        <w:snapToGrid w:val="0"/>
        <w:spacing w:line="360" w:lineRule="auto"/>
        <w:ind w:firstLine="904" w:firstLineChars="300"/>
        <w:rPr>
          <w:rFonts w:hint="eastAsia" w:hAnsi="宋体"/>
          <w:b/>
          <w:bCs/>
          <w:color w:val="auto"/>
          <w:sz w:val="30"/>
          <w:szCs w:val="30"/>
          <w:highlight w:val="none"/>
          <w:lang w:val="en-US" w:eastAsia="zh-CN"/>
        </w:rPr>
      </w:pPr>
      <w:r>
        <w:rPr>
          <w:rFonts w:hint="eastAsia" w:hAnsi="宋体"/>
          <w:b/>
          <w:bCs/>
          <w:color w:val="auto"/>
          <w:sz w:val="30"/>
          <w:szCs w:val="30"/>
          <w:highlight w:val="none"/>
        </w:rPr>
        <w:t>项目编号：FCZC2026-J1-990031-FCGS</w:t>
      </w:r>
    </w:p>
    <w:p w14:paraId="60D86E99">
      <w:pPr>
        <w:pStyle w:val="12"/>
        <w:snapToGrid w:val="0"/>
        <w:spacing w:line="360" w:lineRule="auto"/>
        <w:ind w:firstLine="904" w:firstLineChars="300"/>
        <w:rPr>
          <w:rFonts w:hint="eastAsia" w:hAnsi="宋体"/>
          <w:b/>
          <w:bCs/>
          <w:color w:val="auto"/>
          <w:sz w:val="30"/>
          <w:szCs w:val="30"/>
          <w:highlight w:val="none"/>
          <w:lang w:eastAsia="zh-CN"/>
        </w:rPr>
      </w:pPr>
      <w:r>
        <w:rPr>
          <w:rFonts w:hint="eastAsia" w:hAnsi="宋体"/>
          <w:b/>
          <w:bCs/>
          <w:color w:val="auto"/>
          <w:sz w:val="30"/>
          <w:szCs w:val="30"/>
          <w:highlight w:val="none"/>
        </w:rPr>
        <w:t>采 购 人：</w:t>
      </w:r>
      <w:r>
        <w:rPr>
          <w:rFonts w:hint="eastAsia" w:hAnsi="宋体"/>
          <w:b/>
          <w:bCs/>
          <w:color w:val="auto"/>
          <w:sz w:val="30"/>
          <w:szCs w:val="30"/>
          <w:highlight w:val="none"/>
          <w:lang w:eastAsia="zh-CN"/>
        </w:rPr>
        <w:t>防城港市民政局</w:t>
      </w:r>
    </w:p>
    <w:p w14:paraId="1B5AB521">
      <w:pPr>
        <w:pStyle w:val="12"/>
        <w:snapToGrid w:val="0"/>
        <w:spacing w:line="360" w:lineRule="auto"/>
        <w:ind w:firstLine="904" w:firstLineChars="300"/>
        <w:rPr>
          <w:rFonts w:hint="eastAsia" w:hAnsi="宋体" w:eastAsia="宋体"/>
          <w:b/>
          <w:bCs/>
          <w:color w:val="auto"/>
          <w:sz w:val="30"/>
          <w:szCs w:val="30"/>
          <w:highlight w:val="none"/>
          <w:lang w:eastAsia="zh-CN"/>
        </w:rPr>
      </w:pPr>
      <w:r>
        <w:rPr>
          <w:rFonts w:hint="eastAsia" w:hAnsi="宋体"/>
          <w:b/>
          <w:bCs/>
          <w:color w:val="auto"/>
          <w:sz w:val="30"/>
          <w:szCs w:val="30"/>
          <w:highlight w:val="none"/>
        </w:rPr>
        <w:t>采购代理机构：</w:t>
      </w:r>
      <w:r>
        <w:rPr>
          <w:rFonts w:hint="eastAsia" w:hAnsi="宋体"/>
          <w:b/>
          <w:bCs/>
          <w:color w:val="auto"/>
          <w:sz w:val="30"/>
          <w:szCs w:val="30"/>
          <w:highlight w:val="none"/>
          <w:lang w:eastAsia="zh-CN"/>
        </w:rPr>
        <w:t>防城港市政府采购中心</w:t>
      </w:r>
    </w:p>
    <w:p w14:paraId="4E8D8310">
      <w:pPr>
        <w:pStyle w:val="12"/>
        <w:snapToGrid w:val="0"/>
        <w:spacing w:line="360" w:lineRule="auto"/>
        <w:ind w:firstLine="3128" w:firstLineChars="1093"/>
        <w:rPr>
          <w:rFonts w:hint="eastAsia" w:hAnsi="宋体"/>
          <w:b/>
          <w:color w:val="auto"/>
          <w:sz w:val="44"/>
          <w:szCs w:val="44"/>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3</w:t>
      </w:r>
      <w:r>
        <w:rPr>
          <w:rFonts w:hint="eastAsia" w:hAnsi="宋体"/>
          <w:b/>
          <w:bCs/>
          <w:color w:val="auto"/>
          <w:w w:val="95"/>
          <w:sz w:val="30"/>
          <w:szCs w:val="30"/>
          <w:highlight w:val="none"/>
        </w:rPr>
        <w:t>月</w:t>
      </w:r>
      <w:r>
        <w:rPr>
          <w:rFonts w:hAnsi="宋体"/>
          <w:b/>
          <w:color w:val="auto"/>
          <w:sz w:val="30"/>
          <w:szCs w:val="30"/>
          <w:highlight w:val="none"/>
        </w:rPr>
        <w:br w:type="page"/>
      </w:r>
      <w:r>
        <w:rPr>
          <w:rFonts w:hint="eastAsia" w:hAnsi="宋体"/>
          <w:b/>
          <w:color w:val="auto"/>
          <w:sz w:val="30"/>
          <w:szCs w:val="30"/>
          <w:highlight w:val="none"/>
        </w:rPr>
        <w:t xml:space="preserve">                       </w:t>
      </w:r>
      <w:r>
        <w:rPr>
          <w:rFonts w:hint="eastAsia" w:hAnsi="宋体"/>
          <w:b/>
          <w:color w:val="auto"/>
          <w:sz w:val="44"/>
          <w:szCs w:val="44"/>
          <w:highlight w:val="none"/>
        </w:rPr>
        <w:t>目  录</w:t>
      </w:r>
    </w:p>
    <w:p w14:paraId="10424138">
      <w:pPr>
        <w:spacing w:line="400" w:lineRule="exact"/>
        <w:jc w:val="center"/>
        <w:rPr>
          <w:rFonts w:hint="eastAsia" w:ascii="宋体" w:hAnsi="宋体"/>
          <w:b/>
          <w:color w:val="auto"/>
          <w:sz w:val="44"/>
          <w:szCs w:val="44"/>
          <w:highlight w:val="none"/>
        </w:rPr>
      </w:pPr>
    </w:p>
    <w:p w14:paraId="0C7BAD58">
      <w:pPr>
        <w:pStyle w:val="15"/>
        <w:tabs>
          <w:tab w:val="right" w:leader="dot" w:pos="8869"/>
        </w:tabs>
        <w:rPr>
          <w:rFonts w:ascii="Calibri" w:hAnsi="Calibri"/>
          <w:color w:val="auto"/>
          <w:szCs w:val="22"/>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"_Toc168674245"</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第一章</w:t>
      </w:r>
      <w:r>
        <w:rPr>
          <w:rStyle w:val="22"/>
          <w:color w:val="auto"/>
          <w:highlight w:val="none"/>
        </w:rPr>
        <w:t xml:space="preserve"> </w:t>
      </w:r>
      <w:r>
        <w:rPr>
          <w:rStyle w:val="22"/>
          <w:rFonts w:hint="eastAsia"/>
          <w:color w:val="auto"/>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_Toc168674245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FF17B24">
      <w:pPr>
        <w:pStyle w:val="15"/>
        <w:tabs>
          <w:tab w:val="right" w:leader="dot" w:pos="8869"/>
        </w:tabs>
        <w:rPr>
          <w:rFonts w:ascii="Calibri" w:hAnsi="Calibri"/>
          <w:color w:val="auto"/>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"_Toc168674246"</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第二章</w:t>
      </w:r>
      <w:r>
        <w:rPr>
          <w:rStyle w:val="22"/>
          <w:color w:val="auto"/>
          <w:highlight w:val="none"/>
        </w:rPr>
        <w:t xml:space="preserve"> </w:t>
      </w:r>
      <w:r>
        <w:rPr>
          <w:rStyle w:val="22"/>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_Toc168674246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7D9446E">
      <w:pPr>
        <w:pStyle w:val="15"/>
        <w:tabs>
          <w:tab w:val="right" w:leader="dot" w:pos="8869"/>
        </w:tabs>
        <w:rPr>
          <w:rFonts w:ascii="Calibri" w:hAnsi="Calibri"/>
          <w:color w:val="auto"/>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"_Toc168674247"</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第三章</w:t>
      </w:r>
      <w:r>
        <w:rPr>
          <w:rStyle w:val="22"/>
          <w:color w:val="auto"/>
          <w:highlight w:val="none"/>
        </w:rPr>
        <w:t xml:space="preserve"> </w:t>
      </w:r>
      <w:r>
        <w:rPr>
          <w:rStyle w:val="22"/>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_Toc168674247 \h </w:instrText>
      </w:r>
      <w:r>
        <w:rPr>
          <w:color w:val="auto"/>
          <w:highlight w:val="none"/>
        </w:rPr>
        <w:fldChar w:fldCharType="separate"/>
      </w:r>
      <w:r>
        <w:rPr>
          <w:color w:val="auto"/>
          <w:highlight w:val="none"/>
        </w:rPr>
        <w:t>2</w:t>
      </w:r>
      <w:r>
        <w:rPr>
          <w:rFonts w:hint="eastAsia"/>
          <w:color w:val="auto"/>
          <w:highlight w:val="none"/>
          <w:lang w:val="en-US" w:eastAsia="zh-CN"/>
        </w:rPr>
        <w:t>3</w:t>
      </w:r>
      <w:r>
        <w:rPr>
          <w:color w:val="auto"/>
          <w:highlight w:val="none"/>
        </w:rPr>
        <w:fldChar w:fldCharType="end"/>
      </w:r>
      <w:r>
        <w:rPr>
          <w:color w:val="auto"/>
          <w:highlight w:val="none"/>
        </w:rPr>
        <w:fldChar w:fldCharType="end"/>
      </w:r>
    </w:p>
    <w:p w14:paraId="6C5FE925">
      <w:pPr>
        <w:pStyle w:val="15"/>
        <w:tabs>
          <w:tab w:val="right" w:leader="dot" w:pos="8869"/>
        </w:tabs>
        <w:rPr>
          <w:rFonts w:hint="eastAsia" w:ascii="Calibri" w:hAnsi="Calibri" w:eastAsia="宋体"/>
          <w:color w:val="auto"/>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"_Toc168674248"</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第四章</w:t>
      </w:r>
      <w:r>
        <w:rPr>
          <w:rStyle w:val="22"/>
          <w:color w:val="auto"/>
          <w:highlight w:val="none"/>
        </w:rPr>
        <w:t xml:space="preserve"> </w:t>
      </w:r>
      <w:r>
        <w:rPr>
          <w:rStyle w:val="22"/>
          <w:rFonts w:hint="eastAsia"/>
          <w:color w:val="auto"/>
          <w:highlight w:val="none"/>
        </w:rPr>
        <w:t>评审程序和评定成交的标准</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6</w:t>
      </w:r>
    </w:p>
    <w:p w14:paraId="0F7F00B6">
      <w:pPr>
        <w:pStyle w:val="15"/>
        <w:tabs>
          <w:tab w:val="right" w:leader="dot" w:pos="8869"/>
        </w:tabs>
        <w:rPr>
          <w:rFonts w:hint="eastAsia" w:ascii="Calibri" w:hAnsi="Calibri" w:eastAsia="宋体"/>
          <w:color w:val="auto"/>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"_Toc168674249"</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第五章</w:t>
      </w:r>
      <w:r>
        <w:rPr>
          <w:rStyle w:val="22"/>
          <w:color w:val="auto"/>
          <w:highlight w:val="none"/>
        </w:rPr>
        <w:t xml:space="preserve"> </w:t>
      </w:r>
      <w:r>
        <w:rPr>
          <w:rStyle w:val="22"/>
          <w:rFonts w:hint="eastAsia"/>
          <w:color w:val="auto"/>
          <w:highlight w:val="none"/>
        </w:rPr>
        <w:t>响应文件格式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2</w:t>
      </w:r>
    </w:p>
    <w:p w14:paraId="7152C5C5">
      <w:pPr>
        <w:pStyle w:val="15"/>
        <w:tabs>
          <w:tab w:val="right" w:leader="dot" w:pos="8869"/>
        </w:tabs>
        <w:rPr>
          <w:rFonts w:hint="eastAsia" w:ascii="Calibri" w:hAnsi="Calibri" w:eastAsia="宋体"/>
          <w:color w:val="auto"/>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"_Toc168674250"</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第六章</w:t>
      </w:r>
      <w:r>
        <w:rPr>
          <w:rStyle w:val="22"/>
          <w:color w:val="auto"/>
          <w:highlight w:val="none"/>
        </w:rPr>
        <w:t xml:space="preserve"> </w:t>
      </w:r>
      <w:r>
        <w:rPr>
          <w:rStyle w:val="22"/>
          <w:rFonts w:hint="eastAsia"/>
          <w:color w:val="auto"/>
          <w:highlight w:val="none"/>
        </w:rPr>
        <w:t>拟签订的合同文本</w:t>
      </w:r>
      <w:r>
        <w:rPr>
          <w:color w:val="auto"/>
          <w:highlight w:val="none"/>
        </w:rPr>
        <w:tab/>
      </w:r>
      <w:r>
        <w:rPr>
          <w:rFonts w:hint="eastAsia"/>
          <w:color w:val="auto"/>
          <w:highlight w:val="none"/>
          <w:lang w:val="en-US" w:eastAsia="zh-CN"/>
        </w:rPr>
        <w:t>83</w:t>
      </w:r>
      <w:r>
        <w:rPr>
          <w:color w:val="auto"/>
          <w:highlight w:val="none"/>
        </w:rPr>
        <w:fldChar w:fldCharType="end"/>
      </w:r>
    </w:p>
    <w:p w14:paraId="21D931F5">
      <w:pPr>
        <w:pStyle w:val="16"/>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5F83EFD6">
      <w:pPr>
        <w:spacing w:line="400" w:lineRule="exact"/>
        <w:jc w:val="left"/>
        <w:rPr>
          <w:rFonts w:hint="eastAsia" w:ascii="宋体" w:hAnsi="宋体"/>
          <w:b/>
          <w:color w:val="auto"/>
          <w:sz w:val="32"/>
          <w:szCs w:val="32"/>
          <w:highlight w:val="none"/>
        </w:rPr>
      </w:pPr>
    </w:p>
    <w:p w14:paraId="7FA39F7D">
      <w:pPr>
        <w:spacing w:line="400" w:lineRule="exact"/>
        <w:jc w:val="center"/>
        <w:rPr>
          <w:rFonts w:hint="eastAsia" w:ascii="宋体" w:hAnsi="宋体"/>
          <w:b/>
          <w:color w:val="auto"/>
          <w:sz w:val="32"/>
          <w:szCs w:val="32"/>
          <w:highlight w:val="none"/>
        </w:rPr>
      </w:pPr>
    </w:p>
    <w:p w14:paraId="4E5965C8">
      <w:pPr>
        <w:spacing w:line="400" w:lineRule="exact"/>
        <w:jc w:val="center"/>
        <w:rPr>
          <w:rFonts w:hint="eastAsia" w:ascii="宋体" w:hAnsi="宋体"/>
          <w:b/>
          <w:color w:val="auto"/>
          <w:sz w:val="32"/>
          <w:szCs w:val="32"/>
          <w:highlight w:val="none"/>
        </w:rPr>
      </w:pPr>
    </w:p>
    <w:p w14:paraId="54857FF8">
      <w:pPr>
        <w:spacing w:line="400" w:lineRule="exact"/>
        <w:jc w:val="center"/>
        <w:rPr>
          <w:rFonts w:hint="eastAsia" w:ascii="宋体" w:hAnsi="宋体"/>
          <w:b/>
          <w:color w:val="auto"/>
          <w:sz w:val="32"/>
          <w:szCs w:val="32"/>
          <w:highlight w:val="none"/>
        </w:rPr>
      </w:pPr>
    </w:p>
    <w:p w14:paraId="1D1F3EC8">
      <w:pPr>
        <w:spacing w:line="400" w:lineRule="exact"/>
        <w:jc w:val="center"/>
        <w:rPr>
          <w:rFonts w:hint="eastAsia" w:ascii="宋体" w:hAnsi="宋体"/>
          <w:b/>
          <w:color w:val="auto"/>
          <w:sz w:val="32"/>
          <w:szCs w:val="32"/>
          <w:highlight w:val="none"/>
        </w:rPr>
      </w:pPr>
    </w:p>
    <w:p w14:paraId="506E3A34">
      <w:pPr>
        <w:spacing w:line="400" w:lineRule="exact"/>
        <w:rPr>
          <w:rFonts w:hint="eastAsia"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4364AF5B">
      <w:pPr>
        <w:pStyle w:val="2"/>
        <w:spacing w:after="100" w:line="480" w:lineRule="auto"/>
        <w:jc w:val="center"/>
        <w:rPr>
          <w:rFonts w:hint="eastAsia"/>
          <w:color w:val="auto"/>
          <w:highlight w:val="none"/>
        </w:rPr>
      </w:pPr>
      <w:bookmarkStart w:id="0" w:name="_Toc168674245"/>
      <w:r>
        <w:rPr>
          <w:rFonts w:hint="eastAsia"/>
          <w:color w:val="auto"/>
          <w:highlight w:val="none"/>
        </w:rPr>
        <w:t>第一章 竞争性谈判公告</w:t>
      </w:r>
      <w:bookmarkEnd w:id="0"/>
    </w:p>
    <w:p w14:paraId="6030F3D8">
      <w:pPr>
        <w:spacing w:line="400" w:lineRule="exact"/>
        <w:ind w:firstLine="300" w:firstLineChars="100"/>
        <w:jc w:val="center"/>
        <w:rPr>
          <w:rFonts w:hint="eastAsia" w:ascii="宋体" w:hAnsi="宋体" w:eastAsia="宋体"/>
          <w:b/>
          <w:bCs/>
          <w:color w:val="auto"/>
          <w:sz w:val="30"/>
          <w:szCs w:val="30"/>
          <w:highlight w:val="none"/>
          <w:lang w:eastAsia="zh-CN"/>
        </w:rPr>
      </w:pPr>
      <w:r>
        <w:rPr>
          <w:rFonts w:hint="eastAsia" w:hAnsi="宋体"/>
          <w:b/>
          <w:bCs/>
          <w:color w:val="auto"/>
          <w:sz w:val="30"/>
          <w:szCs w:val="30"/>
          <w:highlight w:val="none"/>
          <w:lang w:val="en-US" w:eastAsia="zh-CN"/>
        </w:rPr>
        <w:t>防城港市示范性养老服务中心项目电梯采购（重3）项目</w:t>
      </w:r>
    </w:p>
    <w:p w14:paraId="206D01DC">
      <w:pPr>
        <w:spacing w:line="400" w:lineRule="exact"/>
        <w:ind w:firstLine="300" w:firstLineChars="100"/>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竞争性谈判公告</w:t>
      </w:r>
      <w:r>
        <w:rPr>
          <w:rFonts w:hint="eastAsia" w:ascii="宋体" w:hAnsi="宋体"/>
          <w:b/>
          <w:bCs/>
          <w:color w:val="auto"/>
          <w:sz w:val="30"/>
          <w:szCs w:val="30"/>
          <w:highlight w:val="none"/>
          <w:lang w:eastAsia="zh-CN"/>
        </w:rPr>
        <w:t>（</w:t>
      </w:r>
      <w:r>
        <w:rPr>
          <w:rFonts w:hint="eastAsia" w:ascii="宋体" w:hAnsi="宋体"/>
          <w:b/>
          <w:bCs/>
          <w:color w:val="auto"/>
          <w:sz w:val="30"/>
          <w:szCs w:val="30"/>
          <w:highlight w:val="none"/>
          <w:lang w:val="en-US" w:eastAsia="zh-CN"/>
        </w:rPr>
        <w:t>远程异地评审</w:t>
      </w:r>
      <w:r>
        <w:rPr>
          <w:rFonts w:hint="eastAsia" w:ascii="宋体" w:hAnsi="宋体"/>
          <w:b/>
          <w:bCs/>
          <w:color w:val="auto"/>
          <w:sz w:val="30"/>
          <w:szCs w:val="30"/>
          <w:highlight w:val="none"/>
          <w:lang w:eastAsia="zh-CN"/>
        </w:rPr>
        <w:t>）</w:t>
      </w:r>
    </w:p>
    <w:p w14:paraId="15A24009">
      <w:pPr>
        <w:spacing w:line="340" w:lineRule="exact"/>
        <w:rPr>
          <w:rFonts w:ascii="宋体" w:hAnsi="宋体"/>
          <w:color w:val="auto"/>
          <w:szCs w:val="21"/>
          <w:highlight w:val="none"/>
        </w:rPr>
      </w:pPr>
    </w:p>
    <w:p w14:paraId="3FDECF69">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20111936">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b/>
          <w:bCs/>
          <w:color w:val="auto"/>
          <w:szCs w:val="21"/>
          <w:highlight w:val="none"/>
        </w:rPr>
      </w:pPr>
      <w:r>
        <w:rPr>
          <w:rFonts w:hint="eastAsia" w:ascii="宋体" w:hAnsi="宋体"/>
          <w:color w:val="auto"/>
          <w:szCs w:val="21"/>
          <w:highlight w:val="none"/>
          <w:lang w:val="en-US" w:eastAsia="zh-CN"/>
        </w:rPr>
        <w:t>防城港市示范性养老服务中心项目电梯采购（重3）项目</w:t>
      </w:r>
      <w:r>
        <w:rPr>
          <w:rFonts w:hint="eastAsia" w:ascii="宋体" w:hAnsi="宋体"/>
          <w:color w:val="auto"/>
          <w:szCs w:val="21"/>
          <w:highlight w:val="none"/>
        </w:rPr>
        <w:t>的潜在供应商应在广西政府采购云平台（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）获取（下载）竞争性谈</w:t>
      </w:r>
      <w:bookmarkStart w:id="72" w:name="_GoBack"/>
      <w:bookmarkEnd w:id="72"/>
      <w:r>
        <w:rPr>
          <w:rFonts w:hint="eastAsia" w:ascii="宋体" w:hAnsi="宋体"/>
          <w:color w:val="auto"/>
          <w:szCs w:val="21"/>
          <w:highlight w:val="none"/>
        </w:rPr>
        <w:t>判文件，并于</w:t>
      </w:r>
      <w:r>
        <w:rPr>
          <w:rFonts w:hint="eastAsia" w:ascii="宋体" w:hAnsi="宋体"/>
          <w:color w:val="auto"/>
          <w:szCs w:val="21"/>
          <w:highlight w:val="none"/>
          <w:lang w:val="en-US"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2</w:t>
      </w:r>
      <w:r>
        <w:rPr>
          <w:rFonts w:hint="eastAsia" w:ascii="宋体" w:hAnsi="宋体"/>
          <w:bCs/>
          <w:color w:val="auto"/>
          <w:szCs w:val="21"/>
          <w:highlight w:val="none"/>
        </w:rPr>
        <w:t>日</w:t>
      </w:r>
      <w:r>
        <w:rPr>
          <w:rFonts w:hint="eastAsia" w:ascii="宋体" w:hAnsi="宋体"/>
          <w:bCs/>
          <w:color w:val="auto"/>
          <w:szCs w:val="21"/>
          <w:highlight w:val="none"/>
          <w:lang w:val="en-US" w:eastAsia="zh-CN"/>
        </w:rPr>
        <w:t>14时00</w:t>
      </w:r>
      <w:r>
        <w:rPr>
          <w:rFonts w:hint="eastAsia" w:ascii="宋体" w:hAnsi="宋体"/>
          <w:bCs/>
          <w:color w:val="auto"/>
          <w:szCs w:val="21"/>
          <w:highlight w:val="non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1D7490C9">
      <w:pPr>
        <w:spacing w:line="340" w:lineRule="exact"/>
        <w:rPr>
          <w:rFonts w:ascii="宋体" w:hAnsi="宋体"/>
          <w:color w:val="auto"/>
          <w:szCs w:val="21"/>
          <w:highlight w:val="none"/>
        </w:rPr>
      </w:pPr>
    </w:p>
    <w:p w14:paraId="40452457">
      <w:pPr>
        <w:spacing w:line="360" w:lineRule="exact"/>
        <w:ind w:firstLine="360" w:firstLineChars="150"/>
        <w:rPr>
          <w:rFonts w:ascii="黑体" w:hAnsi="黑体" w:eastAsia="黑体"/>
          <w:color w:val="auto"/>
          <w:sz w:val="24"/>
          <w:highlight w:val="none"/>
        </w:rPr>
      </w:pPr>
      <w:bookmarkStart w:id="2" w:name="_Toc35393629"/>
      <w:bookmarkStart w:id="3" w:name="_Toc71365362"/>
      <w:bookmarkStart w:id="4" w:name="_Toc35393798"/>
      <w:bookmarkStart w:id="5" w:name="_Toc28359012"/>
      <w:bookmarkStart w:id="6" w:name="_Toc28359089"/>
      <w:bookmarkStart w:id="7" w:name="_Toc71366040"/>
      <w:r>
        <w:rPr>
          <w:rFonts w:hint="eastAsia" w:ascii="黑体" w:hAnsi="黑体" w:eastAsia="黑体"/>
          <w:color w:val="auto"/>
          <w:sz w:val="24"/>
          <w:highlight w:val="none"/>
        </w:rPr>
        <w:t>一、项目基本情况</w:t>
      </w:r>
      <w:bookmarkEnd w:id="2"/>
      <w:bookmarkEnd w:id="3"/>
      <w:bookmarkEnd w:id="4"/>
      <w:bookmarkEnd w:id="5"/>
      <w:bookmarkEnd w:id="6"/>
      <w:bookmarkEnd w:id="7"/>
    </w:p>
    <w:p w14:paraId="60F150C7">
      <w:pPr>
        <w:spacing w:line="360" w:lineRule="exact"/>
        <w:ind w:firstLine="420" w:firstLineChars="200"/>
        <w:rPr>
          <w:rFonts w:hint="eastAsia" w:hAnsi="宋体" w:eastAsia="宋体"/>
          <w:b/>
          <w:bCs/>
          <w:color w:val="auto"/>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www.gcy.zfcg.gxzf.gov.cn/gaea/api/project/flow/redirect?projectId=7222959781054513191&amp;newUrl=https://www.gcy.zfcg.gxzf.gov.cn/micro-app-back-index/blank?_flow_type_=agency&amp;_flow_projectId_=7222959781054513191&amp;_jump_page_type_=project_procurement_management_flow&amp;_app_=zcy.procurement&amp;oldUrl=https://www.gcy.zfcg.gxzf.gov.cn/project-center/_procurement_/project-result-detail/7222959781054513191" \t "https://www.gcy.zfcg.gxzf.gov.cn/project-center/_procurement_/self-project/_blank" </w:instrText>
      </w:r>
      <w:r>
        <w:rPr>
          <w:rFonts w:hint="eastAsia" w:ascii="宋体" w:hAnsi="宋体"/>
          <w:color w:val="auto"/>
          <w:szCs w:val="21"/>
          <w:highlight w:val="none"/>
        </w:rPr>
        <w:fldChar w:fldCharType="separate"/>
      </w:r>
      <w:r>
        <w:rPr>
          <w:rFonts w:hint="eastAsia" w:ascii="宋体" w:hAnsi="宋体"/>
          <w:color w:val="auto"/>
          <w:szCs w:val="21"/>
          <w:highlight w:val="none"/>
          <w:lang w:eastAsia="zh-CN"/>
        </w:rPr>
        <w:t xml:space="preserve"> FCZC2026-J1-990031-FCGS</w:t>
      </w:r>
      <w:r>
        <w:rPr>
          <w:rFonts w:hint="eastAsia" w:ascii="宋体" w:hAnsi="宋体"/>
          <w:color w:val="auto"/>
          <w:szCs w:val="21"/>
          <w:highlight w:val="none"/>
        </w:rPr>
        <w:fldChar w:fldCharType="end"/>
      </w:r>
    </w:p>
    <w:p w14:paraId="38112281">
      <w:pPr>
        <w:spacing w:line="360" w:lineRule="exact"/>
        <w:ind w:firstLine="420" w:firstLineChars="200"/>
        <w:rPr>
          <w:rFonts w:hint="eastAsia" w:ascii="宋体" w:hAnsi="宋体" w:eastAsia="宋体"/>
          <w:bCs/>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val="en-US" w:eastAsia="zh-CN"/>
        </w:rPr>
        <w:t>防城港市示范性养老服务中心项目电梯采购（重3）</w:t>
      </w:r>
    </w:p>
    <w:p w14:paraId="30F2388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017B46D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bCs/>
          <w:color w:val="auto"/>
          <w:szCs w:val="21"/>
          <w:highlight w:val="none"/>
        </w:rPr>
        <w:t>人民币</w:t>
      </w:r>
      <w:r>
        <w:rPr>
          <w:rFonts w:hint="eastAsia" w:ascii="宋体" w:hAnsi="宋体"/>
          <w:bCs/>
          <w:color w:val="auto"/>
          <w:szCs w:val="21"/>
          <w:highlight w:val="none"/>
          <w:lang w:val="en-US" w:eastAsia="zh-CN"/>
        </w:rPr>
        <w:t>壹佰肆拾捌万</w:t>
      </w:r>
      <w:r>
        <w:rPr>
          <w:rFonts w:hint="eastAsia" w:ascii="宋体" w:hAnsi="宋体"/>
          <w:bCs/>
          <w:color w:val="auto"/>
          <w:szCs w:val="21"/>
          <w:highlight w:val="none"/>
        </w:rPr>
        <w:t>整（¥1,480,000.00）</w:t>
      </w:r>
    </w:p>
    <w:p w14:paraId="34182F3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最高限价：同预算</w:t>
      </w:r>
    </w:p>
    <w:p w14:paraId="51A88496">
      <w:pPr>
        <w:spacing w:line="360" w:lineRule="exact"/>
        <w:ind w:firstLine="420"/>
        <w:rPr>
          <w:rFonts w:hint="eastAsia" w:hAnsi="宋体"/>
          <w:bCs/>
          <w:color w:val="auto"/>
          <w:highlight w:val="none"/>
        </w:rPr>
      </w:pPr>
      <w:r>
        <w:rPr>
          <w:rFonts w:hint="eastAsia" w:ascii="宋体" w:hAnsi="宋体"/>
          <w:color w:val="auto"/>
          <w:szCs w:val="21"/>
          <w:highlight w:val="none"/>
        </w:rPr>
        <w:t>采购需求：小机房乘客电梯2台、小机房餐梯兼乘客电梯1台、小机房无障碍医用电梯兼消防电梯2台、无机房乘客电梯1台</w:t>
      </w:r>
      <w:r>
        <w:rPr>
          <w:rFonts w:hint="eastAsia" w:ascii="宋体" w:hAnsi="宋体"/>
          <w:color w:val="auto"/>
          <w:szCs w:val="21"/>
          <w:highlight w:val="none"/>
          <w:lang w:val="en-US" w:eastAsia="zh-CN"/>
        </w:rPr>
        <w:t>等，具体详见采购文件采购需求</w:t>
      </w:r>
      <w:r>
        <w:rPr>
          <w:rFonts w:hint="eastAsia" w:hAnsi="宋体"/>
          <w:bCs/>
          <w:color w:val="auto"/>
          <w:highlight w:val="none"/>
        </w:rPr>
        <w:t>。</w:t>
      </w:r>
    </w:p>
    <w:p w14:paraId="2AA40BE6">
      <w:pPr>
        <w:spacing w:line="360" w:lineRule="exact"/>
        <w:ind w:firstLine="420"/>
        <w:rPr>
          <w:rFonts w:hint="eastAsia" w:ascii="宋体" w:hAnsi="宋体"/>
          <w:bCs/>
          <w:color w:val="auto"/>
          <w:szCs w:val="21"/>
          <w:highlight w:val="none"/>
        </w:rPr>
      </w:pPr>
      <w:r>
        <w:rPr>
          <w:rFonts w:hint="eastAsia" w:ascii="宋体" w:hAnsi="宋体"/>
          <w:color w:val="auto"/>
          <w:szCs w:val="21"/>
          <w:highlight w:val="none"/>
        </w:rPr>
        <w:t>合同履行期限：</w:t>
      </w:r>
      <w:r>
        <w:rPr>
          <w:rFonts w:hint="eastAsia" w:ascii="宋体" w:hAnsi="宋体" w:cs="宋体"/>
          <w:color w:val="auto"/>
          <w:szCs w:val="21"/>
        </w:rPr>
        <w:t>在收到采购人的交货通知之日起</w:t>
      </w:r>
      <w:r>
        <w:rPr>
          <w:rFonts w:hint="eastAsia" w:ascii="宋体" w:hAnsi="宋体" w:cs="宋体"/>
          <w:color w:val="auto"/>
          <w:szCs w:val="21"/>
          <w:highlight w:val="none"/>
          <w:lang w:val="en-US" w:eastAsia="zh-CN"/>
        </w:rPr>
        <w:t>60</w:t>
      </w:r>
      <w:r>
        <w:rPr>
          <w:rFonts w:hint="eastAsia" w:ascii="宋体" w:hAnsi="宋体" w:cs="宋体"/>
          <w:color w:val="auto"/>
          <w:szCs w:val="21"/>
        </w:rPr>
        <w:t>天内。</w:t>
      </w:r>
    </w:p>
    <w:p w14:paraId="0261034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本项目不接受联合体竞标。</w:t>
      </w:r>
    </w:p>
    <w:p w14:paraId="69C579E6">
      <w:pPr>
        <w:spacing w:line="360" w:lineRule="exact"/>
        <w:ind w:firstLine="480" w:firstLineChars="200"/>
        <w:rPr>
          <w:rFonts w:ascii="黑体" w:hAnsi="黑体" w:eastAsia="黑体"/>
          <w:color w:val="auto"/>
          <w:sz w:val="24"/>
          <w:highlight w:val="none"/>
        </w:rPr>
      </w:pPr>
      <w:bookmarkStart w:id="8" w:name="_Toc35393799"/>
      <w:bookmarkStart w:id="9" w:name="_Toc35393630"/>
      <w:bookmarkStart w:id="10" w:name="_Toc28359090"/>
      <w:bookmarkStart w:id="11" w:name="_Toc71365363"/>
      <w:bookmarkStart w:id="12" w:name="_Toc28359013"/>
      <w:bookmarkStart w:id="13" w:name="_Toc71366041"/>
      <w:r>
        <w:rPr>
          <w:rFonts w:hint="eastAsia" w:ascii="黑体" w:hAnsi="黑体" w:eastAsia="黑体"/>
          <w:color w:val="auto"/>
          <w:sz w:val="24"/>
          <w:highlight w:val="none"/>
        </w:rPr>
        <w:t>二、供应商的资格条件：</w:t>
      </w:r>
      <w:bookmarkEnd w:id="8"/>
      <w:bookmarkEnd w:id="9"/>
      <w:bookmarkEnd w:id="10"/>
      <w:bookmarkEnd w:id="11"/>
      <w:bookmarkEnd w:id="12"/>
      <w:bookmarkEnd w:id="13"/>
    </w:p>
    <w:p w14:paraId="10F6062B">
      <w:pPr>
        <w:spacing w:line="360" w:lineRule="exact"/>
        <w:ind w:firstLine="420"/>
        <w:rPr>
          <w:rFonts w:hint="eastAsia" w:ascii="宋体" w:hAnsi="宋体" w:eastAsia="宋体" w:cs="Times New Roman"/>
          <w:color w:val="auto"/>
          <w:szCs w:val="21"/>
          <w:highlight w:val="none"/>
        </w:rPr>
      </w:pPr>
      <w:bookmarkStart w:id="14" w:name="_Toc35393800"/>
      <w:bookmarkStart w:id="15" w:name="_Toc71365364"/>
      <w:bookmarkStart w:id="16" w:name="_Toc28359091"/>
      <w:bookmarkStart w:id="17" w:name="_Toc35393631"/>
      <w:bookmarkStart w:id="18" w:name="_Toc28359014"/>
      <w:bookmarkStart w:id="19" w:name="_Toc71366042"/>
      <w:r>
        <w:rPr>
          <w:rFonts w:hint="eastAsia" w:ascii="宋体" w:hAnsi="宋体" w:eastAsia="宋体" w:cs="Times New Roman"/>
          <w:color w:val="auto"/>
          <w:szCs w:val="21"/>
          <w:highlight w:val="none"/>
        </w:rPr>
        <w:t>1.满足《中华人民共和国政府采购法》第二十二条规定；</w:t>
      </w:r>
    </w:p>
    <w:p w14:paraId="5A9403CC">
      <w:pPr>
        <w:spacing w:line="360" w:lineRule="exact"/>
        <w:ind w:firstLine="42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2.落实政府采购政策需满足的资格要求：</w:t>
      </w:r>
      <w:r>
        <w:rPr>
          <w:rFonts w:hint="eastAsia" w:ascii="宋体" w:hAnsi="宋体" w:eastAsia="宋体" w:cs="Times New Roman"/>
          <w:color w:val="auto"/>
          <w:szCs w:val="21"/>
          <w:highlight w:val="none"/>
          <w:lang w:val="en-US" w:eastAsia="zh-CN"/>
        </w:rPr>
        <w:t>非专门面向中小企业</w:t>
      </w:r>
      <w:r>
        <w:rPr>
          <w:rFonts w:hint="eastAsia" w:ascii="宋体" w:hAnsi="宋体" w:eastAsia="宋体" w:cs="Times New Roman"/>
          <w:color w:val="auto"/>
          <w:szCs w:val="21"/>
          <w:highlight w:val="none"/>
          <w:lang w:val="en-US" w:eastAsia="zh-CN"/>
        </w:rPr>
        <w:t>；</w:t>
      </w:r>
    </w:p>
    <w:p w14:paraId="43D49870">
      <w:pPr>
        <w:spacing w:line="36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p>
    <w:p w14:paraId="7373DC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1、产品制造厂家必须具有《中华人民共和国特种设备制造许可证》（电梯）曳引式客梯资质或具有《中华人民共和国特种设备生产许可证》曳引驱动乘客电梯（含消防员电梯）生产资质。</w:t>
      </w:r>
    </w:p>
    <w:p w14:paraId="538C59E6">
      <w:pPr>
        <w:spacing w:line="360" w:lineRule="auto"/>
        <w:ind w:firstLine="420" w:firstLineChars="200"/>
        <w:rPr>
          <w:rFonts w:hint="eastAsia"/>
          <w:color w:val="auto"/>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投标供应商</w:t>
      </w:r>
      <w:r>
        <w:rPr>
          <w:rFonts w:hint="eastAsia" w:ascii="宋体" w:hAnsi="宋体" w:cs="宋体"/>
          <w:color w:val="auto"/>
          <w:szCs w:val="21"/>
          <w:highlight w:val="none"/>
        </w:rPr>
        <w:t>必须具有《中华人民共和国特种设备安装改造维修许可证（电梯）》安装、维修B级及以上资质或《中华人民共和国特种设备生产许可证》电梯安装（含修理）资质。</w:t>
      </w:r>
    </w:p>
    <w:p w14:paraId="3CFBE5A2">
      <w:pPr>
        <w:spacing w:line="36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三、获取竞争性谈判文件</w:t>
      </w:r>
      <w:bookmarkEnd w:id="14"/>
      <w:bookmarkEnd w:id="15"/>
      <w:bookmarkEnd w:id="16"/>
      <w:bookmarkEnd w:id="17"/>
      <w:bookmarkEnd w:id="18"/>
      <w:bookmarkEnd w:id="19"/>
    </w:p>
    <w:p w14:paraId="2A0EF1F3">
      <w:pPr>
        <w:spacing w:line="360" w:lineRule="exact"/>
        <w:ind w:firstLine="420" w:firstLineChars="200"/>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时间：</w:t>
      </w:r>
      <w:r>
        <w:rPr>
          <w:rFonts w:hint="eastAsia" w:ascii="宋体" w:hAnsi="宋体"/>
          <w:color w:val="auto"/>
          <w:szCs w:val="21"/>
          <w:highlight w:val="none"/>
          <w:lang w:val="en-US"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3</w:t>
      </w:r>
      <w:r>
        <w:rPr>
          <w:rFonts w:hint="eastAsia" w:ascii="宋体" w:hAnsi="宋体"/>
          <w:bCs/>
          <w:color w:val="auto"/>
          <w:szCs w:val="21"/>
          <w:highlight w:val="none"/>
        </w:rPr>
        <w:t>月</w:t>
      </w:r>
      <w:r>
        <w:rPr>
          <w:rFonts w:hint="eastAsia" w:ascii="宋体" w:hAnsi="宋体"/>
          <w:bCs/>
          <w:color w:val="auto"/>
          <w:szCs w:val="21"/>
          <w:highlight w:val="none"/>
          <w:lang w:val="en-US" w:eastAsia="zh-CN"/>
        </w:rPr>
        <w:t>26</w:t>
      </w:r>
      <w:r>
        <w:rPr>
          <w:rFonts w:hint="eastAsia" w:ascii="宋体" w:hAnsi="宋体"/>
          <w:bCs/>
          <w:color w:val="auto"/>
          <w:szCs w:val="21"/>
          <w:highlight w:val="none"/>
        </w:rPr>
        <w:t>日</w:t>
      </w:r>
      <w:r>
        <w:rPr>
          <w:rFonts w:hint="eastAsia" w:ascii="宋体" w:hAnsi="宋体"/>
          <w:bCs/>
          <w:color w:val="auto"/>
          <w:szCs w:val="21"/>
          <w:highlight w:val="none"/>
          <w:lang w:val="en-US" w:eastAsia="zh-CN"/>
        </w:rPr>
        <w:t>00时00</w:t>
      </w:r>
      <w:r>
        <w:rPr>
          <w:rFonts w:hint="eastAsia" w:ascii="宋体" w:hAnsi="宋体"/>
          <w:bCs/>
          <w:color w:val="auto"/>
          <w:szCs w:val="21"/>
          <w:highlight w:val="none"/>
        </w:rPr>
        <w:t>分</w:t>
      </w:r>
      <w:r>
        <w:rPr>
          <w:rFonts w:hint="eastAsia" w:ascii="宋体" w:hAnsi="宋体" w:cs="宋体"/>
          <w:bCs/>
          <w:color w:val="auto"/>
          <w:kern w:val="0"/>
          <w:szCs w:val="21"/>
          <w:highlight w:val="none"/>
        </w:rPr>
        <w:t>至</w:t>
      </w:r>
      <w:r>
        <w:rPr>
          <w:rFonts w:hint="eastAsia" w:ascii="宋体" w:hAnsi="宋体"/>
          <w:color w:val="auto"/>
          <w:szCs w:val="21"/>
          <w:highlight w:val="none"/>
          <w:lang w:val="en-US"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3</w:t>
      </w:r>
      <w:r>
        <w:rPr>
          <w:rFonts w:hint="eastAsia" w:ascii="宋体" w:hAnsi="宋体"/>
          <w:bCs/>
          <w:color w:val="auto"/>
          <w:szCs w:val="21"/>
          <w:highlight w:val="none"/>
        </w:rPr>
        <w:t>月</w:t>
      </w:r>
      <w:r>
        <w:rPr>
          <w:rFonts w:hint="eastAsia" w:ascii="宋体" w:hAnsi="宋体"/>
          <w:bCs/>
          <w:color w:val="auto"/>
          <w:szCs w:val="21"/>
          <w:highlight w:val="none"/>
          <w:lang w:val="en-US" w:eastAsia="zh-CN"/>
        </w:rPr>
        <w:t>31</w:t>
      </w:r>
      <w:r>
        <w:rPr>
          <w:rFonts w:hint="eastAsia" w:ascii="宋体" w:hAnsi="宋体"/>
          <w:bCs/>
          <w:color w:val="auto"/>
          <w:szCs w:val="21"/>
          <w:highlight w:val="none"/>
        </w:rPr>
        <w:t>日</w:t>
      </w:r>
      <w:r>
        <w:rPr>
          <w:rFonts w:hint="eastAsia" w:ascii="宋体" w:hAnsi="宋体"/>
          <w:bCs/>
          <w:color w:val="auto"/>
          <w:szCs w:val="21"/>
          <w:highlight w:val="none"/>
          <w:lang w:val="en-US" w:eastAsia="zh-CN"/>
        </w:rPr>
        <w:t>23时59</w:t>
      </w:r>
      <w:r>
        <w:rPr>
          <w:rFonts w:hint="eastAsia" w:ascii="宋体" w:hAnsi="宋体"/>
          <w:bCs/>
          <w:color w:val="auto"/>
          <w:szCs w:val="21"/>
          <w:highlight w:val="none"/>
        </w:rPr>
        <w:t>分</w:t>
      </w:r>
      <w:r>
        <w:rPr>
          <w:rFonts w:hint="eastAsia" w:ascii="宋体" w:hAnsi="宋体" w:cs="宋体"/>
          <w:bCs/>
          <w:color w:val="auto"/>
          <w:kern w:val="0"/>
          <w:szCs w:val="21"/>
          <w:highlight w:val="none"/>
        </w:rPr>
        <w:t>，每天</w:t>
      </w:r>
      <w:r>
        <w:rPr>
          <w:rFonts w:hint="eastAsia" w:ascii="宋体" w:hAnsi="宋体" w:cs="宋体"/>
          <w:bCs/>
          <w:color w:val="auto"/>
          <w:kern w:val="0"/>
          <w:szCs w:val="21"/>
          <w:highlight w:val="none"/>
          <w:lang w:val="en-US" w:eastAsia="zh-CN"/>
        </w:rPr>
        <w:t>00</w:t>
      </w:r>
      <w:r>
        <w:rPr>
          <w:rFonts w:hint="eastAsia" w:ascii="宋体" w:hAnsi="宋体" w:cs="宋体"/>
          <w:bCs/>
          <w:color w:val="auto"/>
          <w:kern w:val="0"/>
          <w:szCs w:val="21"/>
          <w:highlight w:val="none"/>
        </w:rPr>
        <w:t>时00分至</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59</w:t>
      </w:r>
      <w:r>
        <w:rPr>
          <w:rFonts w:hint="eastAsia" w:ascii="宋体" w:hAnsi="宋体" w:cs="宋体"/>
          <w:bCs/>
          <w:color w:val="auto"/>
          <w:kern w:val="0"/>
          <w:szCs w:val="21"/>
          <w:highlight w:val="none"/>
        </w:rPr>
        <w:t>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r>
        <w:rPr>
          <w:rFonts w:hint="eastAsia" w:ascii="宋体" w:hAnsi="宋体" w:cs="宋体"/>
          <w:bCs/>
          <w:color w:val="auto"/>
          <w:kern w:val="0"/>
          <w:szCs w:val="21"/>
          <w:highlight w:val="none"/>
          <w:lang w:eastAsia="zh-CN"/>
        </w:rPr>
        <w:t>。</w:t>
      </w:r>
    </w:p>
    <w:p w14:paraId="1E8396A4">
      <w:pPr>
        <w:spacing w:line="36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A904291">
      <w:pPr>
        <w:spacing w:line="36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）-进入“项目采购”应用，在获取采购文件菜单中选择项目，获取竞争性谈判文件。电子响应文件制作需要基于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获取的竞争性谈判文件编制，通过其他方式获取竞争性谈判文件的，将有可能导致供应商无法在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05734AC2">
      <w:pPr>
        <w:spacing w:line="36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17EE260D">
      <w:pPr>
        <w:spacing w:line="360" w:lineRule="exact"/>
        <w:ind w:firstLine="360" w:firstLineChars="150"/>
        <w:rPr>
          <w:rFonts w:ascii="黑体" w:hAnsi="黑体" w:eastAsia="黑体"/>
          <w:color w:val="auto"/>
          <w:sz w:val="24"/>
          <w:highlight w:val="none"/>
        </w:rPr>
      </w:pPr>
      <w:bookmarkStart w:id="20" w:name="_Toc28359092"/>
      <w:bookmarkStart w:id="21" w:name="_Toc28359015"/>
      <w:bookmarkStart w:id="22" w:name="_Toc71365365"/>
      <w:bookmarkStart w:id="23" w:name="_Toc71366043"/>
      <w:bookmarkStart w:id="24" w:name="_Toc35393632"/>
      <w:bookmarkStart w:id="25" w:name="_Toc35393801"/>
      <w:r>
        <w:rPr>
          <w:rFonts w:hint="eastAsia" w:ascii="黑体" w:hAnsi="黑体" w:eastAsia="黑体"/>
          <w:color w:val="auto"/>
          <w:sz w:val="24"/>
          <w:highlight w:val="none"/>
        </w:rPr>
        <w:t>四、响应文件提交</w:t>
      </w:r>
      <w:bookmarkEnd w:id="20"/>
      <w:bookmarkEnd w:id="21"/>
      <w:bookmarkEnd w:id="22"/>
      <w:bookmarkEnd w:id="23"/>
      <w:bookmarkEnd w:id="24"/>
      <w:bookmarkEnd w:id="25"/>
    </w:p>
    <w:p w14:paraId="5FF34877">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截止时间：</w:t>
      </w:r>
      <w:r>
        <w:rPr>
          <w:rFonts w:hint="eastAsia" w:ascii="宋体" w:hAnsi="宋体"/>
          <w:color w:val="auto"/>
          <w:szCs w:val="21"/>
          <w:highlight w:val="none"/>
          <w:lang w:val="en-US"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2</w:t>
      </w:r>
      <w:r>
        <w:rPr>
          <w:rFonts w:hint="eastAsia" w:ascii="宋体" w:hAnsi="宋体"/>
          <w:bCs/>
          <w:color w:val="auto"/>
          <w:szCs w:val="21"/>
          <w:highlight w:val="none"/>
        </w:rPr>
        <w:t>日</w:t>
      </w:r>
      <w:r>
        <w:rPr>
          <w:rFonts w:hint="eastAsia" w:ascii="宋体" w:hAnsi="宋体"/>
          <w:bCs/>
          <w:color w:val="auto"/>
          <w:szCs w:val="21"/>
          <w:highlight w:val="none"/>
          <w:lang w:val="en-US" w:eastAsia="zh-CN"/>
        </w:rPr>
        <w:t>14时00</w:t>
      </w:r>
      <w:r>
        <w:rPr>
          <w:rFonts w:hint="eastAsia" w:ascii="宋体" w:hAnsi="宋体"/>
          <w:bCs/>
          <w:color w:val="auto"/>
          <w:szCs w:val="21"/>
          <w:highlight w:val="none"/>
        </w:rPr>
        <w:t>分</w:t>
      </w:r>
      <w:r>
        <w:rPr>
          <w:rFonts w:hint="eastAsia" w:ascii="宋体" w:hAnsi="宋体"/>
          <w:bCs/>
          <w:color w:val="auto"/>
          <w:szCs w:val="21"/>
          <w:highlight w:val="none"/>
        </w:rPr>
        <w:t>（北京时间）</w:t>
      </w:r>
    </w:p>
    <w:p w14:paraId="634534A2">
      <w:pPr>
        <w:spacing w:line="360" w:lineRule="exact"/>
        <w:ind w:left="422"/>
        <w:rPr>
          <w:rFonts w:hint="eastAsia" w:ascii="宋体" w:hAnsi="宋体"/>
          <w:color w:val="auto"/>
          <w:szCs w:val="21"/>
          <w:highlight w:val="none"/>
        </w:rPr>
      </w:pPr>
      <w:r>
        <w:rPr>
          <w:rFonts w:hint="eastAsia" w:ascii="宋体" w:hAnsi="宋体"/>
          <w:color w:val="auto"/>
          <w:szCs w:val="21"/>
          <w:highlight w:val="none"/>
        </w:rPr>
        <w:t>地点：</w:t>
      </w:r>
      <w:bookmarkStart w:id="26" w:name="_Toc28359093"/>
      <w:bookmarkStart w:id="27" w:name="_Toc71366044"/>
      <w:bookmarkStart w:id="28" w:name="_Toc71365366"/>
      <w:bookmarkStart w:id="29" w:name="_Toc35393633"/>
      <w:bookmarkStart w:id="30" w:name="_Toc35393802"/>
      <w:bookmarkStart w:id="31" w:name="_Toc28359016"/>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767B527C">
      <w:pPr>
        <w:spacing w:line="360" w:lineRule="exact"/>
        <w:ind w:left="422"/>
        <w:rPr>
          <w:rFonts w:ascii="黑体" w:hAnsi="黑体" w:eastAsia="黑体"/>
          <w:color w:val="auto"/>
          <w:sz w:val="24"/>
          <w:highlight w:val="none"/>
        </w:rPr>
      </w:pPr>
      <w:r>
        <w:rPr>
          <w:rFonts w:hint="eastAsia" w:ascii="黑体" w:hAnsi="黑体" w:eastAsia="黑体"/>
          <w:color w:val="auto"/>
          <w:sz w:val="24"/>
          <w:highlight w:val="none"/>
        </w:rPr>
        <w:t>五、开启</w:t>
      </w:r>
      <w:bookmarkEnd w:id="26"/>
      <w:bookmarkEnd w:id="27"/>
      <w:bookmarkEnd w:id="28"/>
      <w:bookmarkEnd w:id="29"/>
      <w:bookmarkEnd w:id="30"/>
      <w:bookmarkEnd w:id="31"/>
    </w:p>
    <w:p w14:paraId="1EAB457F">
      <w:pPr>
        <w:spacing w:line="36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lang w:val="en-US"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2</w:t>
      </w:r>
      <w:r>
        <w:rPr>
          <w:rFonts w:hint="eastAsia" w:ascii="宋体" w:hAnsi="宋体"/>
          <w:bCs/>
          <w:color w:val="auto"/>
          <w:szCs w:val="21"/>
          <w:highlight w:val="none"/>
        </w:rPr>
        <w:t>日</w:t>
      </w:r>
      <w:r>
        <w:rPr>
          <w:rFonts w:hint="eastAsia" w:ascii="宋体" w:hAnsi="宋体"/>
          <w:bCs/>
          <w:color w:val="auto"/>
          <w:szCs w:val="21"/>
          <w:highlight w:val="none"/>
          <w:lang w:val="en-US" w:eastAsia="zh-CN"/>
        </w:rPr>
        <w:t>14时00</w:t>
      </w:r>
      <w:r>
        <w:rPr>
          <w:rFonts w:hint="eastAsia" w:ascii="宋体" w:hAnsi="宋体"/>
          <w:bCs/>
          <w:color w:val="auto"/>
          <w:szCs w:val="21"/>
          <w:highlight w:val="none"/>
        </w:rPr>
        <w:t>分</w:t>
      </w:r>
      <w:r>
        <w:rPr>
          <w:rFonts w:hint="eastAsia" w:ascii="宋体" w:hAnsi="宋体"/>
          <w:bCs/>
          <w:color w:val="auto"/>
          <w:szCs w:val="21"/>
          <w:highlight w:val="none"/>
        </w:rPr>
        <w:t>（北京时间）</w:t>
      </w:r>
    </w:p>
    <w:p w14:paraId="5BF42A75">
      <w:pPr>
        <w:spacing w:line="360" w:lineRule="exact"/>
        <w:ind w:firstLine="420" w:firstLineChars="200"/>
        <w:rPr>
          <w:rFonts w:hint="default" w:ascii="宋体" w:hAnsi="宋体" w:eastAsia="宋体"/>
          <w:bCs/>
          <w:color w:val="auto"/>
          <w:szCs w:val="21"/>
          <w:highlight w:val="none"/>
          <w:lang w:val="en-US" w:eastAsia="zh-CN"/>
        </w:rPr>
      </w:pPr>
      <w:r>
        <w:rPr>
          <w:rFonts w:hint="eastAsia" w:ascii="宋体" w:hAnsi="宋体"/>
          <w:color w:val="auto"/>
          <w:szCs w:val="21"/>
          <w:highlight w:val="none"/>
        </w:rPr>
        <w:t>地点：</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lang w:val="en-US" w:eastAsia="zh-CN"/>
        </w:rPr>
        <w:t>防城港市</w:t>
      </w:r>
      <w:r>
        <w:rPr>
          <w:rFonts w:hint="eastAsia" w:ascii="宋体" w:hAnsi="宋体" w:eastAsia="宋体" w:cs="宋体"/>
          <w:bCs/>
          <w:color w:val="auto"/>
          <w:kern w:val="0"/>
          <w:sz w:val="21"/>
          <w:szCs w:val="21"/>
          <w:highlight w:val="none"/>
        </w:rPr>
        <w:t>电子开标大厅【评标室第</w:t>
      </w:r>
      <w:r>
        <w:rPr>
          <w:rFonts w:hint="eastAsia" w:ascii="宋体" w:hAnsi="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rPr>
        <w:t>开评标室（</w:t>
      </w:r>
      <w:r>
        <w:rPr>
          <w:rFonts w:hint="eastAsia" w:ascii="宋体" w:hAnsi="宋体" w:cs="宋体"/>
          <w:bCs/>
          <w:color w:val="auto"/>
          <w:kern w:val="0"/>
          <w:sz w:val="21"/>
          <w:szCs w:val="21"/>
          <w:highlight w:val="none"/>
          <w:lang w:val="en-US" w:eastAsia="zh-CN"/>
        </w:rPr>
        <w:t>704</w:t>
      </w:r>
      <w:r>
        <w:rPr>
          <w:rFonts w:hint="eastAsia" w:ascii="宋体" w:hAnsi="宋体" w:eastAsia="宋体" w:cs="宋体"/>
          <w:bCs/>
          <w:color w:val="auto"/>
          <w:kern w:val="0"/>
          <w:sz w:val="21"/>
          <w:szCs w:val="21"/>
          <w:highlight w:val="none"/>
        </w:rPr>
        <w:t>）】在线解密开启</w:t>
      </w:r>
    </w:p>
    <w:p w14:paraId="75ADC58D">
      <w:pPr>
        <w:spacing w:line="360" w:lineRule="exact"/>
        <w:ind w:firstLine="360" w:firstLineChars="150"/>
        <w:rPr>
          <w:rFonts w:ascii="黑体" w:hAnsi="黑体" w:eastAsia="黑体"/>
          <w:color w:val="auto"/>
          <w:sz w:val="24"/>
          <w:highlight w:val="none"/>
        </w:rPr>
      </w:pPr>
      <w:bookmarkStart w:id="32" w:name="_Toc28359094"/>
      <w:bookmarkStart w:id="33" w:name="_Toc28359017"/>
      <w:bookmarkStart w:id="34" w:name="_Toc35393803"/>
      <w:bookmarkStart w:id="35" w:name="_Toc71365367"/>
      <w:bookmarkStart w:id="36" w:name="_Toc71366045"/>
      <w:bookmarkStart w:id="37" w:name="_Toc35393634"/>
      <w:r>
        <w:rPr>
          <w:rFonts w:hint="eastAsia" w:ascii="黑体" w:hAnsi="黑体" w:eastAsia="黑体"/>
          <w:color w:val="auto"/>
          <w:sz w:val="24"/>
          <w:highlight w:val="none"/>
        </w:rPr>
        <w:t>六、公告期限</w:t>
      </w:r>
      <w:bookmarkEnd w:id="32"/>
      <w:bookmarkEnd w:id="33"/>
      <w:bookmarkEnd w:id="34"/>
      <w:bookmarkEnd w:id="35"/>
      <w:bookmarkEnd w:id="36"/>
      <w:bookmarkEnd w:id="37"/>
    </w:p>
    <w:p w14:paraId="6BB8352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6FDF0741">
      <w:pPr>
        <w:spacing w:line="360" w:lineRule="exact"/>
        <w:ind w:firstLine="360" w:firstLineChars="150"/>
        <w:rPr>
          <w:rFonts w:ascii="黑体" w:hAnsi="黑体" w:eastAsia="黑体"/>
          <w:color w:val="auto"/>
          <w:sz w:val="24"/>
          <w:highlight w:val="none"/>
        </w:rPr>
      </w:pPr>
      <w:bookmarkStart w:id="38" w:name="_Toc35393804"/>
      <w:bookmarkStart w:id="39" w:name="_Toc71366046"/>
      <w:bookmarkStart w:id="40" w:name="_Toc71365368"/>
      <w:bookmarkStart w:id="41" w:name="_Toc35393635"/>
      <w:r>
        <w:rPr>
          <w:rFonts w:hint="eastAsia" w:ascii="黑体" w:hAnsi="黑体" w:eastAsia="黑体"/>
          <w:color w:val="auto"/>
          <w:sz w:val="24"/>
          <w:highlight w:val="none"/>
        </w:rPr>
        <w:t>七、其他补充事宜</w:t>
      </w:r>
      <w:bookmarkEnd w:id="38"/>
      <w:bookmarkEnd w:id="39"/>
      <w:bookmarkEnd w:id="40"/>
      <w:bookmarkEnd w:id="41"/>
    </w:p>
    <w:p w14:paraId="3BC9E50D">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bookmarkStart w:id="42" w:name="_Hlk37429674"/>
      <w:bookmarkStart w:id="43" w:name="_Toc35393805"/>
      <w:bookmarkStart w:id="44" w:name="_Toc71366047"/>
      <w:bookmarkStart w:id="45" w:name="_Toc28359018"/>
      <w:bookmarkStart w:id="46" w:name="_Toc71365369"/>
      <w:bookmarkStart w:id="47" w:name="_Toc28359095"/>
      <w:bookmarkStart w:id="48" w:name="_Toc35393636"/>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ascii="宋体" w:hAnsi="宋体" w:cs="宋体"/>
          <w:bCs/>
          <w:color w:val="auto"/>
          <w:szCs w:val="21"/>
          <w:highlight w:val="none"/>
        </w:rPr>
        <w:t>、</w:t>
      </w:r>
      <w:r>
        <w:rPr>
          <w:rFonts w:ascii="宋体" w:hAnsi="宋体" w:cs="宋体"/>
          <w:color w:val="auto"/>
          <w:szCs w:val="21"/>
          <w:highlight w:val="none"/>
        </w:rPr>
        <w:t>全国公共资源交易平台（广西·防城港）</w:t>
      </w:r>
      <w:r>
        <w:rPr>
          <w:rFonts w:hint="eastAsia"/>
          <w:color w:val="auto"/>
          <w:highlight w:val="none"/>
        </w:rPr>
        <w:t>（</w:t>
      </w:r>
      <w:r>
        <w:rPr>
          <w:rFonts w:hint="eastAsia" w:ascii="宋体" w:hAnsi="宋体" w:eastAsia="宋体" w:cs="宋体"/>
          <w:color w:val="auto"/>
          <w:szCs w:val="21"/>
          <w:highlight w:val="none"/>
        </w:rPr>
        <w:t>http://ggzy.jgswj.gxzf.gov.cn/fcgggzy/</w:t>
      </w:r>
      <w:r>
        <w:rPr>
          <w:rFonts w:hint="eastAsia"/>
          <w:color w:val="auto"/>
          <w:highlight w:val="none"/>
        </w:rPr>
        <w:t>）</w:t>
      </w:r>
      <w:r>
        <w:rPr>
          <w:rFonts w:ascii="宋体" w:hAnsi="宋体" w:cs="宋体"/>
          <w:color w:val="auto"/>
          <w:szCs w:val="21"/>
          <w:highlight w:val="none"/>
        </w:rPr>
        <w:t>。</w:t>
      </w:r>
    </w:p>
    <w:p w14:paraId="33FCDCE2">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color w:val="auto"/>
          <w:kern w:val="0"/>
          <w:szCs w:val="21"/>
          <w:highlight w:val="none"/>
          <w:lang w:eastAsia="zh-CN"/>
        </w:rPr>
        <w:t>：</w:t>
      </w:r>
    </w:p>
    <w:p w14:paraId="4ED7D59E">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2EF4314">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974B1BE">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83C091F">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40E3B62C">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92B25B2">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3.竞标保证金：无。</w:t>
      </w:r>
    </w:p>
    <w:p w14:paraId="19822606">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566A80A4">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名称：防城港市财政局 </w:t>
      </w:r>
    </w:p>
    <w:p w14:paraId="2BF14CF9">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ascii="宋体" w:hAnsi="宋体" w:cs="宋体"/>
          <w:color w:val="auto"/>
          <w:kern w:val="0"/>
          <w:szCs w:val="21"/>
          <w:highlight w:val="none"/>
        </w:rPr>
        <w:t>0770-6102323</w:t>
      </w:r>
    </w:p>
    <w:p w14:paraId="12EBE398">
      <w:pPr>
        <w:widowControl/>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5.供应商</w:t>
      </w:r>
      <w:r>
        <w:rPr>
          <w:rFonts w:hint="eastAsia" w:ascii="宋体" w:hAnsi="宋体"/>
          <w:color w:val="auto"/>
          <w:szCs w:val="21"/>
          <w:highlight w:val="none"/>
        </w:rPr>
        <w:t>竞标注意事项</w:t>
      </w:r>
    </w:p>
    <w:bookmarkEnd w:id="42"/>
    <w:p w14:paraId="4AADEF72">
      <w:pPr>
        <w:spacing w:line="3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31F14813">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color w:val="auto"/>
          <w:highlight w:val="none"/>
        </w:rPr>
        <w:t>响应</w:t>
      </w:r>
      <w:r>
        <w:rPr>
          <w:color w:val="auto"/>
          <w:highlight w:val="none"/>
        </w:rPr>
        <w:t>文件递交</w:t>
      </w:r>
      <w:r>
        <w:rPr>
          <w:rFonts w:hint="eastAsia" w:ascii="宋体" w:hAnsi="宋体"/>
          <w:color w:val="auto"/>
          <w:szCs w:val="21"/>
          <w:highlight w:val="none"/>
        </w:rPr>
        <w:t>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4A116A4E">
      <w:pPr>
        <w:spacing w:line="3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67CE2D5A">
      <w:pPr>
        <w:spacing w:line="360" w:lineRule="exact"/>
        <w:ind w:firstLine="315" w:firstLineChars="150"/>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5FCAF67">
      <w:pPr>
        <w:spacing w:line="360" w:lineRule="exact"/>
        <w:ind w:firstLine="315" w:firstLineChars="150"/>
        <w:rPr>
          <w:rFonts w:hint="default" w:ascii="宋体" w:hAnsi="宋体" w:eastAsia="宋体"/>
          <w:bCs/>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本项目采用远程异地评审（副场：柳州市公共资源交易中心）。</w:t>
      </w:r>
    </w:p>
    <w:p w14:paraId="77F92B04">
      <w:pPr>
        <w:spacing w:line="360" w:lineRule="exact"/>
        <w:ind w:firstLine="360" w:firstLineChars="150"/>
        <w:rPr>
          <w:rFonts w:hint="eastAsia" w:ascii="黑体" w:hAnsi="黑体" w:eastAsia="黑体"/>
          <w:color w:val="auto"/>
          <w:sz w:val="24"/>
          <w:highlight w:val="none"/>
        </w:rPr>
      </w:pPr>
      <w:r>
        <w:rPr>
          <w:rFonts w:hint="eastAsia" w:ascii="黑体" w:hAnsi="黑体" w:eastAsia="黑体"/>
          <w:color w:val="auto"/>
          <w:sz w:val="24"/>
          <w:highlight w:val="none"/>
        </w:rPr>
        <w:t>八、凡对本次采购提出询问，请按以下方式联系。</w:t>
      </w:r>
      <w:bookmarkEnd w:id="43"/>
      <w:bookmarkEnd w:id="44"/>
      <w:bookmarkEnd w:id="45"/>
      <w:bookmarkEnd w:id="46"/>
      <w:bookmarkEnd w:id="47"/>
      <w:bookmarkEnd w:id="48"/>
    </w:p>
    <w:bookmarkEnd w:id="1"/>
    <w:p w14:paraId="05AE5131">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3D5911CC">
      <w:pPr>
        <w:spacing w:line="360" w:lineRule="auto"/>
        <w:ind w:firstLine="567" w:firstLineChars="270"/>
        <w:jc w:val="left"/>
        <w:rPr>
          <w:rFonts w:hint="eastAsia" w:ascii="宋体" w:hAnsi="宋体" w:eastAsia="宋体" w:cs="宋体"/>
          <w:b/>
          <w:bCs/>
          <w:color w:val="auto"/>
          <w:kern w:val="0"/>
          <w:szCs w:val="21"/>
          <w:highlight w:val="none"/>
          <w:lang w:eastAsia="zh-CN"/>
        </w:rPr>
      </w:pPr>
      <w:r>
        <w:rPr>
          <w:rFonts w:hint="eastAsia" w:ascii="宋体" w:hAnsi="宋体"/>
          <w:color w:val="auto"/>
          <w:szCs w:val="21"/>
          <w:highlight w:val="none"/>
        </w:rPr>
        <w:t>名称：</w:t>
      </w:r>
      <w:r>
        <w:rPr>
          <w:rFonts w:hint="eastAsia" w:ascii="宋体" w:hAnsi="宋体" w:cs="宋体"/>
          <w:bCs/>
          <w:color w:val="auto"/>
          <w:kern w:val="0"/>
          <w:szCs w:val="21"/>
          <w:highlight w:val="none"/>
          <w:lang w:eastAsia="zh-CN"/>
        </w:rPr>
        <w:t>防城港市民政局</w:t>
      </w:r>
    </w:p>
    <w:p w14:paraId="34F530D1">
      <w:pPr>
        <w:spacing w:line="360" w:lineRule="auto"/>
        <w:ind w:firstLine="567" w:firstLineChars="270"/>
        <w:jc w:val="left"/>
        <w:rPr>
          <w:rFonts w:hint="eastAsia" w:ascii="宋体" w:hAnsi="宋体" w:cs="宋体"/>
          <w:bCs/>
          <w:color w:val="auto"/>
          <w:kern w:val="0"/>
          <w:szCs w:val="21"/>
          <w:highlight w:val="none"/>
        </w:rPr>
      </w:pPr>
      <w:r>
        <w:rPr>
          <w:rFonts w:hint="eastAsia" w:ascii="宋体" w:hAnsi="宋体"/>
          <w:color w:val="auto"/>
          <w:szCs w:val="21"/>
          <w:highlight w:val="none"/>
        </w:rPr>
        <w:t>地址：防城港市</w:t>
      </w:r>
      <w:r>
        <w:rPr>
          <w:rFonts w:hint="eastAsia" w:ascii="宋体" w:hAnsi="宋体"/>
          <w:color w:val="auto"/>
          <w:szCs w:val="21"/>
          <w:highlight w:val="none"/>
          <w:lang w:val="en-US" w:eastAsia="zh-CN"/>
        </w:rPr>
        <w:t>中心区林业大厦</w:t>
      </w:r>
      <w:r>
        <w:rPr>
          <w:rFonts w:hint="eastAsia" w:ascii="宋体" w:hAnsi="宋体"/>
          <w:color w:val="auto"/>
          <w:szCs w:val="21"/>
          <w:highlight w:val="none"/>
        </w:rPr>
        <w:t> </w:t>
      </w:r>
    </w:p>
    <w:p w14:paraId="6B0E2581">
      <w:pPr>
        <w:spacing w:line="360" w:lineRule="auto"/>
        <w:ind w:firstLine="567" w:firstLineChars="27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bookmarkStart w:id="49" w:name="_Toc28359009"/>
      <w:bookmarkStart w:id="50" w:name="_Toc28359086"/>
      <w:r>
        <w:rPr>
          <w:rFonts w:hint="eastAsia" w:ascii="宋体" w:hAnsi="宋体"/>
          <w:color w:val="auto"/>
          <w:highlight w:val="none"/>
          <w:lang w:val="en-US" w:eastAsia="zh-CN"/>
        </w:rPr>
        <w:t>李秀梅，0770-2821796</w:t>
      </w:r>
    </w:p>
    <w:p w14:paraId="5C5775AC">
      <w:pPr>
        <w:spacing w:line="360" w:lineRule="auto"/>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49"/>
      <w:bookmarkEnd w:id="50"/>
    </w:p>
    <w:p w14:paraId="4FFAF44E">
      <w:pPr>
        <w:spacing w:line="360" w:lineRule="auto"/>
        <w:ind w:firstLine="567" w:firstLineChars="27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防城港市政府采购中心</w:t>
      </w:r>
    </w:p>
    <w:p w14:paraId="3F43714D">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eastAsia="宋体" w:cs="宋体"/>
          <w:color w:val="auto"/>
          <w:sz w:val="21"/>
          <w:szCs w:val="21"/>
          <w:highlight w:val="none"/>
          <w:lang w:val="en-US" w:eastAsia="zh-CN"/>
        </w:rPr>
        <w:t>防城港市中心区红树林大厦东塔6楼</w:t>
      </w:r>
    </w:p>
    <w:p w14:paraId="3A2C3016">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51" w:name="_Toc28359010"/>
      <w:bookmarkStart w:id="52" w:name="_Toc28359087"/>
      <w:r>
        <w:rPr>
          <w:rFonts w:hint="eastAsia" w:ascii="宋体" w:hAnsi="宋体" w:eastAsia="宋体" w:cs="宋体"/>
          <w:color w:val="auto"/>
          <w:kern w:val="0"/>
          <w:sz w:val="21"/>
          <w:szCs w:val="21"/>
          <w:highlight w:val="none"/>
          <w:lang w:val="en-US" w:eastAsia="zh-CN"/>
        </w:rPr>
        <w:t>0770-6126169</w:t>
      </w:r>
    </w:p>
    <w:p w14:paraId="319C135A">
      <w:pPr>
        <w:spacing w:line="360" w:lineRule="auto"/>
        <w:ind w:firstLine="567" w:firstLineChars="270"/>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51"/>
      <w:bookmarkEnd w:id="52"/>
    </w:p>
    <w:p w14:paraId="28461D39">
      <w:pPr>
        <w:pStyle w:val="12"/>
        <w:spacing w:line="360" w:lineRule="auto"/>
        <w:ind w:firstLine="567" w:firstLineChars="270"/>
        <w:rPr>
          <w:rFonts w:hint="default" w:hAnsi="宋体"/>
          <w:color w:val="auto"/>
          <w:sz w:val="21"/>
          <w:highlight w:val="none"/>
          <w:lang w:val="en-US"/>
        </w:rPr>
      </w:pPr>
      <w:r>
        <w:rPr>
          <w:rFonts w:hint="eastAsia" w:hAnsi="宋体"/>
          <w:color w:val="auto"/>
          <w:sz w:val="21"/>
          <w:highlight w:val="none"/>
        </w:rPr>
        <w:t>项目联系人：</w:t>
      </w:r>
      <w:r>
        <w:rPr>
          <w:rFonts w:hint="eastAsia" w:hAnsi="宋体"/>
          <w:color w:val="auto"/>
          <w:sz w:val="21"/>
          <w:highlight w:val="none"/>
          <w:lang w:val="en-US" w:eastAsia="zh-CN"/>
        </w:rPr>
        <w:t>陈雨文、严仁君</w:t>
      </w:r>
    </w:p>
    <w:p w14:paraId="7FC8EFCC">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eastAsia="宋体" w:cs="宋体"/>
          <w:color w:val="auto"/>
          <w:kern w:val="0"/>
          <w:sz w:val="21"/>
          <w:szCs w:val="21"/>
          <w:highlight w:val="none"/>
          <w:lang w:val="en-US" w:eastAsia="zh-CN"/>
        </w:rPr>
        <w:t>0770-6126169</w:t>
      </w:r>
    </w:p>
    <w:p w14:paraId="0B27BB58">
      <w:pPr>
        <w:spacing w:line="360" w:lineRule="exact"/>
        <w:ind w:firstLine="420" w:firstLineChars="200"/>
        <w:jc w:val="righ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w:t>
      </w:r>
    </w:p>
    <w:p w14:paraId="7FF41E89">
      <w:pPr>
        <w:spacing w:line="360" w:lineRule="exact"/>
        <w:ind w:firstLine="420" w:firstLineChars="200"/>
        <w:jc w:val="right"/>
        <w:rPr>
          <w:rFonts w:hint="eastAsia" w:ascii="宋体" w:hAnsi="宋体" w:cs="宋体"/>
          <w:color w:val="auto"/>
          <w:szCs w:val="21"/>
          <w:highlight w:val="none"/>
          <w:lang w:val="zh-CN"/>
        </w:rPr>
      </w:pPr>
    </w:p>
    <w:p w14:paraId="0D3E543B">
      <w:pPr>
        <w:spacing w:line="360" w:lineRule="exact"/>
        <w:ind w:firstLine="420" w:firstLineChars="200"/>
        <w:jc w:val="left"/>
        <w:rPr>
          <w:rFonts w:hint="eastAsia" w:hAnsi="宋体"/>
          <w:bCs/>
          <w:color w:val="auto"/>
          <w:highlight w:val="none"/>
          <w:lang w:val="zh-CN"/>
        </w:rPr>
      </w:pPr>
    </w:p>
    <w:p w14:paraId="5B9E5A47">
      <w:pPr>
        <w:spacing w:line="360" w:lineRule="exact"/>
        <w:ind w:firstLine="420" w:firstLineChars="200"/>
        <w:jc w:val="left"/>
        <w:rPr>
          <w:rFonts w:hint="eastAsia" w:hAnsi="宋体"/>
          <w:bCs/>
          <w:color w:val="auto"/>
          <w:highlight w:val="none"/>
          <w:lang w:val="zh-CN"/>
        </w:rPr>
      </w:pPr>
    </w:p>
    <w:p w14:paraId="16628D3F">
      <w:pPr>
        <w:spacing w:line="360" w:lineRule="exact"/>
        <w:ind w:firstLine="420" w:firstLineChars="200"/>
        <w:jc w:val="left"/>
        <w:rPr>
          <w:rFonts w:hint="eastAsia" w:hAnsi="宋体"/>
          <w:bCs/>
          <w:color w:val="auto"/>
          <w:highlight w:val="none"/>
          <w:lang w:val="zh-CN"/>
        </w:rPr>
      </w:pPr>
    </w:p>
    <w:p w14:paraId="57693D20">
      <w:pPr>
        <w:spacing w:line="360" w:lineRule="exact"/>
        <w:ind w:firstLine="420" w:firstLineChars="200"/>
        <w:jc w:val="right"/>
        <w:rPr>
          <w:rFonts w:hint="eastAsia" w:ascii="宋体" w:hAnsi="宋体" w:cs="宋体"/>
          <w:color w:val="auto"/>
          <w:szCs w:val="21"/>
          <w:highlight w:val="none"/>
          <w:lang w:val="zh-CN"/>
        </w:rPr>
      </w:pPr>
      <w:r>
        <w:rPr>
          <w:rFonts w:hint="eastAsia" w:ascii="宋体" w:hAnsi="宋体" w:cs="宋体"/>
          <w:color w:val="auto"/>
          <w:szCs w:val="21"/>
          <w:highlight w:val="none"/>
          <w:lang w:val="zh-CN"/>
        </w:rPr>
        <w:t>采购人：防城港市民政局</w:t>
      </w:r>
    </w:p>
    <w:p w14:paraId="2192BBAD">
      <w:pPr>
        <w:spacing w:line="360" w:lineRule="exact"/>
        <w:ind w:firstLine="420" w:firstLineChars="200"/>
        <w:jc w:val="right"/>
        <w:rPr>
          <w:rFonts w:hint="eastAsia" w:ascii="宋体" w:hAnsi="宋体" w:cs="宋体"/>
          <w:color w:val="auto"/>
          <w:szCs w:val="21"/>
          <w:highlight w:val="none"/>
          <w:lang w:val="zh-CN"/>
        </w:rPr>
      </w:pPr>
      <w:r>
        <w:rPr>
          <w:rFonts w:hint="eastAsia" w:ascii="宋体" w:hAnsi="宋体" w:cs="宋体"/>
          <w:color w:val="auto"/>
          <w:szCs w:val="21"/>
          <w:highlight w:val="none"/>
          <w:lang w:val="zh-CN"/>
        </w:rPr>
        <w:t>采购代理机构：防城港市政府采购中心</w:t>
      </w:r>
    </w:p>
    <w:p w14:paraId="69C74B6B">
      <w:pPr>
        <w:spacing w:line="340" w:lineRule="exact"/>
        <w:ind w:firstLine="420" w:firstLineChars="200"/>
        <w:jc w:val="right"/>
        <w:rPr>
          <w:rFonts w:hint="eastAsia" w:ascii="宋体" w:hAnsi="宋体" w:cs="宋体"/>
          <w:color w:val="auto"/>
          <w:szCs w:val="21"/>
          <w:highlight w:val="none"/>
          <w:lang w:val="zh-CN"/>
        </w:rPr>
      </w:pPr>
      <w:r>
        <w:rPr>
          <w:rFonts w:hint="eastAsia" w:ascii="宋体" w:hAnsi="宋体"/>
          <w:color w:val="auto"/>
          <w:szCs w:val="21"/>
          <w:highlight w:val="none"/>
          <w:lang w:val="en-US"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3</w:t>
      </w:r>
      <w:r>
        <w:rPr>
          <w:rFonts w:hint="eastAsia" w:ascii="宋体" w:hAnsi="宋体"/>
          <w:bCs/>
          <w:color w:val="auto"/>
          <w:szCs w:val="21"/>
          <w:highlight w:val="none"/>
        </w:rPr>
        <w:t>月</w:t>
      </w:r>
      <w:r>
        <w:rPr>
          <w:rFonts w:hint="eastAsia" w:ascii="宋体" w:hAnsi="宋体"/>
          <w:bCs/>
          <w:color w:val="auto"/>
          <w:szCs w:val="21"/>
          <w:highlight w:val="none"/>
          <w:lang w:val="en-US" w:eastAsia="zh-CN"/>
        </w:rPr>
        <w:t>26</w:t>
      </w:r>
      <w:r>
        <w:rPr>
          <w:rFonts w:hint="eastAsia" w:ascii="宋体" w:hAnsi="宋体"/>
          <w:bCs/>
          <w:color w:val="auto"/>
          <w:szCs w:val="21"/>
          <w:highlight w:val="none"/>
        </w:rPr>
        <w:t>日</w:t>
      </w:r>
    </w:p>
    <w:p w14:paraId="4ADE5D9E">
      <w:pPr>
        <w:spacing w:line="360" w:lineRule="auto"/>
        <w:ind w:firstLine="420" w:firstLineChars="200"/>
        <w:jc w:val="right"/>
        <w:rPr>
          <w:rFonts w:hint="eastAsia" w:ascii="宋体" w:hAnsi="宋体" w:cs="宋体"/>
          <w:color w:val="auto"/>
          <w:szCs w:val="21"/>
          <w:highlight w:val="none"/>
          <w:lang w:val="zh-CN"/>
        </w:rPr>
      </w:pPr>
    </w:p>
    <w:p w14:paraId="674BDD45">
      <w:pPr>
        <w:spacing w:line="360" w:lineRule="auto"/>
        <w:ind w:firstLine="420" w:firstLineChars="200"/>
        <w:jc w:val="right"/>
        <w:rPr>
          <w:rFonts w:hint="eastAsia" w:ascii="宋体" w:hAnsi="宋体" w:cs="宋体"/>
          <w:color w:val="auto"/>
          <w:szCs w:val="21"/>
          <w:highlight w:val="none"/>
          <w:lang w:val="zh-CN"/>
        </w:rPr>
      </w:pPr>
    </w:p>
    <w:p w14:paraId="36B75CBE">
      <w:pPr>
        <w:spacing w:line="360" w:lineRule="auto"/>
        <w:ind w:firstLine="420" w:firstLineChars="200"/>
        <w:jc w:val="right"/>
        <w:rPr>
          <w:rFonts w:hint="eastAsia" w:ascii="宋体" w:hAnsi="宋体" w:cs="宋体"/>
          <w:color w:val="auto"/>
          <w:szCs w:val="21"/>
          <w:highlight w:val="none"/>
          <w:lang w:val="zh-CN"/>
        </w:rPr>
      </w:pPr>
    </w:p>
    <w:p w14:paraId="293FD812">
      <w:pPr>
        <w:spacing w:line="360" w:lineRule="auto"/>
        <w:ind w:firstLine="420" w:firstLineChars="200"/>
        <w:jc w:val="right"/>
        <w:rPr>
          <w:rFonts w:hint="eastAsia" w:ascii="宋体" w:hAnsi="宋体" w:cs="宋体"/>
          <w:color w:val="auto"/>
          <w:szCs w:val="21"/>
          <w:highlight w:val="none"/>
          <w:lang w:val="zh-CN"/>
        </w:rPr>
      </w:pPr>
    </w:p>
    <w:p w14:paraId="5EA99A90">
      <w:pPr>
        <w:spacing w:line="360" w:lineRule="auto"/>
        <w:ind w:firstLine="420" w:firstLineChars="200"/>
        <w:jc w:val="right"/>
        <w:rPr>
          <w:rFonts w:hint="eastAsia" w:ascii="宋体" w:hAnsi="宋体" w:cs="宋体"/>
          <w:color w:val="auto"/>
          <w:szCs w:val="21"/>
          <w:highlight w:val="none"/>
          <w:lang w:val="zh-CN"/>
        </w:rPr>
      </w:pPr>
    </w:p>
    <w:p w14:paraId="7BE41328">
      <w:pPr>
        <w:spacing w:line="360" w:lineRule="auto"/>
        <w:ind w:firstLine="420" w:firstLineChars="200"/>
        <w:jc w:val="right"/>
        <w:rPr>
          <w:rFonts w:hint="eastAsia" w:ascii="宋体" w:hAnsi="宋体" w:cs="宋体"/>
          <w:color w:val="auto"/>
          <w:szCs w:val="21"/>
          <w:highlight w:val="none"/>
          <w:lang w:val="zh-CN"/>
        </w:rPr>
      </w:pPr>
    </w:p>
    <w:p w14:paraId="3F245FE0">
      <w:pPr>
        <w:spacing w:line="360" w:lineRule="auto"/>
        <w:ind w:firstLine="420" w:firstLineChars="200"/>
        <w:jc w:val="right"/>
        <w:rPr>
          <w:rFonts w:hint="eastAsia" w:ascii="宋体" w:hAnsi="宋体" w:cs="宋体"/>
          <w:color w:val="auto"/>
          <w:szCs w:val="21"/>
          <w:highlight w:val="none"/>
          <w:lang w:val="zh-CN"/>
        </w:rPr>
      </w:pPr>
    </w:p>
    <w:p w14:paraId="26B8EAEF">
      <w:pPr>
        <w:spacing w:line="360" w:lineRule="auto"/>
        <w:rPr>
          <w:rFonts w:hint="eastAsia" w:ascii="宋体" w:hAnsi="宋体" w:cs="宋体"/>
          <w:color w:val="auto"/>
          <w:szCs w:val="21"/>
          <w:highlight w:val="none"/>
          <w:lang w:val="zh-CN"/>
        </w:rPr>
      </w:pPr>
    </w:p>
    <w:p w14:paraId="3AF229BD">
      <w:pPr>
        <w:pStyle w:val="2"/>
        <w:spacing w:line="500" w:lineRule="exact"/>
        <w:jc w:val="center"/>
        <w:rPr>
          <w:rFonts w:hint="eastAsia"/>
          <w:color w:val="auto"/>
          <w:highlight w:val="none"/>
        </w:rPr>
      </w:pPr>
      <w:bookmarkStart w:id="53" w:name="_Toc168674246"/>
      <w:r>
        <w:rPr>
          <w:rFonts w:hint="eastAsia"/>
          <w:color w:val="auto"/>
          <w:highlight w:val="none"/>
        </w:rPr>
        <w:t>第二章 供应商须知</w:t>
      </w:r>
      <w:bookmarkEnd w:id="53"/>
    </w:p>
    <w:p w14:paraId="1EC2C54C">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09"/>
      </w:tblGrid>
      <w:tr w14:paraId="3100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886209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309" w:type="dxa"/>
            <w:noWrap w:val="0"/>
            <w:vAlign w:val="top"/>
          </w:tcPr>
          <w:p w14:paraId="0C72B25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DAF2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DACCC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309" w:type="dxa"/>
            <w:noWrap w:val="0"/>
            <w:vAlign w:val="center"/>
          </w:tcPr>
          <w:p w14:paraId="411A55A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78FF96DF">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8861A1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1F4F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w:t>
            </w:r>
            <w:r>
              <w:rPr>
                <w:rFonts w:ascii="宋体" w:hAnsi="宋体" w:cs="宋体"/>
                <w:color w:val="auto"/>
                <w:szCs w:val="21"/>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tc>
      </w:tr>
      <w:tr w14:paraId="1295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F044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309" w:type="dxa"/>
            <w:noWrap w:val="0"/>
            <w:vAlign w:val="center"/>
          </w:tcPr>
          <w:p w14:paraId="0168CF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是否接受联合体竞标：详见竞争性谈判公告</w:t>
            </w:r>
          </w:p>
        </w:tc>
      </w:tr>
      <w:tr w14:paraId="28C65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50D7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309" w:type="dxa"/>
            <w:noWrap w:val="0"/>
            <w:vAlign w:val="center"/>
          </w:tcPr>
          <w:p w14:paraId="6AF63EB0">
            <w:pPr>
              <w:pStyle w:val="6"/>
              <w:spacing w:line="340" w:lineRule="exact"/>
              <w:rPr>
                <w:rFonts w:hint="eastAsia"/>
                <w:color w:val="auto"/>
                <w:szCs w:val="21"/>
                <w:highlight w:val="none"/>
                <w:u w:val="single"/>
                <w:lang w:val="en-US" w:eastAsia="zh-CN"/>
              </w:rPr>
            </w:pPr>
            <w:r>
              <w:rPr>
                <w:rFonts w:hint="eastAsia"/>
                <w:color w:val="auto"/>
                <w:szCs w:val="21"/>
                <w:highlight w:val="none"/>
                <w:lang w:val="en-US" w:eastAsia="zh-CN"/>
              </w:rPr>
              <w:t>不允许分包。</w:t>
            </w:r>
          </w:p>
        </w:tc>
      </w:tr>
      <w:tr w14:paraId="167EC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6FDDB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8309" w:type="dxa"/>
            <w:noWrap w:val="0"/>
            <w:vAlign w:val="center"/>
          </w:tcPr>
          <w:p w14:paraId="26121FD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AD2DDE7">
            <w:pPr>
              <w:numPr>
                <w:ilvl w:val="0"/>
                <w:numId w:val="0"/>
              </w:num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4FB7DA">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.供应商根据防财监〔2023〕58 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4F52F3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209DFF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2B93080">
            <w:pPr>
              <w:snapToGrid w:val="0"/>
              <w:spacing w:line="360" w:lineRule="auto"/>
              <w:jc w:val="left"/>
              <w:rPr>
                <w:rFonts w:hint="eastAsia" w:ascii="宋体" w:hAnsi="宋体"/>
                <w:bCs/>
                <w:kern w:val="0"/>
                <w:highlight w:val="none"/>
              </w:rPr>
            </w:pPr>
            <w:r>
              <w:rPr>
                <w:rFonts w:hint="eastAsia" w:ascii="宋体" w:hAnsi="宋体" w:cs="宋体"/>
                <w:color w:val="auto"/>
                <w:szCs w:val="21"/>
                <w:highlight w:val="none"/>
              </w:rPr>
              <w:t>5.</w:t>
            </w:r>
            <w:r>
              <w:rPr>
                <w:rFonts w:ascii="宋体" w:hAnsi="宋体"/>
                <w:bCs/>
                <w:color w:val="auto"/>
                <w:highlight w:val="none"/>
              </w:rPr>
              <w:t>具备履行合同所必需的设备和专业技术能力的证明材料</w:t>
            </w:r>
            <w:r>
              <w:rPr>
                <w:rFonts w:hint="eastAsia" w:ascii="宋体" w:hAnsi="宋体"/>
                <w:bCs/>
                <w:color w:val="auto"/>
                <w:kern w:val="0"/>
                <w:highlight w:val="none"/>
              </w:rPr>
              <w:t>；（</w:t>
            </w:r>
            <w:r>
              <w:rPr>
                <w:rFonts w:hint="eastAsia" w:ascii="宋体" w:hAnsi="宋体"/>
                <w:b/>
                <w:color w:val="auto"/>
                <w:highlight w:val="none"/>
              </w:rPr>
              <w:t>必须提供，格式自拟</w:t>
            </w:r>
            <w:r>
              <w:rPr>
                <w:rFonts w:hint="eastAsia" w:ascii="宋体" w:hAnsi="宋体"/>
                <w:b/>
                <w:color w:val="auto"/>
                <w:highlight w:val="none"/>
                <w:lang w:eastAsia="zh-CN"/>
              </w:rPr>
              <w:t>，</w:t>
            </w:r>
            <w:r>
              <w:rPr>
                <w:rFonts w:hint="eastAsia" w:ascii="宋体" w:hAnsi="宋体" w:cs="宋体"/>
                <w:b/>
                <w:color w:val="auto"/>
                <w:szCs w:val="21"/>
              </w:rPr>
              <w:t>否则响应文件按无效处理</w:t>
            </w:r>
            <w:r>
              <w:rPr>
                <w:rFonts w:hint="eastAsia" w:ascii="宋体" w:hAnsi="宋体"/>
                <w:bCs/>
                <w:color w:val="auto"/>
                <w:kern w:val="0"/>
                <w:highlight w:val="none"/>
              </w:rPr>
              <w:t>）</w:t>
            </w:r>
          </w:p>
          <w:p w14:paraId="79A2905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Cs/>
                <w:kern w:val="0"/>
                <w:highlight w:val="none"/>
              </w:rPr>
            </w:pPr>
            <w:r>
              <w:rPr>
                <w:rFonts w:hint="eastAsia" w:ascii="宋体" w:hAnsi="宋体" w:cs="宋体"/>
                <w:szCs w:val="21"/>
                <w:lang w:val="en-US" w:eastAsia="zh-CN"/>
              </w:rPr>
              <w:t>6</w:t>
            </w:r>
            <w:r>
              <w:rPr>
                <w:rFonts w:hint="eastAsia" w:ascii="宋体" w:hAnsi="宋体" w:cs="宋体"/>
                <w:szCs w:val="21"/>
              </w:rPr>
              <w:t>.除谈判文件规定必须提供以外，供应商认为需要提供的其他证明材料。</w:t>
            </w:r>
          </w:p>
          <w:p w14:paraId="6F7A6DFA">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2DCE623">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 ，必须加盖供应商公章；必须提供的材料在第五章“响应文件格式”中 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p w14:paraId="64B516CA">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b/>
                <w:bCs/>
                <w:color w:val="auto"/>
                <w:szCs w:val="21"/>
                <w:highlight w:val="none"/>
              </w:rPr>
              <w:t>2.分公司参加竞标的，应当取得总公司授权</w:t>
            </w:r>
            <w:r>
              <w:rPr>
                <w:rFonts w:hint="eastAsia" w:ascii="宋体" w:hAnsi="宋体" w:cs="宋体"/>
                <w:b/>
                <w:color w:val="auto"/>
                <w:szCs w:val="21"/>
                <w:highlight w:val="none"/>
              </w:rPr>
              <w:t>，否则响应文件按无效处理。</w:t>
            </w:r>
          </w:p>
        </w:tc>
      </w:tr>
      <w:tr w14:paraId="5ACA6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74958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8309" w:type="dxa"/>
            <w:noWrap w:val="0"/>
            <w:vAlign w:val="center"/>
          </w:tcPr>
          <w:p w14:paraId="050B8B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76C43DFB">
            <w:pPr>
              <w:keepNext w:val="0"/>
              <w:keepLines w:val="0"/>
              <w:pageBreakBefore w:val="0"/>
              <w:widowControl w:val="0"/>
              <w:kinsoku/>
              <w:wordWrap/>
              <w:overflowPunct/>
              <w:topLinePunct w:val="0"/>
              <w:bidi w:val="0"/>
              <w:adjustRightInd/>
              <w:spacing w:line="360" w:lineRule="exact"/>
              <w:rPr>
                <w:rFonts w:hint="eastAsia" w:ascii="宋体" w:hAnsi="宋体" w:cs="宋体"/>
                <w:color w:val="auto"/>
                <w:szCs w:val="21"/>
              </w:rPr>
            </w:pPr>
            <w:r>
              <w:rPr>
                <w:rFonts w:hint="eastAsia" w:ascii="宋体" w:hAnsi="宋体" w:cs="宋体"/>
                <w:szCs w:val="21"/>
              </w:rPr>
              <w:t>1.</w:t>
            </w:r>
            <w:r>
              <w:rPr>
                <w:rFonts w:hint="eastAsia" w:ascii="宋体" w:hAnsi="宋体" w:cs="宋体"/>
                <w:color w:val="auto"/>
                <w:szCs w:val="21"/>
              </w:rPr>
              <w:t>响应函（格式后附）；（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BA349B0">
            <w:pPr>
              <w:keepNext w:val="0"/>
              <w:keepLines w:val="0"/>
              <w:pageBreakBefore w:val="0"/>
              <w:widowControl w:val="0"/>
              <w:kinsoku/>
              <w:wordWrap/>
              <w:overflowPunct/>
              <w:topLinePunct w:val="0"/>
              <w:bidi w:val="0"/>
              <w:adjustRightInd/>
              <w:spacing w:line="360" w:lineRule="exact"/>
              <w:rPr>
                <w:rFonts w:hint="eastAsia"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3B70451">
            <w:pPr>
              <w:spacing w:line="360" w:lineRule="auto"/>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.中小企业声明函或残疾人福利性单位声明函或竞标人属于监狱企业的证明材料</w:t>
            </w:r>
            <w:r>
              <w:rPr>
                <w:rFonts w:hint="eastAsia" w:ascii="宋体" w:hAnsi="宋体" w:cs="宋体"/>
                <w:color w:val="auto"/>
                <w:szCs w:val="21"/>
                <w:lang w:eastAsia="zh-CN"/>
              </w:rPr>
              <w:t>（</w:t>
            </w:r>
            <w:r>
              <w:rPr>
                <w:rFonts w:hint="eastAsia" w:ascii="宋体" w:hAnsi="宋体" w:cs="宋体"/>
                <w:color w:val="auto"/>
                <w:szCs w:val="21"/>
              </w:rPr>
              <w:t>格式后附</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b/>
                <w:color w:val="auto"/>
                <w:szCs w:val="21"/>
                <w:lang w:val="en-US" w:eastAsia="zh-CN"/>
              </w:rPr>
              <w:t>如有请提供</w:t>
            </w:r>
            <w:r>
              <w:rPr>
                <w:rFonts w:hint="eastAsia" w:ascii="宋体" w:hAnsi="宋体" w:cs="宋体"/>
                <w:color w:val="auto"/>
                <w:szCs w:val="21"/>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本项目所属行业划分为“工业”</w:t>
            </w:r>
            <w:r>
              <w:rPr>
                <w:rFonts w:hint="eastAsia" w:ascii="宋体" w:hAnsi="宋体" w:cs="宋体"/>
                <w:b/>
                <w:bCs/>
                <w:color w:val="auto"/>
                <w:szCs w:val="21"/>
                <w:highlight w:val="none"/>
                <w:lang w:eastAsia="zh-CN"/>
              </w:rPr>
              <w:t>）</w:t>
            </w:r>
          </w:p>
          <w:p w14:paraId="3324C651">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highlight w:val="none"/>
              </w:rPr>
              <w:t>符合本国产品标准的声明函</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如有请提供</w:t>
            </w:r>
            <w:r>
              <w:rPr>
                <w:rFonts w:hint="eastAsia" w:ascii="宋体" w:hAnsi="宋体" w:cs="宋体"/>
                <w:color w:val="auto"/>
                <w:szCs w:val="21"/>
                <w:highlight w:val="none"/>
                <w:lang w:eastAsia="zh-CN"/>
              </w:rPr>
              <w:t>）</w:t>
            </w:r>
          </w:p>
          <w:p w14:paraId="6CF599E8">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.供应商认为需要提供的其他有关资料。</w:t>
            </w:r>
          </w:p>
          <w:p w14:paraId="43408B03">
            <w:pPr>
              <w:keepNext w:val="0"/>
              <w:keepLines w:val="0"/>
              <w:pageBreakBefore w:val="0"/>
              <w:widowControl w:val="0"/>
              <w:kinsoku/>
              <w:wordWrap/>
              <w:overflowPunct/>
              <w:topLinePunct w:val="0"/>
              <w:bidi w:val="0"/>
              <w:adjustRightInd/>
              <w:spacing w:line="360" w:lineRule="exact"/>
              <w:rPr>
                <w:rFonts w:hint="eastAsia" w:ascii="宋体" w:hAnsi="宋体" w:cs="宋体"/>
                <w:b/>
                <w:szCs w:val="21"/>
              </w:rPr>
            </w:pPr>
            <w:r>
              <w:rPr>
                <w:rFonts w:hint="eastAsia" w:ascii="宋体" w:hAnsi="宋体" w:cs="宋体"/>
                <w:b/>
                <w:szCs w:val="21"/>
              </w:rPr>
              <w:t xml:space="preserve">注： </w:t>
            </w:r>
          </w:p>
          <w:p w14:paraId="0F5E425C">
            <w:pPr>
              <w:keepNext w:val="0"/>
              <w:keepLines w:val="0"/>
              <w:pageBreakBefore w:val="0"/>
              <w:widowControl w:val="0"/>
              <w:kinsoku/>
              <w:wordWrap/>
              <w:overflowPunct/>
              <w:topLinePunct w:val="0"/>
              <w:bidi w:val="0"/>
              <w:adjustRightInd/>
              <w:spacing w:line="360" w:lineRule="exact"/>
              <w:ind w:firstLine="420" w:firstLineChars="200"/>
              <w:rPr>
                <w:rFonts w:hint="eastAsia" w:ascii="宋体" w:hAnsi="宋体" w:cs="宋体"/>
                <w:b/>
                <w:szCs w:val="21"/>
              </w:rPr>
            </w:pPr>
            <w:r>
              <w:rPr>
                <w:rFonts w:hint="eastAsia" w:ascii="宋体" w:hAnsi="宋体" w:cs="宋体"/>
                <w:b/>
                <w:szCs w:val="21"/>
                <w:lang w:val="en-US" w:eastAsia="zh-CN"/>
              </w:rPr>
              <w:t>1</w:t>
            </w:r>
            <w:r>
              <w:rPr>
                <w:rFonts w:hint="eastAsia" w:ascii="宋体" w:hAnsi="宋体" w:cs="宋体"/>
                <w:b/>
                <w:szCs w:val="21"/>
              </w:rPr>
              <w:t>. 以上标明“必须提供”材料</w:t>
            </w:r>
            <w:r>
              <w:rPr>
                <w:rFonts w:hint="eastAsia" w:ascii="宋体" w:hAnsi="宋体" w:cs="宋体"/>
                <w:b/>
                <w:szCs w:val="21"/>
                <w:lang w:val="en-US" w:eastAsia="zh-CN"/>
              </w:rPr>
              <w:t>属于</w:t>
            </w:r>
            <w:r>
              <w:rPr>
                <w:rFonts w:hint="eastAsia" w:ascii="宋体" w:hAnsi="宋体" w:cs="宋体"/>
                <w:b/>
                <w:szCs w:val="21"/>
              </w:rPr>
              <w:t>复印件的，必须加盖供应商公章，否则响应文件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415FAD40">
            <w:pPr>
              <w:spacing w:line="360" w:lineRule="auto"/>
              <w:ind w:firstLine="420" w:firstLineChars="200"/>
              <w:rPr>
                <w:rFonts w:hint="eastAsia" w:ascii="宋体" w:hAnsi="宋体" w:cs="宋体"/>
                <w:color w:val="auto"/>
                <w:szCs w:val="21"/>
                <w:highlight w:val="none"/>
              </w:rPr>
            </w:pPr>
            <w:r>
              <w:rPr>
                <w:rFonts w:hint="eastAsia" w:ascii="宋体" w:hAnsi="宋体" w:cs="宋体"/>
                <w:b/>
                <w:szCs w:val="21"/>
                <w:lang w:val="en-US" w:eastAsia="zh-CN"/>
              </w:rPr>
              <w:t>2</w:t>
            </w:r>
            <w:r>
              <w:rPr>
                <w:rFonts w:hint="eastAsia" w:ascii="宋体" w:hAnsi="宋体" w:cs="宋体"/>
                <w:b/>
                <w:szCs w:val="21"/>
              </w:rPr>
              <w:t>.以上材料未附格式的，由供应商自行拟定。</w:t>
            </w:r>
          </w:p>
        </w:tc>
      </w:tr>
      <w:tr w14:paraId="62FE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18B5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8309" w:type="dxa"/>
            <w:noWrap w:val="0"/>
            <w:vAlign w:val="center"/>
          </w:tcPr>
          <w:p w14:paraId="595135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商务技术文件</w:t>
            </w:r>
          </w:p>
          <w:p w14:paraId="240290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1D4C1C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5144E0A">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59ADD1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0150A2C">
            <w:pPr>
              <w:keepNext w:val="0"/>
              <w:keepLines w:val="0"/>
              <w:pageBreakBefore w:val="0"/>
              <w:widowControl w:val="0"/>
              <w:kinsoku/>
              <w:wordWrap/>
              <w:overflowPunct/>
              <w:topLinePunct w:val="0"/>
              <w:bidi w:val="0"/>
              <w:adjustRightInd/>
              <w:spacing w:line="360" w:lineRule="exact"/>
              <w:rPr>
                <w:rFonts w:hint="eastAsia" w:ascii="宋体" w:hAnsi="宋体" w:cs="宋体"/>
                <w:color w:val="auto"/>
                <w:szCs w:val="21"/>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rPr>
              <w:t>产品质量保证书（格式后附）</w:t>
            </w:r>
            <w:bookmarkStart w:id="54" w:name="OLE_LINK6"/>
            <w:r>
              <w:rPr>
                <w:rFonts w:hint="eastAsia" w:ascii="宋体" w:hAnsi="宋体" w:cs="宋体"/>
                <w:color w:val="auto"/>
                <w:szCs w:val="21"/>
              </w:rPr>
              <w:t>；</w:t>
            </w:r>
            <w:r>
              <w:rPr>
                <w:rFonts w:hint="eastAsia" w:ascii="宋体" w:hAnsi="宋体" w:cs="宋体"/>
                <w:b/>
                <w:color w:val="auto"/>
                <w:szCs w:val="21"/>
              </w:rPr>
              <w:t>（必须提供，否则响应文件按无效处理）</w:t>
            </w:r>
            <w:bookmarkEnd w:id="54"/>
          </w:p>
          <w:p w14:paraId="25B742EF">
            <w:pPr>
              <w:spacing w:line="360" w:lineRule="auto"/>
              <w:rPr>
                <w:rFonts w:hint="eastAsia" w:ascii="宋体" w:hAnsi="宋体" w:cs="宋体"/>
                <w:b/>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.售后服务承诺书（内容可以是提供的切实可行的售后服务和优惠承诺）；</w:t>
            </w:r>
            <w:r>
              <w:rPr>
                <w:rFonts w:hint="eastAsia" w:ascii="宋体" w:hAnsi="宋体" w:cs="宋体"/>
                <w:b/>
                <w:color w:val="auto"/>
                <w:szCs w:val="21"/>
              </w:rPr>
              <w:t>（必须提供</w:t>
            </w:r>
            <w:r>
              <w:rPr>
                <w:rFonts w:hint="eastAsia" w:ascii="宋体" w:hAnsi="宋体" w:cs="宋体"/>
                <w:b/>
                <w:color w:val="auto"/>
                <w:szCs w:val="21"/>
                <w:lang w:eastAsia="zh-CN"/>
              </w:rPr>
              <w:t>，</w:t>
            </w:r>
            <w:r>
              <w:rPr>
                <w:rFonts w:hint="eastAsia" w:ascii="宋体" w:hAnsi="宋体" w:cs="宋体"/>
                <w:b/>
                <w:color w:val="auto"/>
                <w:szCs w:val="21"/>
              </w:rPr>
              <w:t>格式自拟，否则响应文件按无效处理）</w:t>
            </w:r>
          </w:p>
          <w:p w14:paraId="013FB37E">
            <w:pPr>
              <w:spacing w:line="360" w:lineRule="auto"/>
              <w:rPr>
                <w:rFonts w:hint="eastAsia" w:ascii="宋体" w:hAnsi="宋体" w:cs="宋体"/>
                <w:color w:val="auto"/>
                <w:szCs w:val="21"/>
                <w:highlight w:val="none"/>
              </w:rPr>
            </w:pP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highlight w:val="none"/>
              </w:rPr>
              <w:t>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1EE6BF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8AD15A6">
            <w:pPr>
              <w:spacing w:line="360" w:lineRule="auto"/>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.项目实施人员一览表（格式后附）</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b/>
                <w:bCs/>
                <w:color w:val="auto"/>
                <w:szCs w:val="21"/>
              </w:rPr>
              <w:t>必须提供，否则响应文件按无效处理</w:t>
            </w:r>
            <w:r>
              <w:rPr>
                <w:rFonts w:hint="eastAsia" w:ascii="宋体" w:hAnsi="宋体" w:cs="宋体"/>
                <w:color w:val="auto"/>
                <w:szCs w:val="21"/>
              </w:rPr>
              <w:t>）</w:t>
            </w:r>
          </w:p>
          <w:p w14:paraId="5DAFEA7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.对应采购需求的技术要求、商务要求提供的其他文件资料（格式自拟）；</w:t>
            </w:r>
          </w:p>
          <w:p w14:paraId="2B15677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1692FC4F">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7D58B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FE8A2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309" w:type="dxa"/>
            <w:noWrap w:val="0"/>
            <w:vAlign w:val="center"/>
          </w:tcPr>
          <w:p w14:paraId="4E5F915D">
            <w:pPr>
              <w:snapToGrid w:val="0"/>
              <w:spacing w:line="360" w:lineRule="auto"/>
              <w:jc w:val="left"/>
              <w:rPr>
                <w:rFonts w:hint="eastAsia" w:ascii="宋体" w:hAnsi="宋体" w:cs="宋体"/>
                <w:bCs/>
                <w:color w:val="auto"/>
                <w:szCs w:val="21"/>
                <w:highlight w:val="none"/>
              </w:rPr>
            </w:pPr>
            <w:r>
              <w:rPr>
                <w:rFonts w:hint="eastAsia" w:ascii="宋体" w:hAnsi="宋体"/>
                <w:color w:val="auto"/>
                <w:szCs w:val="22"/>
                <w:highlight w:val="none"/>
              </w:rPr>
              <w:t>竞标报价是履行合同的最终价格，应包括货款、标准附件、备品备件、专用工具、包装、运输、装卸、保险、税金、货到就位以及安装、调试、培训、质保等一切税金和费用。</w:t>
            </w:r>
          </w:p>
        </w:tc>
      </w:tr>
      <w:tr w14:paraId="26BD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0A72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8309" w:type="dxa"/>
            <w:noWrap w:val="0"/>
            <w:vAlign w:val="center"/>
          </w:tcPr>
          <w:p w14:paraId="79E3671F">
            <w:pPr>
              <w:pStyle w:val="5"/>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6</w:t>
            </w:r>
            <w:r>
              <w:rPr>
                <w:rFonts w:hint="eastAsia"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617E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B50B7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309" w:type="dxa"/>
            <w:noWrap w:val="0"/>
            <w:vAlign w:val="center"/>
          </w:tcPr>
          <w:p w14:paraId="70E5717A">
            <w:pPr>
              <w:autoSpaceDE w:val="0"/>
              <w:autoSpaceDN w:val="0"/>
              <w:snapToGrid w:val="0"/>
              <w:spacing w:line="400" w:lineRule="exact"/>
              <w:jc w:val="left"/>
              <w:textAlignment w:val="bottom"/>
              <w:rPr>
                <w:rFonts w:hint="eastAsia" w:ascii="宋体" w:hAnsi="宋体" w:cs="宋体"/>
                <w:color w:val="auto"/>
                <w:szCs w:val="21"/>
                <w:highlight w:val="none"/>
              </w:rPr>
            </w:pPr>
            <w:r>
              <w:rPr>
                <w:rFonts w:hint="eastAsia" w:ascii="宋体" w:hAnsi="宋体"/>
                <w:color w:val="auto"/>
                <w:szCs w:val="21"/>
                <w:highlight w:val="none"/>
              </w:rPr>
              <w:t>本项目不收取竞标保证金。</w:t>
            </w:r>
          </w:p>
        </w:tc>
      </w:tr>
      <w:tr w14:paraId="5443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A6D1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309" w:type="dxa"/>
            <w:noWrap w:val="0"/>
            <w:vAlign w:val="center"/>
          </w:tcPr>
          <w:p w14:paraId="5CD49D7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szCs w:val="21"/>
                <w:highlight w:val="none"/>
              </w:rPr>
              <w:t>电子</w:t>
            </w:r>
            <w:r>
              <w:rPr>
                <w:rFonts w:hint="eastAsia" w:ascii="宋体" w:hAnsi="宋体"/>
                <w:color w:val="auto"/>
                <w:szCs w:val="21"/>
                <w:highlight w:val="none"/>
              </w:rPr>
              <w:t>备份响应文件</w:t>
            </w:r>
          </w:p>
        </w:tc>
      </w:tr>
      <w:tr w14:paraId="20D5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11988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309" w:type="dxa"/>
            <w:noWrap w:val="0"/>
            <w:vAlign w:val="center"/>
          </w:tcPr>
          <w:p w14:paraId="38A6C9E3">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2334AA6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0D99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B44432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8309" w:type="dxa"/>
            <w:noWrap w:val="0"/>
            <w:vAlign w:val="center"/>
          </w:tcPr>
          <w:p w14:paraId="6608DDE9">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6028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796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8309" w:type="dxa"/>
            <w:noWrap w:val="0"/>
            <w:vAlign w:val="center"/>
          </w:tcPr>
          <w:p w14:paraId="3ABBE07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3E0C4D8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olor w:val="auto"/>
                <w:szCs w:val="21"/>
                <w:highlight w:val="none"/>
              </w:rPr>
              <w:t>30分钟</w:t>
            </w:r>
          </w:p>
        </w:tc>
      </w:tr>
      <w:tr w14:paraId="4DBB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A0AC60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8309" w:type="dxa"/>
            <w:noWrap w:val="0"/>
            <w:vAlign w:val="center"/>
          </w:tcPr>
          <w:p w14:paraId="01482AD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w:t>
            </w:r>
            <w:r>
              <w:rPr>
                <w:rFonts w:ascii="宋体" w:hAnsi="宋体" w:cs="宋体"/>
                <w:color w:val="auto"/>
                <w:szCs w:val="21"/>
                <w:highlight w:val="none"/>
              </w:rPr>
              <w:t xml:space="preserve"> </w:t>
            </w:r>
          </w:p>
        </w:tc>
      </w:tr>
      <w:tr w14:paraId="210E5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53CE2DD4">
            <w:pPr>
              <w:spacing w:line="360" w:lineRule="auto"/>
              <w:jc w:val="center"/>
              <w:rPr>
                <w:rFonts w:hint="eastAsia" w:ascii="宋体" w:hAnsi="宋体" w:cs="宋体"/>
                <w:color w:val="auto"/>
                <w:szCs w:val="21"/>
                <w:highlight w:val="none"/>
              </w:rPr>
            </w:pPr>
          </w:p>
        </w:tc>
        <w:tc>
          <w:tcPr>
            <w:tcW w:w="8309" w:type="dxa"/>
            <w:noWrap w:val="0"/>
            <w:vAlign w:val="center"/>
          </w:tcPr>
          <w:p w14:paraId="5198D2C9">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采购需求中</w:t>
            </w:r>
            <w:r>
              <w:rPr>
                <w:rFonts w:hint="eastAsia" w:ascii="宋体" w:hAnsi="宋体" w:cs="宋体"/>
                <w:color w:val="auto"/>
                <w:szCs w:val="21"/>
                <w:highlight w:val="none"/>
              </w:rPr>
              <w:t>带“▲”标注的技术参数有任意1项负偏离的，竞标无效；</w:t>
            </w:r>
            <w:r>
              <w:rPr>
                <w:rFonts w:hint="eastAsia" w:ascii="宋体" w:hAnsi="宋体" w:cs="Courier New"/>
                <w:bCs/>
                <w:color w:val="auto"/>
                <w:szCs w:val="21"/>
                <w:highlight w:val="none"/>
              </w:rPr>
              <w:t>不带“▲”标注的技术参数有</w:t>
            </w: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项（含</w:t>
            </w: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项）及以上负偏离的，竞标无效。“商务条款”有1项以上（含1项）负偏离的，则竞标无效。</w:t>
            </w:r>
          </w:p>
        </w:tc>
      </w:tr>
      <w:tr w14:paraId="6741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7A20401">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26.6</w:t>
            </w:r>
          </w:p>
        </w:tc>
        <w:tc>
          <w:tcPr>
            <w:tcW w:w="8309" w:type="dxa"/>
            <w:noWrap w:val="0"/>
            <w:vAlign w:val="center"/>
          </w:tcPr>
          <w:p w14:paraId="17B10ABF">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rPr>
              <w:t>异常低价审查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根据《</w:t>
            </w:r>
            <w:r>
              <w:rPr>
                <w:rFonts w:hint="eastAsia" w:ascii="宋体" w:hAnsi="宋体"/>
                <w:color w:val="auto"/>
                <w:szCs w:val="21"/>
                <w:highlight w:val="none"/>
                <w:lang w:eastAsia="zh-CN"/>
              </w:rPr>
              <w:t>关于推动解决政府采购异常低价问题的通知</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财库〔2026〕2号</w:t>
            </w:r>
            <w:r>
              <w:rPr>
                <w:rFonts w:hint="eastAsia" w:ascii="宋体" w:hAnsi="宋体"/>
                <w:color w:val="auto"/>
                <w:szCs w:val="21"/>
                <w:highlight w:val="none"/>
                <w:lang w:val="en-US" w:eastAsia="zh-CN"/>
              </w:rPr>
              <w:t>规定，政府采购评审中出现下列情形之一的，评审委员会应当启动异常低价投标（响应）审查程序：</w:t>
            </w:r>
          </w:p>
          <w:p w14:paraId="5EB805B0">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3CB1CBB6">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33489E93">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3.投标（响应）报价低于采购项目最高限价45%的，即投标（响应）报价&lt;采购项目最高限价×45%；</w:t>
            </w:r>
          </w:p>
          <w:p w14:paraId="1DC65A6B">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4.评审委员会基于专业判断，认为供应商报价过低，有可能影响产品质量或者不能诚信履约的其他情形。</w:t>
            </w:r>
          </w:p>
          <w:p w14:paraId="45E61191">
            <w:pPr>
              <w:snapToGrid w:val="0"/>
              <w:spacing w:line="360" w:lineRule="auto"/>
              <w:rPr>
                <w:rFonts w:hint="eastAsia" w:ascii="宋体" w:hAnsi="宋体"/>
                <w:color w:val="auto"/>
                <w:szCs w:val="21"/>
                <w:highlight w:val="none"/>
              </w:rPr>
            </w:pPr>
            <w:r>
              <w:rPr>
                <w:rFonts w:hint="default"/>
                <w:color w:val="auto"/>
                <w:highlight w:val="none"/>
                <w:lang w:val="en-US" w:eastAsia="zh-CN"/>
              </w:rPr>
              <w:t>相关法律法规对供应商报价有规定的，从其规定。</w:t>
            </w:r>
          </w:p>
        </w:tc>
      </w:tr>
      <w:tr w14:paraId="664B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9FBFA5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8309" w:type="dxa"/>
            <w:noWrap w:val="0"/>
            <w:vAlign w:val="center"/>
          </w:tcPr>
          <w:p w14:paraId="6F900F77">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项目收取履约保证金，具体规定如下：</w:t>
            </w:r>
          </w:p>
          <w:p w14:paraId="336AC8F3">
            <w:pPr>
              <w:pStyle w:val="6"/>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履约保证金金额：成交金额的</w:t>
            </w:r>
            <w:r>
              <w:rPr>
                <w:rFonts w:hint="eastAsia" w:ascii="宋体" w:hAnsi="宋体" w:cs="宋体"/>
                <w:b/>
                <w:bCs/>
                <w:color w:val="auto"/>
                <w:szCs w:val="21"/>
                <w:highlight w:val="none"/>
                <w:lang w:val="en-US" w:eastAsia="zh-CN"/>
              </w:rPr>
              <w:t>2%</w:t>
            </w:r>
            <w:r>
              <w:rPr>
                <w:rFonts w:hint="eastAsia" w:ascii="宋体" w:hAnsi="宋体" w:cs="宋体"/>
                <w:color w:val="auto"/>
                <w:szCs w:val="21"/>
                <w:highlight w:val="none"/>
                <w:lang w:val="en-US" w:eastAsia="zh-CN"/>
              </w:rPr>
              <w:t>【根据《防城港市人民政府办公室关于印发防城港市保障中小企业款项支付工作方案的通知》（防政办发[2021]1号）文件精神，如成交供应商为小微企业的，免收履约保证金。</w:t>
            </w:r>
            <w:r>
              <w:rPr>
                <w:rFonts w:hint="eastAsia" w:ascii="宋体" w:hAnsi="宋体" w:cs="宋体"/>
                <w:color w:val="auto"/>
                <w:szCs w:val="21"/>
                <w:highlight w:val="none"/>
                <w:lang w:val="en-US" w:eastAsia="zh-CN"/>
              </w:rPr>
              <w:t>根据《防城港市财政局关于进一步发挥政府采购政策功能促进企业发展的通知》（防财采〔2022〕12号）文件精神，如成交供应商为中型企业的，履约保证金金额为成交金额的2%】。</w:t>
            </w:r>
          </w:p>
          <w:p w14:paraId="0E5692E8">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履约保证金递交方式：银行转账、支票、汇票、本票或者银行、保险机构出具的保函等非现金方式。</w:t>
            </w:r>
          </w:p>
          <w:p w14:paraId="7BA742EC">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履约完毕（质保期过后），由成交人向履约保证金收取单位提供《广西壮族自治区政府采购项目合同验收书》及《政府采购项目履约保证金退付意见书》，保证金收取单位在收到合格材料后15个工作日内办理退还手续（不计利息）。</w:t>
            </w:r>
          </w:p>
          <w:p w14:paraId="08DBAAC7">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履约保证金指定账户如下：</w:t>
            </w:r>
          </w:p>
          <w:p w14:paraId="0274F798">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账户名称：</w:t>
            </w:r>
            <w:r>
              <w:rPr>
                <w:rFonts w:hint="eastAsia" w:ascii="宋体" w:hAnsi="宋体" w:cs="宋体"/>
                <w:color w:val="auto"/>
                <w:szCs w:val="21"/>
                <w:highlight w:val="none"/>
                <w:lang w:val="en-US" w:eastAsia="zh-CN"/>
              </w:rPr>
              <w:t>防城港市民政局</w:t>
            </w:r>
          </w:p>
          <w:p w14:paraId="14906046">
            <w:pPr>
              <w:autoSpaceDE w:val="0"/>
              <w:autoSpaceDN w:val="0"/>
              <w:snapToGrid w:val="0"/>
              <w:spacing w:line="400" w:lineRule="exact"/>
              <w:textAlignment w:val="bottom"/>
              <w:rPr>
                <w:rFonts w:hint="eastAsia" w:ascii="宋体" w:hAnsi="宋体" w:cs="宋体"/>
                <w:color w:val="auto"/>
                <w:szCs w:val="21"/>
                <w:highlight w:val="none"/>
                <w:lang w:val="en-US" w:eastAsia="zh-CN"/>
              </w:rPr>
            </w:pPr>
            <w:r>
              <w:rPr>
                <w:rFonts w:hint="eastAsia" w:ascii="宋体" w:hAnsi="宋体" w:cs="宋体"/>
                <w:color w:val="auto"/>
                <w:szCs w:val="21"/>
                <w:highlight w:val="none"/>
              </w:rPr>
              <w:t>开</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行：</w:t>
            </w:r>
            <w:r>
              <w:rPr>
                <w:rFonts w:hint="eastAsia" w:ascii="宋体" w:hAnsi="宋体" w:cs="宋体"/>
                <w:color w:val="auto"/>
                <w:szCs w:val="21"/>
                <w:highlight w:val="none"/>
                <w:lang w:val="en-US" w:eastAsia="zh-CN"/>
              </w:rPr>
              <w:t>工商银行防城港市港口区支行</w:t>
            </w:r>
          </w:p>
          <w:p w14:paraId="63966C0A">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lang w:val="en-US" w:eastAsia="zh-CN"/>
              </w:rPr>
              <w:t>2107570209264001080</w:t>
            </w:r>
          </w:p>
          <w:p w14:paraId="5C28F5B8">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备注：</w:t>
            </w:r>
          </w:p>
          <w:p w14:paraId="669932D5">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4FA6B76">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2.采用银行、保险机构出具的保函的，必须为无条件保函，否则不予签订合同。</w:t>
            </w:r>
          </w:p>
        </w:tc>
      </w:tr>
      <w:tr w14:paraId="5C6D4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65ED9D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309" w:type="dxa"/>
            <w:noWrap w:val="0"/>
            <w:vAlign w:val="center"/>
          </w:tcPr>
          <w:p w14:paraId="32343D6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1201266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0C4DC16">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846C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36D5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309" w:type="dxa"/>
            <w:noWrap w:val="0"/>
            <w:vAlign w:val="center"/>
          </w:tcPr>
          <w:p w14:paraId="1ADC83AC">
            <w:pPr>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接收质疑函方式：以书面形式，通讯地址：</w:t>
            </w:r>
            <w:r>
              <w:rPr>
                <w:rFonts w:hint="eastAsia" w:ascii="宋体" w:hAnsi="宋体" w:cs="Times New Roman"/>
                <w:color w:val="auto"/>
                <w:kern w:val="2"/>
                <w:sz w:val="21"/>
                <w:szCs w:val="21"/>
                <w:highlight w:val="none"/>
                <w:lang w:val="en-US" w:eastAsia="zh-CN" w:bidi="ar-SA"/>
              </w:rPr>
              <w:t>1.</w:t>
            </w:r>
            <w:r>
              <w:rPr>
                <w:rFonts w:hint="eastAsia" w:ascii="宋体" w:hAnsi="宋体" w:cs="宋体"/>
                <w:bCs/>
                <w:color w:val="auto"/>
                <w:kern w:val="0"/>
                <w:szCs w:val="21"/>
                <w:highlight w:val="none"/>
                <w:lang w:eastAsia="zh-CN"/>
              </w:rPr>
              <w:t>防城港市民政局（</w:t>
            </w:r>
            <w:r>
              <w:rPr>
                <w:rFonts w:hint="eastAsia" w:ascii="宋体" w:hAnsi="宋体"/>
                <w:color w:val="auto"/>
                <w:szCs w:val="21"/>
                <w:highlight w:val="none"/>
              </w:rPr>
              <w:t>地址：防城港市</w:t>
            </w:r>
            <w:r>
              <w:rPr>
                <w:rFonts w:hint="eastAsia" w:ascii="宋体" w:hAnsi="宋体"/>
                <w:color w:val="auto"/>
                <w:szCs w:val="21"/>
                <w:highlight w:val="none"/>
                <w:lang w:val="en-US" w:eastAsia="zh-CN"/>
              </w:rPr>
              <w:t>中心区林业大厦</w:t>
            </w:r>
            <w:r>
              <w:rPr>
                <w:rFonts w:hint="eastAsia" w:ascii="宋体" w:hAnsi="宋体"/>
                <w:color w:val="auto"/>
                <w:szCs w:val="21"/>
                <w:highlight w:val="none"/>
                <w:lang w:eastAsia="zh-CN"/>
              </w:rPr>
              <w:t>）</w:t>
            </w:r>
            <w:r>
              <w:rPr>
                <w:rFonts w:hint="eastAsia" w:ascii="宋体" w:hAnsi="宋体"/>
                <w:color w:val="auto"/>
                <w:szCs w:val="21"/>
                <w:highlight w:val="none"/>
              </w:rPr>
              <w:t>联系方式：</w:t>
            </w:r>
            <w:r>
              <w:rPr>
                <w:rFonts w:hint="eastAsia" w:ascii="宋体" w:hAnsi="宋体"/>
                <w:color w:val="auto"/>
                <w:highlight w:val="none"/>
                <w:lang w:val="en-US" w:eastAsia="zh-CN"/>
              </w:rPr>
              <w:t>0770-2821796</w:t>
            </w:r>
            <w:r>
              <w:rPr>
                <w:rFonts w:hint="eastAsia" w:ascii="宋体" w:hAnsi="宋体"/>
                <w:color w:val="auto"/>
                <w:highlight w:val="none"/>
                <w:lang w:val="en-US" w:eastAsia="zh-CN"/>
              </w:rPr>
              <w:t>；2.防城港市政府采购中心（</w:t>
            </w:r>
            <w:r>
              <w:rPr>
                <w:rFonts w:hint="eastAsia" w:ascii="宋体" w:hAnsi="宋体" w:eastAsia="宋体" w:cs="Times New Roman"/>
                <w:color w:val="auto"/>
                <w:kern w:val="2"/>
                <w:sz w:val="21"/>
                <w:szCs w:val="21"/>
                <w:highlight w:val="none"/>
                <w:lang w:val="en-US" w:eastAsia="zh-CN" w:bidi="ar-SA"/>
              </w:rPr>
              <w:t>防城港市中心区红树林大厦东塔6楼</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，联系方式：0770-6126169。</w:t>
            </w:r>
          </w:p>
          <w:p w14:paraId="5537140E">
            <w:pPr>
              <w:pStyle w:val="12"/>
              <w:snapToGrid w:val="0"/>
              <w:spacing w:line="360" w:lineRule="auto"/>
              <w:rPr>
                <w:rFonts w:hint="eastAsia" w:hAnsi="宋体" w:cs="宋体"/>
                <w:color w:val="auto"/>
                <w:kern w:val="2"/>
                <w:sz w:val="21"/>
                <w:highlight w:val="none"/>
                <w:lang w:val="en-US" w:eastAsia="zh-CN"/>
              </w:rPr>
            </w:pPr>
            <w:r>
              <w:rPr>
                <w:rFonts w:hint="eastAsia" w:ascii="宋体" w:hAnsi="宋体" w:eastAsia="宋体" w:cs="Times New Roman"/>
                <w:color w:val="auto"/>
                <w:kern w:val="2"/>
                <w:sz w:val="21"/>
                <w:szCs w:val="21"/>
                <w:highlight w:val="none"/>
                <w:lang w:val="en-US" w:eastAsia="zh-CN" w:bidi="ar-SA"/>
              </w:rPr>
              <w:t>业务时间：每天上午9时00分到12时00分，下午1时30分到4时30分，双休日和法定节假日不办理业务。</w:t>
            </w:r>
          </w:p>
        </w:tc>
      </w:tr>
      <w:tr w14:paraId="3665B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A7046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p>
        </w:tc>
        <w:tc>
          <w:tcPr>
            <w:tcW w:w="8309" w:type="dxa"/>
            <w:noWrap w:val="0"/>
            <w:vAlign w:val="center"/>
          </w:tcPr>
          <w:p w14:paraId="49614B26">
            <w:pPr>
              <w:pStyle w:val="12"/>
              <w:snapToGrid w:val="0"/>
              <w:spacing w:line="360" w:lineRule="auto"/>
              <w:rPr>
                <w:rFonts w:hint="default" w:hAnsi="宋体" w:cs="宋体"/>
                <w:color w:val="auto"/>
                <w:sz w:val="21"/>
                <w:highlight w:val="none"/>
                <w:u w:val="single"/>
                <w:lang w:val="en-US" w:eastAsia="zh-CN"/>
              </w:rPr>
            </w:pPr>
            <w:r>
              <w:rPr>
                <w:rFonts w:hint="eastAsia" w:hAnsi="宋体" w:cs="宋体"/>
                <w:color w:val="auto"/>
                <w:sz w:val="21"/>
                <w:highlight w:val="none"/>
                <w:lang w:val="en-US" w:eastAsia="zh-CN"/>
              </w:rPr>
              <w:t>1.采购代理费支付方式：不收取</w:t>
            </w:r>
          </w:p>
        </w:tc>
      </w:tr>
      <w:tr w14:paraId="1D832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C87C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309" w:type="dxa"/>
            <w:noWrap w:val="0"/>
            <w:vAlign w:val="center"/>
          </w:tcPr>
          <w:p w14:paraId="2A2E9341">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5FCEC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DAD7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309" w:type="dxa"/>
            <w:noWrap w:val="0"/>
            <w:vAlign w:val="center"/>
          </w:tcPr>
          <w:p w14:paraId="2D7EEED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19D036F3">
            <w:pPr>
              <w:pStyle w:val="12"/>
              <w:snapToGrid w:val="0"/>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2.本谈判文件所称的“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0B2F38F9">
            <w:pPr>
              <w:pStyle w:val="12"/>
              <w:snapToGrid w:val="0"/>
              <w:spacing w:line="360"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7C59E72C">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115C12C8">
            <w:pPr>
              <w:pStyle w:val="12"/>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5.</w:t>
            </w:r>
            <w:r>
              <w:rPr>
                <w:rFonts w:hint="eastAsia" w:hAnsi="宋体" w:cs="宋体"/>
                <w:color w:val="auto"/>
                <w:sz w:val="21"/>
                <w:highlight w:val="none"/>
                <w:lang w:val="en-US" w:eastAsia="zh-CN"/>
              </w:rPr>
              <w:t>本谈判文件所称的“以上”“以下”“以内”“届满”，包括本数；所称的“不满”“超过”“以外”，不包括本数。</w:t>
            </w:r>
          </w:p>
        </w:tc>
      </w:tr>
      <w:tr w14:paraId="3867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9925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p>
        </w:tc>
        <w:tc>
          <w:tcPr>
            <w:tcW w:w="8309" w:type="dxa"/>
            <w:noWrap w:val="0"/>
            <w:vAlign w:val="center"/>
          </w:tcPr>
          <w:p w14:paraId="149D8EE8">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支持本国产品</w:t>
            </w:r>
          </w:p>
          <w:p w14:paraId="431E7765">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9CB496">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不适用</w:t>
            </w:r>
          </w:p>
        </w:tc>
      </w:tr>
    </w:tbl>
    <w:p w14:paraId="2C27D59F">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9FEC061">
      <w:pPr>
        <w:spacing w:line="400" w:lineRule="exact"/>
        <w:jc w:val="center"/>
        <w:rPr>
          <w:rFonts w:hint="eastAsia" w:ascii="宋体" w:hAnsi="宋体"/>
          <w:b/>
          <w:color w:val="auto"/>
          <w:sz w:val="32"/>
          <w:szCs w:val="32"/>
          <w:highlight w:val="none"/>
        </w:rPr>
      </w:pPr>
    </w:p>
    <w:p w14:paraId="6654E23C">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9CBD068">
      <w:pPr>
        <w:spacing w:line="400" w:lineRule="exact"/>
        <w:rPr>
          <w:rFonts w:hint="eastAsia" w:ascii="宋体" w:hAnsi="宋体"/>
          <w:color w:val="auto"/>
          <w:szCs w:val="21"/>
          <w:highlight w:val="none"/>
        </w:rPr>
      </w:pPr>
    </w:p>
    <w:p w14:paraId="4DAF9B22">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2D5D57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371B06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30F8F358">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7F3B28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057F5FD9">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1E8C4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C69CD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olor w:val="auto"/>
          <w:szCs w:val="21"/>
          <w:highlight w:val="none"/>
        </w:rPr>
        <w:t>“货物”是指除服务和工程以外的其他政府采购对象。</w:t>
      </w:r>
    </w:p>
    <w:p w14:paraId="795637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2.5“竞标”是指按照本项目竞争性谈判公告规定的方式供应商获取谈判文件、提交响应文件并希望获得标的的行为。</w:t>
      </w:r>
    </w:p>
    <w:p w14:paraId="778457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0C057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287F5B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 “实质性要求”是指采购需求中带“▲”的条款或者不能负偏离的条款或者已经指明不满足按响应文件按无效处理的条款。</w:t>
      </w:r>
    </w:p>
    <w:p w14:paraId="336EA0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2.9“正偏离”，是指响应文件对谈判文件“采购需求”中有关条款作出优于条款要求并有利于采购人的响应情形；</w:t>
      </w:r>
    </w:p>
    <w:p w14:paraId="0F2074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2.10“负偏离”，是指响应文件对谈判文件“采购需求”中有关条款作出的响应不满足条款要求，导致采购人要求不能得到满足的情形。</w:t>
      </w:r>
    </w:p>
    <w:p w14:paraId="10A2CC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1EEE7B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2.12“首次报价”是指供应商提交的首次响应文件中的竞标报价。</w:t>
      </w:r>
    </w:p>
    <w:p w14:paraId="7AE96DBB">
      <w:pPr>
        <w:spacing w:line="360" w:lineRule="auto"/>
        <w:ind w:firstLine="480"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3C83FEF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D17A86A">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12105E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2A90EEB4">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1C55F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0649263">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1B7857B">
      <w:pPr>
        <w:pStyle w:val="3"/>
        <w:keepNext w:val="0"/>
        <w:keepLines w:val="0"/>
        <w:spacing w:before="0" w:after="0" w:line="360" w:lineRule="auto"/>
        <w:ind w:left="420" w:leftChars="200"/>
        <w:rPr>
          <w:rFonts w:hint="eastAsia" w:ascii="宋体" w:hAnsi="宋体"/>
          <w:b w:val="0"/>
          <w:color w:val="auto"/>
          <w:sz w:val="21"/>
          <w:szCs w:val="21"/>
          <w:highlight w:val="none"/>
        </w:rPr>
      </w:pPr>
      <w:bookmarkStart w:id="55" w:name="_Toc254970673"/>
      <w:bookmarkStart w:id="56" w:name="_Toc254970532"/>
      <w:r>
        <w:rPr>
          <w:rFonts w:hint="eastAsia" w:ascii="宋体" w:hAnsi="宋体"/>
          <w:b w:val="0"/>
          <w:color w:val="auto"/>
          <w:sz w:val="21"/>
          <w:szCs w:val="21"/>
          <w:highlight w:val="none"/>
        </w:rPr>
        <w:t>6.1本项目不允许转包。</w:t>
      </w:r>
    </w:p>
    <w:p w14:paraId="2927BCCC">
      <w:pPr>
        <w:pStyle w:val="3"/>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67DE0A8">
      <w:pPr>
        <w:pStyle w:val="3"/>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2BC58CBC">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5"/>
      <w:bookmarkEnd w:id="56"/>
    </w:p>
    <w:p w14:paraId="3206147A">
      <w:pPr>
        <w:spacing w:line="360" w:lineRule="auto"/>
        <w:ind w:firstLine="420" w:firstLineChars="200"/>
        <w:rPr>
          <w:rFonts w:hint="eastAsia" w:ascii="宋体" w:hAnsi="宋体" w:cs="宋体"/>
          <w:color w:val="auto"/>
          <w:szCs w:val="21"/>
          <w:highlight w:val="none"/>
        </w:rPr>
      </w:pPr>
      <w:bookmarkStart w:id="57" w:name="_8.1提供相同品牌产品且通过资格审查、符合性审查的不同投标人参加同一合"/>
      <w:bookmarkEnd w:id="57"/>
      <w:bookmarkStart w:id="58" w:name="_Toc254970675"/>
      <w:bookmarkStart w:id="59" w:name="_Toc254970534"/>
      <w:r>
        <w:rPr>
          <w:rFonts w:hint="eastAsia" w:ascii="宋体" w:hAnsi="宋体" w:cs="宋体"/>
          <w:color w:val="auto"/>
          <w:szCs w:val="21"/>
          <w:highlight w:val="none"/>
        </w:rPr>
        <w:t>7.</w:t>
      </w:r>
      <w:r>
        <w:rPr>
          <w:rFonts w:ascii="宋体" w:hAnsi="宋体" w:cs="宋体"/>
          <w:color w:val="auto"/>
          <w:szCs w:val="21"/>
          <w:highlight w:val="none"/>
        </w:rPr>
        <w:t>1</w:t>
      </w:r>
      <w:bookmarkStart w:id="60" w:name="_Hlk65832145"/>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0"/>
    <w:p w14:paraId="09CC0C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供应商应仔细阅读谈判文件的所有内容，按照谈判文件的要求提交响应文件，并对所提供的全部资料的真实性承担法律责任。</w:t>
      </w:r>
    </w:p>
    <w:p w14:paraId="655E55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1E81B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1326E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5B186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F8B79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BF02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AF2E1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E9853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B48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0B962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CF191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3B73A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ED8E6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4D8B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9DFF8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）不同投标人的</w:t>
      </w:r>
      <w:r>
        <w:rPr>
          <w:rFonts w:hint="eastAsia" w:ascii="宋体" w:hAnsi="宋体" w:cs="宋体"/>
          <w:color w:val="auto"/>
          <w:szCs w:val="21"/>
          <w:highlight w:val="none"/>
          <w:lang w:val="en-US" w:eastAsia="zh-CN"/>
        </w:rPr>
        <w:t>报名IP地址一致的</w:t>
      </w:r>
      <w:r>
        <w:rPr>
          <w:rFonts w:hint="eastAsia" w:ascii="宋体" w:hAnsi="宋体" w:cs="宋体"/>
          <w:color w:val="auto"/>
          <w:szCs w:val="21"/>
          <w:highlight w:val="none"/>
        </w:rPr>
        <w:t>。</w:t>
      </w:r>
    </w:p>
    <w:p w14:paraId="4B0532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555640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CF73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982F6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6F864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D4FE6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24362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0EFB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0CDB4E4">
      <w:pPr>
        <w:spacing w:line="360" w:lineRule="auto"/>
        <w:ind w:left="1" w:firstLine="417" w:firstLineChars="199"/>
        <w:jc w:val="center"/>
        <w:rPr>
          <w:rFonts w:hint="eastAsia" w:ascii="宋体" w:hAnsi="宋体"/>
          <w:color w:val="auto"/>
          <w:highlight w:val="none"/>
        </w:rPr>
      </w:pPr>
    </w:p>
    <w:p w14:paraId="63D081C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58"/>
      <w:bookmarkEnd w:id="59"/>
    </w:p>
    <w:p w14:paraId="0B904E20">
      <w:pPr>
        <w:spacing w:line="360" w:lineRule="auto"/>
        <w:jc w:val="center"/>
        <w:rPr>
          <w:rFonts w:hint="eastAsia" w:ascii="宋体" w:hAnsi="宋体"/>
          <w:color w:val="auto"/>
          <w:szCs w:val="21"/>
          <w:highlight w:val="none"/>
        </w:rPr>
      </w:pPr>
    </w:p>
    <w:p w14:paraId="06B3D50F">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28EFA69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7260F4D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4E6DC1C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5FCBF45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（4）响应文件格式</w:t>
      </w:r>
    </w:p>
    <w:p w14:paraId="14DA4A2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（5）合同文本；</w:t>
      </w:r>
    </w:p>
    <w:p w14:paraId="0D55D74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6F6B351B">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76C5D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26902F1">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5514D75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C33BD17">
      <w:pPr>
        <w:spacing w:line="360" w:lineRule="auto"/>
        <w:rPr>
          <w:rFonts w:hint="eastAsia" w:ascii="宋体" w:hAnsi="宋体"/>
          <w:color w:val="auto"/>
          <w:szCs w:val="21"/>
          <w:highlight w:val="none"/>
        </w:rPr>
      </w:pPr>
    </w:p>
    <w:p w14:paraId="7DDEF2FC">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162AC279">
      <w:pPr>
        <w:spacing w:line="360" w:lineRule="auto"/>
        <w:rPr>
          <w:rFonts w:hint="eastAsia" w:ascii="宋体" w:hAnsi="宋体"/>
          <w:color w:val="auto"/>
          <w:szCs w:val="21"/>
          <w:highlight w:val="none"/>
        </w:rPr>
      </w:pPr>
    </w:p>
    <w:p w14:paraId="5BD7CF7B">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20A6A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169411BC">
      <w:pPr>
        <w:spacing w:line="360" w:lineRule="auto"/>
        <w:ind w:firstLine="480"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4B37F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25E8743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5C2F252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20E0DC8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733F9B9">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3F2A8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119B98F9">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9ECAE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541D6478">
      <w:pPr>
        <w:spacing w:line="360" w:lineRule="auto"/>
        <w:ind w:firstLine="480"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9DBFD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1D4B2AB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2C6668E3">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B34AD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619DA84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（1）供应商必须就“采购需求”中所竞标项目的全部内容分别作完整唯一总价报价，</w:t>
      </w:r>
    </w:p>
    <w:p w14:paraId="1D4909DF">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3BD495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）供应商必须就所竞标项目的单项内容作唯一报价。</w:t>
      </w:r>
    </w:p>
    <w:p w14:paraId="5D5DC4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竞标报价（包含首次报价、最后报价）超过所竞标项目规定的采购预算金额或者最高限价的，其响应文件将按无效处理。</w:t>
      </w:r>
    </w:p>
    <w:p w14:paraId="033E7B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54BFC87C">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91310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59C78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E9BC7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A6C4D06">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17.竞标保证金：本项目不收取竞争保证金。</w:t>
      </w:r>
    </w:p>
    <w:p w14:paraId="2D2A1CDB">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4951F6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21A44B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3CB87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36D341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C4551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18B3A4A">
      <w:pPr>
        <w:spacing w:line="360" w:lineRule="auto"/>
        <w:ind w:firstLine="480"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7ADD757">
      <w:pPr>
        <w:spacing w:line="360" w:lineRule="auto"/>
        <w:ind w:firstLine="420" w:firstLineChars="200"/>
        <w:rPr>
          <w:rFonts w:hint="eastAsia"/>
          <w:color w:val="auto"/>
          <w:highlight w:val="none"/>
        </w:rPr>
      </w:pPr>
      <w:r>
        <w:rPr>
          <w:rFonts w:hint="eastAsia"/>
          <w:color w:val="auto"/>
          <w:highlight w:val="none"/>
        </w:rPr>
        <w:t>电子备份响应文件是指通过“广西政府采购云平台电子投标客户端”在线编制生成且后缀名为“</w:t>
      </w:r>
      <w:r>
        <w:rPr>
          <w:color w:val="auto"/>
          <w:highlight w:val="none"/>
        </w:rPr>
        <w:t>bfbs</w:t>
      </w:r>
      <w:r>
        <w:rPr>
          <w:rFonts w:hint="eastAsia"/>
          <w:color w:val="auto"/>
          <w:highlight w:val="none"/>
        </w:rPr>
        <w:t>”的文件，是否接受电子备份响应文件</w:t>
      </w:r>
      <w:r>
        <w:rPr>
          <w:rFonts w:hint="eastAsia"/>
          <w:bCs/>
          <w:color w:val="auto"/>
          <w:highlight w:val="none"/>
        </w:rPr>
        <w:t>详见在“供应商须知前附表”。</w:t>
      </w:r>
    </w:p>
    <w:p w14:paraId="686A6E64">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9B5AF3C">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0581613F">
      <w:pPr>
        <w:spacing w:line="360" w:lineRule="auto"/>
        <w:ind w:firstLine="420"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240356DB">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378738F">
      <w:pPr>
        <w:snapToGrid w:val="0"/>
        <w:spacing w:line="360" w:lineRule="auto"/>
        <w:ind w:firstLine="420"/>
        <w:jc w:val="left"/>
        <w:rPr>
          <w:rFonts w:hint="eastAsia" w:ascii="宋体" w:hAnsi="宋体"/>
          <w:bCs/>
          <w:color w:val="auto"/>
          <w:szCs w:val="21"/>
          <w:highlight w:val="none"/>
        </w:rPr>
      </w:pPr>
      <w:bookmarkStart w:id="61" w:name="_Toc254970543"/>
      <w:bookmarkStart w:id="62" w:name="_Toc254970684"/>
      <w:r>
        <w:rPr>
          <w:rFonts w:ascii="宋体" w:hAnsi="宋体" w:cs="宋体"/>
          <w:color w:val="auto"/>
          <w:szCs w:val="21"/>
          <w:highlight w:val="none"/>
        </w:rPr>
        <w:t>2</w:t>
      </w:r>
      <w:r>
        <w:rPr>
          <w:rFonts w:hint="eastAsia" w:ascii="宋体" w:hAnsi="宋体" w:cs="宋体"/>
          <w:color w:val="auto"/>
          <w:szCs w:val="21"/>
          <w:highlight w:val="none"/>
        </w:rPr>
        <w:t>1.1</w:t>
      </w:r>
      <w:bookmarkEnd w:id="61"/>
      <w:bookmarkEnd w:id="62"/>
      <w:r>
        <w:rPr>
          <w:rFonts w:hint="eastAsia" w:ascii="宋体" w:hAnsi="宋体"/>
          <w:bCs/>
          <w:color w:val="auto"/>
          <w:szCs w:val="21"/>
          <w:highlight w:val="none"/>
        </w:rPr>
        <w:t>供应商应当在提交响应文件截止</w:t>
      </w:r>
      <w:r>
        <w:rPr>
          <w:rFonts w:ascii="宋体" w:hAnsi="宋体"/>
          <w:bCs/>
          <w:color w:val="auto"/>
          <w:szCs w:val="21"/>
          <w:highlight w:val="none"/>
        </w:rPr>
        <w:t>时间</w:t>
      </w:r>
      <w:r>
        <w:rPr>
          <w:rFonts w:hint="eastAsia" w:ascii="宋体" w:hAnsi="宋体"/>
          <w:bCs/>
          <w:color w:val="auto"/>
          <w:szCs w:val="21"/>
          <w:highlight w:val="none"/>
        </w:rPr>
        <w:t>前完成电子响应文件的提交（上传），提交响应文件截止</w:t>
      </w:r>
      <w:r>
        <w:rPr>
          <w:rFonts w:ascii="宋体" w:hAnsi="宋体"/>
          <w:bCs/>
          <w:color w:val="auto"/>
          <w:szCs w:val="21"/>
          <w:highlight w:val="none"/>
        </w:rPr>
        <w:t>时间</w:t>
      </w:r>
      <w:r>
        <w:rPr>
          <w:rFonts w:hint="eastAsia" w:ascii="宋体" w:hAnsi="宋体"/>
          <w:bCs/>
          <w:color w:val="auto"/>
          <w:szCs w:val="21"/>
          <w:highlight w:val="none"/>
        </w:rPr>
        <w:t>前可以补充、修改或者撤回响应文件。补充或者修改响应文件的，应当先行撤回原响应文件，补充、修改后重新提交（上传），提交响应文件截止</w:t>
      </w:r>
      <w:r>
        <w:rPr>
          <w:rFonts w:ascii="宋体" w:hAnsi="宋体"/>
          <w:bCs/>
          <w:color w:val="auto"/>
          <w:szCs w:val="21"/>
          <w:highlight w:val="none"/>
        </w:rPr>
        <w:t>时间</w:t>
      </w:r>
      <w:r>
        <w:rPr>
          <w:rFonts w:hint="eastAsia" w:ascii="宋体" w:hAnsi="宋体"/>
          <w:bCs/>
          <w:color w:val="auto"/>
          <w:szCs w:val="21"/>
          <w:highlight w:val="none"/>
        </w:rPr>
        <w:t>前未完成提交（上传）的，视为撤回响应文件。提交响应文件截止</w:t>
      </w:r>
      <w:r>
        <w:rPr>
          <w:rFonts w:ascii="宋体" w:hAnsi="宋体"/>
          <w:bCs/>
          <w:color w:val="auto"/>
          <w:szCs w:val="21"/>
          <w:highlight w:val="none"/>
        </w:rPr>
        <w:t>时间</w:t>
      </w:r>
      <w:r>
        <w:rPr>
          <w:rFonts w:hint="eastAsia" w:ascii="宋体" w:hAnsi="宋体"/>
          <w:bCs/>
          <w:color w:val="auto"/>
          <w:szCs w:val="21"/>
          <w:highlight w:val="none"/>
        </w:rPr>
        <w:t>以后提交（上传）的响应文件，广西政府采购云平台将予以拒收。（补充、修改或者撤回方式可登录广西政府采购云平台，进入“服务中心”中查看 “电子投标文件制作与投送教程”）</w:t>
      </w:r>
    </w:p>
    <w:p w14:paraId="5D51934B">
      <w:pPr>
        <w:snapToGrid w:val="0"/>
        <w:spacing w:line="360" w:lineRule="auto"/>
        <w:ind w:firstLine="42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2在提交响应文件截止时间前，除供应商补充、修改或者撤回响应文件外，任何单位和个人不得解密或提取响应文件。</w:t>
      </w:r>
    </w:p>
    <w:p w14:paraId="0C0E692B">
      <w:pPr>
        <w:spacing w:line="360" w:lineRule="auto"/>
        <w:ind w:firstLine="480"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199137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1FC0049">
      <w:pPr>
        <w:spacing w:line="360" w:lineRule="auto"/>
        <w:ind w:firstLine="480"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39DA763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供应商在响应文件提交截止时间后向采购人、采购代理机构书面申请撤回响应文件的，采购人和采购代理机构对已提交的响应文件概不退回。</w:t>
      </w:r>
    </w:p>
    <w:p w14:paraId="0F07069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3ECC97DC">
      <w:pPr>
        <w:spacing w:line="360" w:lineRule="auto"/>
        <w:ind w:left="420" w:firstLine="420"/>
        <w:rPr>
          <w:rFonts w:hint="eastAsia" w:ascii="宋体" w:hAnsi="宋体"/>
          <w:color w:val="auto"/>
          <w:szCs w:val="21"/>
          <w:highlight w:val="none"/>
        </w:rPr>
      </w:pPr>
    </w:p>
    <w:p w14:paraId="461B6EA8">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6DC934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8A4D9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6E9DC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7EC14C5A">
      <w:pPr>
        <w:spacing w:line="360" w:lineRule="auto"/>
        <w:ind w:firstLine="480"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45A37A47">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758D96D5">
      <w:pPr>
        <w:spacing w:line="360" w:lineRule="auto"/>
        <w:ind w:firstLine="480"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5AB359E3">
      <w:pPr>
        <w:spacing w:line="360" w:lineRule="auto"/>
        <w:ind w:firstLine="420" w:firstLineChars="20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000744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0CD2C53E">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EDF7DBE">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6A8DC1C">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2F886829">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0B96C706">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111D4990">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00D5E30C">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51C1A204">
      <w:pPr>
        <w:spacing w:line="360" w:lineRule="auto"/>
        <w:ind w:firstLine="420" w:firstLineChars="20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6617E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eastAsia="宋体"/>
          <w:highlight w:val="none"/>
          <w:lang w:eastAsia="zh-CN"/>
        </w:rPr>
      </w:pPr>
      <w:r>
        <w:rPr>
          <w:rFonts w:hint="eastAsia" w:ascii="宋体" w:hAnsi="宋体"/>
          <w:highlight w:val="none"/>
          <w:lang w:val="en-US" w:eastAsia="zh-CN"/>
        </w:rPr>
        <w:t>26.6</w:t>
      </w:r>
      <w:r>
        <w:rPr>
          <w:rFonts w:hint="eastAsia" w:hAnsi="宋体"/>
          <w:highlight w:val="none"/>
        </w:rPr>
        <w:t>异常低价审查</w:t>
      </w:r>
      <w:r>
        <w:rPr>
          <w:rFonts w:hint="eastAsia" w:hAnsi="宋体"/>
          <w:highlight w:val="none"/>
          <w:lang w:eastAsia="zh-CN"/>
        </w:rPr>
        <w:t>：</w:t>
      </w:r>
    </w:p>
    <w:p w14:paraId="53969B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本项目异常低价审查情形见“投标人须知前附表”规定。</w:t>
      </w:r>
    </w:p>
    <w:p w14:paraId="5B0D2C2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833B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46881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FE619A1">
      <w:pPr>
        <w:spacing w:line="360" w:lineRule="auto"/>
        <w:ind w:firstLine="420" w:firstLineChars="200"/>
        <w:rPr>
          <w:rFonts w:hint="eastAsia" w:hAnsi="宋体"/>
          <w:color w:val="auto"/>
          <w:highlight w:val="none"/>
        </w:rPr>
      </w:pPr>
      <w:r>
        <w:rPr>
          <w:rFonts w:hint="eastAsia" w:hAnsi="宋体"/>
          <w:highlight w:val="none"/>
        </w:rPr>
        <w:t>异常低价投标（响应）审查的启动原因、审查意见和审查结果应当在评审报告中记录，并随供应商提供的相关书面说明及证明材料，以及评审委员会有关互联网浏览、查询历史一并归档。</w:t>
      </w:r>
    </w:p>
    <w:p w14:paraId="7B1B6577">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DF258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19F9DAE">
      <w:pPr>
        <w:pStyle w:val="6"/>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color w:val="auto"/>
          <w:highlight w:val="none"/>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6EB28A67">
      <w:pPr>
        <w:pStyle w:val="6"/>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5C7F4606">
      <w:pPr>
        <w:pStyle w:val="6"/>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78C7A758">
      <w:pPr>
        <w:pStyle w:val="6"/>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07CB0D24">
      <w:pPr>
        <w:pStyle w:val="6"/>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69B6B79C">
      <w:pPr>
        <w:pStyle w:val="6"/>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21CE8052">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33E370C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“供应商须知前附表”。成交人未按规定提交履约保证金的，视为拒绝与采购人签订合同。</w:t>
      </w:r>
    </w:p>
    <w:p w14:paraId="12FE7810">
      <w:pPr>
        <w:spacing w:line="360" w:lineRule="auto"/>
        <w:ind w:firstLine="424" w:firstLineChars="202"/>
        <w:rPr>
          <w:rFonts w:hint="eastAsia" w:ascii="黑体" w:hAnsi="黑体" w:eastAsia="黑体" w:cs="宋体"/>
          <w:b/>
          <w:bCs/>
          <w:color w:val="auto"/>
          <w:sz w:val="24"/>
          <w:highlight w:val="none"/>
        </w:rPr>
      </w:pPr>
      <w:r>
        <w:rPr>
          <w:rFonts w:hint="eastAsia" w:ascii="宋体" w:hAnsi="宋体" w:cs="宋体"/>
          <w:color w:val="auto"/>
          <w:szCs w:val="21"/>
          <w:highlight w:val="none"/>
        </w:rPr>
        <w:t>28.2在履约保证金退还日期前，若成交人的开户名称、开户银行、账号有变动的，请以书面形式通知履约保证金收取单位，否则由此产生的后果由成交人自行承担。</w:t>
      </w:r>
    </w:p>
    <w:p w14:paraId="040253B2">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5057E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014024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0A55DF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BC1F4E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449DB3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725814C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041F4C8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113A076">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4ED78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48AB913">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05A9F0B">
      <w:pPr>
        <w:pStyle w:val="4"/>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0E06EFB1">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850275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4A6AE2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96169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56A339C">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5CD150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FA5370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B8D2C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27F5CC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01F101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4C2CD6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508C46E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2FE024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796E63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51C13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AA2FE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2B337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6743337">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79BC21">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代理服务费</w:t>
      </w:r>
    </w:p>
    <w:p w14:paraId="63527698">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代理服务费。</w:t>
      </w:r>
    </w:p>
    <w:p w14:paraId="41453A4F">
      <w:pPr>
        <w:spacing w:line="360" w:lineRule="auto"/>
        <w:ind w:firstLine="480"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0D222021">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47F64D8F">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71181D7E">
      <w:pPr>
        <w:pStyle w:val="12"/>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63"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1A12414">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AB4E321">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093F3CF1">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ED62B0B">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21AA08C6">
      <w:pPr>
        <w:spacing w:line="360" w:lineRule="auto"/>
        <w:ind w:firstLine="420" w:firstLineChars="200"/>
        <w:contextualSpacing/>
        <w:rPr>
          <w:rFonts w:hint="eastAsia"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63"/>
    </w:p>
    <w:p w14:paraId="57EB03E2">
      <w:pPr>
        <w:pStyle w:val="12"/>
        <w:spacing w:line="360" w:lineRule="auto"/>
        <w:ind w:firstLine="480" w:firstLineChars="200"/>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宋体"/>
          <w:b/>
          <w:bCs/>
          <w:color w:val="000000" w:themeColor="text1"/>
          <w:kern w:val="2"/>
          <w:sz w:val="24"/>
          <w:szCs w:val="24"/>
          <w:highlight w:val="none"/>
          <w:lang w:val="en-US" w:eastAsia="zh-CN" w:bidi="ar-SA"/>
          <w14:textFill>
            <w14:solidFill>
              <w14:schemeClr w14:val="tx1"/>
            </w14:solidFill>
          </w14:textFill>
        </w:rPr>
        <w:t>34.支持本国产品</w:t>
      </w:r>
    </w:p>
    <w:p w14:paraId="2B7B3B97">
      <w:pPr>
        <w:spacing w:line="360" w:lineRule="auto"/>
        <w:ind w:firstLine="420" w:firstLineChars="200"/>
        <w:contextualSpacing/>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sz w:val="21"/>
          <w:highlight w:val="none"/>
          <w:lang w:val="en-US" w:eastAsia="zh-CN"/>
        </w:rPr>
        <w:t>3</w:t>
      </w:r>
      <w:r>
        <w:rPr>
          <w:rFonts w:hint="eastAsia" w:ascii="宋体" w:hAnsi="宋体" w:cs="Times New Roman"/>
          <w:color w:val="auto"/>
          <w:kern w:val="0"/>
          <w:sz w:val="21"/>
          <w:szCs w:val="21"/>
          <w:highlight w:val="none"/>
          <w:lang w:val="en-US" w:eastAsia="zh-CN" w:bidi="ar-SA"/>
        </w:rPr>
        <w:t>4</w:t>
      </w:r>
      <w:r>
        <w:rPr>
          <w:rFonts w:hint="eastAsia" w:ascii="宋体" w:hAnsi="宋体" w:eastAsia="宋体" w:cs="Times New Roman"/>
          <w:color w:val="auto"/>
          <w:kern w:val="0"/>
          <w:sz w:val="21"/>
          <w:szCs w:val="21"/>
          <w:highlight w:val="none"/>
          <w:lang w:val="en-US" w:eastAsia="zh-CN" w:bidi="ar-SA"/>
        </w:rPr>
        <w:t>.1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六章 投标文件格式）或财政部会同有关部门规定的有关证明文件，《声明函》或有关证明文件符合要求的，该产品视为本国产品。本项目适用情形详见“投标人须知前附表”的规定。</w:t>
      </w:r>
    </w:p>
    <w:p w14:paraId="524250EC">
      <w:pPr>
        <w:spacing w:line="360" w:lineRule="auto"/>
        <w:ind w:firstLine="420" w:firstLineChars="200"/>
        <w:contextualSpacing/>
        <w:rPr>
          <w:rFonts w:hint="eastAsia" w:hAnsi="宋体"/>
          <w:color w:val="auto"/>
          <w:highlight w:val="none"/>
        </w:rPr>
      </w:pPr>
    </w:p>
    <w:p w14:paraId="39A38A04">
      <w:pPr>
        <w:spacing w:line="360" w:lineRule="auto"/>
        <w:ind w:firstLine="420" w:firstLineChars="200"/>
        <w:contextualSpacing/>
        <w:rPr>
          <w:rFonts w:hint="eastAsia" w:hAnsi="宋体"/>
          <w:color w:val="auto"/>
          <w:highlight w:val="none"/>
        </w:rPr>
      </w:pPr>
    </w:p>
    <w:p w14:paraId="5F69DC74">
      <w:pPr>
        <w:spacing w:line="360" w:lineRule="auto"/>
        <w:ind w:firstLine="420" w:firstLineChars="200"/>
        <w:contextualSpacing/>
        <w:rPr>
          <w:rFonts w:hint="eastAsia" w:hAnsi="宋体"/>
          <w:color w:val="auto"/>
          <w:highlight w:val="none"/>
        </w:rPr>
      </w:pPr>
    </w:p>
    <w:p w14:paraId="6E651388">
      <w:pPr>
        <w:spacing w:line="360" w:lineRule="auto"/>
        <w:ind w:firstLine="420" w:firstLineChars="200"/>
        <w:contextualSpacing/>
        <w:rPr>
          <w:rFonts w:hint="eastAsia" w:hAnsi="宋体"/>
          <w:color w:val="auto"/>
          <w:highlight w:val="none"/>
        </w:rPr>
      </w:pPr>
    </w:p>
    <w:p w14:paraId="1E8B49CE">
      <w:pPr>
        <w:spacing w:line="360" w:lineRule="auto"/>
        <w:ind w:firstLine="420" w:firstLineChars="200"/>
        <w:contextualSpacing/>
        <w:rPr>
          <w:rFonts w:hint="eastAsia" w:hAnsi="宋体"/>
          <w:color w:val="auto"/>
          <w:highlight w:val="none"/>
        </w:rPr>
      </w:pPr>
    </w:p>
    <w:p w14:paraId="41076B20">
      <w:pPr>
        <w:spacing w:line="360" w:lineRule="auto"/>
        <w:ind w:firstLine="420" w:firstLineChars="200"/>
        <w:contextualSpacing/>
        <w:rPr>
          <w:rFonts w:hint="eastAsia" w:hAnsi="宋体"/>
          <w:color w:val="auto"/>
          <w:highlight w:val="none"/>
        </w:rPr>
      </w:pPr>
    </w:p>
    <w:p w14:paraId="37E178B1">
      <w:pPr>
        <w:snapToGrid w:val="0"/>
        <w:spacing w:line="340" w:lineRule="exact"/>
        <w:rPr>
          <w:rFonts w:hint="eastAsia" w:ascii="宋体" w:hAnsi="宋体"/>
          <w:color w:val="auto"/>
          <w:kern w:val="0"/>
          <w:sz w:val="20"/>
          <w:szCs w:val="21"/>
          <w:highlight w:val="none"/>
        </w:rPr>
      </w:pPr>
      <w:r>
        <w:rPr>
          <w:rFonts w:hint="eastAsia" w:ascii="黑体" w:hAnsi="黑体" w:eastAsia="黑体" w:cs="黑体"/>
          <w:bCs/>
          <w:color w:val="auto"/>
          <w:kern w:val="0"/>
          <w:sz w:val="32"/>
          <w:szCs w:val="32"/>
          <w:highlight w:val="none"/>
        </w:rPr>
        <w:t>附件1：</w:t>
      </w:r>
    </w:p>
    <w:p w14:paraId="3C3288B2">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264DFB1D">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2786DB62">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1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3331EA5F">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4A3A90D8">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02F99BA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3ECBCB5E">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417B3E9E">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032A24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40BF40CA">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14:paraId="59E0ABD8">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16F6CC3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4E12D33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2FF8586">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43679AA">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F501B1F">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2CBD8E2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D07E3DE">
            <w:pPr>
              <w:widowControl/>
              <w:spacing w:before="100" w:beforeAutospacing="1" w:after="100" w:afterAutospacing="1" w:line="240" w:lineRule="atLeast"/>
              <w:jc w:val="center"/>
              <w:rPr>
                <w:rFonts w:ascii="Verdana" w:hAnsi="Verdana" w:cs="宋体"/>
                <w:color w:val="auto"/>
                <w:kern w:val="0"/>
                <w:szCs w:val="21"/>
                <w:highlight w:val="none"/>
              </w:rPr>
            </w:pPr>
          </w:p>
        </w:tc>
      </w:tr>
      <w:tr w14:paraId="59BA02C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C7F754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15E4710">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FBD9A7C">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38F44282">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41D1289">
            <w:pPr>
              <w:widowControl/>
              <w:spacing w:before="100" w:beforeAutospacing="1" w:after="100" w:afterAutospacing="1" w:line="240" w:lineRule="atLeast"/>
              <w:jc w:val="center"/>
              <w:rPr>
                <w:rFonts w:ascii="Verdana" w:hAnsi="Verdana" w:cs="宋体"/>
                <w:color w:val="auto"/>
                <w:kern w:val="0"/>
                <w:szCs w:val="21"/>
                <w:highlight w:val="none"/>
              </w:rPr>
            </w:pPr>
          </w:p>
        </w:tc>
      </w:tr>
      <w:tr w14:paraId="40F1933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19ABD77">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EEFF3F4">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324C501">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2A92804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B136EB8">
            <w:pPr>
              <w:widowControl/>
              <w:spacing w:before="100" w:beforeAutospacing="1" w:after="100" w:afterAutospacing="1" w:line="240" w:lineRule="atLeast"/>
              <w:jc w:val="center"/>
              <w:rPr>
                <w:rFonts w:ascii="Verdana" w:hAnsi="Verdana" w:cs="宋体"/>
                <w:color w:val="auto"/>
                <w:kern w:val="0"/>
                <w:szCs w:val="21"/>
                <w:highlight w:val="none"/>
              </w:rPr>
            </w:pPr>
          </w:p>
        </w:tc>
      </w:tr>
      <w:tr w14:paraId="7562923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252AA969">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noWrap w:val="0"/>
            <w:vAlign w:val="center"/>
          </w:tcPr>
          <w:p w14:paraId="55C8FC0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F166E04">
            <w:pPr>
              <w:widowControl/>
              <w:spacing w:before="100" w:beforeAutospacing="1" w:after="100" w:afterAutospacing="1" w:line="240" w:lineRule="atLeast"/>
              <w:jc w:val="center"/>
              <w:rPr>
                <w:rFonts w:ascii="Verdana" w:hAnsi="Verdana" w:cs="宋体"/>
                <w:color w:val="auto"/>
                <w:kern w:val="0"/>
                <w:szCs w:val="21"/>
                <w:highlight w:val="none"/>
              </w:rPr>
            </w:pPr>
          </w:p>
        </w:tc>
      </w:tr>
      <w:tr w14:paraId="27A3985C">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2B509075">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46B80B8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BF7D141">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15B56A19">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C84AB09">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noWrap w:val="0"/>
            <w:vAlign w:val="center"/>
          </w:tcPr>
          <w:p w14:paraId="44F40FC7">
            <w:pPr>
              <w:widowControl/>
              <w:spacing w:before="100" w:beforeAutospacing="1" w:after="100" w:afterAutospacing="1" w:line="240" w:lineRule="atLeast"/>
              <w:jc w:val="center"/>
              <w:rPr>
                <w:rFonts w:ascii="Verdana" w:hAnsi="Verdana" w:cs="宋体"/>
                <w:color w:val="auto"/>
                <w:kern w:val="0"/>
                <w:szCs w:val="21"/>
                <w:highlight w:val="none"/>
              </w:rPr>
            </w:pPr>
          </w:p>
        </w:tc>
      </w:tr>
      <w:tr w14:paraId="71097980">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546D27F2">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435DA0D2">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6A33A15">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noWrap w:val="0"/>
            <w:vAlign w:val="center"/>
          </w:tcPr>
          <w:p w14:paraId="50ECFEA0">
            <w:pPr>
              <w:widowControl/>
              <w:spacing w:before="100" w:beforeAutospacing="1" w:after="100" w:afterAutospacing="1" w:line="240" w:lineRule="atLeast"/>
              <w:jc w:val="center"/>
              <w:rPr>
                <w:rFonts w:ascii="Verdana" w:hAnsi="Verdana" w:cs="宋体"/>
                <w:color w:val="auto"/>
                <w:kern w:val="0"/>
                <w:szCs w:val="21"/>
                <w:highlight w:val="none"/>
              </w:rPr>
            </w:pPr>
          </w:p>
        </w:tc>
      </w:tr>
      <w:tr w14:paraId="2D6872D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3B3F3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20D987">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10F6589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3ADEE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noWrap w:val="0"/>
            <w:vAlign w:val="center"/>
          </w:tcPr>
          <w:p w14:paraId="0B8DBA7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13C1774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2B25123">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noWrap w:val="0"/>
            <w:vAlign w:val="center"/>
          </w:tcPr>
          <w:p w14:paraId="0E20EC4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9583EE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6AFE3BEA">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5D28E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30B9EBB3">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5665D2">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02B073A9">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7676118E">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6BF867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1A6D69E6">
            <w:pPr>
              <w:widowControl/>
              <w:spacing w:before="100" w:beforeAutospacing="1" w:after="100" w:afterAutospacing="1" w:line="320" w:lineRule="atLeast"/>
              <w:jc w:val="left"/>
              <w:rPr>
                <w:rFonts w:ascii="Verdana" w:hAnsi="Verdana" w:cs="宋体"/>
                <w:color w:val="auto"/>
                <w:kern w:val="0"/>
                <w:szCs w:val="21"/>
                <w:highlight w:val="none"/>
              </w:rPr>
            </w:pPr>
          </w:p>
          <w:p w14:paraId="5B67A40A">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noWrap w:val="0"/>
            <w:vAlign w:val="center"/>
          </w:tcPr>
          <w:p w14:paraId="423B0DD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01B07DD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9151C7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5F6316AB">
      <w:pPr>
        <w:snapToGrid w:val="0"/>
        <w:rPr>
          <w:rFonts w:hint="eastAsia" w:ascii="宋体"/>
          <w:b/>
          <w:bCs/>
          <w:color w:val="auto"/>
          <w:sz w:val="18"/>
          <w:szCs w:val="18"/>
          <w:highlight w:val="none"/>
        </w:rPr>
      </w:pPr>
      <w:r>
        <w:rPr>
          <w:rFonts w:ascii="宋体" w:hAnsi="宋体"/>
          <w:color w:val="auto"/>
          <w:kern w:val="0"/>
          <w:sz w:val="20"/>
          <w:szCs w:val="21"/>
          <w:highlight w:val="none"/>
        </w:rPr>
        <w:br w:type="page"/>
      </w:r>
      <w:r>
        <w:rPr>
          <w:rFonts w:hint="eastAsia" w:ascii="宋体"/>
          <w:b/>
          <w:bCs/>
          <w:color w:val="auto"/>
          <w:sz w:val="18"/>
          <w:szCs w:val="18"/>
          <w:highlight w:val="none"/>
        </w:rPr>
        <w:t xml:space="preserve"> </w:t>
      </w:r>
    </w:p>
    <w:p w14:paraId="182C39CF">
      <w:pPr>
        <w:snapToGrid w:val="0"/>
        <w:jc w:val="center"/>
        <w:rPr>
          <w:rFonts w:hint="eastAsia" w:ascii="方正小标宋_GBK" w:hAnsi="方正小标宋_GBK" w:eastAsia="方正小标宋_GBK" w:cs="方正小标宋_GBK"/>
          <w:color w:val="auto"/>
          <w:sz w:val="36"/>
          <w:szCs w:val="36"/>
          <w:highlight w:val="none"/>
        </w:rPr>
      </w:pPr>
      <w:bookmarkStart w:id="64" w:name="_Toc168674247"/>
      <w:r>
        <w:rPr>
          <w:rFonts w:hint="eastAsia"/>
          <w:color w:val="auto"/>
          <w:sz w:val="36"/>
          <w:szCs w:val="36"/>
          <w:highlight w:val="none"/>
        </w:rPr>
        <w:t>第三章</w:t>
      </w:r>
      <w:r>
        <w:rPr>
          <w:rFonts w:hint="eastAsia"/>
          <w:color w:val="auto"/>
          <w:sz w:val="28"/>
          <w:szCs w:val="28"/>
          <w:highlight w:val="none"/>
        </w:rPr>
        <w:t xml:space="preserve"> </w:t>
      </w:r>
      <w:bookmarkEnd w:id="64"/>
      <w:r>
        <w:rPr>
          <w:rFonts w:hint="eastAsia" w:ascii="方正小标宋_GBK" w:hAnsi="方正小标宋_GBK" w:eastAsia="方正小标宋_GBK" w:cs="方正小标宋_GBK"/>
          <w:color w:val="auto"/>
          <w:sz w:val="36"/>
          <w:szCs w:val="36"/>
          <w:highlight w:val="none"/>
        </w:rPr>
        <w:t>采购需求</w:t>
      </w:r>
    </w:p>
    <w:p w14:paraId="0772FF11">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4E256D2D">
      <w:pPr>
        <w:spacing w:line="400" w:lineRule="exact"/>
        <w:jc w:val="left"/>
        <w:rPr>
          <w:rFonts w:hint="eastAsia" w:ascii="宋体" w:hAnsi="宋体" w:cs="宋体"/>
          <w:color w:val="auto"/>
          <w:szCs w:val="21"/>
          <w:highlight w:val="none"/>
        </w:rPr>
      </w:pPr>
    </w:p>
    <w:p w14:paraId="5B9D2CC7">
      <w:pPr>
        <w:spacing w:line="400" w:lineRule="exact"/>
        <w:jc w:val="left"/>
        <w:rPr>
          <w:color w:val="auto"/>
          <w:highlight w:val="none"/>
        </w:rPr>
      </w:pPr>
      <w:r>
        <w:rPr>
          <w:rFonts w:hint="eastAsia" w:ascii="宋体" w:hAnsi="宋体" w:cs="宋体"/>
          <w:color w:val="auto"/>
          <w:szCs w:val="21"/>
          <w:highlight w:val="none"/>
        </w:rPr>
        <w:t>说明：</w:t>
      </w:r>
    </w:p>
    <w:p w14:paraId="03F3B875">
      <w:pPr>
        <w:spacing w:line="400" w:lineRule="exact"/>
        <w:ind w:firstLine="420" w:firstLineChars="200"/>
        <w:jc w:val="left"/>
        <w:rPr>
          <w:rFonts w:hint="eastAsia"/>
          <w:color w:val="auto"/>
          <w:highlight w:val="none"/>
        </w:rPr>
      </w:pPr>
      <w:r>
        <w:rPr>
          <w:rFonts w:hint="eastAsia"/>
          <w:color w:val="auto"/>
          <w:highlight w:val="none"/>
        </w:rPr>
        <w:t>1. 为落实政府采购政策需满足的要求</w:t>
      </w:r>
    </w:p>
    <w:p w14:paraId="0E9E4B1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w:t>
      </w:r>
    </w:p>
    <w:p w14:paraId="4C4B5E5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根据《关于调整网络安全专用产品安全管理有关事项的公告》（2023年第1号）规定，本项目采购需求中的产品如果包括《网络关键设备和网络安全专用产品目录》的网络安全专用产品，供应商在响应文件中应主动列明供货范围中属于网络安全专用产品的竞标产品，并在响应文件中提供由中国网信网（http://www.cac.gov.cn/index.htm）最新发布的《网络关键设备和网络安全专用产品安全认证和安全检测结果》截图证明材料，不在《网络关键设备和网络安全专用产品安全认证和安全检测结果》中，竞标无效。如属于《网络关键设备和网络安全专用产品目录》中“二、网络安全专用产品”内“产品类别”中的所描述的产品，但不属于所列“产品描述”情形的，应提供相应的说明及证明材料。</w:t>
      </w:r>
    </w:p>
    <w:p w14:paraId="56D79B58">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015EBCD1">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23415F6">
      <w:pPr>
        <w:spacing w:line="400" w:lineRule="exact"/>
        <w:ind w:firstLine="424" w:firstLineChars="202"/>
        <w:jc w:val="left"/>
        <w:rPr>
          <w:rFonts w:hint="eastAsia"/>
          <w:color w:val="auto"/>
          <w:highlight w:val="none"/>
        </w:rPr>
      </w:pPr>
      <w:r>
        <w:rPr>
          <w:rFonts w:hint="eastAsia" w:ascii="宋体" w:hAnsi="宋体" w:cs="宋体"/>
          <w:color w:val="auto"/>
          <w:szCs w:val="21"/>
          <w:highlight w:val="none"/>
        </w:rPr>
        <w:t>4.供应商应根据自身实际情况如实响应谈判文件</w:t>
      </w:r>
      <w:r>
        <w:rPr>
          <w:rFonts w:hint="eastAsia" w:ascii="宋体" w:hAnsi="宋体"/>
          <w:color w:val="auto"/>
          <w:szCs w:val="21"/>
          <w:highlight w:val="none"/>
        </w:rPr>
        <w:t>，不得仅将</w:t>
      </w:r>
      <w:r>
        <w:rPr>
          <w:rFonts w:hint="eastAsia" w:ascii="宋体" w:hAnsi="宋体" w:cs="宋体"/>
          <w:color w:val="auto"/>
          <w:szCs w:val="21"/>
          <w:highlight w:val="none"/>
        </w:rPr>
        <w:t>谈判文件</w:t>
      </w:r>
      <w:r>
        <w:rPr>
          <w:rFonts w:hint="eastAsia" w:ascii="宋体" w:hAnsi="宋体"/>
          <w:color w:val="auto"/>
          <w:szCs w:val="21"/>
          <w:highlight w:val="none"/>
        </w:rPr>
        <w:t>内容简单复制粘贴作为竞标响应。</w:t>
      </w:r>
    </w:p>
    <w:p w14:paraId="15437F71">
      <w:pPr>
        <w:spacing w:line="340" w:lineRule="exact"/>
        <w:ind w:firstLine="424" w:firstLineChars="202"/>
        <w:jc w:val="left"/>
        <w:rPr>
          <w:color w:val="auto"/>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r>
        <w:rPr>
          <w:color w:val="auto"/>
          <w:highlight w:val="none"/>
        </w:rPr>
        <w:t xml:space="preserve"> </w:t>
      </w:r>
    </w:p>
    <w:p w14:paraId="27666FBB">
      <w:pPr>
        <w:spacing w:line="340" w:lineRule="exact"/>
        <w:ind w:firstLine="424" w:firstLineChars="202"/>
        <w:jc w:val="left"/>
        <w:rPr>
          <w:color w:val="auto"/>
          <w:highlight w:val="none"/>
        </w:rPr>
      </w:pPr>
    </w:p>
    <w:p w14:paraId="29938CCA">
      <w:pPr>
        <w:spacing w:line="340" w:lineRule="exact"/>
        <w:ind w:firstLine="424" w:firstLineChars="202"/>
        <w:jc w:val="left"/>
        <w:rPr>
          <w:color w:val="auto"/>
          <w:highlight w:val="none"/>
        </w:rPr>
      </w:pPr>
    </w:p>
    <w:p w14:paraId="3F55BD59">
      <w:pPr>
        <w:pStyle w:val="23"/>
        <w:ind w:firstLine="420"/>
        <w:rPr>
          <w:color w:val="auto"/>
          <w:highlight w:val="none"/>
        </w:rPr>
      </w:pPr>
    </w:p>
    <w:p w14:paraId="542AAE5E">
      <w:pPr>
        <w:pStyle w:val="23"/>
        <w:ind w:firstLine="420"/>
        <w:rPr>
          <w:color w:val="auto"/>
          <w:highlight w:val="none"/>
        </w:rPr>
      </w:pPr>
    </w:p>
    <w:p w14:paraId="06E84284">
      <w:pPr>
        <w:spacing w:line="340" w:lineRule="exact"/>
        <w:ind w:firstLine="424" w:firstLineChars="202"/>
        <w:jc w:val="left"/>
        <w:rPr>
          <w:color w:val="auto"/>
          <w:highlight w:val="none"/>
        </w:rPr>
      </w:pPr>
    </w:p>
    <w:p w14:paraId="17C2D6E7">
      <w:pPr>
        <w:pStyle w:val="23"/>
        <w:rPr>
          <w:color w:val="auto"/>
          <w:highlight w:val="none"/>
        </w:rPr>
      </w:pPr>
    </w:p>
    <w:p w14:paraId="1B58A866">
      <w:pPr>
        <w:pStyle w:val="23"/>
        <w:rPr>
          <w:color w:val="auto"/>
          <w:highlight w:val="none"/>
        </w:rPr>
      </w:pPr>
    </w:p>
    <w:p w14:paraId="088609D9">
      <w:pPr>
        <w:pStyle w:val="23"/>
        <w:rPr>
          <w:color w:val="auto"/>
          <w:highlight w:val="none"/>
        </w:rPr>
      </w:pPr>
    </w:p>
    <w:p w14:paraId="70756CB2">
      <w:pPr>
        <w:pStyle w:val="23"/>
        <w:rPr>
          <w:color w:val="auto"/>
          <w:highlight w:val="none"/>
        </w:rPr>
      </w:pPr>
    </w:p>
    <w:p w14:paraId="5995206D">
      <w:pPr>
        <w:spacing w:line="340" w:lineRule="exact"/>
        <w:ind w:firstLine="424" w:firstLineChars="202"/>
        <w:jc w:val="left"/>
        <w:rPr>
          <w:color w:val="auto"/>
          <w:highlight w:val="none"/>
        </w:rPr>
      </w:pPr>
    </w:p>
    <w:tbl>
      <w:tblPr>
        <w:tblStyle w:val="1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22"/>
        <w:gridCol w:w="785"/>
        <w:gridCol w:w="7070"/>
      </w:tblGrid>
      <w:tr w14:paraId="3253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23E7C5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122" w:type="dxa"/>
            <w:noWrap w:val="0"/>
            <w:vAlign w:val="center"/>
          </w:tcPr>
          <w:p w14:paraId="286EC5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785" w:type="dxa"/>
            <w:noWrap w:val="0"/>
            <w:vAlign w:val="center"/>
          </w:tcPr>
          <w:p w14:paraId="7DD7A7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数量/单位</w:t>
            </w:r>
          </w:p>
        </w:tc>
        <w:tc>
          <w:tcPr>
            <w:tcW w:w="7070" w:type="dxa"/>
            <w:noWrap w:val="0"/>
            <w:vAlign w:val="center"/>
          </w:tcPr>
          <w:p w14:paraId="51FBA8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技术参数及性能配置要求</w:t>
            </w:r>
          </w:p>
        </w:tc>
      </w:tr>
      <w:tr w14:paraId="1D86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04C628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22" w:type="dxa"/>
            <w:noWrap w:val="0"/>
            <w:vAlign w:val="center"/>
          </w:tcPr>
          <w:p w14:paraId="0F486B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小机房</w:t>
            </w:r>
          </w:p>
          <w:p w14:paraId="2FCF8E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乘客电梯</w:t>
            </w:r>
          </w:p>
        </w:tc>
        <w:tc>
          <w:tcPr>
            <w:tcW w:w="785" w:type="dxa"/>
            <w:noWrap w:val="0"/>
            <w:vAlign w:val="center"/>
          </w:tcPr>
          <w:p w14:paraId="4D21E2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2台</w:t>
            </w:r>
          </w:p>
        </w:tc>
        <w:tc>
          <w:tcPr>
            <w:tcW w:w="7070" w:type="dxa"/>
            <w:noWrap w:val="0"/>
            <w:vAlign w:val="center"/>
          </w:tcPr>
          <w:p w14:paraId="0EF35773">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一、技术规格参数要求：</w:t>
            </w:r>
          </w:p>
          <w:p w14:paraId="1856BB46">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1、额定载重量：≥</w:t>
            </w:r>
            <w:r>
              <w:rPr>
                <w:rFonts w:hint="eastAsia" w:ascii="宋体" w:hAnsi="宋体" w:cs="宋体"/>
                <w:color w:val="auto"/>
                <w:szCs w:val="21"/>
                <w:highlight w:val="none"/>
              </w:rPr>
              <w:t>1000</w:t>
            </w:r>
            <w:r>
              <w:rPr>
                <w:rFonts w:hint="eastAsia" w:ascii="宋体" w:hAnsi="宋体" w:cs="宋体"/>
                <w:color w:val="auto"/>
                <w:szCs w:val="21"/>
                <w:highlight w:val="none"/>
                <w:lang w:val="zh-CN"/>
              </w:rPr>
              <w:t>公斤；</w:t>
            </w:r>
          </w:p>
          <w:p w14:paraId="7259366B">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2、层/站/门：</w:t>
            </w:r>
            <w:r>
              <w:rPr>
                <w:rFonts w:hint="eastAsia" w:ascii="宋体" w:hAnsi="宋体" w:cs="宋体"/>
                <w:color w:val="auto"/>
                <w:szCs w:val="21"/>
                <w:highlight w:val="none"/>
              </w:rPr>
              <w:t>10</w:t>
            </w:r>
            <w:r>
              <w:rPr>
                <w:rFonts w:hint="eastAsia" w:ascii="宋体" w:hAnsi="宋体" w:cs="宋体"/>
                <w:color w:val="auto"/>
                <w:szCs w:val="21"/>
                <w:highlight w:val="none"/>
                <w:lang w:val="zh-CN"/>
              </w:rPr>
              <w:t>层</w:t>
            </w:r>
            <w:r>
              <w:rPr>
                <w:rFonts w:hint="eastAsia" w:ascii="宋体" w:hAnsi="宋体" w:cs="宋体"/>
                <w:color w:val="auto"/>
                <w:szCs w:val="21"/>
                <w:highlight w:val="none"/>
              </w:rPr>
              <w:t>10</w:t>
            </w:r>
            <w:r>
              <w:rPr>
                <w:rFonts w:hint="eastAsia" w:ascii="宋体" w:hAnsi="宋体" w:cs="宋体"/>
                <w:color w:val="auto"/>
                <w:szCs w:val="21"/>
                <w:highlight w:val="none"/>
                <w:lang w:val="zh-CN"/>
              </w:rPr>
              <w:t>站</w:t>
            </w:r>
            <w:r>
              <w:rPr>
                <w:rFonts w:hint="eastAsia" w:ascii="宋体" w:hAnsi="宋体" w:cs="宋体"/>
                <w:color w:val="auto"/>
                <w:szCs w:val="21"/>
                <w:highlight w:val="none"/>
              </w:rPr>
              <w:t>10</w:t>
            </w:r>
            <w:r>
              <w:rPr>
                <w:rFonts w:hint="eastAsia" w:ascii="宋体" w:hAnsi="宋体" w:cs="宋体"/>
                <w:color w:val="auto"/>
                <w:szCs w:val="21"/>
                <w:highlight w:val="none"/>
                <w:lang w:val="zh-CN"/>
              </w:rPr>
              <w:t>门；</w:t>
            </w:r>
          </w:p>
          <w:p w14:paraId="155CAD24">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额定速度：</w:t>
            </w:r>
            <w:r>
              <w:rPr>
                <w:rFonts w:hint="eastAsia" w:ascii="宋体" w:hAnsi="宋体" w:cs="宋体"/>
                <w:color w:val="auto"/>
                <w:szCs w:val="21"/>
                <w:highlight w:val="none"/>
              </w:rPr>
              <w:t>1.5</w:t>
            </w:r>
            <w:r>
              <w:rPr>
                <w:rFonts w:hint="eastAsia" w:ascii="宋体" w:hAnsi="宋体" w:cs="宋体"/>
                <w:color w:val="auto"/>
                <w:szCs w:val="21"/>
                <w:highlight w:val="none"/>
                <w:lang w:val="zh-CN"/>
              </w:rPr>
              <w:t>米/秒；</w:t>
            </w:r>
          </w:p>
          <w:p w14:paraId="352B4E27">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、轿厢尺寸宽×深×高：</w:t>
            </w:r>
            <w:r>
              <w:rPr>
                <w:rFonts w:hint="eastAsia" w:ascii="宋体" w:hAnsi="宋体" w:cs="宋体"/>
                <w:color w:val="auto"/>
                <w:szCs w:val="21"/>
                <w:highlight w:val="none"/>
              </w:rPr>
              <w:t>1600</w:t>
            </w:r>
            <w:r>
              <w:rPr>
                <w:rFonts w:hint="eastAsia" w:ascii="宋体" w:hAnsi="宋体" w:cs="宋体"/>
                <w:color w:val="auto"/>
                <w:szCs w:val="21"/>
                <w:highlight w:val="none"/>
                <w:lang w:val="zh-CN"/>
              </w:rPr>
              <w:t>mm×</w:t>
            </w:r>
            <w:r>
              <w:rPr>
                <w:rFonts w:hint="eastAsia" w:ascii="宋体" w:hAnsi="宋体" w:cs="宋体"/>
                <w:color w:val="auto"/>
                <w:szCs w:val="21"/>
                <w:highlight w:val="none"/>
              </w:rPr>
              <w:t>15</w:t>
            </w:r>
            <w:r>
              <w:rPr>
                <w:rFonts w:hint="eastAsia" w:ascii="宋体" w:hAnsi="宋体" w:cs="宋体"/>
                <w:color w:val="auto"/>
                <w:szCs w:val="21"/>
                <w:highlight w:val="none"/>
                <w:lang w:val="zh-CN"/>
              </w:rPr>
              <w:t>00mm×</w:t>
            </w:r>
            <w:r>
              <w:rPr>
                <w:rFonts w:hint="eastAsia" w:ascii="宋体" w:hAnsi="宋体" w:cs="宋体"/>
                <w:color w:val="auto"/>
                <w:szCs w:val="21"/>
                <w:highlight w:val="none"/>
              </w:rPr>
              <w:t>2450</w:t>
            </w:r>
            <w:r>
              <w:rPr>
                <w:rFonts w:hint="eastAsia" w:ascii="宋体" w:hAnsi="宋体" w:cs="宋体"/>
                <w:color w:val="auto"/>
                <w:szCs w:val="21"/>
                <w:highlight w:val="none"/>
                <w:lang w:val="zh-CN"/>
              </w:rPr>
              <w:t>mm；</w:t>
            </w:r>
          </w:p>
          <w:p w14:paraId="25DB4E9E">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井道净空尺寸宽×深：</w:t>
            </w:r>
            <w:r>
              <w:rPr>
                <w:rFonts w:hint="eastAsia" w:ascii="宋体" w:hAnsi="宋体" w:cs="宋体"/>
                <w:color w:val="auto"/>
                <w:szCs w:val="21"/>
                <w:highlight w:val="none"/>
              </w:rPr>
              <w:t>2100</w:t>
            </w:r>
            <w:r>
              <w:rPr>
                <w:rFonts w:hint="eastAsia" w:ascii="宋体" w:hAnsi="宋体" w:cs="宋体"/>
                <w:color w:val="auto"/>
                <w:szCs w:val="21"/>
                <w:highlight w:val="none"/>
                <w:lang w:val="zh-CN"/>
              </w:rPr>
              <w:t>mm×</w:t>
            </w:r>
            <w:r>
              <w:rPr>
                <w:rFonts w:hint="eastAsia" w:ascii="宋体" w:hAnsi="宋体" w:cs="宋体"/>
                <w:color w:val="auto"/>
                <w:szCs w:val="21"/>
                <w:highlight w:val="none"/>
              </w:rPr>
              <w:t>2350</w:t>
            </w:r>
            <w:r>
              <w:rPr>
                <w:rFonts w:hint="eastAsia" w:ascii="宋体" w:hAnsi="宋体" w:cs="宋体"/>
                <w:color w:val="auto"/>
                <w:szCs w:val="21"/>
                <w:highlight w:val="none"/>
                <w:lang w:val="zh-CN"/>
              </w:rPr>
              <w:t>mm；</w:t>
            </w:r>
          </w:p>
          <w:p w14:paraId="4A072CD5">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6</w:t>
            </w:r>
            <w:r>
              <w:rPr>
                <w:rFonts w:hint="eastAsia" w:ascii="宋体" w:hAnsi="宋体" w:cs="宋体"/>
                <w:color w:val="auto"/>
                <w:szCs w:val="21"/>
                <w:highlight w:val="none"/>
                <w:lang w:val="zh-CN"/>
              </w:rPr>
              <w:t>、顶层净高：4</w:t>
            </w:r>
            <w:r>
              <w:rPr>
                <w:rFonts w:hint="eastAsia" w:ascii="宋体" w:hAnsi="宋体" w:cs="宋体"/>
                <w:color w:val="auto"/>
                <w:szCs w:val="21"/>
                <w:highlight w:val="none"/>
              </w:rPr>
              <w:t>.5米</w:t>
            </w:r>
            <w:r>
              <w:rPr>
                <w:rFonts w:hint="eastAsia" w:ascii="宋体" w:hAnsi="宋体" w:cs="宋体"/>
                <w:color w:val="auto"/>
                <w:szCs w:val="21"/>
                <w:highlight w:val="none"/>
                <w:lang w:val="zh-CN"/>
              </w:rPr>
              <w:t>；</w:t>
            </w:r>
          </w:p>
          <w:p w14:paraId="6841351D">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7</w:t>
            </w:r>
            <w:r>
              <w:rPr>
                <w:rFonts w:hint="eastAsia" w:ascii="宋体" w:hAnsi="宋体" w:cs="宋体"/>
                <w:color w:val="auto"/>
                <w:szCs w:val="21"/>
                <w:highlight w:val="none"/>
                <w:lang w:val="zh-CN"/>
              </w:rPr>
              <w:t>、底坑净深：</w:t>
            </w:r>
            <w:r>
              <w:rPr>
                <w:rFonts w:hint="eastAsia" w:ascii="宋体" w:hAnsi="宋体" w:cs="宋体"/>
                <w:color w:val="auto"/>
                <w:szCs w:val="21"/>
                <w:highlight w:val="none"/>
              </w:rPr>
              <w:t>1.8米</w:t>
            </w:r>
            <w:r>
              <w:rPr>
                <w:rFonts w:hint="eastAsia" w:ascii="宋体" w:hAnsi="宋体" w:cs="宋体"/>
                <w:color w:val="auto"/>
                <w:szCs w:val="21"/>
                <w:highlight w:val="none"/>
                <w:lang w:val="zh-CN"/>
              </w:rPr>
              <w:t>；</w:t>
            </w:r>
          </w:p>
          <w:p w14:paraId="090907E8">
            <w:pPr>
              <w:tabs>
                <w:tab w:val="left" w:pos="756"/>
                <w:tab w:val="left" w:pos="3456"/>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8、提升高度：35.5米</w:t>
            </w:r>
          </w:p>
          <w:p w14:paraId="4C5B29B3">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、开门尺寸宽×高：</w:t>
            </w:r>
            <w:r>
              <w:rPr>
                <w:rFonts w:hint="eastAsia" w:ascii="宋体" w:hAnsi="宋体" w:cs="宋体"/>
                <w:color w:val="auto"/>
                <w:szCs w:val="21"/>
                <w:highlight w:val="none"/>
              </w:rPr>
              <w:t>9</w:t>
            </w:r>
            <w:r>
              <w:rPr>
                <w:rFonts w:hint="eastAsia" w:ascii="宋体" w:hAnsi="宋体" w:cs="宋体"/>
                <w:color w:val="auto"/>
                <w:szCs w:val="21"/>
                <w:highlight w:val="none"/>
                <w:lang w:val="zh-CN"/>
              </w:rPr>
              <w:t>00mm×2100mm；</w:t>
            </w:r>
          </w:p>
          <w:p w14:paraId="2D9BEA5E">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10、控制方式：单控；</w:t>
            </w:r>
          </w:p>
          <w:p w14:paraId="4872F4F7">
            <w:pPr>
              <w:widowControl/>
              <w:spacing w:line="360" w:lineRule="auto"/>
              <w:jc w:val="left"/>
              <w:rPr>
                <w:rFonts w:hint="eastAsia" w:ascii="宋体" w:hAnsi="宋体" w:cs="宋体"/>
                <w:color w:val="auto"/>
                <w:highlight w:val="none"/>
                <w:lang w:val="zh-CN"/>
              </w:rPr>
            </w:pPr>
            <w:r>
              <w:rPr>
                <w:rFonts w:hint="eastAsia" w:ascii="宋体" w:hAnsi="宋体" w:cs="宋体"/>
                <w:color w:val="auto"/>
                <w:kern w:val="0"/>
                <w:szCs w:val="21"/>
                <w:highlight w:val="none"/>
              </w:rPr>
              <w:t>备注：以上尺寸均以双方现场确认为准。</w:t>
            </w:r>
          </w:p>
          <w:p w14:paraId="4B737868">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二、技术要求：</w:t>
            </w:r>
          </w:p>
          <w:p w14:paraId="2BC29114">
            <w:pPr>
              <w:tabs>
                <w:tab w:val="left" w:pos="756"/>
                <w:tab w:val="left" w:pos="3456"/>
              </w:tabs>
              <w:autoSpaceDE w:val="0"/>
              <w:autoSpaceDN w:val="0"/>
              <w:spacing w:line="360" w:lineRule="auto"/>
              <w:rPr>
                <w:rFonts w:hint="eastAsia" w:ascii="宋体" w:hAnsi="宋体" w:eastAsia="宋体" w:cs="宋体"/>
                <w:color w:val="auto"/>
                <w:szCs w:val="21"/>
                <w:highlight w:val="yellow"/>
                <w:lang w:eastAsia="zh-CN"/>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1、控制系统：32位微机处理器，采用模块化全电脑控制，主控制系统集运行逻辑系统、逆变驱动系统与网络通讯系统一体化，信号处理均由32位主控制系统担当。</w:t>
            </w:r>
            <w:r>
              <w:rPr>
                <w:rFonts w:hint="eastAsia" w:ascii="宋体" w:hAnsi="宋体" w:eastAsia="宋体" w:cs="宋体"/>
                <w:color w:val="auto"/>
                <w:sz w:val="21"/>
                <w:szCs w:val="21"/>
                <w:highlight w:val="yellow"/>
              </w:rPr>
              <w:t>控制主电路板必须为投标品牌制造商设计及生产，不接受外购和代工生产（贴牌生产）的产品</w:t>
            </w:r>
            <w:r>
              <w:rPr>
                <w:rFonts w:hint="eastAsia" w:ascii="宋体" w:hAnsi="宋体" w:eastAsia="宋体" w:cs="宋体"/>
                <w:color w:val="auto"/>
                <w:sz w:val="21"/>
                <w:szCs w:val="21"/>
                <w:highlight w:val="yellow"/>
                <w:lang w:eastAsia="zh-CN"/>
              </w:rPr>
              <w:t>。</w:t>
            </w:r>
          </w:p>
          <w:p w14:paraId="2D4C2EFD">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2、变频系统：采用双32位新型、高性能的DSP，双微机控制分别负责位置控制及逆变控制，配置IPM 变频功率模块，增加位置控制的零速锁定控制。</w:t>
            </w:r>
          </w:p>
          <w:p w14:paraId="7ADEC213">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3、曳引系统：永磁同步主机，主机绕组绝缘等级为F级(含)以上，具备防脱磁钢设计。</w:t>
            </w:r>
          </w:p>
          <w:p w14:paraId="34E9B6CE">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4、门机系统：永磁同步门机，使用32位微机控制，门机变频模块采用智能变频功率模块。</w:t>
            </w:r>
            <w:r>
              <w:rPr>
                <w:rFonts w:hint="eastAsia" w:ascii="宋体" w:hAnsi="宋体" w:eastAsia="宋体" w:cs="宋体"/>
                <w:color w:val="auto"/>
                <w:sz w:val="21"/>
                <w:szCs w:val="21"/>
                <w:highlight w:val="yellow"/>
              </w:rPr>
              <w:t>门系统运行寿命试验：在进行≥</w:t>
            </w:r>
            <w:r>
              <w:rPr>
                <w:rFonts w:hint="eastAsia" w:ascii="宋体" w:hAnsi="宋体" w:cs="宋体"/>
                <w:color w:val="auto"/>
                <w:sz w:val="21"/>
                <w:szCs w:val="21"/>
                <w:highlight w:val="yellow"/>
                <w:lang w:val="en-US" w:eastAsia="zh-CN"/>
              </w:rPr>
              <w:t>500</w:t>
            </w:r>
            <w:r>
              <w:rPr>
                <w:rFonts w:hint="eastAsia" w:ascii="宋体" w:hAnsi="宋体" w:eastAsia="宋体" w:cs="宋体"/>
                <w:color w:val="auto"/>
                <w:sz w:val="21"/>
                <w:szCs w:val="21"/>
                <w:highlight w:val="yellow"/>
              </w:rPr>
              <w:t>万次完全循环操作，门机电子板、门电机及门锁装置不更换，结束后应满足：门开关过程的噪声值≤65dB、当乘客在轿门关闭过程中，通过入口时被门扇撞击或将被撞击，保护装置应使门扇自动重新开启、门机在关门过程中受阻时能反开、开关门动作正常</w:t>
            </w:r>
            <w:r>
              <w:rPr>
                <w:rFonts w:hint="eastAsia" w:ascii="宋体" w:hAnsi="宋体" w:cs="宋体"/>
                <w:color w:val="auto"/>
                <w:szCs w:val="21"/>
                <w:highlight w:val="yellow"/>
              </w:rPr>
              <w:t>。</w:t>
            </w:r>
          </w:p>
          <w:p w14:paraId="0AECDF3D">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5、通讯方式：采用抗干扰性强，可靠性高，能高速可靠传递厅外、轿厢召唤信号的高频脉冲变压器串行通讯技术</w:t>
            </w:r>
          </w:p>
          <w:p w14:paraId="1BC2A206">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6、网络智能化传输系统：采用网络智能传输系统，主控制系统为通讯设置专用的8位微机处理系统。</w:t>
            </w:r>
          </w:p>
          <w:p w14:paraId="5F874699">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7、系统保护：可设定电子热继电器的热时间常数，可输入缺相保护功能。</w:t>
            </w:r>
          </w:p>
          <w:p w14:paraId="6A50839D">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8、电梯主体结构采用全方位抗震保护设计，电梯设备具有抗地震等级的设计，确保电梯安全。</w:t>
            </w:r>
          </w:p>
          <w:p w14:paraId="7E2209C3">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9、轿厢架构：采用无焊接轿架及无焊接轿底工艺，保证构件加工精度、确保部件品质。</w:t>
            </w:r>
          </w:p>
          <w:p w14:paraId="6CCC6AAC">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10、电梯主机制动器试验内容：轿厢内加载至</w:t>
            </w:r>
            <w:r>
              <w:rPr>
                <w:rFonts w:hint="eastAsia" w:ascii="宋体" w:hAnsi="宋体" w:cs="宋体"/>
                <w:color w:val="auto"/>
                <w:szCs w:val="21"/>
                <w:highlight w:val="yellow"/>
                <w:lang w:val="en-US" w:eastAsia="zh-CN"/>
              </w:rPr>
              <w:t>170</w:t>
            </w:r>
            <w:r>
              <w:rPr>
                <w:rFonts w:hint="eastAsia" w:ascii="宋体" w:hAnsi="宋体" w:cs="宋体"/>
                <w:color w:val="auto"/>
                <w:szCs w:val="21"/>
                <w:highlight w:val="yellow"/>
              </w:rPr>
              <w:t>%额定载荷及以上设计并保持</w:t>
            </w:r>
            <w:r>
              <w:rPr>
                <w:rFonts w:hint="eastAsia" w:ascii="宋体" w:hAnsi="宋体" w:cs="宋体"/>
                <w:color w:val="auto"/>
                <w:szCs w:val="21"/>
                <w:highlight w:val="yellow"/>
                <w:lang w:val="en-US" w:eastAsia="zh-CN"/>
              </w:rPr>
              <w:t>15</w:t>
            </w:r>
            <w:r>
              <w:rPr>
                <w:rFonts w:hint="eastAsia" w:ascii="宋体" w:hAnsi="宋体" w:cs="宋体"/>
                <w:color w:val="auto"/>
                <w:szCs w:val="21"/>
                <w:highlight w:val="yellow"/>
              </w:rPr>
              <w:t>min期间电梯应符合：各部件完好、曳引机不转动。</w:t>
            </w:r>
          </w:p>
          <w:p w14:paraId="20136FB2">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11、门电机：采用原品牌永磁同步门电机</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外壳防护等级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w:t>
            </w:r>
            <w:r>
              <w:rPr>
                <w:rFonts w:hint="eastAsia" w:ascii="宋体" w:hAnsi="宋体" w:eastAsia="宋体" w:cs="宋体"/>
                <w:color w:val="auto"/>
                <w:sz w:val="21"/>
                <w:szCs w:val="21"/>
                <w:highlight w:val="none"/>
                <w:lang w:eastAsia="zh-CN"/>
              </w:rPr>
              <w:t>P</w:t>
            </w:r>
            <w:r>
              <w:rPr>
                <w:rFonts w:hint="eastAsia" w:ascii="宋体" w:hAnsi="宋体" w:eastAsia="宋体" w:cs="宋体"/>
                <w:color w:val="auto"/>
                <w:sz w:val="21"/>
                <w:szCs w:val="21"/>
                <w:highlight w:val="none"/>
                <w:lang w:val="en-US" w:eastAsia="zh-CN"/>
              </w:rPr>
              <w:t>54</w:t>
            </w:r>
            <w:r>
              <w:rPr>
                <w:rFonts w:hint="eastAsia" w:ascii="宋体" w:hAnsi="宋体" w:cs="宋体"/>
                <w:color w:val="auto"/>
                <w:szCs w:val="21"/>
                <w:highlight w:val="none"/>
              </w:rPr>
              <w:t>。</w:t>
            </w:r>
          </w:p>
          <w:p w14:paraId="348DF32F">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12、保护措施：系统采用FRT技术，增加多项检测内容，可对电梯控制系统的电子板进行监测。控制系统可内置RTC功能，可全方位记录电梯的不同状态，系统预留了大量空间及通讯接口，同时采用patch扩展形式，可灵活、方便地应对不同功能的扩展。</w:t>
            </w:r>
          </w:p>
          <w:p w14:paraId="22095652">
            <w:pPr>
              <w:tabs>
                <w:tab w:val="left" w:pos="756"/>
                <w:tab w:val="left" w:pos="3456"/>
              </w:tabs>
              <w:autoSpaceDE w:val="0"/>
              <w:autoSpaceDN w:val="0"/>
              <w:spacing w:line="360" w:lineRule="auto"/>
              <w:rPr>
                <w:rFonts w:hint="eastAsia" w:ascii="宋体" w:hAnsi="宋体" w:eastAsia="宋体" w:cs="宋体"/>
                <w:color w:val="auto"/>
                <w:sz w:val="21"/>
                <w:szCs w:val="21"/>
                <w:highlight w:val="yellow"/>
                <w:lang w:eastAsia="zh-CN"/>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13、电梯轿厢门锁装置耐久试验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门锁装置在进行500万次完全循环操作试验结束后符合：不产生可能影响安全的磨损，变形</w:t>
            </w:r>
            <w:r>
              <w:rPr>
                <w:rFonts w:hint="eastAsia" w:ascii="宋体" w:hAnsi="宋体" w:cs="宋体"/>
                <w:color w:val="auto"/>
                <w:sz w:val="21"/>
                <w:szCs w:val="21"/>
                <w:highlight w:val="yellow"/>
                <w:lang w:eastAsia="zh-CN"/>
              </w:rPr>
              <w:t>。</w:t>
            </w:r>
          </w:p>
          <w:p w14:paraId="28290FA2">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14、电梯适应供电电源波动范围的运行稳定性试验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电压波动范围为±10%（380±57）V，即在342V～418V 范围内仍能正常使用，电梯运行符合：轿厢在装有≥110%额定载荷时电梯以额定速度正常运行；轿厢在装有≥50%额定荷载时电梯下行至行程中段时速度偏差范围在92%～105%之间</w:t>
            </w:r>
            <w:r>
              <w:rPr>
                <w:rFonts w:hint="eastAsia" w:ascii="宋体" w:hAnsi="宋体" w:cs="宋体"/>
                <w:color w:val="auto"/>
                <w:szCs w:val="21"/>
                <w:highlight w:val="yellow"/>
              </w:rPr>
              <w:t>。</w:t>
            </w:r>
          </w:p>
          <w:p w14:paraId="0CFE1450">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15、电梯控制柜雷击浪涌干扰试验</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电梯</w:t>
            </w:r>
            <w:r>
              <w:rPr>
                <w:rFonts w:hint="eastAsia" w:ascii="宋体" w:hAnsi="宋体" w:eastAsia="宋体" w:cs="宋体"/>
                <w:color w:val="auto"/>
                <w:szCs w:val="21"/>
                <w:highlight w:val="none"/>
              </w:rPr>
              <w:t>控制柜三相动力电源线与地之间施加±</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k</w:t>
            </w:r>
            <w:r>
              <w:rPr>
                <w:rFonts w:hint="eastAsia" w:ascii="宋体" w:hAnsi="宋体" w:eastAsia="宋体" w:cs="宋体"/>
                <w:color w:val="auto"/>
                <w:szCs w:val="21"/>
                <w:highlight w:val="none"/>
              </w:rPr>
              <w:t>V雷击浪涌干扰50次，部件无损坏。</w:t>
            </w:r>
          </w:p>
          <w:p w14:paraId="0B1C25B8">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yellow"/>
                <w:lang w:val="zh-CN"/>
              </w:rPr>
              <w:t>▲</w:t>
            </w:r>
            <w:r>
              <w:rPr>
                <w:rFonts w:hint="eastAsia" w:ascii="宋体" w:hAnsi="宋体" w:eastAsia="宋体" w:cs="宋体"/>
                <w:color w:val="auto"/>
                <w:szCs w:val="21"/>
                <w:highlight w:val="yellow"/>
              </w:rPr>
              <w:t>16、电梯制动器动作寿命试验：电梯驱动主机制动器总成应当进行不少于200万次的动作试验，试验过程中不得进行任何维护，试验期间制动器不允许出现任何故障，试验周期为5s至6s之间，试验时通电持续率取</w:t>
            </w:r>
            <w:r>
              <w:rPr>
                <w:rFonts w:hint="eastAsia" w:ascii="宋体" w:hAnsi="宋体" w:cs="宋体"/>
                <w:color w:val="auto"/>
                <w:szCs w:val="21"/>
                <w:highlight w:val="yellow"/>
                <w:lang w:val="en-US" w:eastAsia="zh-CN"/>
              </w:rPr>
              <w:t>5</w:t>
            </w:r>
            <w:r>
              <w:rPr>
                <w:rFonts w:hint="eastAsia" w:ascii="宋体" w:hAnsi="宋体" w:eastAsia="宋体" w:cs="宋体"/>
                <w:color w:val="auto"/>
                <w:szCs w:val="21"/>
                <w:highlight w:val="yellow"/>
              </w:rPr>
              <w:t>0%和驱动主机通电持续率的较大值。能符合以上试验条件寿命试验次数达到</w:t>
            </w:r>
            <w:r>
              <w:rPr>
                <w:rFonts w:hint="eastAsia" w:ascii="宋体" w:hAnsi="宋体" w:cs="宋体"/>
                <w:color w:val="auto"/>
                <w:szCs w:val="21"/>
                <w:highlight w:val="yellow"/>
                <w:lang w:val="en-US" w:eastAsia="zh-CN"/>
              </w:rPr>
              <w:t>50</w:t>
            </w:r>
            <w:r>
              <w:rPr>
                <w:rFonts w:hint="eastAsia" w:ascii="宋体" w:hAnsi="宋体" w:eastAsia="宋体" w:cs="宋体"/>
                <w:color w:val="auto"/>
                <w:szCs w:val="21"/>
                <w:highlight w:val="yellow"/>
              </w:rPr>
              <w:t>0万次。</w:t>
            </w:r>
          </w:p>
          <w:p w14:paraId="6F384A01">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17、电梯按钮工作寿命试验：在正常环境中,按钮应在转换速度每小时3600次的寿命试验设备上进行,通断比1:1，触点电路施加DC23V、2</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mA，阻性负载;按压力为</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N.试验中按钮应工作正常。试验后按钮应无损坏，并测量按钮动作力及回复力、触点阻值、绝缘电阻。能符合以上试验条件寿命试验次数达到</w:t>
            </w:r>
            <w:r>
              <w:rPr>
                <w:rFonts w:hint="eastAsia" w:ascii="宋体" w:hAnsi="宋体" w:cs="宋体"/>
                <w:color w:val="auto"/>
                <w:szCs w:val="21"/>
                <w:highlight w:val="none"/>
                <w:lang w:val="en-US" w:eastAsia="zh-CN"/>
              </w:rPr>
              <w:t>500</w:t>
            </w:r>
            <w:r>
              <w:rPr>
                <w:rFonts w:hint="eastAsia" w:ascii="宋体" w:hAnsi="宋体" w:eastAsia="宋体" w:cs="宋体"/>
                <w:color w:val="auto"/>
                <w:szCs w:val="21"/>
                <w:highlight w:val="none"/>
              </w:rPr>
              <w:t>万次。</w:t>
            </w:r>
          </w:p>
          <w:p w14:paraId="28DB3997">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18、光幕保护：原厂原品牌智能光幕，多红外线光束门感应器保护，光束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170束</w:t>
            </w:r>
            <w:r>
              <w:rPr>
                <w:rFonts w:hint="eastAsia" w:ascii="宋体" w:hAnsi="宋体" w:eastAsia="宋体" w:cs="宋体"/>
                <w:color w:val="auto"/>
                <w:szCs w:val="21"/>
                <w:highlight w:val="none"/>
                <w:lang w:eastAsia="zh-CN"/>
              </w:rPr>
              <w:t>，防护等级≥</w:t>
            </w:r>
            <w:r>
              <w:rPr>
                <w:rFonts w:hint="eastAsia" w:ascii="宋体" w:hAnsi="宋体" w:eastAsia="宋体" w:cs="宋体"/>
                <w:color w:val="auto"/>
                <w:szCs w:val="21"/>
                <w:highlight w:val="none"/>
                <w:lang w:val="en-US" w:eastAsia="zh-CN"/>
              </w:rPr>
              <w:t>IP54</w:t>
            </w:r>
            <w:r>
              <w:rPr>
                <w:rFonts w:hint="eastAsia" w:ascii="宋体" w:hAnsi="宋体" w:eastAsia="宋体" w:cs="宋体"/>
                <w:color w:val="auto"/>
                <w:szCs w:val="21"/>
                <w:highlight w:val="none"/>
              </w:rPr>
              <w:t>。</w:t>
            </w:r>
          </w:p>
          <w:p w14:paraId="035A73F3">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三、主要部件及要求</w:t>
            </w:r>
            <w:r>
              <w:rPr>
                <w:rFonts w:hint="eastAsia" w:ascii="宋体" w:hAnsi="宋体" w:cs="宋体"/>
                <w:color w:val="auto"/>
                <w:szCs w:val="21"/>
                <w:highlight w:val="none"/>
              </w:rPr>
              <w:t xml:space="preserve"> </w:t>
            </w:r>
          </w:p>
          <w:p w14:paraId="7E8E436C">
            <w:pPr>
              <w:tabs>
                <w:tab w:val="left" w:pos="756"/>
                <w:tab w:val="left" w:pos="3456"/>
              </w:tabs>
              <w:autoSpaceDE w:val="0"/>
              <w:autoSpaceDN w:val="0"/>
              <w:spacing w:line="360" w:lineRule="auto"/>
              <w:rPr>
                <w:rFonts w:hint="eastAsia" w:ascii="宋体" w:hAnsi="宋体" w:cs="宋体"/>
                <w:color w:val="auto"/>
                <w:szCs w:val="21"/>
                <w:highlight w:val="yellow"/>
                <w:lang w:val="zh-CN"/>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整体要求：</w:t>
            </w:r>
            <w:r>
              <w:rPr>
                <w:rFonts w:hint="eastAsia" w:ascii="宋体" w:hAnsi="宋体" w:cs="宋体"/>
                <w:color w:val="auto"/>
                <w:szCs w:val="21"/>
                <w:highlight w:val="yellow"/>
              </w:rPr>
              <w:t>1</w:t>
            </w:r>
            <w:r>
              <w:rPr>
                <w:rFonts w:hint="eastAsia" w:ascii="宋体" w:hAnsi="宋体" w:cs="宋体"/>
                <w:color w:val="auto"/>
                <w:szCs w:val="21"/>
                <w:highlight w:val="yellow"/>
                <w:lang w:eastAsia="zh-CN"/>
              </w:rPr>
              <w:t>、</w:t>
            </w:r>
            <w:r>
              <w:rPr>
                <w:rFonts w:hint="eastAsia" w:ascii="宋体" w:hAnsi="宋体" w:cs="宋体"/>
                <w:color w:val="auto"/>
                <w:szCs w:val="21"/>
                <w:highlight w:val="yellow"/>
                <w:lang w:val="en-US" w:eastAsia="zh-CN"/>
              </w:rPr>
              <w:t>成交</w:t>
            </w:r>
            <w:r>
              <w:rPr>
                <w:rFonts w:hint="eastAsia" w:ascii="宋体" w:hAnsi="宋体" w:cs="宋体"/>
                <w:color w:val="auto"/>
                <w:szCs w:val="21"/>
                <w:highlight w:val="yellow"/>
                <w:lang w:val="zh-CN"/>
              </w:rPr>
              <w:t>供应商在签订合同前（或供货时），须提供所投产品的合法来源证明（包括但不限于：制造厂家出具的有效经销（代理）授权书、供货协议或能证明产品为正品来源的购货渠道证明等），并加盖</w:t>
            </w:r>
            <w:r>
              <w:rPr>
                <w:rFonts w:hint="eastAsia" w:ascii="宋体" w:hAnsi="宋体" w:cs="宋体"/>
                <w:color w:val="auto"/>
                <w:szCs w:val="21"/>
                <w:highlight w:val="yellow"/>
                <w:lang w:val="en-US" w:eastAsia="zh-CN"/>
              </w:rPr>
              <w:t>成交资格</w:t>
            </w:r>
            <w:r>
              <w:rPr>
                <w:rFonts w:hint="eastAsia" w:ascii="宋体" w:hAnsi="宋体" w:cs="宋体"/>
                <w:color w:val="auto"/>
                <w:szCs w:val="21"/>
                <w:highlight w:val="yellow"/>
                <w:lang w:val="zh-CN"/>
              </w:rPr>
              <w:t>人公章。如无法提供，视为投标无效，采购人有权取消其中标资格并追究其法律责任。</w:t>
            </w:r>
          </w:p>
          <w:p w14:paraId="1D71F5C5">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2</w:t>
            </w:r>
            <w:r>
              <w:rPr>
                <w:rFonts w:hint="eastAsia" w:ascii="宋体" w:hAnsi="宋体" w:cs="宋体"/>
                <w:color w:val="auto"/>
                <w:szCs w:val="21"/>
                <w:highlight w:val="yellow"/>
                <w:lang w:eastAsia="zh-CN"/>
              </w:rPr>
              <w:t>、</w:t>
            </w:r>
            <w:r>
              <w:rPr>
                <w:rFonts w:hint="eastAsia" w:ascii="宋体" w:hAnsi="宋体" w:cs="宋体"/>
                <w:color w:val="auto"/>
                <w:szCs w:val="21"/>
                <w:highlight w:val="yellow"/>
              </w:rPr>
              <w:t>曳引机、控制柜（含调速器、控制器）、门锁（含层门门锁、轿门门锁）、安全钳、限速器、上行超速保护装置、</w:t>
            </w:r>
            <w:r>
              <w:rPr>
                <w:rFonts w:hint="eastAsia" w:ascii="宋体" w:hAnsi="宋体" w:cs="宋体"/>
                <w:color w:val="auto"/>
                <w:szCs w:val="21"/>
                <w:highlight w:val="yellow"/>
                <w:lang w:val="en-US" w:eastAsia="zh-CN"/>
              </w:rPr>
              <w:t>缓冲器、限速器、轿厢意外移动保护装置等</w:t>
            </w:r>
            <w:r>
              <w:rPr>
                <w:rFonts w:hint="eastAsia" w:ascii="宋体" w:hAnsi="宋体" w:cs="宋体"/>
                <w:color w:val="auto"/>
                <w:szCs w:val="21"/>
                <w:highlight w:val="yellow"/>
              </w:rPr>
              <w:t>主要部件必须是所投品牌原厂设计和制造，</w:t>
            </w:r>
            <w:r>
              <w:rPr>
                <w:rFonts w:hint="eastAsia" w:ascii="宋体" w:hAnsi="宋体" w:cs="宋体"/>
                <w:color w:val="auto"/>
                <w:szCs w:val="21"/>
                <w:highlight w:val="yellow"/>
              </w:rPr>
              <w:t>而且产品商标为所投品牌统一商标（LOGO），外购和贴牌生产无效。</w:t>
            </w:r>
          </w:p>
          <w:p w14:paraId="6744E867">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、曳引机钢丝绳数量≥5条、悬挂比2：1，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时提供整梯型式试验报告中须体现出上述参数内容。</w:t>
            </w:r>
          </w:p>
          <w:p w14:paraId="3F32A6D5">
            <w:pPr>
              <w:tabs>
                <w:tab w:val="left" w:pos="756"/>
                <w:tab w:val="left" w:pos="3456"/>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、导轨要求：提供一种电梯导轨安装精度检测装置</w:t>
            </w:r>
            <w:r>
              <w:rPr>
                <w:rFonts w:hint="eastAsia" w:ascii="宋体" w:hAnsi="宋体" w:cs="宋体"/>
                <w:color w:val="auto"/>
                <w:szCs w:val="21"/>
                <w:highlight w:val="none"/>
                <w:lang w:eastAsia="zh-CN"/>
              </w:rPr>
              <w:t>。</w:t>
            </w:r>
          </w:p>
          <w:p w14:paraId="047B8FB9">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、客梯设计包含抗电磁干扰功能，可有效抵抗外界电磁干扰，提高设备控制精准度，提高可靠性。</w:t>
            </w:r>
          </w:p>
          <w:p w14:paraId="24AB189D">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四、基本功能要求（投标人投标时必须根据制造商产品样本（说明手册等）功能列表予以逐项承诺，如样本（说明手册等）中无功能列表或列表中无相应功能的，必须提供加盖投标人公章的功能说明文件。）</w:t>
            </w:r>
          </w:p>
          <w:p w14:paraId="28A655B4">
            <w:pPr>
              <w:widowControl/>
              <w:numPr>
                <w:ilvl w:val="0"/>
                <w:numId w:val="2"/>
              </w:numPr>
              <w:jc w:val="left"/>
              <w:rPr>
                <w:rFonts w:hint="default" w:ascii="宋体" w:hAnsi="宋体"/>
                <w:color w:val="auto"/>
                <w:szCs w:val="21"/>
                <w:highlight w:val="none"/>
                <w:lang w:val="en-US" w:eastAsia="zh-CN"/>
              </w:rPr>
            </w:pPr>
            <w:r>
              <w:rPr>
                <w:rFonts w:hint="eastAsia" w:ascii="宋体" w:hAnsi="宋体"/>
                <w:color w:val="auto"/>
                <w:szCs w:val="21"/>
                <w:highlight w:val="none"/>
              </w:rPr>
              <w:t>超载保护；</w:t>
            </w:r>
          </w:p>
          <w:p w14:paraId="4AF3E332">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光幕保护；</w:t>
            </w:r>
          </w:p>
          <w:p w14:paraId="09B4A424">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防扒门保护；</w:t>
            </w:r>
          </w:p>
          <w:p w14:paraId="43519F1C">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关门时间异常保护；</w:t>
            </w:r>
          </w:p>
          <w:p w14:paraId="51D7B272">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门受阻保护；</w:t>
            </w:r>
          </w:p>
          <w:p w14:paraId="663A45CE">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非门区不能开门保护；</w:t>
            </w:r>
          </w:p>
          <w:p w14:paraId="7C46C872">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开门异常时就近层停靠；</w:t>
            </w:r>
          </w:p>
          <w:p w14:paraId="325FD0A9">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电梯自救运行；</w:t>
            </w:r>
          </w:p>
          <w:p w14:paraId="5F2373CE">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轿厢意外移动保护；</w:t>
            </w:r>
          </w:p>
          <w:p w14:paraId="6A4526B9">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超速保护；</w:t>
            </w:r>
          </w:p>
          <w:p w14:paraId="5DF5516D">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防溜车保护；</w:t>
            </w:r>
          </w:p>
          <w:p w14:paraId="11E24C25">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逆向运行保护；</w:t>
            </w:r>
          </w:p>
          <w:p w14:paraId="05361DA6">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运行超时保护；</w:t>
            </w:r>
          </w:p>
          <w:p w14:paraId="5BF4B01C">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变频器多重保护；</w:t>
            </w:r>
          </w:p>
          <w:p w14:paraId="347F83FF">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防终端越程保护；</w:t>
            </w:r>
          </w:p>
          <w:p w14:paraId="4272DBFC">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防门锁短接保护；</w:t>
            </w:r>
          </w:p>
          <w:p w14:paraId="3ED62623">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电源相位故障检测；</w:t>
            </w:r>
          </w:p>
          <w:p w14:paraId="16E6BF15">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电网异常检测；</w:t>
            </w:r>
          </w:p>
          <w:p w14:paraId="5C3F01B9">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接触器异常检测；</w:t>
            </w:r>
          </w:p>
          <w:p w14:paraId="500BEB37">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门回路检测；</w:t>
            </w:r>
          </w:p>
          <w:p w14:paraId="2DEA2987">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抱闸力检测；</w:t>
            </w:r>
          </w:p>
          <w:p w14:paraId="4FEB0665">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检修操作；</w:t>
            </w:r>
          </w:p>
          <w:p w14:paraId="05B44141">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故障自诊断及记录；</w:t>
            </w:r>
          </w:p>
          <w:p w14:paraId="6AD7D790">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磁角度自学习；</w:t>
            </w:r>
          </w:p>
          <w:p w14:paraId="5B4DD12F">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层楼位置信号自动修正；</w:t>
            </w:r>
          </w:p>
          <w:p w14:paraId="60673617">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井道层楼数据自学习；</w:t>
            </w:r>
          </w:p>
          <w:p w14:paraId="4C80994D">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运行次数显示；</w:t>
            </w:r>
          </w:p>
          <w:p w14:paraId="468DF331">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电梯体检；</w:t>
            </w:r>
          </w:p>
          <w:p w14:paraId="32DAECB9">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警铃报警;</w:t>
            </w:r>
          </w:p>
          <w:p w14:paraId="055CE245">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无线</w:t>
            </w:r>
            <w:r>
              <w:rPr>
                <w:rFonts w:hint="eastAsia" w:ascii="宋体" w:hAnsi="宋体"/>
                <w:color w:val="auto"/>
                <w:szCs w:val="21"/>
                <w:highlight w:val="none"/>
              </w:rPr>
              <w:t>五方通话；</w:t>
            </w:r>
          </w:p>
          <w:p w14:paraId="095A64D9">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消防应急返回；</w:t>
            </w:r>
          </w:p>
          <w:p w14:paraId="499EBA58">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消防信号反馈；</w:t>
            </w:r>
          </w:p>
          <w:p w14:paraId="500124A7">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紧急电动运行；</w:t>
            </w:r>
          </w:p>
          <w:p w14:paraId="12F72286">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轿厢应急照明；</w:t>
            </w:r>
          </w:p>
          <w:p w14:paraId="37863141">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远程监控（物联网功能）；</w:t>
            </w:r>
          </w:p>
          <w:p w14:paraId="1E6CE568">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启动补偿；</w:t>
            </w:r>
          </w:p>
          <w:p w14:paraId="65F28373">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直接停靠；</w:t>
            </w:r>
          </w:p>
          <w:p w14:paraId="1716D285">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微动平层；</w:t>
            </w:r>
          </w:p>
          <w:p w14:paraId="7111A902">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静音通风；</w:t>
            </w:r>
          </w:p>
          <w:p w14:paraId="26BF713E">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超载报警</w:t>
            </w:r>
            <w:r>
              <w:rPr>
                <w:rFonts w:hint="eastAsia" w:ascii="宋体" w:hAnsi="宋体"/>
                <w:color w:val="auto"/>
                <w:szCs w:val="21"/>
                <w:highlight w:val="none"/>
                <w:lang w:eastAsia="zh-CN"/>
              </w:rPr>
              <w:t>；</w:t>
            </w:r>
          </w:p>
          <w:p w14:paraId="21A32C52">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语音报站；</w:t>
            </w:r>
          </w:p>
          <w:p w14:paraId="6FFF471B">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语音播报；</w:t>
            </w:r>
          </w:p>
          <w:p w14:paraId="75D217E8">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语音安抚</w:t>
            </w:r>
            <w:r>
              <w:rPr>
                <w:rFonts w:hint="eastAsia" w:ascii="宋体" w:hAnsi="宋体"/>
                <w:color w:val="auto"/>
                <w:szCs w:val="21"/>
                <w:highlight w:val="none"/>
                <w:lang w:eastAsia="zh-CN"/>
              </w:rPr>
              <w:t>；</w:t>
            </w:r>
          </w:p>
          <w:p w14:paraId="7E22C85D">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内召登记声音反馈；</w:t>
            </w:r>
          </w:p>
          <w:p w14:paraId="4A9F82F7">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静音模式（可以自行设定时间段）；</w:t>
            </w:r>
          </w:p>
          <w:p w14:paraId="0EABD8E4">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超载指示；</w:t>
            </w:r>
          </w:p>
          <w:p w14:paraId="33DE61BA">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检修指示；</w:t>
            </w:r>
          </w:p>
          <w:p w14:paraId="3E9D12BE">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消防指示；</w:t>
            </w:r>
          </w:p>
          <w:p w14:paraId="092D5B18">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运行方向显示；</w:t>
            </w:r>
          </w:p>
          <w:p w14:paraId="3C331F21">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关门按钮提前关门；</w:t>
            </w:r>
          </w:p>
          <w:p w14:paraId="5112E763">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开门按钮重开门；</w:t>
            </w:r>
          </w:p>
          <w:p w14:paraId="00099394">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满载直驶；</w:t>
            </w:r>
          </w:p>
          <w:p w14:paraId="2FA36E04">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防捣乱功能；</w:t>
            </w:r>
          </w:p>
          <w:p w14:paraId="79753FA1">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反向指令自动消除；</w:t>
            </w:r>
          </w:p>
          <w:p w14:paraId="0D26A693">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轿内误指令消除</w:t>
            </w:r>
            <w:r>
              <w:rPr>
                <w:rFonts w:hint="eastAsia" w:ascii="宋体" w:hAnsi="宋体"/>
                <w:color w:val="auto"/>
                <w:szCs w:val="21"/>
                <w:highlight w:val="none"/>
                <w:lang w:eastAsia="zh-CN"/>
              </w:rPr>
              <w:t>；</w:t>
            </w:r>
          </w:p>
          <w:p w14:paraId="00BCF12D">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厅外误指令消除；</w:t>
            </w:r>
          </w:p>
          <w:p w14:paraId="088D45AD">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外召按钮嵌入自诊断；</w:t>
            </w:r>
          </w:p>
          <w:p w14:paraId="587A8696">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驻停模式</w:t>
            </w:r>
            <w:r>
              <w:rPr>
                <w:rFonts w:hint="eastAsia" w:ascii="宋体" w:hAnsi="宋体"/>
                <w:color w:val="auto"/>
                <w:szCs w:val="21"/>
                <w:highlight w:val="none"/>
                <w:lang w:eastAsia="zh-CN"/>
              </w:rPr>
              <w:t>；</w:t>
            </w:r>
          </w:p>
          <w:p w14:paraId="79723BFB">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司机服务；</w:t>
            </w:r>
          </w:p>
          <w:p w14:paraId="2A59F31C">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专用服务；</w:t>
            </w:r>
          </w:p>
          <w:p w14:paraId="2F590D9C">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风扇照明手动关闭；</w:t>
            </w:r>
          </w:p>
          <w:p w14:paraId="573B8445">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休眠节能；</w:t>
            </w:r>
          </w:p>
          <w:p w14:paraId="2A7F9B66">
            <w:pPr>
              <w:widowControl/>
              <w:numPr>
                <w:ilvl w:val="0"/>
                <w:numId w:val="2"/>
              </w:numPr>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rPr>
              <w:t>开门时间分别控制；</w:t>
            </w:r>
          </w:p>
          <w:p w14:paraId="5A7A52C8">
            <w:pPr>
              <w:widowControl/>
              <w:numPr>
                <w:ilvl w:val="0"/>
                <w:numId w:val="2"/>
              </w:numPr>
              <w:ind w:left="0" w:leftChars="0" w:firstLine="0" w:firstLineChars="0"/>
              <w:jc w:val="left"/>
              <w:rPr>
                <w:rFonts w:hint="eastAsia" w:ascii="宋体" w:hAnsi="宋体" w:cs="宋体"/>
                <w:color w:val="auto"/>
                <w:szCs w:val="21"/>
                <w:highlight w:val="none"/>
                <w:lang w:val="en-US" w:eastAsia="zh-CN"/>
              </w:rPr>
            </w:pPr>
            <w:r>
              <w:rPr>
                <w:rFonts w:hint="eastAsia" w:ascii="宋体" w:hAnsi="宋体"/>
                <w:color w:val="auto"/>
                <w:szCs w:val="21"/>
                <w:highlight w:val="none"/>
              </w:rPr>
              <w:t>全集选控制；</w:t>
            </w:r>
          </w:p>
          <w:p w14:paraId="74F3E4FD">
            <w:pPr>
              <w:widowControl/>
              <w:numPr>
                <w:ilvl w:val="0"/>
                <w:numId w:val="2"/>
              </w:numPr>
              <w:ind w:left="0" w:leftChars="0" w:firstLine="0" w:firstLine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视频监控（配置摄像头）；</w:t>
            </w:r>
          </w:p>
          <w:p w14:paraId="6FFCD33A">
            <w:pPr>
              <w:numPr>
                <w:ilvl w:val="0"/>
                <w:numId w:val="0"/>
              </w:numPr>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五、装饰材质要求</w:t>
            </w:r>
          </w:p>
          <w:p w14:paraId="5D123B49">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1、轿厢装饰要求：</w:t>
            </w:r>
            <w:r>
              <w:rPr>
                <w:rFonts w:hint="eastAsia" w:ascii="宋体" w:hAnsi="宋体" w:cs="宋体"/>
                <w:color w:val="auto"/>
                <w:szCs w:val="21"/>
                <w:highlight w:val="none"/>
              </w:rPr>
              <w:t>发纹不锈钢 ，轿厢后壁中间镜面不锈钢；</w:t>
            </w:r>
            <w:r>
              <w:rPr>
                <w:rFonts w:hint="eastAsia" w:ascii="宋体" w:hAnsi="宋体" w:cs="宋体"/>
                <w:color w:val="auto"/>
                <w:szCs w:val="21"/>
                <w:highlight w:val="none"/>
                <w:lang w:val="zh-CN"/>
              </w:rPr>
              <w:t xml:space="preserve"> </w:t>
            </w:r>
          </w:p>
          <w:p w14:paraId="0446A259">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2、踢脚板：发纹不锈钢；</w:t>
            </w:r>
          </w:p>
          <w:p w14:paraId="1D442E1A">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3、轿门地坎：</w:t>
            </w:r>
            <w:r>
              <w:rPr>
                <w:rFonts w:hint="eastAsia" w:ascii="宋体" w:hAnsi="宋体" w:cs="宋体"/>
                <w:color w:val="auto"/>
                <w:szCs w:val="21"/>
                <w:highlight w:val="none"/>
                <w:lang w:val="zh-CN"/>
              </w:rPr>
              <w:t>挤压成型硬铝；</w:t>
            </w:r>
          </w:p>
          <w:p w14:paraId="25D7182E">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4、轿厢门：发纹不锈钢；</w:t>
            </w:r>
          </w:p>
          <w:p w14:paraId="1E0C5A5F">
            <w:pPr>
              <w:tabs>
                <w:tab w:val="left" w:pos="756"/>
                <w:tab w:val="left" w:pos="3456"/>
              </w:tabs>
              <w:autoSpaceDE w:val="0"/>
              <w:autoSpaceDN w:val="0"/>
              <w:spacing w:line="360" w:lineRule="auto"/>
              <w:rPr>
                <w:rFonts w:hint="eastAsia" w:ascii="宋体" w:hAnsi="宋体" w:cs="宋体"/>
                <w:b/>
                <w:bCs/>
                <w:color w:val="auto"/>
                <w:szCs w:val="21"/>
                <w:highlight w:val="none"/>
                <w:lang w:val="zh-CN"/>
              </w:rPr>
            </w:pPr>
            <w:r>
              <w:rPr>
                <w:rFonts w:hint="eastAsia" w:ascii="宋体" w:hAnsi="宋体" w:cs="宋体"/>
                <w:color w:val="auto"/>
                <w:szCs w:val="21"/>
                <w:highlight w:val="none"/>
                <w:lang w:val="zh-CN"/>
              </w:rPr>
              <w:t>5、层门、门套：层层发纹不锈钢厅门，不锈钢大门套（大门套门框正面单边宽度单边应≥200mm），轿壁、轿门、厅门及门套不锈钢厚度应≥1.5mm；</w:t>
            </w:r>
          </w:p>
          <w:p w14:paraId="74691A02">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6、轿厢地面：</w:t>
            </w:r>
            <w:r>
              <w:rPr>
                <w:rFonts w:hint="eastAsia" w:ascii="宋体" w:hAnsi="宋体" w:cs="宋体"/>
                <w:color w:val="auto"/>
                <w:szCs w:val="21"/>
                <w:highlight w:val="none"/>
              </w:rPr>
              <w:t>PVC地板</w:t>
            </w:r>
            <w:r>
              <w:rPr>
                <w:rFonts w:hint="eastAsia" w:ascii="宋体" w:hAnsi="宋体" w:cs="宋体"/>
                <w:color w:val="auto"/>
                <w:szCs w:val="21"/>
                <w:highlight w:val="none"/>
                <w:lang w:val="zh-CN"/>
              </w:rPr>
              <w:t>；</w:t>
            </w:r>
          </w:p>
          <w:p w14:paraId="5259C340">
            <w:pPr>
              <w:tabs>
                <w:tab w:val="left" w:pos="756"/>
                <w:tab w:val="left" w:pos="3456"/>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7、轿厢召唤箱：发纹</w:t>
            </w:r>
            <w:r>
              <w:rPr>
                <w:rFonts w:hint="eastAsia" w:ascii="宋体" w:hAnsi="宋体" w:cs="宋体"/>
                <w:color w:val="auto"/>
                <w:highlight w:val="none"/>
              </w:rPr>
              <w:t>不锈钢面板</w:t>
            </w:r>
            <w:r>
              <w:rPr>
                <w:rFonts w:hint="eastAsia" w:ascii="宋体" w:hAnsi="宋体" w:cs="宋体"/>
                <w:color w:val="auto"/>
                <w:szCs w:val="21"/>
                <w:highlight w:val="none"/>
              </w:rPr>
              <w:t>；微动式盲文按钮</w:t>
            </w:r>
          </w:p>
          <w:p w14:paraId="54A894D8">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8</w:t>
            </w:r>
            <w:r>
              <w:rPr>
                <w:rFonts w:hint="eastAsia" w:ascii="宋体" w:hAnsi="宋体" w:cs="宋体"/>
                <w:color w:val="auto"/>
                <w:szCs w:val="21"/>
                <w:highlight w:val="none"/>
                <w:lang w:val="zh-CN"/>
              </w:rPr>
              <w:t>、厅门召唤箱：薄型外挂式，不锈钢面板，微动式</w:t>
            </w:r>
            <w:r>
              <w:rPr>
                <w:rFonts w:hint="eastAsia" w:ascii="宋体" w:hAnsi="宋体" w:cs="宋体"/>
                <w:color w:val="auto"/>
                <w:szCs w:val="21"/>
                <w:highlight w:val="none"/>
              </w:rPr>
              <w:t>盲文</w:t>
            </w:r>
            <w:r>
              <w:rPr>
                <w:rFonts w:hint="eastAsia" w:ascii="宋体" w:hAnsi="宋体" w:cs="宋体"/>
                <w:color w:val="auto"/>
                <w:szCs w:val="21"/>
                <w:highlight w:val="none"/>
                <w:lang w:val="zh-CN"/>
              </w:rPr>
              <w:t>按钮；</w:t>
            </w:r>
          </w:p>
          <w:p w14:paraId="33A4CBDF">
            <w:pPr>
              <w:spacing w:line="360" w:lineRule="auto"/>
              <w:rPr>
                <w:rFonts w:hint="eastAsia" w:ascii="宋体" w:hAnsi="宋体" w:eastAsia="宋体" w:cs="宋体"/>
                <w:color w:val="auto"/>
                <w:spacing w:val="-4"/>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、轿厢天花：</w:t>
            </w:r>
            <w:r>
              <w:rPr>
                <w:rFonts w:hint="eastAsia" w:ascii="宋体" w:hAnsi="宋体" w:cs="宋体"/>
                <w:color w:val="auto"/>
                <w:spacing w:val="-4"/>
                <w:szCs w:val="21"/>
                <w:highlight w:val="none"/>
              </w:rPr>
              <w:t>原装配置LED，经过防尘、无静电处理</w:t>
            </w:r>
            <w:r>
              <w:rPr>
                <w:rFonts w:hint="eastAsia" w:ascii="宋体" w:hAnsi="宋体" w:cs="宋体"/>
                <w:color w:val="auto"/>
                <w:szCs w:val="21"/>
                <w:highlight w:val="none"/>
              </w:rPr>
              <w:t>，</w:t>
            </w:r>
            <w:r>
              <w:rPr>
                <w:rFonts w:hint="eastAsia" w:ascii="宋体" w:hAnsi="宋体" w:cs="宋体"/>
                <w:color w:val="auto"/>
                <w:szCs w:val="21"/>
                <w:highlight w:val="none"/>
                <w:lang w:val="zh-CN"/>
              </w:rPr>
              <w:t>轿厢通风系统：轿顶风口送风。</w:t>
            </w:r>
          </w:p>
          <w:p w14:paraId="0CD04E4B">
            <w:pPr>
              <w:spacing w:line="360" w:lineRule="auto"/>
              <w:rPr>
                <w:rFonts w:hint="eastAsia" w:ascii="宋体" w:hAnsi="宋体" w:eastAsia="宋体" w:cs="宋体"/>
                <w:color w:val="auto"/>
                <w:kern w:val="2"/>
                <w:sz w:val="21"/>
                <w:szCs w:val="21"/>
                <w:highlight w:val="yellow"/>
                <w:lang w:val="zh-CN" w:eastAsia="zh-CN" w:bidi="ar-SA"/>
              </w:rPr>
            </w:pPr>
            <w:r>
              <w:rPr>
                <w:rFonts w:hint="eastAsia" w:ascii="宋体" w:hAnsi="宋体" w:eastAsia="宋体" w:cs="宋体"/>
                <w:color w:val="auto"/>
                <w:spacing w:val="-4"/>
                <w:szCs w:val="21"/>
                <w:highlight w:val="yellow"/>
                <w:lang w:val="en-US" w:eastAsia="zh-CN"/>
              </w:rPr>
              <w:t>六</w:t>
            </w:r>
            <w:r>
              <w:rPr>
                <w:rFonts w:hint="eastAsia" w:ascii="宋体" w:hAnsi="宋体" w:cs="宋体"/>
                <w:color w:val="auto"/>
                <w:spacing w:val="-4"/>
                <w:szCs w:val="21"/>
                <w:highlight w:val="yellow"/>
                <w:lang w:val="en-US" w:eastAsia="zh-CN"/>
              </w:rPr>
              <w:t>、</w:t>
            </w:r>
            <w:r>
              <w:rPr>
                <w:rFonts w:hint="eastAsia" w:ascii="宋体" w:hAnsi="宋体" w:eastAsia="宋体" w:cs="宋体"/>
                <w:color w:val="auto"/>
                <w:kern w:val="2"/>
                <w:sz w:val="21"/>
                <w:szCs w:val="21"/>
                <w:highlight w:val="yellow"/>
                <w:lang w:val="zh-CN" w:eastAsia="zh-CN" w:bidi="ar-SA"/>
              </w:rPr>
              <w:t>其他事项：</w:t>
            </w:r>
          </w:p>
          <w:p w14:paraId="27CD89EA">
            <w:pPr>
              <w:spacing w:line="360" w:lineRule="auto"/>
              <w:rPr>
                <w:rFonts w:hint="eastAsia" w:ascii="宋体" w:hAnsi="宋体" w:eastAsia="宋体" w:cs="宋体"/>
                <w:color w:val="auto"/>
                <w:kern w:val="2"/>
                <w:sz w:val="18"/>
                <w:szCs w:val="18"/>
                <w:highlight w:val="yellow"/>
                <w:lang w:val="en-US" w:eastAsia="zh-CN" w:bidi="ar-SA"/>
              </w:rPr>
            </w:pPr>
            <w:r>
              <w:rPr>
                <w:rFonts w:hint="eastAsia" w:ascii="宋体" w:hAnsi="宋体" w:cs="宋体"/>
                <w:color w:val="auto"/>
                <w:sz w:val="18"/>
                <w:szCs w:val="18"/>
                <w:highlight w:val="yellow"/>
                <w:lang w:val="zh-CN"/>
              </w:rPr>
              <w:t>▲</w:t>
            </w:r>
            <w:r>
              <w:rPr>
                <w:rFonts w:hint="eastAsia" w:ascii="宋体" w:hAnsi="宋体" w:eastAsia="宋体" w:cs="宋体"/>
                <w:color w:val="auto"/>
                <w:kern w:val="2"/>
                <w:sz w:val="18"/>
                <w:szCs w:val="18"/>
                <w:highlight w:val="yellow"/>
                <w:lang w:val="en-US" w:eastAsia="zh-CN" w:bidi="ar-SA"/>
              </w:rPr>
              <w:t>1.由成交人负责厅门门洞封堵，机房孔洞封堵，机座混凝土浇筑、封堵，机房钢丝绳孔洞防水边制作，应符合电梯验收规范。</w:t>
            </w:r>
          </w:p>
          <w:p w14:paraId="4CBC7CD1">
            <w:pPr>
              <w:spacing w:line="360" w:lineRule="auto"/>
              <w:rPr>
                <w:rFonts w:hint="eastAsia"/>
                <w:color w:val="auto"/>
                <w:highlight w:val="none"/>
              </w:rPr>
            </w:pPr>
            <w:r>
              <w:rPr>
                <w:rFonts w:hint="eastAsia" w:ascii="宋体" w:hAnsi="宋体" w:cs="宋体"/>
                <w:color w:val="auto"/>
                <w:sz w:val="18"/>
                <w:szCs w:val="18"/>
                <w:highlight w:val="yellow"/>
                <w:lang w:val="zh-CN"/>
              </w:rPr>
              <w:t>▲</w:t>
            </w:r>
            <w:r>
              <w:rPr>
                <w:rFonts w:hint="eastAsia" w:ascii="宋体" w:hAnsi="宋体" w:eastAsia="宋体" w:cs="宋体"/>
                <w:color w:val="auto"/>
                <w:kern w:val="2"/>
                <w:sz w:val="18"/>
                <w:szCs w:val="18"/>
                <w:highlight w:val="yellow"/>
                <w:lang w:val="en-US" w:eastAsia="zh-CN" w:bidi="ar-SA"/>
              </w:rPr>
              <w:t>2.</w:t>
            </w:r>
            <w:r>
              <w:rPr>
                <w:rFonts w:hint="eastAsia" w:ascii="宋体" w:hAnsi="宋体" w:eastAsia="宋体" w:cs="宋体"/>
                <w:color w:val="auto"/>
                <w:kern w:val="2"/>
                <w:sz w:val="18"/>
                <w:szCs w:val="18"/>
                <w:highlight w:val="yellow"/>
                <w:lang w:val="zh-CN" w:eastAsia="zh-CN" w:bidi="ar-SA"/>
              </w:rPr>
              <w:t>采购单位有权对以上主要部件聘请专家及第三方专业机构进行核查，核查费用由采购人支付。成交人需配合提供主要部件的电梯质量监督检验机构或第三方机构出具的检验报告复印件等能证明达到技术参数及性能配置要求的材料。若出现弄虚作假情况，一经查实，采购单位将予以退货或换货，核查费用由成交人支付，并将追究成交人法律责任并要求供应商赔偿相关损失</w:t>
            </w:r>
            <w:r>
              <w:rPr>
                <w:rFonts w:hint="eastAsia" w:ascii="宋体" w:hAnsi="宋体" w:cs="宋体"/>
                <w:color w:val="auto"/>
                <w:kern w:val="2"/>
                <w:sz w:val="18"/>
                <w:szCs w:val="18"/>
                <w:highlight w:val="yellow"/>
                <w:lang w:val="zh-CN" w:eastAsia="zh-CN" w:bidi="ar-SA"/>
              </w:rPr>
              <w:t>。</w:t>
            </w:r>
          </w:p>
        </w:tc>
      </w:tr>
      <w:tr w14:paraId="49AA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629" w:type="dxa"/>
            <w:noWrap w:val="0"/>
            <w:vAlign w:val="center"/>
          </w:tcPr>
          <w:p w14:paraId="78BF01B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p>
        </w:tc>
        <w:tc>
          <w:tcPr>
            <w:tcW w:w="1122" w:type="dxa"/>
            <w:noWrap w:val="0"/>
            <w:vAlign w:val="center"/>
          </w:tcPr>
          <w:p w14:paraId="2AC333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小机房</w:t>
            </w:r>
          </w:p>
          <w:p w14:paraId="7DE3EF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餐梯兼</w:t>
            </w:r>
          </w:p>
          <w:p w14:paraId="47B25E51">
            <w:pPr>
              <w:spacing w:line="360" w:lineRule="auto"/>
              <w:jc w:val="center"/>
              <w:rPr>
                <w:rFonts w:hint="eastAsia" w:ascii="宋体" w:hAnsi="宋体" w:cs="宋体"/>
                <w:color w:val="auto"/>
                <w:kern w:val="1"/>
                <w:szCs w:val="21"/>
                <w:highlight w:val="none"/>
              </w:rPr>
            </w:pPr>
            <w:r>
              <w:rPr>
                <w:rFonts w:hint="eastAsia" w:ascii="宋体" w:hAnsi="宋体" w:cs="宋体"/>
                <w:color w:val="auto"/>
                <w:szCs w:val="21"/>
                <w:highlight w:val="none"/>
              </w:rPr>
              <w:t>乘客电梯</w:t>
            </w:r>
          </w:p>
        </w:tc>
        <w:tc>
          <w:tcPr>
            <w:tcW w:w="785" w:type="dxa"/>
            <w:noWrap w:val="0"/>
            <w:vAlign w:val="center"/>
          </w:tcPr>
          <w:p w14:paraId="14EC7C0C">
            <w:pPr>
              <w:spacing w:line="360" w:lineRule="auto"/>
              <w:jc w:val="center"/>
              <w:rPr>
                <w:rFonts w:hint="eastAsia" w:ascii="宋体" w:hAnsi="宋体" w:cs="宋体"/>
                <w:color w:val="auto"/>
                <w:kern w:val="1"/>
                <w:szCs w:val="21"/>
                <w:highlight w:val="none"/>
              </w:rPr>
            </w:pPr>
            <w:r>
              <w:rPr>
                <w:rFonts w:hint="eastAsia" w:ascii="宋体" w:hAnsi="宋体" w:cs="宋体"/>
                <w:color w:val="auto"/>
                <w:szCs w:val="21"/>
                <w:highlight w:val="none"/>
              </w:rPr>
              <w:t>1台</w:t>
            </w:r>
          </w:p>
        </w:tc>
        <w:tc>
          <w:tcPr>
            <w:tcW w:w="7070" w:type="dxa"/>
            <w:noWrap w:val="0"/>
            <w:vAlign w:val="center"/>
          </w:tcPr>
          <w:p w14:paraId="5DE34555">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一、技术规格参数要求：</w:t>
            </w:r>
          </w:p>
          <w:p w14:paraId="68C7B340">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1、额定载重量：≥</w:t>
            </w:r>
            <w:r>
              <w:rPr>
                <w:rFonts w:hint="eastAsia" w:ascii="宋体" w:hAnsi="宋体" w:cs="宋体"/>
                <w:color w:val="auto"/>
                <w:szCs w:val="21"/>
                <w:highlight w:val="none"/>
              </w:rPr>
              <w:t>800</w:t>
            </w:r>
            <w:r>
              <w:rPr>
                <w:rFonts w:hint="eastAsia" w:ascii="宋体" w:hAnsi="宋体" w:cs="宋体"/>
                <w:color w:val="auto"/>
                <w:szCs w:val="21"/>
                <w:highlight w:val="none"/>
                <w:lang w:val="zh-CN"/>
              </w:rPr>
              <w:t>公斤；</w:t>
            </w:r>
          </w:p>
          <w:p w14:paraId="2595EDC8">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2、层/站/门：</w:t>
            </w:r>
            <w:r>
              <w:rPr>
                <w:rFonts w:hint="eastAsia" w:ascii="宋体" w:hAnsi="宋体" w:cs="宋体"/>
                <w:color w:val="auto"/>
                <w:szCs w:val="21"/>
                <w:highlight w:val="none"/>
              </w:rPr>
              <w:t>9</w:t>
            </w:r>
            <w:r>
              <w:rPr>
                <w:rFonts w:hint="eastAsia" w:ascii="宋体" w:hAnsi="宋体" w:cs="宋体"/>
                <w:color w:val="auto"/>
                <w:szCs w:val="21"/>
                <w:highlight w:val="none"/>
                <w:lang w:val="zh-CN"/>
              </w:rPr>
              <w:t>层</w:t>
            </w:r>
            <w:r>
              <w:rPr>
                <w:rFonts w:hint="eastAsia" w:ascii="宋体" w:hAnsi="宋体" w:cs="宋体"/>
                <w:color w:val="auto"/>
                <w:szCs w:val="21"/>
                <w:highlight w:val="none"/>
              </w:rPr>
              <w:t>9</w:t>
            </w:r>
            <w:r>
              <w:rPr>
                <w:rFonts w:hint="eastAsia" w:ascii="宋体" w:hAnsi="宋体" w:cs="宋体"/>
                <w:color w:val="auto"/>
                <w:szCs w:val="21"/>
                <w:highlight w:val="none"/>
                <w:lang w:val="zh-CN"/>
              </w:rPr>
              <w:t>站</w:t>
            </w:r>
            <w:r>
              <w:rPr>
                <w:rFonts w:hint="eastAsia" w:ascii="宋体" w:hAnsi="宋体" w:cs="宋体"/>
                <w:color w:val="auto"/>
                <w:szCs w:val="21"/>
                <w:highlight w:val="none"/>
              </w:rPr>
              <w:t>9</w:t>
            </w:r>
            <w:r>
              <w:rPr>
                <w:rFonts w:hint="eastAsia" w:ascii="宋体" w:hAnsi="宋体" w:cs="宋体"/>
                <w:color w:val="auto"/>
                <w:szCs w:val="21"/>
                <w:highlight w:val="none"/>
                <w:lang w:val="zh-CN"/>
              </w:rPr>
              <w:t>门；</w:t>
            </w:r>
          </w:p>
          <w:p w14:paraId="6CEC68B6">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额定速度：</w:t>
            </w:r>
            <w:r>
              <w:rPr>
                <w:rFonts w:hint="eastAsia" w:ascii="宋体" w:hAnsi="宋体" w:cs="宋体"/>
                <w:color w:val="auto"/>
                <w:szCs w:val="21"/>
                <w:highlight w:val="none"/>
              </w:rPr>
              <w:t>1.0</w:t>
            </w:r>
            <w:r>
              <w:rPr>
                <w:rFonts w:hint="eastAsia" w:ascii="宋体" w:hAnsi="宋体" w:cs="宋体"/>
                <w:color w:val="auto"/>
                <w:szCs w:val="21"/>
                <w:highlight w:val="none"/>
                <w:lang w:val="zh-CN"/>
              </w:rPr>
              <w:t>米/秒；</w:t>
            </w:r>
          </w:p>
          <w:p w14:paraId="10C8331C">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、轿厢尺寸宽×深×高：</w:t>
            </w:r>
            <w:r>
              <w:rPr>
                <w:rFonts w:hint="eastAsia" w:ascii="宋体" w:hAnsi="宋体" w:cs="宋体"/>
                <w:color w:val="auto"/>
                <w:szCs w:val="21"/>
                <w:highlight w:val="none"/>
              </w:rPr>
              <w:t>1400</w:t>
            </w:r>
            <w:r>
              <w:rPr>
                <w:rFonts w:hint="eastAsia" w:ascii="宋体" w:hAnsi="宋体" w:cs="宋体"/>
                <w:color w:val="auto"/>
                <w:szCs w:val="21"/>
                <w:highlight w:val="none"/>
                <w:lang w:val="zh-CN"/>
              </w:rPr>
              <w:t>mm×</w:t>
            </w:r>
            <w:r>
              <w:rPr>
                <w:rFonts w:hint="eastAsia" w:ascii="宋体" w:hAnsi="宋体" w:cs="宋体"/>
                <w:color w:val="auto"/>
                <w:szCs w:val="21"/>
                <w:highlight w:val="none"/>
              </w:rPr>
              <w:t>135</w:t>
            </w:r>
            <w:r>
              <w:rPr>
                <w:rFonts w:hint="eastAsia" w:ascii="宋体" w:hAnsi="宋体" w:cs="宋体"/>
                <w:color w:val="auto"/>
                <w:szCs w:val="21"/>
                <w:highlight w:val="none"/>
                <w:lang w:val="zh-CN"/>
              </w:rPr>
              <w:t>0mm×</w:t>
            </w:r>
            <w:r>
              <w:rPr>
                <w:rFonts w:hint="eastAsia" w:ascii="宋体" w:hAnsi="宋体" w:cs="宋体"/>
                <w:color w:val="auto"/>
                <w:szCs w:val="21"/>
                <w:highlight w:val="none"/>
              </w:rPr>
              <w:t>2450</w:t>
            </w:r>
            <w:r>
              <w:rPr>
                <w:rFonts w:hint="eastAsia" w:ascii="宋体" w:hAnsi="宋体" w:cs="宋体"/>
                <w:color w:val="auto"/>
                <w:szCs w:val="21"/>
                <w:highlight w:val="none"/>
                <w:lang w:val="zh-CN"/>
              </w:rPr>
              <w:t>mm；</w:t>
            </w:r>
          </w:p>
          <w:p w14:paraId="5848C648">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井道净空尺寸宽×深：</w:t>
            </w:r>
            <w:r>
              <w:rPr>
                <w:rFonts w:hint="eastAsia" w:ascii="宋体" w:hAnsi="宋体" w:cs="宋体"/>
                <w:color w:val="auto"/>
                <w:szCs w:val="21"/>
                <w:highlight w:val="none"/>
              </w:rPr>
              <w:t>1800</w:t>
            </w:r>
            <w:r>
              <w:rPr>
                <w:rFonts w:hint="eastAsia" w:ascii="宋体" w:hAnsi="宋体" w:cs="宋体"/>
                <w:color w:val="auto"/>
                <w:szCs w:val="21"/>
                <w:highlight w:val="none"/>
                <w:lang w:val="zh-CN"/>
              </w:rPr>
              <w:t>mm×</w:t>
            </w:r>
            <w:r>
              <w:rPr>
                <w:rFonts w:hint="eastAsia" w:ascii="宋体" w:hAnsi="宋体" w:cs="宋体"/>
                <w:color w:val="auto"/>
                <w:szCs w:val="21"/>
                <w:highlight w:val="none"/>
              </w:rPr>
              <w:t>2200</w:t>
            </w:r>
            <w:r>
              <w:rPr>
                <w:rFonts w:hint="eastAsia" w:ascii="宋体" w:hAnsi="宋体" w:cs="宋体"/>
                <w:color w:val="auto"/>
                <w:szCs w:val="21"/>
                <w:highlight w:val="none"/>
                <w:lang w:val="zh-CN"/>
              </w:rPr>
              <w:t>mm；</w:t>
            </w:r>
          </w:p>
          <w:p w14:paraId="3BB0D2C2">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6</w:t>
            </w:r>
            <w:r>
              <w:rPr>
                <w:rFonts w:hint="eastAsia" w:ascii="宋体" w:hAnsi="宋体" w:cs="宋体"/>
                <w:color w:val="auto"/>
                <w:szCs w:val="21"/>
                <w:highlight w:val="none"/>
                <w:lang w:val="zh-CN"/>
              </w:rPr>
              <w:t>、顶层净高：4</w:t>
            </w:r>
            <w:r>
              <w:rPr>
                <w:rFonts w:hint="eastAsia" w:ascii="宋体" w:hAnsi="宋体" w:cs="宋体"/>
                <w:color w:val="auto"/>
                <w:szCs w:val="21"/>
                <w:highlight w:val="none"/>
              </w:rPr>
              <w:t>.35米</w:t>
            </w:r>
            <w:r>
              <w:rPr>
                <w:rFonts w:hint="eastAsia" w:ascii="宋体" w:hAnsi="宋体" w:cs="宋体"/>
                <w:color w:val="auto"/>
                <w:szCs w:val="21"/>
                <w:highlight w:val="none"/>
                <w:lang w:val="zh-CN"/>
              </w:rPr>
              <w:t>；</w:t>
            </w:r>
          </w:p>
          <w:p w14:paraId="297D2978">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7</w:t>
            </w:r>
            <w:r>
              <w:rPr>
                <w:rFonts w:hint="eastAsia" w:ascii="宋体" w:hAnsi="宋体" w:cs="宋体"/>
                <w:color w:val="auto"/>
                <w:szCs w:val="21"/>
                <w:highlight w:val="none"/>
                <w:lang w:val="zh-CN"/>
              </w:rPr>
              <w:t>、底坑净深：</w:t>
            </w:r>
            <w:r>
              <w:rPr>
                <w:rFonts w:hint="eastAsia" w:ascii="宋体" w:hAnsi="宋体" w:cs="宋体"/>
                <w:color w:val="auto"/>
                <w:szCs w:val="21"/>
                <w:highlight w:val="none"/>
              </w:rPr>
              <w:t>1.7米</w:t>
            </w:r>
            <w:r>
              <w:rPr>
                <w:rFonts w:hint="eastAsia" w:ascii="宋体" w:hAnsi="宋体" w:cs="宋体"/>
                <w:color w:val="auto"/>
                <w:szCs w:val="21"/>
                <w:highlight w:val="none"/>
                <w:lang w:val="zh-CN"/>
              </w:rPr>
              <w:t>；</w:t>
            </w:r>
          </w:p>
          <w:p w14:paraId="4EE9EF0D">
            <w:pPr>
              <w:tabs>
                <w:tab w:val="left" w:pos="756"/>
                <w:tab w:val="left" w:pos="3456"/>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8、提升高度：31.2米</w:t>
            </w:r>
          </w:p>
          <w:p w14:paraId="37811A6F">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、开门尺寸宽×高：</w:t>
            </w:r>
            <w:r>
              <w:rPr>
                <w:rFonts w:hint="eastAsia" w:ascii="宋体" w:hAnsi="宋体" w:cs="宋体"/>
                <w:color w:val="auto"/>
                <w:szCs w:val="21"/>
                <w:highlight w:val="none"/>
              </w:rPr>
              <w:t>8</w:t>
            </w:r>
            <w:r>
              <w:rPr>
                <w:rFonts w:hint="eastAsia" w:ascii="宋体" w:hAnsi="宋体" w:cs="宋体"/>
                <w:color w:val="auto"/>
                <w:szCs w:val="21"/>
                <w:highlight w:val="none"/>
                <w:lang w:val="zh-CN"/>
              </w:rPr>
              <w:t>00mm×2100mm；</w:t>
            </w:r>
          </w:p>
          <w:p w14:paraId="064439E1">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10、控制方式：单控；</w:t>
            </w:r>
          </w:p>
          <w:p w14:paraId="102EA10A">
            <w:pPr>
              <w:widowControl/>
              <w:spacing w:line="360" w:lineRule="auto"/>
              <w:jc w:val="left"/>
              <w:rPr>
                <w:rFonts w:hint="eastAsia" w:ascii="宋体" w:hAnsi="宋体" w:cs="宋体"/>
                <w:color w:val="auto"/>
                <w:highlight w:val="none"/>
                <w:lang w:val="zh-CN"/>
              </w:rPr>
            </w:pPr>
            <w:r>
              <w:rPr>
                <w:rFonts w:hint="eastAsia" w:ascii="宋体" w:hAnsi="宋体" w:cs="宋体"/>
                <w:color w:val="auto"/>
                <w:kern w:val="0"/>
                <w:szCs w:val="21"/>
                <w:highlight w:val="none"/>
              </w:rPr>
              <w:t>备注：以上尺寸均以双方现场确认为准。</w:t>
            </w:r>
          </w:p>
          <w:p w14:paraId="0350D86D">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二、技术要求：</w:t>
            </w:r>
          </w:p>
          <w:p w14:paraId="6E8BF145">
            <w:pPr>
              <w:tabs>
                <w:tab w:val="left" w:pos="756"/>
                <w:tab w:val="left" w:pos="3456"/>
              </w:tabs>
              <w:autoSpaceDE w:val="0"/>
              <w:autoSpaceDN w:val="0"/>
              <w:spacing w:line="360" w:lineRule="auto"/>
              <w:rPr>
                <w:rFonts w:hint="eastAsia" w:ascii="宋体" w:hAnsi="宋体" w:eastAsia="宋体" w:cs="宋体"/>
                <w:color w:val="auto"/>
                <w:szCs w:val="21"/>
                <w:highlight w:val="yellow"/>
                <w:lang w:eastAsia="zh-CN"/>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1、控制系统：32位微机处理器，采用模块化全电脑控制，主控制系统集运行逻辑系统、逆变驱动系统与网络通讯系统一体化，信号处理均由32位主控制系统担当。</w:t>
            </w:r>
            <w:r>
              <w:rPr>
                <w:rFonts w:hint="eastAsia" w:ascii="宋体" w:hAnsi="宋体" w:eastAsia="宋体" w:cs="宋体"/>
                <w:color w:val="auto"/>
                <w:sz w:val="21"/>
                <w:szCs w:val="21"/>
                <w:highlight w:val="yellow"/>
              </w:rPr>
              <w:t>控制主电路板必须为投标品牌制造商设计及生产，不接受外购和代工生产（贴牌生产）的产品</w:t>
            </w:r>
            <w:r>
              <w:rPr>
                <w:rFonts w:hint="eastAsia" w:ascii="宋体" w:hAnsi="宋体" w:eastAsia="宋体" w:cs="宋体"/>
                <w:color w:val="auto"/>
                <w:sz w:val="21"/>
                <w:szCs w:val="21"/>
                <w:highlight w:val="yellow"/>
                <w:lang w:eastAsia="zh-CN"/>
              </w:rPr>
              <w:t>。</w:t>
            </w:r>
          </w:p>
          <w:p w14:paraId="0A4014B2">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2、变频系统：采用双32 位新型、高性能的DSP，双微机控制分别负责位置控制及逆变控制，配置IPM 变频功率模块，增加位置控制的零速锁定控制。</w:t>
            </w:r>
          </w:p>
          <w:p w14:paraId="4F533620">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3、曳引系统：永磁同步主机，主机绕组绝缘等级为F级(含)以上，具备防脱磁钢设计。</w:t>
            </w:r>
          </w:p>
          <w:p w14:paraId="65ACC93B">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4、门机系统：永磁同步门机，使用32位微机控制，门机变频模块采用智能变频功率模块。</w:t>
            </w:r>
            <w:r>
              <w:rPr>
                <w:rFonts w:hint="eastAsia" w:ascii="宋体" w:hAnsi="宋体" w:eastAsia="宋体" w:cs="宋体"/>
                <w:color w:val="auto"/>
                <w:sz w:val="21"/>
                <w:szCs w:val="21"/>
                <w:highlight w:val="yellow"/>
              </w:rPr>
              <w:t>门系统运行寿命试验：在进行≥</w:t>
            </w:r>
            <w:r>
              <w:rPr>
                <w:rFonts w:hint="eastAsia" w:ascii="宋体" w:hAnsi="宋体" w:cs="宋体"/>
                <w:color w:val="auto"/>
                <w:sz w:val="21"/>
                <w:szCs w:val="21"/>
                <w:highlight w:val="yellow"/>
                <w:lang w:val="en-US" w:eastAsia="zh-CN"/>
              </w:rPr>
              <w:t>500</w:t>
            </w:r>
            <w:r>
              <w:rPr>
                <w:rFonts w:hint="eastAsia" w:ascii="宋体" w:hAnsi="宋体" w:eastAsia="宋体" w:cs="宋体"/>
                <w:color w:val="auto"/>
                <w:sz w:val="21"/>
                <w:szCs w:val="21"/>
                <w:highlight w:val="yellow"/>
              </w:rPr>
              <w:t>万次完全循环操作，门机电子板、门电机及门锁装置不更换，结束后应满足：门开关过程的噪声值≤65dB、当乘客在轿门关闭过程中，通过入口时被门扇撞击或将被撞击，保护装置应使门扇自动重新开启、门机在关门过程中受阻时能反开、开关门动作正常</w:t>
            </w:r>
            <w:r>
              <w:rPr>
                <w:rFonts w:hint="eastAsia" w:ascii="宋体" w:hAnsi="宋体" w:cs="宋体"/>
                <w:color w:val="auto"/>
                <w:szCs w:val="21"/>
                <w:highlight w:val="yellow"/>
              </w:rPr>
              <w:t>。</w:t>
            </w:r>
          </w:p>
          <w:p w14:paraId="708FC15A">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5、通讯方式：采用抗干扰性强，可靠性高，能高速可靠传递厅外、轿厢召唤信号的高频脉冲变压器串行通讯技术</w:t>
            </w:r>
          </w:p>
          <w:p w14:paraId="6ACADC84">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6、网络智能化传输系统：采用网络智能传输系统，主控制系统为通讯设置专用的8位微机处理系统。</w:t>
            </w:r>
          </w:p>
          <w:p w14:paraId="3D52E4D6">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7、系统保护：可设定电子热继电器的热时间常数，可输入缺相保护功能。</w:t>
            </w:r>
          </w:p>
          <w:p w14:paraId="2A335161">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8、电梯主体结构采用全方位抗震保护设计，电梯设备具有抗地震等级的设计，确保电梯安全。</w:t>
            </w:r>
          </w:p>
          <w:p w14:paraId="274688AA">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9、轿厢架构：采用无焊接轿架及无焊接轿底工艺，保证构件加工精度、确保部件品质。</w:t>
            </w:r>
          </w:p>
          <w:p w14:paraId="544FDEFC">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10、电梯主机制动器试验内容：轿厢内加载至</w:t>
            </w:r>
            <w:r>
              <w:rPr>
                <w:rFonts w:hint="eastAsia" w:ascii="宋体" w:hAnsi="宋体" w:cs="宋体"/>
                <w:color w:val="auto"/>
                <w:szCs w:val="21"/>
                <w:highlight w:val="yellow"/>
                <w:lang w:val="en-US" w:eastAsia="zh-CN"/>
              </w:rPr>
              <w:t>170</w:t>
            </w:r>
            <w:r>
              <w:rPr>
                <w:rFonts w:hint="eastAsia" w:ascii="宋体" w:hAnsi="宋体" w:cs="宋体"/>
                <w:color w:val="auto"/>
                <w:szCs w:val="21"/>
                <w:highlight w:val="yellow"/>
              </w:rPr>
              <w:t>%额定载荷及以上设计并保持</w:t>
            </w:r>
            <w:r>
              <w:rPr>
                <w:rFonts w:hint="eastAsia" w:ascii="宋体" w:hAnsi="宋体" w:cs="宋体"/>
                <w:color w:val="auto"/>
                <w:szCs w:val="21"/>
                <w:highlight w:val="yellow"/>
                <w:lang w:val="en-US" w:eastAsia="zh-CN"/>
              </w:rPr>
              <w:t>15</w:t>
            </w:r>
            <w:r>
              <w:rPr>
                <w:rFonts w:hint="eastAsia" w:ascii="宋体" w:hAnsi="宋体" w:cs="宋体"/>
                <w:color w:val="auto"/>
                <w:szCs w:val="21"/>
                <w:highlight w:val="yellow"/>
              </w:rPr>
              <w:t>min期间电梯应符合：各部件完好、曳引机不转动。</w:t>
            </w:r>
          </w:p>
          <w:p w14:paraId="5E4A49E9">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11、门电机：采用原品牌永磁同步门电机</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外壳防护等级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w:t>
            </w:r>
            <w:r>
              <w:rPr>
                <w:rFonts w:hint="eastAsia" w:ascii="宋体" w:hAnsi="宋体" w:eastAsia="宋体" w:cs="宋体"/>
                <w:color w:val="auto"/>
                <w:sz w:val="21"/>
                <w:szCs w:val="21"/>
                <w:highlight w:val="none"/>
                <w:lang w:eastAsia="zh-CN"/>
              </w:rPr>
              <w:t>P</w:t>
            </w:r>
            <w:r>
              <w:rPr>
                <w:rFonts w:hint="eastAsia" w:ascii="宋体" w:hAnsi="宋体" w:eastAsia="宋体" w:cs="宋体"/>
                <w:color w:val="auto"/>
                <w:sz w:val="21"/>
                <w:szCs w:val="21"/>
                <w:highlight w:val="none"/>
                <w:lang w:val="en-US" w:eastAsia="zh-CN"/>
              </w:rPr>
              <w:t>54</w:t>
            </w:r>
            <w:r>
              <w:rPr>
                <w:rFonts w:hint="eastAsia" w:ascii="宋体" w:hAnsi="宋体" w:cs="宋体"/>
                <w:color w:val="auto"/>
                <w:szCs w:val="21"/>
                <w:highlight w:val="none"/>
              </w:rPr>
              <w:t>。</w:t>
            </w:r>
          </w:p>
          <w:p w14:paraId="6D62223F">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12、保护措施：系统采用FRT技术，增加多项检测内容，可对电梯控制系统的电子板进行监测。控制系统可内置RTC 功能，可全方位记录电梯的不同状态，系统预留了大量空间及通讯接口，同时采用patch 扩展形式，可灵活、方便地应对不同功能的扩展。</w:t>
            </w:r>
          </w:p>
          <w:p w14:paraId="5C937746">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13、电梯轿厢门锁装置耐久试验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门锁装置在进行500万次完全循环操作试验结束后符合：不产生可能影响安全的磨损，变形</w:t>
            </w:r>
            <w:r>
              <w:rPr>
                <w:rFonts w:hint="eastAsia" w:ascii="宋体" w:hAnsi="宋体" w:cs="宋体"/>
                <w:color w:val="auto"/>
                <w:szCs w:val="21"/>
                <w:highlight w:val="yellow"/>
              </w:rPr>
              <w:t>。</w:t>
            </w:r>
          </w:p>
          <w:p w14:paraId="31A624EB">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14、电梯适应供电电源波动范围的运行稳定性试验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电压波动范围为±10%（380±57）V，即在342V～418V 范围内仍能正常使用，电梯运行符合：轿厢在装有≥110%额定载荷时电梯以额定速度正常运行；轿厢在装有≥50%额定荷载时电梯下行至行程中段时速度偏差范围在92%～105%之间</w:t>
            </w:r>
            <w:r>
              <w:rPr>
                <w:rFonts w:hint="eastAsia" w:ascii="宋体" w:hAnsi="宋体" w:cs="宋体"/>
                <w:color w:val="auto"/>
                <w:szCs w:val="21"/>
                <w:highlight w:val="yellow"/>
              </w:rPr>
              <w:t>。</w:t>
            </w:r>
          </w:p>
          <w:p w14:paraId="0A04E2E6">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15、电梯控制柜雷击浪涌干扰试验</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电梯</w:t>
            </w:r>
            <w:r>
              <w:rPr>
                <w:rFonts w:hint="eastAsia" w:ascii="宋体" w:hAnsi="宋体" w:eastAsia="宋体" w:cs="宋体"/>
                <w:color w:val="auto"/>
                <w:szCs w:val="21"/>
                <w:highlight w:val="none"/>
              </w:rPr>
              <w:t>控制柜三相动力电源线与地之间施加±</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k</w:t>
            </w:r>
            <w:r>
              <w:rPr>
                <w:rFonts w:hint="eastAsia" w:ascii="宋体" w:hAnsi="宋体" w:eastAsia="宋体" w:cs="宋体"/>
                <w:color w:val="auto"/>
                <w:szCs w:val="21"/>
                <w:highlight w:val="none"/>
              </w:rPr>
              <w:t>V雷击浪涌干扰50次，部件无损坏。</w:t>
            </w:r>
          </w:p>
          <w:p w14:paraId="6DD91CCA">
            <w:pPr>
              <w:tabs>
                <w:tab w:val="left" w:pos="756"/>
                <w:tab w:val="left" w:pos="3456"/>
              </w:tabs>
              <w:autoSpaceDE w:val="0"/>
              <w:autoSpaceDN w:val="0"/>
              <w:spacing w:line="360" w:lineRule="auto"/>
              <w:rPr>
                <w:rFonts w:hint="eastAsia" w:ascii="宋体" w:hAnsi="宋体" w:eastAsia="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eastAsia="宋体" w:cs="宋体"/>
                <w:color w:val="auto"/>
                <w:szCs w:val="21"/>
                <w:highlight w:val="yellow"/>
              </w:rPr>
              <w:t>16、电梯制动器动作寿命试验：电梯驱动主机制动器总成应当进行不少于200万次的动作试验，试验过程中不得进行任何维护，试验期间制动器不允许出现任何故障，试验周期为5 s至6 s之间，试验时通电持续率取</w:t>
            </w:r>
            <w:r>
              <w:rPr>
                <w:rFonts w:hint="eastAsia" w:ascii="宋体" w:hAnsi="宋体" w:cs="宋体"/>
                <w:color w:val="auto"/>
                <w:szCs w:val="21"/>
                <w:highlight w:val="yellow"/>
                <w:lang w:val="en-US" w:eastAsia="zh-CN"/>
              </w:rPr>
              <w:t>5</w:t>
            </w:r>
            <w:r>
              <w:rPr>
                <w:rFonts w:hint="eastAsia" w:ascii="宋体" w:hAnsi="宋体" w:eastAsia="宋体" w:cs="宋体"/>
                <w:color w:val="auto"/>
                <w:szCs w:val="21"/>
                <w:highlight w:val="yellow"/>
              </w:rPr>
              <w:t>0%和驱动主机通电持续率的较大值。能符合以上试验条件寿命试验次数达到</w:t>
            </w:r>
            <w:r>
              <w:rPr>
                <w:rFonts w:hint="eastAsia" w:ascii="宋体" w:hAnsi="宋体" w:cs="宋体"/>
                <w:color w:val="auto"/>
                <w:szCs w:val="21"/>
                <w:highlight w:val="yellow"/>
                <w:lang w:val="en-US" w:eastAsia="zh-CN"/>
              </w:rPr>
              <w:t>500</w:t>
            </w:r>
            <w:r>
              <w:rPr>
                <w:rFonts w:hint="eastAsia" w:ascii="宋体" w:hAnsi="宋体" w:eastAsia="宋体" w:cs="宋体"/>
                <w:color w:val="auto"/>
                <w:szCs w:val="21"/>
                <w:highlight w:val="yellow"/>
              </w:rPr>
              <w:t>万次。</w:t>
            </w:r>
          </w:p>
          <w:p w14:paraId="09CBC183">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17、电梯按钮工作寿命试验：在正常环境中,按钮应在转换速度每小时3600次的寿命试验设备上进行,通断比1:1，触点电路施加DC23V、2</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mA，阻性负载;按压力为</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N.试验中按钮应工作正常。试验后按钮应无损坏，并测量按钮动作力及回复力、触点阻值、绝缘电阻。能符合以上试验条件寿命试验次数达到</w:t>
            </w:r>
            <w:r>
              <w:rPr>
                <w:rFonts w:hint="eastAsia" w:ascii="宋体" w:hAnsi="宋体" w:cs="宋体"/>
                <w:color w:val="auto"/>
                <w:szCs w:val="21"/>
                <w:highlight w:val="none"/>
                <w:lang w:val="en-US" w:eastAsia="zh-CN"/>
              </w:rPr>
              <w:t>500</w:t>
            </w:r>
            <w:r>
              <w:rPr>
                <w:rFonts w:hint="eastAsia" w:ascii="宋体" w:hAnsi="宋体" w:eastAsia="宋体" w:cs="宋体"/>
                <w:color w:val="auto"/>
                <w:szCs w:val="21"/>
                <w:highlight w:val="none"/>
              </w:rPr>
              <w:t>万次。</w:t>
            </w:r>
          </w:p>
          <w:p w14:paraId="30F279DD">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18、光幕保护：原厂原品牌智能光幕，多红外线光束门感应器保护，光束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170束</w:t>
            </w:r>
            <w:r>
              <w:rPr>
                <w:rFonts w:hint="eastAsia" w:ascii="宋体" w:hAnsi="宋体" w:eastAsia="宋体" w:cs="宋体"/>
                <w:color w:val="auto"/>
                <w:szCs w:val="21"/>
                <w:highlight w:val="none"/>
                <w:lang w:eastAsia="zh-CN"/>
              </w:rPr>
              <w:t>，防护等级≥</w:t>
            </w:r>
            <w:r>
              <w:rPr>
                <w:rFonts w:hint="eastAsia" w:ascii="宋体" w:hAnsi="宋体" w:eastAsia="宋体" w:cs="宋体"/>
                <w:color w:val="auto"/>
                <w:szCs w:val="21"/>
                <w:highlight w:val="none"/>
                <w:lang w:val="en-US" w:eastAsia="zh-CN"/>
              </w:rPr>
              <w:t>IP54</w:t>
            </w:r>
            <w:r>
              <w:rPr>
                <w:rFonts w:hint="eastAsia" w:ascii="宋体" w:hAnsi="宋体" w:eastAsia="宋体" w:cs="宋体"/>
                <w:color w:val="auto"/>
                <w:szCs w:val="21"/>
                <w:highlight w:val="none"/>
              </w:rPr>
              <w:t>。</w:t>
            </w:r>
          </w:p>
          <w:p w14:paraId="018F4B04">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三、主要部件及要求</w:t>
            </w:r>
            <w:r>
              <w:rPr>
                <w:rFonts w:hint="eastAsia" w:ascii="宋体" w:hAnsi="宋体" w:cs="宋体"/>
                <w:color w:val="auto"/>
                <w:szCs w:val="21"/>
                <w:highlight w:val="none"/>
              </w:rPr>
              <w:t xml:space="preserve"> </w:t>
            </w:r>
          </w:p>
          <w:p w14:paraId="7D5EC807">
            <w:pPr>
              <w:tabs>
                <w:tab w:val="left" w:pos="756"/>
                <w:tab w:val="left" w:pos="3456"/>
              </w:tabs>
              <w:autoSpaceDE w:val="0"/>
              <w:autoSpaceDN w:val="0"/>
              <w:spacing w:line="360" w:lineRule="auto"/>
              <w:rPr>
                <w:rFonts w:hint="eastAsia" w:ascii="宋体" w:hAnsi="宋体" w:cs="宋体"/>
                <w:color w:val="auto"/>
                <w:szCs w:val="21"/>
                <w:highlight w:val="yellow"/>
                <w:lang w:val="zh-CN"/>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整体要求：</w:t>
            </w:r>
            <w:r>
              <w:rPr>
                <w:rFonts w:hint="eastAsia" w:ascii="宋体" w:hAnsi="宋体" w:cs="宋体"/>
                <w:color w:val="auto"/>
                <w:szCs w:val="21"/>
                <w:highlight w:val="yellow"/>
              </w:rPr>
              <w:t>1</w:t>
            </w:r>
            <w:r>
              <w:rPr>
                <w:rFonts w:hint="eastAsia" w:ascii="宋体" w:hAnsi="宋体" w:cs="宋体"/>
                <w:color w:val="auto"/>
                <w:szCs w:val="21"/>
                <w:highlight w:val="yellow"/>
                <w:lang w:eastAsia="zh-CN"/>
              </w:rPr>
              <w:t>、</w:t>
            </w:r>
            <w:r>
              <w:rPr>
                <w:rFonts w:hint="eastAsia" w:ascii="宋体" w:hAnsi="宋体" w:cs="宋体"/>
                <w:color w:val="auto"/>
                <w:szCs w:val="21"/>
                <w:highlight w:val="yellow"/>
                <w:lang w:val="en-US" w:eastAsia="zh-CN"/>
              </w:rPr>
              <w:t>成交</w:t>
            </w:r>
            <w:r>
              <w:rPr>
                <w:rFonts w:hint="eastAsia" w:ascii="宋体" w:hAnsi="宋体" w:cs="宋体"/>
                <w:color w:val="auto"/>
                <w:szCs w:val="21"/>
                <w:highlight w:val="yellow"/>
                <w:lang w:val="zh-CN"/>
              </w:rPr>
              <w:t>供应商在签订合同前（或供货时），须提供所投产品的合法来源证明（包括但不限于：制造厂家出具的有效经销（代理）授权书、供货协议或能证明产品为正品来源的购货渠道证明等），并加盖</w:t>
            </w:r>
            <w:r>
              <w:rPr>
                <w:rFonts w:hint="eastAsia" w:ascii="宋体" w:hAnsi="宋体" w:cs="宋体"/>
                <w:color w:val="auto"/>
                <w:szCs w:val="21"/>
                <w:highlight w:val="yellow"/>
                <w:lang w:val="en-US" w:eastAsia="zh-CN"/>
              </w:rPr>
              <w:t>成交资格</w:t>
            </w:r>
            <w:r>
              <w:rPr>
                <w:rFonts w:hint="eastAsia" w:ascii="宋体" w:hAnsi="宋体" w:cs="宋体"/>
                <w:color w:val="auto"/>
                <w:szCs w:val="21"/>
                <w:highlight w:val="yellow"/>
                <w:lang w:val="zh-CN"/>
              </w:rPr>
              <w:t>人公章。如无法提供，视为投标无效，采购人有权取消其中标资格并追究其法律责任。</w:t>
            </w:r>
          </w:p>
          <w:p w14:paraId="0624F875">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2</w:t>
            </w:r>
            <w:r>
              <w:rPr>
                <w:rFonts w:hint="eastAsia" w:ascii="宋体" w:hAnsi="宋体" w:cs="宋体"/>
                <w:color w:val="auto"/>
                <w:szCs w:val="21"/>
                <w:highlight w:val="yellow"/>
                <w:lang w:eastAsia="zh-CN"/>
              </w:rPr>
              <w:t>、</w:t>
            </w:r>
            <w:r>
              <w:rPr>
                <w:rFonts w:hint="eastAsia" w:ascii="宋体" w:hAnsi="宋体" w:cs="宋体"/>
                <w:color w:val="auto"/>
                <w:szCs w:val="21"/>
                <w:highlight w:val="yellow"/>
              </w:rPr>
              <w:t>曳引机、控制柜（含调速器、控制器）、门锁（含层门门锁、轿门门锁）、安全钳、限速器、上行超速保护装置、</w:t>
            </w:r>
            <w:r>
              <w:rPr>
                <w:rFonts w:hint="eastAsia" w:ascii="宋体" w:hAnsi="宋体" w:cs="宋体"/>
                <w:color w:val="auto"/>
                <w:szCs w:val="21"/>
                <w:highlight w:val="yellow"/>
                <w:lang w:val="en-US" w:eastAsia="zh-CN"/>
              </w:rPr>
              <w:t>缓冲器、限速器、轿厢意外移动保护装置等</w:t>
            </w:r>
            <w:r>
              <w:rPr>
                <w:rFonts w:hint="eastAsia" w:ascii="宋体" w:hAnsi="宋体" w:cs="宋体"/>
                <w:color w:val="auto"/>
                <w:szCs w:val="21"/>
                <w:highlight w:val="yellow"/>
              </w:rPr>
              <w:t>主要部件必须是所投品牌原厂设计和制造，</w:t>
            </w:r>
            <w:r>
              <w:rPr>
                <w:rFonts w:hint="eastAsia" w:ascii="宋体" w:hAnsi="宋体" w:cs="宋体"/>
                <w:color w:val="auto"/>
                <w:szCs w:val="21"/>
                <w:highlight w:val="yellow"/>
              </w:rPr>
              <w:t>而且产品商标为所投品牌统一商标（LOGO），外购和贴牌生产无效。</w:t>
            </w:r>
          </w:p>
          <w:p w14:paraId="51B103F0">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、曳引机钢丝绳数量≥5条、悬挂比2：1，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时提供整梯型式试验报告中须体现出上述参数内容。</w:t>
            </w:r>
          </w:p>
          <w:p w14:paraId="17FB8D5C">
            <w:pPr>
              <w:tabs>
                <w:tab w:val="left" w:pos="756"/>
                <w:tab w:val="left" w:pos="3456"/>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、导轨要求：提供一种电梯导轨安装精度检测装置</w:t>
            </w:r>
            <w:r>
              <w:rPr>
                <w:rFonts w:hint="eastAsia" w:ascii="宋体" w:hAnsi="宋体" w:cs="宋体"/>
                <w:color w:val="auto"/>
                <w:szCs w:val="21"/>
                <w:highlight w:val="none"/>
                <w:lang w:eastAsia="zh-CN"/>
              </w:rPr>
              <w:t>。</w:t>
            </w:r>
          </w:p>
          <w:p w14:paraId="4E5F1EE1">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、客梯设计包含抗电磁干扰功能，可有效抵抗外界电磁干扰，提高设备控制精准度，提高可靠性。</w:t>
            </w:r>
          </w:p>
          <w:p w14:paraId="0A9F1340">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四、基本功能要求（投标人投标时必须根据制造商产品样本（说明手册等）功能列表予以逐项承诺，如样本（说明手册等）中无功能列表或列表中无相应功能的，必须提供加盖投标人公章的功能说明文件。）</w:t>
            </w:r>
          </w:p>
          <w:p w14:paraId="041BB070">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超载保护；</w:t>
            </w:r>
          </w:p>
          <w:p w14:paraId="61BEE87C">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2.光幕保护；</w:t>
            </w:r>
          </w:p>
          <w:p w14:paraId="6B29FB5B">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 xml:space="preserve">3.防扒门保护； </w:t>
            </w:r>
          </w:p>
          <w:p w14:paraId="1B511F04">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4.关门时间异常保护；</w:t>
            </w:r>
          </w:p>
          <w:p w14:paraId="568921E2">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5.门受阻保护；</w:t>
            </w:r>
          </w:p>
          <w:p w14:paraId="4AE6197C">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6.非门区不能开门保护；</w:t>
            </w:r>
          </w:p>
          <w:p w14:paraId="6A30E336">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7.开门异常时就近层停靠；</w:t>
            </w:r>
          </w:p>
          <w:p w14:paraId="15C6CF15">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8.电梯自救运行；</w:t>
            </w:r>
          </w:p>
          <w:p w14:paraId="3BF597C4">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9.轿厢意外移动保护；</w:t>
            </w:r>
          </w:p>
          <w:p w14:paraId="49B18068">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10.超速保护；</w:t>
            </w:r>
          </w:p>
          <w:p w14:paraId="12986066">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11.防溜车保护；</w:t>
            </w:r>
          </w:p>
          <w:p w14:paraId="3B53129A">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12.逆向运行保护；</w:t>
            </w:r>
          </w:p>
          <w:p w14:paraId="04C5CEEF">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13</w:t>
            </w:r>
            <w:r>
              <w:rPr>
                <w:rFonts w:hint="eastAsia" w:ascii="宋体" w:hAnsi="宋体"/>
                <w:color w:val="auto"/>
                <w:szCs w:val="21"/>
                <w:highlight w:val="none"/>
                <w:lang w:val="en-US" w:eastAsia="zh-CN"/>
              </w:rPr>
              <w:t>.</w:t>
            </w:r>
            <w:r>
              <w:rPr>
                <w:rFonts w:hint="eastAsia" w:ascii="宋体" w:hAnsi="宋体"/>
                <w:color w:val="auto"/>
                <w:szCs w:val="21"/>
                <w:highlight w:val="none"/>
              </w:rPr>
              <w:t>运行超时保护；</w:t>
            </w:r>
          </w:p>
          <w:p w14:paraId="58330614">
            <w:pPr>
              <w:widowControl/>
              <w:numPr>
                <w:ilvl w:val="0"/>
                <w:numId w:val="3"/>
              </w:numPr>
              <w:jc w:val="left"/>
              <w:rPr>
                <w:rFonts w:hint="eastAsia" w:ascii="宋体" w:hAnsi="宋体"/>
                <w:color w:val="auto"/>
                <w:szCs w:val="21"/>
                <w:highlight w:val="none"/>
              </w:rPr>
            </w:pPr>
            <w:r>
              <w:rPr>
                <w:rFonts w:hint="eastAsia" w:ascii="宋体" w:hAnsi="宋体"/>
                <w:color w:val="auto"/>
                <w:szCs w:val="21"/>
                <w:highlight w:val="none"/>
              </w:rPr>
              <w:t>变频器多重保护；</w:t>
            </w:r>
          </w:p>
          <w:p w14:paraId="36F3987C">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防终端越程保护；</w:t>
            </w:r>
          </w:p>
          <w:p w14:paraId="1E13CF95">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防门锁短接保护；</w:t>
            </w:r>
          </w:p>
          <w:p w14:paraId="03F48888">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电源相位故障检测；</w:t>
            </w:r>
          </w:p>
          <w:p w14:paraId="00002A2B">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电网异常检测；</w:t>
            </w:r>
          </w:p>
          <w:p w14:paraId="4000B6D7">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接触器异常检测；</w:t>
            </w:r>
          </w:p>
          <w:p w14:paraId="4E928A5A">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门回路检测；</w:t>
            </w:r>
          </w:p>
          <w:p w14:paraId="7C986E2F">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抱闸力检测；</w:t>
            </w:r>
          </w:p>
          <w:p w14:paraId="55EF9AB0">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检修操作；</w:t>
            </w:r>
          </w:p>
          <w:p w14:paraId="317389B0">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故障自诊断及记录；</w:t>
            </w:r>
          </w:p>
          <w:p w14:paraId="3BEFCBCE">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磁角度自学习；</w:t>
            </w:r>
          </w:p>
          <w:p w14:paraId="0EC36535">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层楼位置信号自动修正；</w:t>
            </w:r>
          </w:p>
          <w:p w14:paraId="7DB0E86F">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井道层楼数据自学习；</w:t>
            </w:r>
          </w:p>
          <w:p w14:paraId="78E836F9">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运行次数显示；</w:t>
            </w:r>
          </w:p>
          <w:p w14:paraId="4D67DBBC">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电梯体检；</w:t>
            </w:r>
          </w:p>
          <w:p w14:paraId="2BC9DF05">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警铃报警;</w:t>
            </w:r>
          </w:p>
          <w:p w14:paraId="206D8CE9">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无线</w:t>
            </w:r>
            <w:r>
              <w:rPr>
                <w:rFonts w:hint="eastAsia" w:ascii="宋体" w:hAnsi="宋体"/>
                <w:color w:val="auto"/>
                <w:szCs w:val="21"/>
                <w:highlight w:val="none"/>
              </w:rPr>
              <w:t>五方通话；</w:t>
            </w:r>
          </w:p>
          <w:p w14:paraId="70718334">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消防应急返回；</w:t>
            </w:r>
          </w:p>
          <w:p w14:paraId="5E790863">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消防信号反馈；</w:t>
            </w:r>
          </w:p>
          <w:p w14:paraId="2FA832E2">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紧急电动运行；</w:t>
            </w:r>
          </w:p>
          <w:p w14:paraId="58A1E6DA">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轿厢应急照明；</w:t>
            </w:r>
          </w:p>
          <w:p w14:paraId="16EE1743">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远程监控（物联网功能）；</w:t>
            </w:r>
          </w:p>
          <w:p w14:paraId="00D64E5E">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启动补偿；</w:t>
            </w:r>
          </w:p>
          <w:p w14:paraId="3A9C3BAE">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直接停靠；</w:t>
            </w:r>
          </w:p>
          <w:p w14:paraId="7C462DA8">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微动平层；</w:t>
            </w:r>
          </w:p>
          <w:p w14:paraId="1A65AF05">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静音通风；</w:t>
            </w:r>
          </w:p>
          <w:p w14:paraId="02C31744">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超载报警</w:t>
            </w:r>
            <w:r>
              <w:rPr>
                <w:rFonts w:hint="eastAsia" w:ascii="宋体" w:hAnsi="宋体"/>
                <w:color w:val="auto"/>
                <w:szCs w:val="21"/>
                <w:highlight w:val="none"/>
                <w:lang w:eastAsia="zh-CN"/>
              </w:rPr>
              <w:t>；</w:t>
            </w:r>
          </w:p>
          <w:p w14:paraId="56B335C7">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语音报站；</w:t>
            </w:r>
          </w:p>
          <w:p w14:paraId="4BC0443D">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语音播报；</w:t>
            </w:r>
          </w:p>
          <w:p w14:paraId="3B263AE3">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语音安抚</w:t>
            </w:r>
            <w:r>
              <w:rPr>
                <w:rFonts w:hint="eastAsia" w:ascii="宋体" w:hAnsi="宋体"/>
                <w:color w:val="auto"/>
                <w:szCs w:val="21"/>
                <w:highlight w:val="none"/>
                <w:lang w:eastAsia="zh-CN"/>
              </w:rPr>
              <w:t>；</w:t>
            </w:r>
          </w:p>
          <w:p w14:paraId="4A4E5E3B">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内召登记声音反馈；</w:t>
            </w:r>
          </w:p>
          <w:p w14:paraId="737360C6">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静音模式（可以自行设定时间段）；</w:t>
            </w:r>
          </w:p>
          <w:p w14:paraId="5394A678">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超载指示；</w:t>
            </w:r>
          </w:p>
          <w:p w14:paraId="5480FCF7">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检修指示；</w:t>
            </w:r>
          </w:p>
          <w:p w14:paraId="500D68B6">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消防指示；</w:t>
            </w:r>
          </w:p>
          <w:p w14:paraId="059EF800">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运行方向显示；</w:t>
            </w:r>
          </w:p>
          <w:p w14:paraId="501A1832">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关门按钮提前关门；</w:t>
            </w:r>
          </w:p>
          <w:p w14:paraId="6A513852">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开门按钮重开门；</w:t>
            </w:r>
          </w:p>
          <w:p w14:paraId="10757773">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满载直驶；</w:t>
            </w:r>
          </w:p>
          <w:p w14:paraId="36A1746D">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防捣乱功能；</w:t>
            </w:r>
          </w:p>
          <w:p w14:paraId="27F90AE6">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反向指令自动消除；</w:t>
            </w:r>
          </w:p>
          <w:p w14:paraId="4B01ED10">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轿内误指令消除</w:t>
            </w:r>
            <w:r>
              <w:rPr>
                <w:rFonts w:hint="eastAsia" w:ascii="宋体" w:hAnsi="宋体"/>
                <w:color w:val="auto"/>
                <w:szCs w:val="21"/>
                <w:highlight w:val="none"/>
                <w:lang w:eastAsia="zh-CN"/>
              </w:rPr>
              <w:t>；</w:t>
            </w:r>
          </w:p>
          <w:p w14:paraId="7D70FDB9">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厅外误指令消除；</w:t>
            </w:r>
          </w:p>
          <w:p w14:paraId="5E3B402D">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外召按钮嵌入自诊断；</w:t>
            </w:r>
          </w:p>
          <w:p w14:paraId="6CD0FA31">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 xml:space="preserve"> 驻停模式</w:t>
            </w:r>
            <w:r>
              <w:rPr>
                <w:rFonts w:hint="eastAsia" w:ascii="宋体" w:hAnsi="宋体"/>
                <w:color w:val="auto"/>
                <w:szCs w:val="21"/>
                <w:highlight w:val="none"/>
                <w:lang w:eastAsia="zh-CN"/>
              </w:rPr>
              <w:t>；</w:t>
            </w:r>
          </w:p>
          <w:p w14:paraId="2B6B5CA3">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司机服务；</w:t>
            </w:r>
          </w:p>
          <w:p w14:paraId="3AA64AFE">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专用服务；</w:t>
            </w:r>
          </w:p>
          <w:p w14:paraId="2D19C05D">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风扇照明手动关闭；</w:t>
            </w:r>
          </w:p>
          <w:p w14:paraId="569CC4FC">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 xml:space="preserve"> 休眠节能；</w:t>
            </w:r>
          </w:p>
          <w:p w14:paraId="0BD2DE07">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开门时间分别控制；</w:t>
            </w:r>
          </w:p>
          <w:p w14:paraId="73C17863">
            <w:pPr>
              <w:widowControl/>
              <w:numPr>
                <w:ilvl w:val="0"/>
                <w:numId w:val="3"/>
              </w:numPr>
              <w:jc w:val="left"/>
              <w:rPr>
                <w:rFonts w:hint="default" w:ascii="宋体" w:hAnsi="宋体"/>
                <w:color w:val="auto"/>
                <w:szCs w:val="21"/>
                <w:highlight w:val="none"/>
                <w:lang w:val="en-US" w:eastAsia="zh-CN"/>
              </w:rPr>
            </w:pPr>
            <w:r>
              <w:rPr>
                <w:rFonts w:hint="eastAsia" w:ascii="宋体" w:hAnsi="宋体"/>
                <w:color w:val="auto"/>
                <w:szCs w:val="21"/>
                <w:highlight w:val="none"/>
              </w:rPr>
              <w:t>全集选控制；</w:t>
            </w:r>
          </w:p>
          <w:p w14:paraId="2FE5828F">
            <w:pPr>
              <w:widowControl/>
              <w:numPr>
                <w:ilvl w:val="0"/>
                <w:numId w:val="3"/>
              </w:num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视频监控（配置摄像头）；</w:t>
            </w:r>
          </w:p>
          <w:p w14:paraId="647C6285">
            <w:pPr>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五、装饰材质要求</w:t>
            </w:r>
          </w:p>
          <w:p w14:paraId="1EEC10E6">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1、轿厢装饰要求：</w:t>
            </w:r>
            <w:r>
              <w:rPr>
                <w:rFonts w:hint="eastAsia" w:ascii="宋体" w:hAnsi="宋体" w:cs="宋体"/>
                <w:color w:val="auto"/>
                <w:szCs w:val="21"/>
                <w:highlight w:val="none"/>
              </w:rPr>
              <w:t>发纹不锈钢 ，轿厢后壁中间镜面不锈钢；</w:t>
            </w:r>
            <w:r>
              <w:rPr>
                <w:rFonts w:hint="eastAsia" w:ascii="宋体" w:hAnsi="宋体" w:cs="宋体"/>
                <w:color w:val="auto"/>
                <w:szCs w:val="21"/>
                <w:highlight w:val="none"/>
                <w:lang w:val="zh-CN"/>
              </w:rPr>
              <w:t xml:space="preserve"> </w:t>
            </w:r>
          </w:p>
          <w:p w14:paraId="47EDB26E">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2、踢脚板：发纹不锈钢；</w:t>
            </w:r>
          </w:p>
          <w:p w14:paraId="3DCC38BF">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3、轿门地坎：</w:t>
            </w:r>
            <w:r>
              <w:rPr>
                <w:rFonts w:hint="eastAsia" w:ascii="宋体" w:hAnsi="宋体" w:cs="宋体"/>
                <w:color w:val="auto"/>
                <w:szCs w:val="21"/>
                <w:highlight w:val="none"/>
                <w:lang w:val="zh-CN"/>
              </w:rPr>
              <w:t>挤压成型硬铝；</w:t>
            </w:r>
          </w:p>
          <w:p w14:paraId="021DEF24">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4、轿厢门：发纹不锈钢；</w:t>
            </w:r>
          </w:p>
          <w:p w14:paraId="50A86EC5">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5、层门、门套：层层发纹不锈钢厅门，不锈钢大门套（大门套门框正面单边宽度单边应≥200mm），轿壁、轿门、厅门及门套不锈钢厚度应≥1.5mm；6、轿厢地面：</w:t>
            </w:r>
            <w:r>
              <w:rPr>
                <w:rFonts w:hint="eastAsia" w:ascii="宋体" w:hAnsi="宋体" w:cs="宋体"/>
                <w:color w:val="auto"/>
                <w:szCs w:val="21"/>
                <w:highlight w:val="none"/>
              </w:rPr>
              <w:t>PVC地板</w:t>
            </w:r>
            <w:r>
              <w:rPr>
                <w:rFonts w:hint="eastAsia" w:ascii="宋体" w:hAnsi="宋体" w:cs="宋体"/>
                <w:color w:val="auto"/>
                <w:szCs w:val="21"/>
                <w:highlight w:val="none"/>
                <w:lang w:val="zh-CN"/>
              </w:rPr>
              <w:t>；</w:t>
            </w:r>
          </w:p>
          <w:p w14:paraId="4EC4A290">
            <w:pPr>
              <w:tabs>
                <w:tab w:val="left" w:pos="756"/>
                <w:tab w:val="left" w:pos="3456"/>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7、轿厢召唤箱：发纹</w:t>
            </w:r>
            <w:r>
              <w:rPr>
                <w:rFonts w:hint="eastAsia" w:ascii="宋体" w:hAnsi="宋体" w:cs="宋体"/>
                <w:color w:val="auto"/>
                <w:highlight w:val="none"/>
              </w:rPr>
              <w:t>不锈钢面板</w:t>
            </w:r>
            <w:r>
              <w:rPr>
                <w:rFonts w:hint="eastAsia" w:ascii="宋体" w:hAnsi="宋体" w:cs="宋体"/>
                <w:color w:val="auto"/>
                <w:szCs w:val="21"/>
                <w:highlight w:val="none"/>
              </w:rPr>
              <w:t>；微动式盲文按钮</w:t>
            </w:r>
          </w:p>
          <w:p w14:paraId="51CE0D58">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8</w:t>
            </w:r>
            <w:r>
              <w:rPr>
                <w:rFonts w:hint="eastAsia" w:ascii="宋体" w:hAnsi="宋体" w:cs="宋体"/>
                <w:color w:val="auto"/>
                <w:szCs w:val="21"/>
                <w:highlight w:val="none"/>
                <w:lang w:val="zh-CN"/>
              </w:rPr>
              <w:t>、厅门召唤箱：薄型外挂式，不锈钢面板，微动式</w:t>
            </w:r>
            <w:r>
              <w:rPr>
                <w:rFonts w:hint="eastAsia" w:ascii="宋体" w:hAnsi="宋体" w:cs="宋体"/>
                <w:color w:val="auto"/>
                <w:szCs w:val="21"/>
                <w:highlight w:val="none"/>
              </w:rPr>
              <w:t>盲文</w:t>
            </w:r>
            <w:r>
              <w:rPr>
                <w:rFonts w:hint="eastAsia" w:ascii="宋体" w:hAnsi="宋体" w:cs="宋体"/>
                <w:color w:val="auto"/>
                <w:szCs w:val="21"/>
                <w:highlight w:val="none"/>
                <w:lang w:val="zh-CN"/>
              </w:rPr>
              <w:t>按钮；</w:t>
            </w:r>
          </w:p>
          <w:p w14:paraId="3E03C8B2">
            <w:pPr>
              <w:spacing w:line="360" w:lineRule="auto"/>
              <w:rPr>
                <w:rFonts w:hint="eastAsia" w:ascii="宋体" w:hAnsi="宋体" w:eastAsia="宋体" w:cs="宋体"/>
                <w:color w:val="auto"/>
                <w:spacing w:val="-4"/>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、轿厢天花：</w:t>
            </w:r>
            <w:r>
              <w:rPr>
                <w:rFonts w:hint="eastAsia" w:ascii="宋体" w:hAnsi="宋体" w:cs="宋体"/>
                <w:color w:val="auto"/>
                <w:spacing w:val="-4"/>
                <w:szCs w:val="21"/>
                <w:highlight w:val="none"/>
              </w:rPr>
              <w:t>原装配置LED，经过防尘、无静电处理</w:t>
            </w:r>
            <w:r>
              <w:rPr>
                <w:rFonts w:hint="eastAsia" w:ascii="宋体" w:hAnsi="宋体" w:cs="宋体"/>
                <w:color w:val="auto"/>
                <w:szCs w:val="21"/>
                <w:highlight w:val="none"/>
              </w:rPr>
              <w:t>，</w:t>
            </w:r>
            <w:r>
              <w:rPr>
                <w:rFonts w:hint="eastAsia" w:ascii="宋体" w:hAnsi="宋体" w:cs="宋体"/>
                <w:color w:val="auto"/>
                <w:szCs w:val="21"/>
                <w:highlight w:val="none"/>
                <w:lang w:val="zh-CN"/>
              </w:rPr>
              <w:t>轿厢通风系统：轿顶风口送风。</w:t>
            </w:r>
          </w:p>
          <w:p w14:paraId="59C40698">
            <w:pPr>
              <w:pStyle w:val="23"/>
              <w:ind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pacing w:val="-4"/>
                <w:szCs w:val="21"/>
                <w:highlight w:val="none"/>
                <w:lang w:val="en-US" w:eastAsia="zh-CN"/>
              </w:rPr>
              <w:t>六、</w:t>
            </w:r>
            <w:r>
              <w:rPr>
                <w:rFonts w:hint="eastAsia" w:ascii="宋体" w:hAnsi="宋体" w:eastAsia="宋体" w:cs="宋体"/>
                <w:color w:val="auto"/>
                <w:kern w:val="2"/>
                <w:sz w:val="21"/>
                <w:szCs w:val="21"/>
                <w:highlight w:val="none"/>
                <w:lang w:val="zh-CN" w:eastAsia="zh-CN" w:bidi="ar-SA"/>
              </w:rPr>
              <w:t>其他事项：</w:t>
            </w:r>
          </w:p>
          <w:p w14:paraId="74C66781">
            <w:pPr>
              <w:spacing w:line="360" w:lineRule="auto"/>
              <w:rPr>
                <w:rFonts w:hint="eastAsia" w:ascii="宋体" w:hAnsi="宋体" w:eastAsia="宋体" w:cs="宋体"/>
                <w:color w:val="auto"/>
                <w:kern w:val="2"/>
                <w:sz w:val="21"/>
                <w:szCs w:val="21"/>
                <w:highlight w:val="yellow"/>
                <w:lang w:val="en-US" w:eastAsia="zh-CN" w:bidi="ar-SA"/>
              </w:rPr>
            </w:pPr>
            <w:r>
              <w:rPr>
                <w:rFonts w:hint="eastAsia" w:ascii="宋体" w:hAnsi="宋体" w:cs="宋体"/>
                <w:color w:val="auto"/>
                <w:szCs w:val="21"/>
                <w:highlight w:val="yellow"/>
                <w:lang w:val="zh-CN"/>
              </w:rPr>
              <w:t>▲</w:t>
            </w:r>
            <w:r>
              <w:rPr>
                <w:rFonts w:hint="eastAsia" w:ascii="宋体" w:hAnsi="宋体" w:eastAsia="宋体" w:cs="宋体"/>
                <w:color w:val="auto"/>
                <w:kern w:val="2"/>
                <w:sz w:val="21"/>
                <w:szCs w:val="21"/>
                <w:highlight w:val="yellow"/>
                <w:lang w:val="en-US" w:eastAsia="zh-CN" w:bidi="ar-SA"/>
              </w:rPr>
              <w:t>1.由</w:t>
            </w:r>
            <w:r>
              <w:rPr>
                <w:rFonts w:hint="eastAsia" w:ascii="宋体" w:hAnsi="宋体" w:cs="宋体"/>
                <w:color w:val="auto"/>
                <w:kern w:val="2"/>
                <w:sz w:val="21"/>
                <w:szCs w:val="21"/>
                <w:highlight w:val="yellow"/>
                <w:lang w:val="en-US" w:eastAsia="zh-CN" w:bidi="ar-SA"/>
              </w:rPr>
              <w:t>成交人</w:t>
            </w:r>
            <w:r>
              <w:rPr>
                <w:rFonts w:hint="eastAsia" w:ascii="宋体" w:hAnsi="宋体" w:eastAsia="宋体" w:cs="宋体"/>
                <w:color w:val="auto"/>
                <w:kern w:val="2"/>
                <w:sz w:val="21"/>
                <w:szCs w:val="21"/>
                <w:highlight w:val="yellow"/>
                <w:lang w:val="en-US" w:eastAsia="zh-CN" w:bidi="ar-SA"/>
              </w:rPr>
              <w:t>负责厅门门洞封堵，机房孔洞封堵，机座混凝土浇筑、封堵，机房钢丝绳孔洞防水边制作，应符合电梯验收规范。</w:t>
            </w:r>
            <w:r>
              <w:rPr>
                <w:rFonts w:hint="eastAsia" w:ascii="宋体" w:hAnsi="宋体" w:cs="宋体"/>
                <w:color w:val="auto"/>
                <w:kern w:val="2"/>
                <w:sz w:val="21"/>
                <w:szCs w:val="21"/>
                <w:highlight w:val="yellow"/>
                <w:lang w:val="en-US" w:eastAsia="zh-CN" w:bidi="ar-SA"/>
              </w:rPr>
              <w:t>费用由成交人负责人。</w:t>
            </w:r>
          </w:p>
          <w:p w14:paraId="6AAE10E1">
            <w:pPr>
              <w:pStyle w:val="23"/>
              <w:ind w:firstLine="0" w:firstLineChars="0"/>
              <w:rPr>
                <w:rFonts w:hint="eastAsia" w:ascii="宋体" w:hAnsi="宋体" w:cs="宋体"/>
                <w:color w:val="auto"/>
                <w:kern w:val="1"/>
                <w:szCs w:val="21"/>
                <w:highlight w:val="none"/>
              </w:rPr>
            </w:pPr>
            <w:r>
              <w:rPr>
                <w:rFonts w:hint="eastAsia" w:ascii="宋体" w:hAnsi="宋体" w:cs="宋体"/>
                <w:color w:val="auto"/>
                <w:szCs w:val="21"/>
                <w:highlight w:val="yellow"/>
                <w:lang w:val="zh-CN"/>
              </w:rPr>
              <w:t>▲</w:t>
            </w:r>
            <w:r>
              <w:rPr>
                <w:rFonts w:hint="eastAsia" w:ascii="宋体" w:hAnsi="宋体" w:eastAsia="宋体" w:cs="宋体"/>
                <w:color w:val="auto"/>
                <w:kern w:val="2"/>
                <w:sz w:val="21"/>
                <w:szCs w:val="21"/>
                <w:highlight w:val="yellow"/>
                <w:lang w:val="en-US" w:eastAsia="zh-CN" w:bidi="ar-SA"/>
              </w:rPr>
              <w:t>2.</w:t>
            </w:r>
            <w:r>
              <w:rPr>
                <w:rFonts w:hint="eastAsia" w:ascii="宋体" w:hAnsi="宋体" w:eastAsia="宋体" w:cs="宋体"/>
                <w:color w:val="auto"/>
                <w:kern w:val="2"/>
                <w:sz w:val="21"/>
                <w:szCs w:val="21"/>
                <w:highlight w:val="yellow"/>
                <w:lang w:val="zh-CN" w:eastAsia="zh-CN" w:bidi="ar-SA"/>
              </w:rPr>
              <w:t>采购单位有权对以上主要部件聘请专家及第三方专业机构进行核查，核查费用由采购人支付。成交人需配合提供主要部件的电梯质量监督检验机构或第三方机构出具的检验报告复印件等能证明达到技术参数及性能配置要求的材料。若出现弄虚作假情况，一经查实，采购单位将予以退货或换货，核查费用由成交人支付，并将追究成交人法律责任并要求供应商赔偿相关损失。</w:t>
            </w:r>
          </w:p>
        </w:tc>
      </w:tr>
      <w:tr w14:paraId="17B0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6BCCCE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22" w:type="dxa"/>
            <w:noWrap w:val="0"/>
            <w:vAlign w:val="center"/>
          </w:tcPr>
          <w:p w14:paraId="73DE34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小机房</w:t>
            </w:r>
          </w:p>
          <w:p w14:paraId="6C4EA8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无障碍医用电梯兼</w:t>
            </w:r>
          </w:p>
          <w:p w14:paraId="7EF926F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消防电梯</w:t>
            </w:r>
          </w:p>
        </w:tc>
        <w:tc>
          <w:tcPr>
            <w:tcW w:w="785" w:type="dxa"/>
            <w:noWrap w:val="0"/>
            <w:vAlign w:val="center"/>
          </w:tcPr>
          <w:p w14:paraId="5F2F71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2台</w:t>
            </w:r>
          </w:p>
        </w:tc>
        <w:tc>
          <w:tcPr>
            <w:tcW w:w="7070" w:type="dxa"/>
            <w:noWrap w:val="0"/>
            <w:vAlign w:val="center"/>
          </w:tcPr>
          <w:p w14:paraId="4003C4B3">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一、技术规格参数要求：</w:t>
            </w:r>
          </w:p>
          <w:p w14:paraId="6D748E78">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1、额定载重量：≥</w:t>
            </w:r>
            <w:r>
              <w:rPr>
                <w:rFonts w:hint="eastAsia" w:ascii="宋体" w:hAnsi="宋体" w:cs="宋体"/>
                <w:color w:val="auto"/>
                <w:szCs w:val="21"/>
                <w:highlight w:val="none"/>
              </w:rPr>
              <w:t>1600</w:t>
            </w:r>
            <w:r>
              <w:rPr>
                <w:rFonts w:hint="eastAsia" w:ascii="宋体" w:hAnsi="宋体" w:cs="宋体"/>
                <w:color w:val="auto"/>
                <w:szCs w:val="21"/>
                <w:highlight w:val="none"/>
                <w:lang w:val="zh-CN"/>
              </w:rPr>
              <w:t>公斤；</w:t>
            </w:r>
          </w:p>
          <w:p w14:paraId="4C3409FA">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2、层/站/门：</w:t>
            </w:r>
            <w:r>
              <w:rPr>
                <w:rFonts w:hint="eastAsia" w:ascii="宋体" w:hAnsi="宋体" w:cs="宋体"/>
                <w:color w:val="auto"/>
                <w:szCs w:val="21"/>
                <w:highlight w:val="none"/>
              </w:rPr>
              <w:t>10</w:t>
            </w:r>
            <w:r>
              <w:rPr>
                <w:rFonts w:hint="eastAsia" w:ascii="宋体" w:hAnsi="宋体" w:cs="宋体"/>
                <w:color w:val="auto"/>
                <w:szCs w:val="21"/>
                <w:highlight w:val="none"/>
                <w:lang w:val="zh-CN"/>
              </w:rPr>
              <w:t>层</w:t>
            </w:r>
            <w:r>
              <w:rPr>
                <w:rFonts w:hint="eastAsia" w:ascii="宋体" w:hAnsi="宋体" w:cs="宋体"/>
                <w:color w:val="auto"/>
                <w:szCs w:val="21"/>
                <w:highlight w:val="none"/>
              </w:rPr>
              <w:t>10</w:t>
            </w:r>
            <w:r>
              <w:rPr>
                <w:rFonts w:hint="eastAsia" w:ascii="宋体" w:hAnsi="宋体" w:cs="宋体"/>
                <w:color w:val="auto"/>
                <w:szCs w:val="21"/>
                <w:highlight w:val="none"/>
                <w:lang w:val="zh-CN"/>
              </w:rPr>
              <w:t>站</w:t>
            </w:r>
            <w:r>
              <w:rPr>
                <w:rFonts w:hint="eastAsia" w:ascii="宋体" w:hAnsi="宋体" w:cs="宋体"/>
                <w:color w:val="auto"/>
                <w:szCs w:val="21"/>
                <w:highlight w:val="none"/>
              </w:rPr>
              <w:t>10</w:t>
            </w:r>
            <w:r>
              <w:rPr>
                <w:rFonts w:hint="eastAsia" w:ascii="宋体" w:hAnsi="宋体" w:cs="宋体"/>
                <w:color w:val="auto"/>
                <w:szCs w:val="21"/>
                <w:highlight w:val="none"/>
                <w:lang w:val="zh-CN"/>
              </w:rPr>
              <w:t>门；</w:t>
            </w:r>
          </w:p>
          <w:p w14:paraId="1892153E">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额定速度：</w:t>
            </w:r>
            <w:r>
              <w:rPr>
                <w:rFonts w:hint="eastAsia" w:ascii="宋体" w:hAnsi="宋体" w:cs="宋体"/>
                <w:color w:val="auto"/>
                <w:szCs w:val="21"/>
                <w:highlight w:val="none"/>
              </w:rPr>
              <w:t>1.0</w:t>
            </w:r>
            <w:r>
              <w:rPr>
                <w:rFonts w:hint="eastAsia" w:ascii="宋体" w:hAnsi="宋体" w:cs="宋体"/>
                <w:color w:val="auto"/>
                <w:szCs w:val="21"/>
                <w:highlight w:val="none"/>
                <w:lang w:val="zh-CN"/>
              </w:rPr>
              <w:t>米/秒；</w:t>
            </w:r>
          </w:p>
          <w:p w14:paraId="4501AF32">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、轿厢尺寸宽×深×高：</w:t>
            </w:r>
            <w:r>
              <w:rPr>
                <w:rFonts w:hint="eastAsia" w:ascii="宋体" w:hAnsi="宋体" w:cs="宋体"/>
                <w:color w:val="auto"/>
                <w:szCs w:val="21"/>
                <w:highlight w:val="none"/>
              </w:rPr>
              <w:t>1400</w:t>
            </w:r>
            <w:r>
              <w:rPr>
                <w:rFonts w:hint="eastAsia" w:ascii="宋体" w:hAnsi="宋体" w:cs="宋体"/>
                <w:color w:val="auto"/>
                <w:szCs w:val="21"/>
                <w:highlight w:val="none"/>
                <w:lang w:val="zh-CN"/>
              </w:rPr>
              <w:t>mm×</w:t>
            </w:r>
            <w:r>
              <w:rPr>
                <w:rFonts w:hint="eastAsia" w:ascii="宋体" w:hAnsi="宋体" w:cs="宋体"/>
                <w:color w:val="auto"/>
                <w:szCs w:val="21"/>
                <w:highlight w:val="none"/>
              </w:rPr>
              <w:t>24</w:t>
            </w:r>
            <w:r>
              <w:rPr>
                <w:rFonts w:hint="eastAsia" w:ascii="宋体" w:hAnsi="宋体" w:cs="宋体"/>
                <w:color w:val="auto"/>
                <w:szCs w:val="21"/>
                <w:highlight w:val="none"/>
                <w:lang w:val="zh-CN"/>
              </w:rPr>
              <w:t>00mm×</w:t>
            </w:r>
            <w:r>
              <w:rPr>
                <w:rFonts w:hint="eastAsia" w:ascii="宋体" w:hAnsi="宋体" w:cs="宋体"/>
                <w:color w:val="auto"/>
                <w:szCs w:val="21"/>
                <w:highlight w:val="none"/>
              </w:rPr>
              <w:t>2350</w:t>
            </w:r>
            <w:r>
              <w:rPr>
                <w:rFonts w:hint="eastAsia" w:ascii="宋体" w:hAnsi="宋体" w:cs="宋体"/>
                <w:color w:val="auto"/>
                <w:szCs w:val="21"/>
                <w:highlight w:val="none"/>
                <w:lang w:val="zh-CN"/>
              </w:rPr>
              <w:t>mm；</w:t>
            </w:r>
          </w:p>
          <w:p w14:paraId="11B54C5C">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井道净空尺寸宽×深：</w:t>
            </w:r>
            <w:r>
              <w:rPr>
                <w:rFonts w:hint="eastAsia" w:ascii="宋体" w:hAnsi="宋体" w:cs="宋体"/>
                <w:color w:val="auto"/>
                <w:szCs w:val="21"/>
                <w:highlight w:val="none"/>
              </w:rPr>
              <w:t>2500</w:t>
            </w:r>
            <w:r>
              <w:rPr>
                <w:rFonts w:hint="eastAsia" w:ascii="宋体" w:hAnsi="宋体" w:cs="宋体"/>
                <w:color w:val="auto"/>
                <w:szCs w:val="21"/>
                <w:highlight w:val="none"/>
                <w:lang w:val="zh-CN"/>
              </w:rPr>
              <w:t>mm×</w:t>
            </w:r>
            <w:r>
              <w:rPr>
                <w:rFonts w:hint="eastAsia" w:ascii="宋体" w:hAnsi="宋体" w:cs="宋体"/>
                <w:color w:val="auto"/>
                <w:szCs w:val="21"/>
                <w:highlight w:val="none"/>
              </w:rPr>
              <w:t>3000</w:t>
            </w:r>
            <w:r>
              <w:rPr>
                <w:rFonts w:hint="eastAsia" w:ascii="宋体" w:hAnsi="宋体" w:cs="宋体"/>
                <w:color w:val="auto"/>
                <w:szCs w:val="21"/>
                <w:highlight w:val="none"/>
                <w:lang w:val="zh-CN"/>
              </w:rPr>
              <w:t>mm；</w:t>
            </w:r>
          </w:p>
          <w:p w14:paraId="36D7CF91">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6</w:t>
            </w:r>
            <w:r>
              <w:rPr>
                <w:rFonts w:hint="eastAsia" w:ascii="宋体" w:hAnsi="宋体" w:cs="宋体"/>
                <w:color w:val="auto"/>
                <w:szCs w:val="21"/>
                <w:highlight w:val="none"/>
                <w:lang w:val="zh-CN"/>
              </w:rPr>
              <w:t>、顶层净高：4</w:t>
            </w:r>
            <w:r>
              <w:rPr>
                <w:rFonts w:hint="eastAsia" w:ascii="宋体" w:hAnsi="宋体" w:cs="宋体"/>
                <w:color w:val="auto"/>
                <w:szCs w:val="21"/>
                <w:highlight w:val="none"/>
              </w:rPr>
              <w:t>.45米</w:t>
            </w:r>
            <w:r>
              <w:rPr>
                <w:rFonts w:hint="eastAsia" w:ascii="宋体" w:hAnsi="宋体" w:cs="宋体"/>
                <w:color w:val="auto"/>
                <w:szCs w:val="21"/>
                <w:highlight w:val="none"/>
                <w:lang w:val="zh-CN"/>
              </w:rPr>
              <w:t>；</w:t>
            </w:r>
          </w:p>
          <w:p w14:paraId="63D90409">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7</w:t>
            </w:r>
            <w:r>
              <w:rPr>
                <w:rFonts w:hint="eastAsia" w:ascii="宋体" w:hAnsi="宋体" w:cs="宋体"/>
                <w:color w:val="auto"/>
                <w:szCs w:val="21"/>
                <w:highlight w:val="none"/>
                <w:lang w:val="zh-CN"/>
              </w:rPr>
              <w:t>、底坑净深：</w:t>
            </w:r>
            <w:r>
              <w:rPr>
                <w:rFonts w:hint="eastAsia" w:ascii="宋体" w:hAnsi="宋体" w:cs="宋体"/>
                <w:color w:val="auto"/>
                <w:szCs w:val="21"/>
                <w:highlight w:val="none"/>
              </w:rPr>
              <w:t>1.8米</w:t>
            </w:r>
            <w:r>
              <w:rPr>
                <w:rFonts w:hint="eastAsia" w:ascii="宋体" w:hAnsi="宋体" w:cs="宋体"/>
                <w:color w:val="auto"/>
                <w:szCs w:val="21"/>
                <w:highlight w:val="none"/>
                <w:lang w:val="zh-CN"/>
              </w:rPr>
              <w:t>；</w:t>
            </w:r>
          </w:p>
          <w:p w14:paraId="00021F75">
            <w:pPr>
              <w:tabs>
                <w:tab w:val="left" w:pos="756"/>
                <w:tab w:val="left" w:pos="3456"/>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8、提升高度：35.5米</w:t>
            </w:r>
          </w:p>
          <w:p w14:paraId="06F85E9F">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、开门尺寸宽×高：</w:t>
            </w:r>
            <w:r>
              <w:rPr>
                <w:rFonts w:hint="eastAsia" w:ascii="宋体" w:hAnsi="宋体" w:cs="宋体"/>
                <w:color w:val="auto"/>
                <w:szCs w:val="21"/>
                <w:highlight w:val="none"/>
              </w:rPr>
              <w:t>11</w:t>
            </w:r>
            <w:r>
              <w:rPr>
                <w:rFonts w:hint="eastAsia" w:ascii="宋体" w:hAnsi="宋体" w:cs="宋体"/>
                <w:color w:val="auto"/>
                <w:szCs w:val="21"/>
                <w:highlight w:val="none"/>
                <w:lang w:val="zh-CN"/>
              </w:rPr>
              <w:t>00mm×2100mm；</w:t>
            </w:r>
          </w:p>
          <w:p w14:paraId="7F8F5391">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10、控制方式：单控；</w:t>
            </w:r>
          </w:p>
          <w:p w14:paraId="5F386187">
            <w:pPr>
              <w:widowControl/>
              <w:spacing w:line="360" w:lineRule="auto"/>
              <w:jc w:val="left"/>
              <w:rPr>
                <w:rFonts w:hint="eastAsia" w:ascii="宋体" w:hAnsi="宋体" w:cs="宋体"/>
                <w:color w:val="auto"/>
                <w:highlight w:val="none"/>
                <w:lang w:val="zh-CN"/>
              </w:rPr>
            </w:pPr>
            <w:r>
              <w:rPr>
                <w:rFonts w:hint="eastAsia" w:ascii="宋体" w:hAnsi="宋体" w:cs="宋体"/>
                <w:color w:val="auto"/>
                <w:kern w:val="0"/>
                <w:szCs w:val="21"/>
                <w:highlight w:val="none"/>
              </w:rPr>
              <w:t>备注：以上尺寸均以双方现场确认为准。</w:t>
            </w:r>
          </w:p>
          <w:p w14:paraId="535621DA">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二、技术要求：</w:t>
            </w:r>
          </w:p>
          <w:p w14:paraId="7FA3E473">
            <w:pPr>
              <w:tabs>
                <w:tab w:val="left" w:pos="756"/>
                <w:tab w:val="left" w:pos="3456"/>
              </w:tabs>
              <w:autoSpaceDE w:val="0"/>
              <w:autoSpaceDN w:val="0"/>
              <w:spacing w:line="360" w:lineRule="auto"/>
              <w:rPr>
                <w:rFonts w:hint="eastAsia" w:ascii="宋体" w:hAnsi="宋体" w:eastAsia="宋体" w:cs="宋体"/>
                <w:color w:val="auto"/>
                <w:szCs w:val="21"/>
                <w:highlight w:val="yellow"/>
                <w:lang w:eastAsia="zh-CN"/>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1、控制系统：32位微机处理器，采用模块化全电脑控制，主控制系统集运行逻辑系统、逆变驱动系统与网络通讯系统一体化，信号处理均由32位主控制系统担当。</w:t>
            </w:r>
            <w:r>
              <w:rPr>
                <w:rFonts w:hint="eastAsia" w:ascii="宋体" w:hAnsi="宋体" w:eastAsia="宋体" w:cs="宋体"/>
                <w:color w:val="auto"/>
                <w:sz w:val="21"/>
                <w:szCs w:val="21"/>
                <w:highlight w:val="yellow"/>
              </w:rPr>
              <w:t>控制主电路板必须为投标品牌制造商设计及生产，不接受外购和代工生产（贴牌生产）的产品</w:t>
            </w:r>
            <w:r>
              <w:rPr>
                <w:rFonts w:hint="eastAsia" w:ascii="宋体" w:hAnsi="宋体" w:eastAsia="宋体" w:cs="宋体"/>
                <w:color w:val="auto"/>
                <w:sz w:val="21"/>
                <w:szCs w:val="21"/>
                <w:highlight w:val="yellow"/>
                <w:lang w:eastAsia="zh-CN"/>
              </w:rPr>
              <w:t>。</w:t>
            </w:r>
          </w:p>
          <w:p w14:paraId="7D9A9076">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2、变频系统：采用双32 位新型、高性能的DSP，双微机控制分别负责位置控制及逆变控制，配置IPM 变频功率模块，增加位置控制的零速锁定控制。</w:t>
            </w:r>
          </w:p>
          <w:p w14:paraId="472C78C5">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3、曳引系统：永磁同步主机，主机绕组绝缘等级为F级(含)以上，具备防脱磁钢设计。</w:t>
            </w:r>
          </w:p>
          <w:p w14:paraId="4C072907">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4、门机系统：永磁同步门机，使用32位微机控制，门机变频模块采用智能变频功率模块。</w:t>
            </w:r>
            <w:r>
              <w:rPr>
                <w:rFonts w:hint="eastAsia" w:ascii="宋体" w:hAnsi="宋体" w:eastAsia="宋体" w:cs="宋体"/>
                <w:color w:val="auto"/>
                <w:sz w:val="21"/>
                <w:szCs w:val="21"/>
                <w:highlight w:val="yellow"/>
              </w:rPr>
              <w:t>门系统运行寿命试验：在进行≥</w:t>
            </w:r>
            <w:r>
              <w:rPr>
                <w:rFonts w:hint="eastAsia" w:ascii="宋体" w:hAnsi="宋体" w:cs="宋体"/>
                <w:color w:val="auto"/>
                <w:sz w:val="21"/>
                <w:szCs w:val="21"/>
                <w:highlight w:val="yellow"/>
                <w:lang w:val="en-US" w:eastAsia="zh-CN"/>
              </w:rPr>
              <w:t>5</w:t>
            </w:r>
            <w:r>
              <w:rPr>
                <w:rFonts w:hint="eastAsia" w:ascii="宋体" w:hAnsi="宋体" w:eastAsia="宋体" w:cs="宋体"/>
                <w:color w:val="auto"/>
                <w:sz w:val="21"/>
                <w:szCs w:val="21"/>
                <w:highlight w:val="yellow"/>
              </w:rPr>
              <w:t>00万次完全循环操作，门机电子板、门电机及门锁装置不更换，结束后应满足：门开关过程的噪声值≤65dB、当乘客在轿门关闭过程中，通过入口时被门扇撞击或将被撞击，保护装置应使门扇自动重新开启、门机在关门过程中受阻时能反开、开关门动作正常</w:t>
            </w:r>
            <w:r>
              <w:rPr>
                <w:rFonts w:hint="eastAsia" w:ascii="宋体" w:hAnsi="宋体" w:cs="宋体"/>
                <w:color w:val="auto"/>
                <w:szCs w:val="21"/>
                <w:highlight w:val="yellow"/>
              </w:rPr>
              <w:t>。</w:t>
            </w:r>
          </w:p>
          <w:p w14:paraId="0DC00855">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5、通讯方式：采用抗干扰性强，可靠性高，能高速可靠传递厅外、轿厢召唤信号的高频脉冲变压器串行通讯技术</w:t>
            </w:r>
          </w:p>
          <w:p w14:paraId="09AF374E">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6、网络智能化传输系统：采用网络智能传输系统，主控制系统为通讯设置专用的8位微机处理系统。</w:t>
            </w:r>
          </w:p>
          <w:p w14:paraId="541EA5D6">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7、系统保护：可设定电子热继电器的热时间常数，可输入缺相保护功能。</w:t>
            </w:r>
          </w:p>
          <w:p w14:paraId="17B59D84">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8、电梯主体结构采用全方位抗震保护设计，电梯设备具有抗地震等级的设计，确保电梯安全。</w:t>
            </w:r>
          </w:p>
          <w:p w14:paraId="18286A3D">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9、轿厢架构：采用无焊接轿架及无焊接轿底工艺，保证构件加工精度、确保部件品质。</w:t>
            </w:r>
          </w:p>
          <w:p w14:paraId="3DB06518">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10、电梯主机制动器试验内容：轿厢内加载至</w:t>
            </w:r>
            <w:r>
              <w:rPr>
                <w:rFonts w:hint="eastAsia" w:ascii="宋体" w:hAnsi="宋体" w:cs="宋体"/>
                <w:color w:val="auto"/>
                <w:szCs w:val="21"/>
                <w:highlight w:val="yellow"/>
                <w:lang w:val="en-US" w:eastAsia="zh-CN"/>
              </w:rPr>
              <w:t>170</w:t>
            </w:r>
            <w:r>
              <w:rPr>
                <w:rFonts w:hint="eastAsia" w:ascii="宋体" w:hAnsi="宋体" w:cs="宋体"/>
                <w:color w:val="auto"/>
                <w:szCs w:val="21"/>
                <w:highlight w:val="yellow"/>
              </w:rPr>
              <w:t>%额定载荷及以上设计并保持</w:t>
            </w:r>
            <w:r>
              <w:rPr>
                <w:rFonts w:hint="eastAsia" w:ascii="宋体" w:hAnsi="宋体" w:cs="宋体"/>
                <w:color w:val="auto"/>
                <w:szCs w:val="21"/>
                <w:highlight w:val="yellow"/>
                <w:lang w:val="en-US" w:eastAsia="zh-CN"/>
              </w:rPr>
              <w:t>15</w:t>
            </w:r>
            <w:r>
              <w:rPr>
                <w:rFonts w:hint="eastAsia" w:ascii="宋体" w:hAnsi="宋体" w:cs="宋体"/>
                <w:color w:val="auto"/>
                <w:szCs w:val="21"/>
                <w:highlight w:val="yellow"/>
              </w:rPr>
              <w:t>min期间电梯应符合：各部件完好、曳引机不转动。</w:t>
            </w:r>
          </w:p>
          <w:p w14:paraId="272CC24D">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11、门电机：采用原品牌永磁同步门电机</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外壳防护等级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w:t>
            </w:r>
            <w:r>
              <w:rPr>
                <w:rFonts w:hint="eastAsia" w:ascii="宋体" w:hAnsi="宋体" w:eastAsia="宋体" w:cs="宋体"/>
                <w:color w:val="auto"/>
                <w:sz w:val="21"/>
                <w:szCs w:val="21"/>
                <w:highlight w:val="none"/>
                <w:lang w:eastAsia="zh-CN"/>
              </w:rPr>
              <w:t>P</w:t>
            </w:r>
            <w:r>
              <w:rPr>
                <w:rFonts w:hint="eastAsia" w:ascii="宋体" w:hAnsi="宋体" w:eastAsia="宋体" w:cs="宋体"/>
                <w:color w:val="auto"/>
                <w:sz w:val="21"/>
                <w:szCs w:val="21"/>
                <w:highlight w:val="none"/>
                <w:lang w:val="en-US" w:eastAsia="zh-CN"/>
              </w:rPr>
              <w:t>54</w:t>
            </w:r>
            <w:r>
              <w:rPr>
                <w:rFonts w:hint="eastAsia" w:ascii="宋体" w:hAnsi="宋体" w:cs="宋体"/>
                <w:color w:val="auto"/>
                <w:szCs w:val="21"/>
                <w:highlight w:val="none"/>
              </w:rPr>
              <w:t>。</w:t>
            </w:r>
          </w:p>
          <w:p w14:paraId="3543EE85">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12、保护措施：系统采用FRT技术，增加多项检测内容，可对电梯控制系统的电子板进行监测。控制系统可内置RTC 功能，可全方位记录电梯的不同状态，系统预留了大量空间及通讯接口，同时采用patch 扩展形式，可灵活、方便地应对不同功能的扩展。</w:t>
            </w:r>
          </w:p>
          <w:p w14:paraId="7AC17F44">
            <w:pPr>
              <w:tabs>
                <w:tab w:val="left" w:pos="756"/>
                <w:tab w:val="left" w:pos="3456"/>
              </w:tabs>
              <w:autoSpaceDE w:val="0"/>
              <w:autoSpaceDN w:val="0"/>
              <w:spacing w:line="360" w:lineRule="auto"/>
              <w:rPr>
                <w:rFonts w:hint="eastAsia" w:ascii="宋体" w:hAnsi="宋体" w:cs="宋体"/>
                <w:color w:val="auto"/>
                <w:sz w:val="21"/>
                <w:szCs w:val="21"/>
                <w:highlight w:val="yellow"/>
                <w:lang w:eastAsia="zh-CN"/>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13、电梯轿厢门锁装置耐久试验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门锁装置在进行500万次完全循环操作试验结束后符合：不产生可能影响安全的磨损，变形或断裂</w:t>
            </w:r>
            <w:r>
              <w:rPr>
                <w:rFonts w:hint="eastAsia" w:ascii="宋体" w:hAnsi="宋体" w:cs="宋体"/>
                <w:color w:val="auto"/>
                <w:sz w:val="21"/>
                <w:szCs w:val="21"/>
                <w:highlight w:val="yellow"/>
                <w:lang w:eastAsia="zh-CN"/>
              </w:rPr>
              <w:t>。</w:t>
            </w:r>
          </w:p>
          <w:p w14:paraId="1BCB46ED">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14、电梯适应供电电源波动范围的运行稳定性试验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电压波动范围为±10%（380±57）V，即在342V～418V 范围内仍能正常使用，电梯运行符合：轿厢在装有≥110%额定载荷时电梯以额定速度正常运行；轿厢在装有≥50%额定荷载时电梯下行至行程中段时速度偏差范围在92%～105%之间</w:t>
            </w:r>
            <w:r>
              <w:rPr>
                <w:rFonts w:hint="eastAsia" w:ascii="宋体" w:hAnsi="宋体" w:cs="宋体"/>
                <w:color w:val="auto"/>
                <w:szCs w:val="21"/>
                <w:highlight w:val="yellow"/>
              </w:rPr>
              <w:t>。</w:t>
            </w:r>
          </w:p>
          <w:p w14:paraId="2067E226">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15、电梯控制柜雷击浪涌干扰试验</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电梯</w:t>
            </w:r>
            <w:r>
              <w:rPr>
                <w:rFonts w:hint="eastAsia" w:ascii="宋体" w:hAnsi="宋体" w:eastAsia="宋体" w:cs="宋体"/>
                <w:color w:val="auto"/>
                <w:szCs w:val="21"/>
                <w:highlight w:val="none"/>
              </w:rPr>
              <w:t>控制柜三相动力电源线与地之间施加±</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k</w:t>
            </w:r>
            <w:r>
              <w:rPr>
                <w:rFonts w:hint="eastAsia" w:ascii="宋体" w:hAnsi="宋体" w:eastAsia="宋体" w:cs="宋体"/>
                <w:color w:val="auto"/>
                <w:szCs w:val="21"/>
                <w:highlight w:val="none"/>
              </w:rPr>
              <w:t>V雷击浪涌干扰50次，部件无损坏。</w:t>
            </w:r>
          </w:p>
          <w:p w14:paraId="4CCBD515">
            <w:pPr>
              <w:tabs>
                <w:tab w:val="left" w:pos="756"/>
                <w:tab w:val="left" w:pos="3456"/>
              </w:tabs>
              <w:autoSpaceDE w:val="0"/>
              <w:autoSpaceDN w:val="0"/>
              <w:spacing w:line="360" w:lineRule="auto"/>
              <w:rPr>
                <w:rFonts w:hint="eastAsia" w:ascii="宋体" w:hAnsi="宋体" w:eastAsia="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eastAsia="宋体" w:cs="宋体"/>
                <w:color w:val="auto"/>
                <w:szCs w:val="21"/>
                <w:highlight w:val="yellow"/>
              </w:rPr>
              <w:t>16、电梯制动器动作寿命试验：电梯驱动主机制动器总成应当进行不少于200万次的动作试验，试验过程中不得进行任何维护，试验期间制动器不允许出现任何故障，试验周期为5 s至6 s之间，试验时通电持续率取</w:t>
            </w:r>
            <w:r>
              <w:rPr>
                <w:rFonts w:hint="eastAsia" w:ascii="宋体" w:hAnsi="宋体" w:cs="宋体"/>
                <w:color w:val="auto"/>
                <w:szCs w:val="21"/>
                <w:highlight w:val="yellow"/>
                <w:lang w:val="en-US" w:eastAsia="zh-CN"/>
              </w:rPr>
              <w:t>5</w:t>
            </w:r>
            <w:r>
              <w:rPr>
                <w:rFonts w:hint="eastAsia" w:ascii="宋体" w:hAnsi="宋体" w:eastAsia="宋体" w:cs="宋体"/>
                <w:color w:val="auto"/>
                <w:szCs w:val="21"/>
                <w:highlight w:val="yellow"/>
              </w:rPr>
              <w:t>0%和驱动主机通电持续率的较大值。能符合以上试验条件寿命试验次数达到</w:t>
            </w:r>
            <w:r>
              <w:rPr>
                <w:rFonts w:hint="eastAsia" w:ascii="宋体" w:hAnsi="宋体" w:cs="宋体"/>
                <w:color w:val="auto"/>
                <w:szCs w:val="21"/>
                <w:highlight w:val="yellow"/>
                <w:lang w:val="en-US" w:eastAsia="zh-CN"/>
              </w:rPr>
              <w:t>500</w:t>
            </w:r>
            <w:r>
              <w:rPr>
                <w:rFonts w:hint="eastAsia" w:ascii="宋体" w:hAnsi="宋体" w:eastAsia="宋体" w:cs="宋体"/>
                <w:color w:val="auto"/>
                <w:szCs w:val="21"/>
                <w:highlight w:val="yellow"/>
              </w:rPr>
              <w:t>万次。</w:t>
            </w:r>
          </w:p>
          <w:p w14:paraId="4F8BA2FE">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17、电梯按钮工作寿命试验：在正常环境中,按钮应在转换速度每小时3600次的寿命试验设备上进行,通断比1:1，触点电路施加DC23V、2</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mA，阻性负载;按压力为</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N.试验中按钮应工作正常。试验后按钮应无损坏，并测量按钮动作力及回复力、触点阻值、绝缘电阻。能符合以上试验条件寿命试验次数达到</w:t>
            </w:r>
            <w:r>
              <w:rPr>
                <w:rFonts w:hint="eastAsia" w:ascii="宋体" w:hAnsi="宋体" w:cs="宋体"/>
                <w:color w:val="auto"/>
                <w:szCs w:val="21"/>
                <w:highlight w:val="none"/>
                <w:lang w:val="en-US" w:eastAsia="zh-CN"/>
              </w:rPr>
              <w:t>500</w:t>
            </w:r>
            <w:r>
              <w:rPr>
                <w:rFonts w:hint="eastAsia" w:ascii="宋体" w:hAnsi="宋体" w:eastAsia="宋体" w:cs="宋体"/>
                <w:color w:val="auto"/>
                <w:szCs w:val="21"/>
                <w:highlight w:val="none"/>
              </w:rPr>
              <w:t>万次。</w:t>
            </w:r>
          </w:p>
          <w:p w14:paraId="63527DAB">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18、光幕保护：原厂原品牌智能光幕，多红外线光束门感应器保护，光束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170束</w:t>
            </w:r>
            <w:r>
              <w:rPr>
                <w:rFonts w:hint="eastAsia" w:ascii="宋体" w:hAnsi="宋体" w:eastAsia="宋体" w:cs="宋体"/>
                <w:color w:val="auto"/>
                <w:szCs w:val="21"/>
                <w:highlight w:val="none"/>
                <w:lang w:eastAsia="zh-CN"/>
              </w:rPr>
              <w:t>，防护等级≥</w:t>
            </w:r>
            <w:r>
              <w:rPr>
                <w:rFonts w:hint="eastAsia" w:ascii="宋体" w:hAnsi="宋体" w:eastAsia="宋体" w:cs="宋体"/>
                <w:color w:val="auto"/>
                <w:szCs w:val="21"/>
                <w:highlight w:val="none"/>
                <w:lang w:val="en-US" w:eastAsia="zh-CN"/>
              </w:rPr>
              <w:t>IP54</w:t>
            </w:r>
            <w:r>
              <w:rPr>
                <w:rFonts w:hint="eastAsia" w:ascii="宋体" w:hAnsi="宋体" w:eastAsia="宋体" w:cs="宋体"/>
                <w:color w:val="auto"/>
                <w:szCs w:val="21"/>
                <w:highlight w:val="none"/>
              </w:rPr>
              <w:t>。</w:t>
            </w:r>
          </w:p>
          <w:p w14:paraId="6C960CD4">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三、主要部件及要求</w:t>
            </w:r>
            <w:r>
              <w:rPr>
                <w:rFonts w:hint="eastAsia" w:ascii="宋体" w:hAnsi="宋体" w:cs="宋体"/>
                <w:color w:val="auto"/>
                <w:szCs w:val="21"/>
                <w:highlight w:val="none"/>
              </w:rPr>
              <w:t xml:space="preserve"> </w:t>
            </w:r>
          </w:p>
          <w:p w14:paraId="7CE123C8">
            <w:pPr>
              <w:tabs>
                <w:tab w:val="left" w:pos="756"/>
                <w:tab w:val="left" w:pos="3456"/>
              </w:tabs>
              <w:autoSpaceDE w:val="0"/>
              <w:autoSpaceDN w:val="0"/>
              <w:spacing w:line="360" w:lineRule="auto"/>
              <w:rPr>
                <w:rFonts w:hint="eastAsia" w:ascii="宋体" w:hAnsi="宋体" w:cs="宋体"/>
                <w:color w:val="auto"/>
                <w:szCs w:val="21"/>
                <w:highlight w:val="yellow"/>
                <w:lang w:val="zh-CN"/>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整体要求：</w:t>
            </w:r>
            <w:r>
              <w:rPr>
                <w:rFonts w:hint="eastAsia" w:ascii="宋体" w:hAnsi="宋体" w:cs="宋体"/>
                <w:color w:val="auto"/>
                <w:szCs w:val="21"/>
                <w:highlight w:val="yellow"/>
              </w:rPr>
              <w:t>1</w:t>
            </w:r>
            <w:r>
              <w:rPr>
                <w:rFonts w:hint="eastAsia" w:ascii="宋体" w:hAnsi="宋体" w:cs="宋体"/>
                <w:color w:val="auto"/>
                <w:szCs w:val="21"/>
                <w:highlight w:val="yellow"/>
                <w:lang w:eastAsia="zh-CN"/>
              </w:rPr>
              <w:t>、</w:t>
            </w:r>
            <w:r>
              <w:rPr>
                <w:rFonts w:hint="eastAsia" w:ascii="宋体" w:hAnsi="宋体" w:cs="宋体"/>
                <w:color w:val="auto"/>
                <w:szCs w:val="21"/>
                <w:highlight w:val="yellow"/>
                <w:lang w:val="en-US" w:eastAsia="zh-CN"/>
              </w:rPr>
              <w:t>成交</w:t>
            </w:r>
            <w:r>
              <w:rPr>
                <w:rFonts w:hint="eastAsia" w:ascii="宋体" w:hAnsi="宋体" w:cs="宋体"/>
                <w:color w:val="auto"/>
                <w:szCs w:val="21"/>
                <w:highlight w:val="yellow"/>
                <w:lang w:val="zh-CN"/>
              </w:rPr>
              <w:t>供应商在签订合同前（或供货时），须提供所投产品的合法来源证明（包括但不限于：制造厂家出具的有效经销（代理）授权书、供货协议或能证明产品为正品来源的购货渠道证明等），并加盖</w:t>
            </w:r>
            <w:r>
              <w:rPr>
                <w:rFonts w:hint="eastAsia" w:ascii="宋体" w:hAnsi="宋体" w:cs="宋体"/>
                <w:color w:val="auto"/>
                <w:szCs w:val="21"/>
                <w:highlight w:val="yellow"/>
                <w:lang w:val="en-US" w:eastAsia="zh-CN"/>
              </w:rPr>
              <w:t>成交资格</w:t>
            </w:r>
            <w:r>
              <w:rPr>
                <w:rFonts w:hint="eastAsia" w:ascii="宋体" w:hAnsi="宋体" w:cs="宋体"/>
                <w:color w:val="auto"/>
                <w:szCs w:val="21"/>
                <w:highlight w:val="yellow"/>
                <w:lang w:val="zh-CN"/>
              </w:rPr>
              <w:t>人公章。如无法提供，视为投标无效，采购人有权取消其中标资格并追究其法律责任。</w:t>
            </w:r>
          </w:p>
          <w:p w14:paraId="4F76C815">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2</w:t>
            </w:r>
            <w:r>
              <w:rPr>
                <w:rFonts w:hint="eastAsia" w:ascii="宋体" w:hAnsi="宋体" w:cs="宋体"/>
                <w:color w:val="auto"/>
                <w:szCs w:val="21"/>
                <w:highlight w:val="yellow"/>
                <w:lang w:eastAsia="zh-CN"/>
              </w:rPr>
              <w:t>、</w:t>
            </w:r>
            <w:r>
              <w:rPr>
                <w:rFonts w:hint="eastAsia" w:ascii="宋体" w:hAnsi="宋体" w:cs="宋体"/>
                <w:color w:val="auto"/>
                <w:szCs w:val="21"/>
                <w:highlight w:val="yellow"/>
              </w:rPr>
              <w:t>曳引机、控制柜（含调速器、控制器）、门锁（含层门门锁、轿门门锁）、安全钳、限速器、上行超速保护装置、</w:t>
            </w:r>
            <w:r>
              <w:rPr>
                <w:rFonts w:hint="eastAsia" w:ascii="宋体" w:hAnsi="宋体" w:cs="宋体"/>
                <w:color w:val="auto"/>
                <w:szCs w:val="21"/>
                <w:highlight w:val="yellow"/>
                <w:lang w:val="en-US" w:eastAsia="zh-CN"/>
              </w:rPr>
              <w:t>缓冲器、限速器、轿厢意外移动保护装置等</w:t>
            </w:r>
            <w:r>
              <w:rPr>
                <w:rFonts w:hint="eastAsia" w:ascii="宋体" w:hAnsi="宋体" w:cs="宋体"/>
                <w:color w:val="auto"/>
                <w:szCs w:val="21"/>
                <w:highlight w:val="yellow"/>
              </w:rPr>
              <w:t>主要部件必须是所投品牌原厂设计和制造，</w:t>
            </w:r>
            <w:r>
              <w:rPr>
                <w:rFonts w:hint="eastAsia" w:ascii="宋体" w:hAnsi="宋体" w:cs="宋体"/>
                <w:color w:val="auto"/>
                <w:szCs w:val="21"/>
                <w:highlight w:val="yellow"/>
              </w:rPr>
              <w:t>而且产品商标为所投品牌统一商标（LOGO），外购和贴牌生产无效。</w:t>
            </w:r>
          </w:p>
          <w:p w14:paraId="5A97B781">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、曳引机钢丝绳数量≥5条、悬挂比2：1，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时提供整梯型式试验报告中须体现出上述参数内容。</w:t>
            </w:r>
          </w:p>
          <w:p w14:paraId="70328397">
            <w:pPr>
              <w:tabs>
                <w:tab w:val="left" w:pos="756"/>
                <w:tab w:val="left" w:pos="3456"/>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、导轨要求：提供一种电梯导轨安装精度检测装置</w:t>
            </w:r>
            <w:r>
              <w:rPr>
                <w:rFonts w:hint="eastAsia" w:ascii="宋体" w:hAnsi="宋体" w:cs="宋体"/>
                <w:color w:val="auto"/>
                <w:szCs w:val="21"/>
                <w:highlight w:val="none"/>
                <w:lang w:eastAsia="zh-CN"/>
              </w:rPr>
              <w:t>。</w:t>
            </w:r>
          </w:p>
          <w:p w14:paraId="73AA0A56">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、客梯设计包含抗电磁干扰功能，可有效抵抗外界电磁干扰，提高设备控制精准度，提高可靠性。</w:t>
            </w:r>
          </w:p>
          <w:p w14:paraId="34FA29F4">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四、基本功能要求（投标人投标时必须根据制造商产品样本（说明手册等）功能列表予以逐项承诺，如样本（说明手册等）中无功能列表或列表中无相应功能的，必须提供加盖投标人公章的功能说明文件。）</w:t>
            </w:r>
          </w:p>
          <w:p w14:paraId="72CB78AB">
            <w:pPr>
              <w:widowControl/>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超载保护；</w:t>
            </w:r>
          </w:p>
          <w:p w14:paraId="6511BFAE">
            <w:pPr>
              <w:widowControl/>
              <w:jc w:val="left"/>
              <w:rPr>
                <w:rFonts w:hint="eastAsia" w:ascii="宋体" w:hAnsi="宋体"/>
                <w:color w:val="auto"/>
                <w:szCs w:val="21"/>
                <w:highlight w:val="none"/>
              </w:rPr>
            </w:pPr>
            <w:r>
              <w:rPr>
                <w:rFonts w:hint="eastAsia" w:ascii="宋体" w:hAnsi="宋体"/>
                <w:color w:val="auto"/>
                <w:szCs w:val="21"/>
                <w:highlight w:val="none"/>
              </w:rPr>
              <w:t xml:space="preserve">2.光幕保护； </w:t>
            </w:r>
          </w:p>
          <w:p w14:paraId="16050FCC">
            <w:pPr>
              <w:widowControl/>
              <w:jc w:val="left"/>
              <w:rPr>
                <w:rFonts w:hint="eastAsia" w:ascii="宋体" w:hAnsi="宋体"/>
                <w:color w:val="auto"/>
                <w:szCs w:val="21"/>
                <w:highlight w:val="none"/>
              </w:rPr>
            </w:pPr>
            <w:r>
              <w:rPr>
                <w:rFonts w:hint="eastAsia" w:ascii="宋体" w:hAnsi="宋体"/>
                <w:color w:val="auto"/>
                <w:szCs w:val="21"/>
                <w:highlight w:val="none"/>
              </w:rPr>
              <w:t>3.防扒门保护；</w:t>
            </w:r>
          </w:p>
          <w:p w14:paraId="54CD9B63">
            <w:pPr>
              <w:widowControl/>
              <w:jc w:val="left"/>
              <w:rPr>
                <w:rFonts w:hint="eastAsia" w:ascii="宋体" w:hAnsi="宋体"/>
                <w:color w:val="auto"/>
                <w:szCs w:val="21"/>
                <w:highlight w:val="none"/>
              </w:rPr>
            </w:pPr>
            <w:r>
              <w:rPr>
                <w:rFonts w:hint="eastAsia" w:ascii="宋体" w:hAnsi="宋体"/>
                <w:color w:val="auto"/>
                <w:szCs w:val="21"/>
                <w:highlight w:val="none"/>
              </w:rPr>
              <w:t>4.关门时间异常保护；</w:t>
            </w:r>
          </w:p>
          <w:p w14:paraId="3F9A53F7">
            <w:pPr>
              <w:widowControl/>
              <w:jc w:val="left"/>
              <w:rPr>
                <w:rFonts w:hint="eastAsia" w:ascii="宋体" w:hAnsi="宋体"/>
                <w:color w:val="auto"/>
                <w:szCs w:val="21"/>
                <w:highlight w:val="none"/>
              </w:rPr>
            </w:pPr>
            <w:r>
              <w:rPr>
                <w:rFonts w:hint="eastAsia" w:ascii="宋体" w:hAnsi="宋体"/>
                <w:color w:val="auto"/>
                <w:szCs w:val="21"/>
                <w:highlight w:val="none"/>
              </w:rPr>
              <w:t>5.门受阻保护；</w:t>
            </w:r>
          </w:p>
          <w:p w14:paraId="56724E30">
            <w:pPr>
              <w:widowControl/>
              <w:jc w:val="left"/>
              <w:rPr>
                <w:rFonts w:hint="eastAsia" w:ascii="宋体" w:hAnsi="宋体"/>
                <w:color w:val="auto"/>
                <w:szCs w:val="21"/>
                <w:highlight w:val="none"/>
              </w:rPr>
            </w:pPr>
            <w:r>
              <w:rPr>
                <w:rFonts w:hint="eastAsia" w:ascii="宋体" w:hAnsi="宋体"/>
                <w:color w:val="auto"/>
                <w:szCs w:val="21"/>
                <w:highlight w:val="none"/>
              </w:rPr>
              <w:t>6.非门区不能开门保护；</w:t>
            </w:r>
          </w:p>
          <w:p w14:paraId="07EFA01E">
            <w:pPr>
              <w:widowControl/>
              <w:jc w:val="left"/>
              <w:rPr>
                <w:rFonts w:hint="eastAsia" w:ascii="宋体" w:hAnsi="宋体"/>
                <w:color w:val="auto"/>
                <w:szCs w:val="21"/>
                <w:highlight w:val="none"/>
              </w:rPr>
            </w:pPr>
            <w:r>
              <w:rPr>
                <w:rFonts w:hint="eastAsia" w:ascii="宋体" w:hAnsi="宋体"/>
                <w:color w:val="auto"/>
                <w:szCs w:val="21"/>
                <w:highlight w:val="none"/>
              </w:rPr>
              <w:t>7.开门异常时就近层停靠；</w:t>
            </w:r>
          </w:p>
          <w:p w14:paraId="5AA9B26B">
            <w:pPr>
              <w:widowControl/>
              <w:jc w:val="left"/>
              <w:rPr>
                <w:rFonts w:hint="eastAsia" w:ascii="宋体" w:hAnsi="宋体"/>
                <w:color w:val="auto"/>
                <w:szCs w:val="21"/>
                <w:highlight w:val="none"/>
              </w:rPr>
            </w:pPr>
            <w:r>
              <w:rPr>
                <w:rFonts w:hint="eastAsia" w:ascii="宋体" w:hAnsi="宋体"/>
                <w:color w:val="auto"/>
                <w:szCs w:val="21"/>
                <w:highlight w:val="none"/>
              </w:rPr>
              <w:t>8.电梯自救运行；</w:t>
            </w:r>
          </w:p>
          <w:p w14:paraId="751D64D3">
            <w:pPr>
              <w:widowControl/>
              <w:jc w:val="left"/>
              <w:rPr>
                <w:rFonts w:hint="eastAsia" w:ascii="宋体" w:hAnsi="宋体"/>
                <w:color w:val="auto"/>
                <w:szCs w:val="21"/>
                <w:highlight w:val="none"/>
              </w:rPr>
            </w:pPr>
            <w:r>
              <w:rPr>
                <w:rFonts w:hint="eastAsia" w:ascii="宋体" w:hAnsi="宋体"/>
                <w:color w:val="auto"/>
                <w:szCs w:val="21"/>
                <w:highlight w:val="none"/>
              </w:rPr>
              <w:t>9.轿厢意外移动保护；</w:t>
            </w:r>
          </w:p>
          <w:p w14:paraId="5D71D371">
            <w:pPr>
              <w:widowControl/>
              <w:jc w:val="left"/>
              <w:rPr>
                <w:rFonts w:hint="eastAsia" w:ascii="宋体" w:hAnsi="宋体"/>
                <w:color w:val="auto"/>
                <w:szCs w:val="21"/>
                <w:highlight w:val="none"/>
              </w:rPr>
            </w:pPr>
            <w:r>
              <w:rPr>
                <w:rFonts w:hint="eastAsia" w:ascii="宋体" w:hAnsi="宋体"/>
                <w:color w:val="auto"/>
                <w:szCs w:val="21"/>
                <w:highlight w:val="none"/>
              </w:rPr>
              <w:t>10.超速保护；</w:t>
            </w:r>
          </w:p>
          <w:p w14:paraId="1C586411">
            <w:pPr>
              <w:widowControl/>
              <w:jc w:val="left"/>
              <w:rPr>
                <w:rFonts w:hint="eastAsia" w:ascii="宋体" w:hAnsi="宋体"/>
                <w:color w:val="auto"/>
                <w:szCs w:val="21"/>
                <w:highlight w:val="none"/>
              </w:rPr>
            </w:pPr>
            <w:r>
              <w:rPr>
                <w:rFonts w:hint="eastAsia" w:ascii="宋体" w:hAnsi="宋体"/>
                <w:color w:val="auto"/>
                <w:szCs w:val="21"/>
                <w:highlight w:val="none"/>
              </w:rPr>
              <w:t>11.防溜车保护；</w:t>
            </w:r>
          </w:p>
          <w:p w14:paraId="0892CD78">
            <w:pPr>
              <w:widowControl/>
              <w:jc w:val="left"/>
              <w:rPr>
                <w:rFonts w:hint="eastAsia" w:ascii="宋体" w:hAnsi="宋体"/>
                <w:color w:val="auto"/>
                <w:szCs w:val="21"/>
                <w:highlight w:val="none"/>
              </w:rPr>
            </w:pPr>
            <w:r>
              <w:rPr>
                <w:rFonts w:hint="eastAsia" w:ascii="宋体" w:hAnsi="宋体"/>
                <w:color w:val="auto"/>
                <w:szCs w:val="21"/>
                <w:highlight w:val="none"/>
              </w:rPr>
              <w:t>12.逆向运行保护；</w:t>
            </w:r>
          </w:p>
          <w:p w14:paraId="0A17CD13">
            <w:pPr>
              <w:widowControl/>
              <w:jc w:val="left"/>
              <w:rPr>
                <w:rFonts w:hint="eastAsia" w:ascii="宋体" w:hAnsi="宋体"/>
                <w:color w:val="auto"/>
                <w:szCs w:val="21"/>
                <w:highlight w:val="none"/>
              </w:rPr>
            </w:pPr>
            <w:r>
              <w:rPr>
                <w:rFonts w:hint="eastAsia" w:ascii="宋体" w:hAnsi="宋体"/>
                <w:color w:val="auto"/>
                <w:szCs w:val="21"/>
                <w:highlight w:val="none"/>
              </w:rPr>
              <w:t>13运行超时保护；</w:t>
            </w:r>
          </w:p>
          <w:p w14:paraId="16E1E44D">
            <w:pPr>
              <w:widowControl/>
              <w:numPr>
                <w:ilvl w:val="0"/>
                <w:numId w:val="4"/>
              </w:numPr>
              <w:jc w:val="left"/>
              <w:rPr>
                <w:rFonts w:hint="eastAsia" w:ascii="宋体" w:hAnsi="宋体"/>
                <w:color w:val="auto"/>
                <w:szCs w:val="21"/>
                <w:highlight w:val="none"/>
              </w:rPr>
            </w:pPr>
            <w:r>
              <w:rPr>
                <w:rFonts w:hint="eastAsia" w:ascii="宋体" w:hAnsi="宋体"/>
                <w:color w:val="auto"/>
                <w:szCs w:val="21"/>
                <w:highlight w:val="none"/>
              </w:rPr>
              <w:t>变频器多重保护；</w:t>
            </w:r>
          </w:p>
          <w:p w14:paraId="1B6F7B7A">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防终端越程保护；</w:t>
            </w:r>
          </w:p>
          <w:p w14:paraId="47371BE2">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防门锁短接保护；</w:t>
            </w:r>
          </w:p>
          <w:p w14:paraId="405F2412">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电源相位故障检测；</w:t>
            </w:r>
          </w:p>
          <w:p w14:paraId="2A49B511">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电网异常检测；</w:t>
            </w:r>
          </w:p>
          <w:p w14:paraId="590A57D4">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接触器异常检测；</w:t>
            </w:r>
          </w:p>
          <w:p w14:paraId="05B9905C">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门回路检测；</w:t>
            </w:r>
          </w:p>
          <w:p w14:paraId="58C2FE09">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抱闸力检测；</w:t>
            </w:r>
          </w:p>
          <w:p w14:paraId="33B985AA">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检修操作</w:t>
            </w:r>
            <w:r>
              <w:rPr>
                <w:rFonts w:hint="eastAsia" w:ascii="宋体" w:hAnsi="宋体"/>
                <w:color w:val="auto"/>
                <w:szCs w:val="21"/>
                <w:highlight w:val="none"/>
                <w:lang w:eastAsia="zh-CN"/>
              </w:rPr>
              <w:t>；</w:t>
            </w:r>
          </w:p>
          <w:p w14:paraId="755EF563">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故障自诊断及记录；</w:t>
            </w:r>
          </w:p>
          <w:p w14:paraId="1AD7DF1D">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磁角度自学习；</w:t>
            </w:r>
          </w:p>
          <w:p w14:paraId="6B48279C">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层楼位置信号自动修正；</w:t>
            </w:r>
          </w:p>
          <w:p w14:paraId="4349CD1D">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井道层楼数据自学习；</w:t>
            </w:r>
          </w:p>
          <w:p w14:paraId="31BD8331">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运行次数显示；</w:t>
            </w:r>
          </w:p>
          <w:p w14:paraId="444E03D5">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电梯体检；</w:t>
            </w:r>
          </w:p>
          <w:p w14:paraId="44947A0A">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警铃报警;</w:t>
            </w:r>
          </w:p>
          <w:p w14:paraId="21C4D5A9">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无线</w:t>
            </w:r>
            <w:r>
              <w:rPr>
                <w:rFonts w:hint="eastAsia" w:ascii="宋体" w:hAnsi="宋体"/>
                <w:color w:val="auto"/>
                <w:szCs w:val="21"/>
                <w:highlight w:val="none"/>
              </w:rPr>
              <w:t>五方通话；</w:t>
            </w:r>
          </w:p>
          <w:p w14:paraId="6344754D">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消防应急返回；</w:t>
            </w:r>
          </w:p>
          <w:p w14:paraId="75D6B1B5">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消防信号反馈；</w:t>
            </w:r>
          </w:p>
          <w:p w14:paraId="78AFD899">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紧急电动运行；</w:t>
            </w:r>
          </w:p>
          <w:p w14:paraId="46377D5F">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轿厢应急照明；</w:t>
            </w:r>
          </w:p>
          <w:p w14:paraId="721AF305">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启动补偿；</w:t>
            </w:r>
          </w:p>
          <w:p w14:paraId="52CA22CD">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直接停靠；</w:t>
            </w:r>
          </w:p>
          <w:p w14:paraId="74925A9B">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微动平层；</w:t>
            </w:r>
          </w:p>
          <w:p w14:paraId="4260E770">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静音通风；</w:t>
            </w:r>
          </w:p>
          <w:p w14:paraId="3FE40322">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超载报警</w:t>
            </w:r>
            <w:r>
              <w:rPr>
                <w:rFonts w:hint="eastAsia" w:ascii="宋体" w:hAnsi="宋体"/>
                <w:color w:val="auto"/>
                <w:szCs w:val="21"/>
                <w:highlight w:val="none"/>
                <w:lang w:eastAsia="zh-CN"/>
              </w:rPr>
              <w:t>；</w:t>
            </w:r>
          </w:p>
          <w:p w14:paraId="123E950C">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语音报站；</w:t>
            </w:r>
          </w:p>
          <w:p w14:paraId="64CDDFFB">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语音播报；</w:t>
            </w:r>
          </w:p>
          <w:p w14:paraId="26B662D4">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语音安抚；</w:t>
            </w:r>
          </w:p>
          <w:p w14:paraId="330BFF7C">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超载指示；</w:t>
            </w:r>
          </w:p>
          <w:p w14:paraId="0A8D3A24">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检修指示；</w:t>
            </w:r>
          </w:p>
          <w:p w14:paraId="413AE90B">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消防指示；</w:t>
            </w:r>
          </w:p>
          <w:p w14:paraId="5BCB4E01">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运行方向显示；</w:t>
            </w:r>
          </w:p>
          <w:p w14:paraId="7EBB2BFE">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关门按钮提前关门；</w:t>
            </w:r>
          </w:p>
          <w:p w14:paraId="3BDE1171">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开门按钮重开门；</w:t>
            </w:r>
          </w:p>
          <w:p w14:paraId="66D20351">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满载直驶；</w:t>
            </w:r>
          </w:p>
          <w:p w14:paraId="1BFBD7DF">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防捣乱功能；</w:t>
            </w:r>
          </w:p>
          <w:p w14:paraId="0B0E2CBA">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反向指令自动消除；</w:t>
            </w:r>
          </w:p>
          <w:p w14:paraId="6FE1906B">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轿内误指令消除</w:t>
            </w:r>
            <w:r>
              <w:rPr>
                <w:rFonts w:hint="eastAsia" w:ascii="宋体" w:hAnsi="宋体"/>
                <w:color w:val="auto"/>
                <w:szCs w:val="21"/>
                <w:highlight w:val="none"/>
                <w:lang w:eastAsia="zh-CN"/>
              </w:rPr>
              <w:t>；</w:t>
            </w:r>
          </w:p>
          <w:p w14:paraId="2BC60941">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轿内开门时间延长；</w:t>
            </w:r>
          </w:p>
          <w:p w14:paraId="0CD80EEF">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驻停模式</w:t>
            </w:r>
            <w:r>
              <w:rPr>
                <w:rFonts w:hint="eastAsia" w:ascii="宋体" w:hAnsi="宋体"/>
                <w:color w:val="auto"/>
                <w:szCs w:val="21"/>
                <w:highlight w:val="none"/>
                <w:lang w:eastAsia="zh-CN"/>
              </w:rPr>
              <w:t>；</w:t>
            </w:r>
          </w:p>
          <w:p w14:paraId="476C43B3">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司机服务；</w:t>
            </w:r>
          </w:p>
          <w:p w14:paraId="5B3D2E91">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专用服务；</w:t>
            </w:r>
          </w:p>
          <w:p w14:paraId="5446FD7E">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风扇照明手动关闭；</w:t>
            </w:r>
          </w:p>
          <w:p w14:paraId="3FD760B5">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休眠节能；</w:t>
            </w:r>
          </w:p>
          <w:p w14:paraId="5397028A">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开门时间分别控制；</w:t>
            </w:r>
          </w:p>
          <w:p w14:paraId="6F4157DE">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rPr>
              <w:t>全集选控制；</w:t>
            </w:r>
          </w:p>
          <w:p w14:paraId="7AF6793C">
            <w:pPr>
              <w:widowControl/>
              <w:numPr>
                <w:ilvl w:val="0"/>
                <w:numId w:val="4"/>
              </w:numPr>
              <w:jc w:val="left"/>
              <w:rPr>
                <w:rFonts w:hint="eastAsia" w:eastAsia="宋体"/>
                <w:color w:val="auto"/>
                <w:highlight w:val="none"/>
                <w:lang w:val="en-US" w:eastAsia="zh-CN"/>
              </w:rPr>
            </w:pPr>
            <w:r>
              <w:rPr>
                <w:rFonts w:hint="eastAsia" w:ascii="宋体" w:hAnsi="宋体"/>
                <w:color w:val="auto"/>
                <w:szCs w:val="21"/>
                <w:highlight w:val="none"/>
                <w:lang w:val="en-US" w:eastAsia="zh-CN"/>
              </w:rPr>
              <w:t>远程监控（物联网功能）</w:t>
            </w:r>
            <w:r>
              <w:rPr>
                <w:rFonts w:hint="eastAsia" w:ascii="宋体" w:hAnsi="宋体"/>
                <w:color w:val="auto"/>
                <w:szCs w:val="21"/>
                <w:highlight w:val="none"/>
              </w:rPr>
              <w:t>；</w:t>
            </w:r>
          </w:p>
          <w:p w14:paraId="6BEC139E">
            <w:pPr>
              <w:widowControl/>
              <w:numPr>
                <w:ilvl w:val="0"/>
                <w:numId w:val="4"/>
              </w:num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视频监控（配置摄像头）；</w:t>
            </w:r>
          </w:p>
          <w:p w14:paraId="300526D4">
            <w:pPr>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五、装饰材质要求</w:t>
            </w:r>
          </w:p>
          <w:p w14:paraId="6D194C5F">
            <w:pPr>
              <w:tabs>
                <w:tab w:val="left" w:pos="756"/>
                <w:tab w:val="left" w:pos="3456"/>
              </w:tabs>
              <w:autoSpaceDE w:val="0"/>
              <w:autoSpaceDN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1、轿厢装饰要求：</w:t>
            </w:r>
            <w:r>
              <w:rPr>
                <w:rFonts w:hint="eastAsia" w:ascii="宋体" w:hAnsi="宋体" w:cs="宋体"/>
                <w:color w:val="auto"/>
                <w:szCs w:val="21"/>
                <w:highlight w:val="none"/>
              </w:rPr>
              <w:t>发纹不锈钢 ，轿厢后壁中间镜面不锈钢；</w:t>
            </w:r>
            <w:r>
              <w:rPr>
                <w:rFonts w:hint="eastAsia" w:ascii="宋体" w:hAnsi="宋体" w:cs="宋体"/>
                <w:color w:val="auto"/>
                <w:szCs w:val="21"/>
                <w:highlight w:val="none"/>
                <w:lang w:val="zh-CN"/>
              </w:rPr>
              <w:t xml:space="preserve"> </w:t>
            </w:r>
            <w:r>
              <w:rPr>
                <w:rFonts w:hint="eastAsia" w:ascii="宋体" w:hAnsi="宋体" w:cs="宋体"/>
                <w:color w:val="auto"/>
                <w:szCs w:val="21"/>
                <w:highlight w:val="none"/>
                <w:lang w:val="en-US" w:eastAsia="zh-CN"/>
              </w:rPr>
              <w:t>三侧无障碍扶手；</w:t>
            </w:r>
          </w:p>
          <w:p w14:paraId="089A4472">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2、踢脚板：发纹不锈钢；</w:t>
            </w:r>
          </w:p>
          <w:p w14:paraId="2B8DBCBD">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3、轿门地坎：</w:t>
            </w:r>
            <w:r>
              <w:rPr>
                <w:rFonts w:hint="eastAsia" w:ascii="宋体" w:hAnsi="宋体" w:cs="宋体"/>
                <w:color w:val="auto"/>
                <w:szCs w:val="21"/>
                <w:highlight w:val="none"/>
                <w:lang w:val="zh-CN"/>
              </w:rPr>
              <w:t>挤压成型硬铝；</w:t>
            </w:r>
          </w:p>
          <w:p w14:paraId="0FA94BD6">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4、轿厢门：发纹不锈钢；</w:t>
            </w:r>
          </w:p>
          <w:p w14:paraId="219940A1">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5、层门、门套：层层发纹不锈钢厅门，不锈钢大门套（大门套门框正面单边宽度单边应≥200mm），轿壁、轿门、厅门及门套不锈钢厚度应≥1.5mm；6、轿厢地面：</w:t>
            </w:r>
            <w:r>
              <w:rPr>
                <w:rFonts w:hint="eastAsia" w:ascii="宋体" w:hAnsi="宋体" w:cs="宋体"/>
                <w:color w:val="auto"/>
                <w:szCs w:val="21"/>
                <w:highlight w:val="none"/>
              </w:rPr>
              <w:t>PVC地板</w:t>
            </w:r>
            <w:r>
              <w:rPr>
                <w:rFonts w:hint="eastAsia" w:ascii="宋体" w:hAnsi="宋体" w:cs="宋体"/>
                <w:color w:val="auto"/>
                <w:szCs w:val="21"/>
                <w:highlight w:val="none"/>
                <w:lang w:val="zh-CN"/>
              </w:rPr>
              <w:t>；</w:t>
            </w:r>
          </w:p>
          <w:p w14:paraId="6CB3C8D5">
            <w:pPr>
              <w:tabs>
                <w:tab w:val="left" w:pos="756"/>
                <w:tab w:val="left" w:pos="3456"/>
              </w:tabs>
              <w:autoSpaceDE w:val="0"/>
              <w:autoSpaceDN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7、轿厢召唤箱：发纹</w:t>
            </w:r>
            <w:r>
              <w:rPr>
                <w:rFonts w:hint="eastAsia" w:ascii="宋体" w:hAnsi="宋体" w:cs="宋体"/>
                <w:color w:val="auto"/>
                <w:highlight w:val="none"/>
              </w:rPr>
              <w:t>不锈钢面板</w:t>
            </w:r>
            <w:r>
              <w:rPr>
                <w:rFonts w:hint="eastAsia" w:ascii="宋体" w:hAnsi="宋体" w:cs="宋体"/>
                <w:color w:val="auto"/>
                <w:szCs w:val="21"/>
                <w:highlight w:val="none"/>
              </w:rPr>
              <w:t>；微动式盲文按钮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配置残疾人副操纵箱：</w:t>
            </w:r>
            <w:r>
              <w:rPr>
                <w:rFonts w:hint="eastAsia" w:ascii="宋体" w:hAnsi="宋体" w:cs="宋体"/>
                <w:color w:val="auto"/>
                <w:szCs w:val="21"/>
                <w:highlight w:val="none"/>
                <w:lang w:val="zh-CN"/>
              </w:rPr>
              <w:t>发纹</w:t>
            </w:r>
            <w:r>
              <w:rPr>
                <w:rFonts w:hint="eastAsia" w:ascii="宋体" w:hAnsi="宋体" w:cs="宋体"/>
                <w:color w:val="auto"/>
                <w:highlight w:val="none"/>
              </w:rPr>
              <w:t>不锈钢面板</w:t>
            </w:r>
            <w:r>
              <w:rPr>
                <w:rFonts w:hint="eastAsia" w:ascii="宋体" w:hAnsi="宋体" w:cs="宋体"/>
                <w:color w:val="auto"/>
                <w:szCs w:val="21"/>
                <w:highlight w:val="none"/>
              </w:rPr>
              <w:t>；微动式盲文按钮</w:t>
            </w:r>
            <w:r>
              <w:rPr>
                <w:rFonts w:hint="eastAsia" w:ascii="宋体" w:hAnsi="宋体" w:cs="宋体"/>
                <w:color w:val="auto"/>
                <w:szCs w:val="21"/>
                <w:highlight w:val="none"/>
                <w:lang w:eastAsia="zh-CN"/>
              </w:rPr>
              <w:t>；</w:t>
            </w:r>
          </w:p>
          <w:p w14:paraId="6C897525">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8</w:t>
            </w:r>
            <w:r>
              <w:rPr>
                <w:rFonts w:hint="eastAsia" w:ascii="宋体" w:hAnsi="宋体" w:cs="宋体"/>
                <w:color w:val="auto"/>
                <w:szCs w:val="21"/>
                <w:highlight w:val="none"/>
                <w:lang w:val="zh-CN"/>
              </w:rPr>
              <w:t>、厅门召唤箱：薄型外挂式，不锈钢面板，微动式</w:t>
            </w:r>
            <w:r>
              <w:rPr>
                <w:rFonts w:hint="eastAsia" w:ascii="宋体" w:hAnsi="宋体" w:cs="宋体"/>
                <w:color w:val="auto"/>
                <w:szCs w:val="21"/>
                <w:highlight w:val="none"/>
              </w:rPr>
              <w:t>盲文</w:t>
            </w:r>
            <w:r>
              <w:rPr>
                <w:rFonts w:hint="eastAsia" w:ascii="宋体" w:hAnsi="宋体" w:cs="宋体"/>
                <w:color w:val="auto"/>
                <w:szCs w:val="21"/>
                <w:highlight w:val="none"/>
                <w:lang w:val="zh-CN"/>
              </w:rPr>
              <w:t>按钮；</w:t>
            </w:r>
          </w:p>
          <w:p w14:paraId="75D1A678">
            <w:pPr>
              <w:spacing w:line="360" w:lineRule="auto"/>
              <w:rPr>
                <w:rFonts w:hint="eastAsia" w:ascii="宋体" w:hAnsi="宋体" w:eastAsia="宋体" w:cs="宋体"/>
                <w:color w:val="auto"/>
                <w:spacing w:val="-4"/>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、轿厢天花：</w:t>
            </w:r>
            <w:r>
              <w:rPr>
                <w:rFonts w:hint="eastAsia" w:ascii="宋体" w:hAnsi="宋体" w:cs="宋体"/>
                <w:color w:val="auto"/>
                <w:spacing w:val="-4"/>
                <w:szCs w:val="21"/>
                <w:highlight w:val="none"/>
              </w:rPr>
              <w:t>原装配置LED，经过防尘、无静电处理</w:t>
            </w:r>
            <w:r>
              <w:rPr>
                <w:rFonts w:hint="eastAsia" w:ascii="宋体" w:hAnsi="宋体" w:cs="宋体"/>
                <w:color w:val="auto"/>
                <w:szCs w:val="21"/>
                <w:highlight w:val="none"/>
              </w:rPr>
              <w:t>，</w:t>
            </w:r>
            <w:r>
              <w:rPr>
                <w:rFonts w:hint="eastAsia" w:ascii="宋体" w:hAnsi="宋体" w:cs="宋体"/>
                <w:color w:val="auto"/>
                <w:szCs w:val="21"/>
                <w:highlight w:val="none"/>
                <w:lang w:val="zh-CN"/>
              </w:rPr>
              <w:t>轿厢通风系统：轿顶风口送风。</w:t>
            </w:r>
          </w:p>
          <w:p w14:paraId="7516A3F8">
            <w:pPr>
              <w:pStyle w:val="23"/>
              <w:ind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pacing w:val="-4"/>
                <w:szCs w:val="21"/>
                <w:highlight w:val="none"/>
                <w:lang w:val="en-US" w:eastAsia="zh-CN"/>
              </w:rPr>
              <w:t>六、</w:t>
            </w:r>
            <w:r>
              <w:rPr>
                <w:rFonts w:hint="eastAsia" w:ascii="宋体" w:hAnsi="宋体" w:eastAsia="宋体" w:cs="宋体"/>
                <w:color w:val="auto"/>
                <w:kern w:val="2"/>
                <w:sz w:val="21"/>
                <w:szCs w:val="21"/>
                <w:highlight w:val="none"/>
                <w:lang w:val="zh-CN" w:eastAsia="zh-CN" w:bidi="ar-SA"/>
              </w:rPr>
              <w:t>其他事项：</w:t>
            </w:r>
          </w:p>
          <w:p w14:paraId="140F7341">
            <w:pPr>
              <w:spacing w:line="360" w:lineRule="auto"/>
              <w:rPr>
                <w:rFonts w:hint="eastAsia" w:ascii="宋体" w:hAnsi="宋体" w:eastAsia="宋体" w:cs="宋体"/>
                <w:color w:val="auto"/>
                <w:kern w:val="2"/>
                <w:sz w:val="21"/>
                <w:szCs w:val="21"/>
                <w:highlight w:val="yellow"/>
                <w:lang w:val="en-US" w:eastAsia="zh-CN" w:bidi="ar-SA"/>
              </w:rPr>
            </w:pPr>
            <w:r>
              <w:rPr>
                <w:rFonts w:hint="eastAsia" w:ascii="宋体" w:hAnsi="宋体" w:cs="宋体"/>
                <w:color w:val="auto"/>
                <w:szCs w:val="21"/>
                <w:highlight w:val="yellow"/>
                <w:lang w:val="zh-CN"/>
              </w:rPr>
              <w:t>▲</w:t>
            </w:r>
            <w:r>
              <w:rPr>
                <w:rFonts w:hint="eastAsia" w:ascii="宋体" w:hAnsi="宋体" w:eastAsia="宋体" w:cs="宋体"/>
                <w:color w:val="auto"/>
                <w:kern w:val="2"/>
                <w:sz w:val="21"/>
                <w:szCs w:val="21"/>
                <w:highlight w:val="yellow"/>
                <w:lang w:val="en-US" w:eastAsia="zh-CN" w:bidi="ar-SA"/>
              </w:rPr>
              <w:t>1.由</w:t>
            </w:r>
            <w:r>
              <w:rPr>
                <w:rFonts w:hint="eastAsia" w:ascii="宋体" w:hAnsi="宋体" w:cs="宋体"/>
                <w:color w:val="auto"/>
                <w:kern w:val="2"/>
                <w:sz w:val="21"/>
                <w:szCs w:val="21"/>
                <w:highlight w:val="yellow"/>
                <w:lang w:val="en-US" w:eastAsia="zh-CN" w:bidi="ar-SA"/>
              </w:rPr>
              <w:t>成交人</w:t>
            </w:r>
            <w:r>
              <w:rPr>
                <w:rFonts w:hint="eastAsia" w:ascii="宋体" w:hAnsi="宋体" w:eastAsia="宋体" w:cs="宋体"/>
                <w:color w:val="auto"/>
                <w:kern w:val="2"/>
                <w:sz w:val="21"/>
                <w:szCs w:val="21"/>
                <w:highlight w:val="yellow"/>
                <w:lang w:val="en-US" w:eastAsia="zh-CN" w:bidi="ar-SA"/>
              </w:rPr>
              <w:t>负责厅门门洞封堵，机房孔洞封堵，机座混凝土浇筑、封堵，机房钢丝绳孔洞防水边制作，应符合电梯验收规范。</w:t>
            </w:r>
            <w:r>
              <w:rPr>
                <w:rFonts w:hint="eastAsia" w:ascii="宋体" w:hAnsi="宋体" w:cs="宋体"/>
                <w:color w:val="auto"/>
                <w:kern w:val="2"/>
                <w:sz w:val="21"/>
                <w:szCs w:val="21"/>
                <w:highlight w:val="yellow"/>
                <w:lang w:val="en-US" w:eastAsia="zh-CN" w:bidi="ar-SA"/>
              </w:rPr>
              <w:t>费用由成交人负责人。</w:t>
            </w:r>
          </w:p>
          <w:p w14:paraId="6748C977">
            <w:pPr>
              <w:pStyle w:val="23"/>
              <w:ind w:firstLine="0" w:firstLineChars="0"/>
              <w:rPr>
                <w:rFonts w:hint="eastAsia" w:ascii="宋体" w:hAnsi="宋体" w:cs="宋体"/>
                <w:color w:val="auto"/>
                <w:szCs w:val="21"/>
                <w:highlight w:val="none"/>
              </w:rPr>
            </w:pPr>
            <w:r>
              <w:rPr>
                <w:rFonts w:hint="eastAsia" w:ascii="宋体" w:hAnsi="宋体" w:cs="宋体"/>
                <w:color w:val="auto"/>
                <w:szCs w:val="21"/>
                <w:highlight w:val="yellow"/>
                <w:lang w:val="zh-CN"/>
              </w:rPr>
              <w:t>▲</w:t>
            </w:r>
            <w:r>
              <w:rPr>
                <w:rFonts w:hint="eastAsia" w:ascii="宋体" w:hAnsi="宋体" w:eastAsia="宋体" w:cs="宋体"/>
                <w:color w:val="auto"/>
                <w:kern w:val="2"/>
                <w:sz w:val="21"/>
                <w:szCs w:val="21"/>
                <w:highlight w:val="yellow"/>
                <w:lang w:val="en-US" w:eastAsia="zh-CN" w:bidi="ar-SA"/>
              </w:rPr>
              <w:t>2.</w:t>
            </w:r>
            <w:r>
              <w:rPr>
                <w:rFonts w:hint="eastAsia" w:ascii="宋体" w:hAnsi="宋体" w:eastAsia="宋体" w:cs="宋体"/>
                <w:color w:val="auto"/>
                <w:kern w:val="2"/>
                <w:sz w:val="21"/>
                <w:szCs w:val="21"/>
                <w:highlight w:val="yellow"/>
                <w:lang w:val="zh-CN" w:eastAsia="zh-CN" w:bidi="ar-SA"/>
              </w:rPr>
              <w:t>采购单位有权对以上主要部件聘请专家及第三方专业机构进行核查，核查费用由采购人支付。成交人需配合提供主要部件的电梯质量监督检验机构或第三方机构出具的检验报告复印件等能证明达到技术参数及性能配置要求的材料。若出现弄虚作假情况，一经查实，采购单位将予以退货或换货，核查费用由成交人支付，并将追究成交人法律责任并要求供应商赔偿相关损失</w:t>
            </w:r>
            <w:r>
              <w:rPr>
                <w:rFonts w:hint="eastAsia" w:ascii="宋体" w:hAnsi="宋体" w:cs="宋体"/>
                <w:color w:val="auto"/>
                <w:kern w:val="2"/>
                <w:sz w:val="21"/>
                <w:szCs w:val="21"/>
                <w:highlight w:val="yellow"/>
                <w:lang w:val="zh-CN" w:eastAsia="zh-CN" w:bidi="ar-SA"/>
              </w:rPr>
              <w:t>。</w:t>
            </w:r>
          </w:p>
        </w:tc>
      </w:tr>
      <w:tr w14:paraId="0A1A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48A8B1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22" w:type="dxa"/>
            <w:noWrap w:val="0"/>
            <w:vAlign w:val="center"/>
          </w:tcPr>
          <w:p w14:paraId="1FD535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无机房乘客电梯</w:t>
            </w:r>
          </w:p>
        </w:tc>
        <w:tc>
          <w:tcPr>
            <w:tcW w:w="785" w:type="dxa"/>
            <w:noWrap w:val="0"/>
            <w:vAlign w:val="center"/>
          </w:tcPr>
          <w:p w14:paraId="211365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1台</w:t>
            </w:r>
          </w:p>
        </w:tc>
        <w:tc>
          <w:tcPr>
            <w:tcW w:w="7070" w:type="dxa"/>
            <w:noWrap w:val="0"/>
            <w:vAlign w:val="center"/>
          </w:tcPr>
          <w:p w14:paraId="2A9FE62B">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一、技术规格参数要求：</w:t>
            </w:r>
          </w:p>
          <w:p w14:paraId="3E3A92A1">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1、额定载重量：≥</w:t>
            </w:r>
            <w:r>
              <w:rPr>
                <w:rFonts w:hint="eastAsia" w:ascii="宋体" w:hAnsi="宋体" w:cs="宋体"/>
                <w:color w:val="auto"/>
                <w:szCs w:val="21"/>
                <w:highlight w:val="none"/>
              </w:rPr>
              <w:t>600</w:t>
            </w:r>
            <w:r>
              <w:rPr>
                <w:rFonts w:hint="eastAsia" w:ascii="宋体" w:hAnsi="宋体" w:cs="宋体"/>
                <w:color w:val="auto"/>
                <w:szCs w:val="21"/>
                <w:highlight w:val="none"/>
                <w:lang w:val="zh-CN"/>
              </w:rPr>
              <w:t>公斤；</w:t>
            </w:r>
          </w:p>
          <w:p w14:paraId="367A18F9">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2、层/站/门：</w:t>
            </w:r>
            <w:r>
              <w:rPr>
                <w:rFonts w:hint="eastAsia" w:ascii="宋体" w:hAnsi="宋体" w:cs="宋体"/>
                <w:color w:val="auto"/>
                <w:szCs w:val="21"/>
                <w:highlight w:val="none"/>
              </w:rPr>
              <w:t>2</w:t>
            </w:r>
            <w:r>
              <w:rPr>
                <w:rFonts w:hint="eastAsia" w:ascii="宋体" w:hAnsi="宋体" w:cs="宋体"/>
                <w:color w:val="auto"/>
                <w:szCs w:val="21"/>
                <w:highlight w:val="none"/>
                <w:lang w:val="zh-CN"/>
              </w:rPr>
              <w:t>层</w:t>
            </w:r>
            <w:r>
              <w:rPr>
                <w:rFonts w:hint="eastAsia" w:ascii="宋体" w:hAnsi="宋体" w:cs="宋体"/>
                <w:color w:val="auto"/>
                <w:szCs w:val="21"/>
                <w:highlight w:val="none"/>
              </w:rPr>
              <w:t>2</w:t>
            </w:r>
            <w:r>
              <w:rPr>
                <w:rFonts w:hint="eastAsia" w:ascii="宋体" w:hAnsi="宋体" w:cs="宋体"/>
                <w:color w:val="auto"/>
                <w:szCs w:val="21"/>
                <w:highlight w:val="none"/>
                <w:lang w:val="zh-CN"/>
              </w:rPr>
              <w:t>站</w:t>
            </w:r>
            <w:r>
              <w:rPr>
                <w:rFonts w:hint="eastAsia" w:ascii="宋体" w:hAnsi="宋体" w:cs="宋体"/>
                <w:color w:val="auto"/>
                <w:szCs w:val="21"/>
                <w:highlight w:val="none"/>
              </w:rPr>
              <w:t>2</w:t>
            </w:r>
            <w:r>
              <w:rPr>
                <w:rFonts w:hint="eastAsia" w:ascii="宋体" w:hAnsi="宋体" w:cs="宋体"/>
                <w:color w:val="auto"/>
                <w:szCs w:val="21"/>
                <w:highlight w:val="none"/>
                <w:lang w:val="zh-CN"/>
              </w:rPr>
              <w:t>门；</w:t>
            </w:r>
          </w:p>
          <w:p w14:paraId="055C80BF">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额定速度：</w:t>
            </w:r>
            <w:r>
              <w:rPr>
                <w:rFonts w:hint="eastAsia" w:ascii="宋体" w:hAnsi="宋体" w:cs="宋体"/>
                <w:color w:val="auto"/>
                <w:szCs w:val="21"/>
                <w:highlight w:val="none"/>
              </w:rPr>
              <w:t>1.0</w:t>
            </w:r>
            <w:r>
              <w:rPr>
                <w:rFonts w:hint="eastAsia" w:ascii="宋体" w:hAnsi="宋体" w:cs="宋体"/>
                <w:color w:val="auto"/>
                <w:szCs w:val="21"/>
                <w:highlight w:val="none"/>
                <w:lang w:val="zh-CN"/>
              </w:rPr>
              <w:t>米/秒；</w:t>
            </w:r>
          </w:p>
          <w:p w14:paraId="5B6EB7FA">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、轿厢尺寸宽×深×高：</w:t>
            </w:r>
            <w:r>
              <w:rPr>
                <w:rFonts w:hint="eastAsia" w:ascii="宋体" w:hAnsi="宋体" w:cs="宋体"/>
                <w:color w:val="auto"/>
                <w:szCs w:val="21"/>
                <w:highlight w:val="none"/>
              </w:rPr>
              <w:t>1200</w:t>
            </w:r>
            <w:r>
              <w:rPr>
                <w:rFonts w:hint="eastAsia" w:ascii="宋体" w:hAnsi="宋体" w:cs="宋体"/>
                <w:color w:val="auto"/>
                <w:szCs w:val="21"/>
                <w:highlight w:val="none"/>
                <w:lang w:val="zh-CN"/>
              </w:rPr>
              <w:t>mm×</w:t>
            </w:r>
            <w:r>
              <w:rPr>
                <w:rFonts w:hint="eastAsia" w:ascii="宋体" w:hAnsi="宋体" w:cs="宋体"/>
                <w:color w:val="auto"/>
                <w:szCs w:val="21"/>
                <w:highlight w:val="none"/>
              </w:rPr>
              <w:t>125</w:t>
            </w:r>
            <w:r>
              <w:rPr>
                <w:rFonts w:hint="eastAsia" w:ascii="宋体" w:hAnsi="宋体" w:cs="宋体"/>
                <w:color w:val="auto"/>
                <w:szCs w:val="21"/>
                <w:highlight w:val="none"/>
                <w:lang w:val="zh-CN"/>
              </w:rPr>
              <w:t>0mm×</w:t>
            </w:r>
            <w:r>
              <w:rPr>
                <w:rFonts w:hint="eastAsia" w:ascii="宋体" w:hAnsi="宋体" w:cs="宋体"/>
                <w:color w:val="auto"/>
                <w:szCs w:val="21"/>
                <w:highlight w:val="none"/>
              </w:rPr>
              <w:t>2450</w:t>
            </w:r>
            <w:r>
              <w:rPr>
                <w:rFonts w:hint="eastAsia" w:ascii="宋体" w:hAnsi="宋体" w:cs="宋体"/>
                <w:color w:val="auto"/>
                <w:szCs w:val="21"/>
                <w:highlight w:val="none"/>
                <w:lang w:val="zh-CN"/>
              </w:rPr>
              <w:t>mm；</w:t>
            </w:r>
          </w:p>
          <w:p w14:paraId="5C190359">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井道净空尺寸宽×深：</w:t>
            </w:r>
            <w:r>
              <w:rPr>
                <w:rFonts w:hint="eastAsia" w:ascii="宋体" w:hAnsi="宋体" w:cs="宋体"/>
                <w:color w:val="auto"/>
                <w:szCs w:val="21"/>
                <w:highlight w:val="none"/>
              </w:rPr>
              <w:t>1900</w:t>
            </w:r>
            <w:r>
              <w:rPr>
                <w:rFonts w:hint="eastAsia" w:ascii="宋体" w:hAnsi="宋体" w:cs="宋体"/>
                <w:color w:val="auto"/>
                <w:szCs w:val="21"/>
                <w:highlight w:val="none"/>
                <w:lang w:val="zh-CN"/>
              </w:rPr>
              <w:t>mm×</w:t>
            </w:r>
            <w:r>
              <w:rPr>
                <w:rFonts w:hint="eastAsia" w:ascii="宋体" w:hAnsi="宋体" w:cs="宋体"/>
                <w:color w:val="auto"/>
                <w:szCs w:val="21"/>
                <w:highlight w:val="none"/>
              </w:rPr>
              <w:t>1600</w:t>
            </w:r>
            <w:r>
              <w:rPr>
                <w:rFonts w:hint="eastAsia" w:ascii="宋体" w:hAnsi="宋体" w:cs="宋体"/>
                <w:color w:val="auto"/>
                <w:szCs w:val="21"/>
                <w:highlight w:val="none"/>
                <w:lang w:val="zh-CN"/>
              </w:rPr>
              <w:t>mm；</w:t>
            </w:r>
          </w:p>
          <w:p w14:paraId="744B7F68">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6</w:t>
            </w:r>
            <w:r>
              <w:rPr>
                <w:rFonts w:hint="eastAsia" w:ascii="宋体" w:hAnsi="宋体" w:cs="宋体"/>
                <w:color w:val="auto"/>
                <w:szCs w:val="21"/>
                <w:highlight w:val="none"/>
                <w:lang w:val="zh-CN"/>
              </w:rPr>
              <w:t>、顶层净高：4</w:t>
            </w:r>
            <w:r>
              <w:rPr>
                <w:rFonts w:hint="eastAsia" w:ascii="宋体" w:hAnsi="宋体" w:cs="宋体"/>
                <w:color w:val="auto"/>
                <w:szCs w:val="21"/>
                <w:highlight w:val="none"/>
              </w:rPr>
              <w:t>.35米</w:t>
            </w:r>
            <w:r>
              <w:rPr>
                <w:rFonts w:hint="eastAsia" w:ascii="宋体" w:hAnsi="宋体" w:cs="宋体"/>
                <w:color w:val="auto"/>
                <w:szCs w:val="21"/>
                <w:highlight w:val="none"/>
                <w:lang w:val="zh-CN"/>
              </w:rPr>
              <w:t>；</w:t>
            </w:r>
          </w:p>
          <w:p w14:paraId="4FB3EA74">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7</w:t>
            </w:r>
            <w:r>
              <w:rPr>
                <w:rFonts w:hint="eastAsia" w:ascii="宋体" w:hAnsi="宋体" w:cs="宋体"/>
                <w:color w:val="auto"/>
                <w:szCs w:val="21"/>
                <w:highlight w:val="none"/>
                <w:lang w:val="zh-CN"/>
              </w:rPr>
              <w:t>、底坑净深：</w:t>
            </w:r>
            <w:r>
              <w:rPr>
                <w:rFonts w:hint="eastAsia" w:ascii="宋体" w:hAnsi="宋体" w:cs="宋体"/>
                <w:color w:val="auto"/>
                <w:szCs w:val="21"/>
                <w:highlight w:val="none"/>
              </w:rPr>
              <w:t>1.5米</w:t>
            </w:r>
            <w:r>
              <w:rPr>
                <w:rFonts w:hint="eastAsia" w:ascii="宋体" w:hAnsi="宋体" w:cs="宋体"/>
                <w:color w:val="auto"/>
                <w:szCs w:val="21"/>
                <w:highlight w:val="none"/>
                <w:lang w:val="zh-CN"/>
              </w:rPr>
              <w:t>；</w:t>
            </w:r>
          </w:p>
          <w:p w14:paraId="18DB8AC2">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8</w:t>
            </w:r>
            <w:r>
              <w:rPr>
                <w:rFonts w:hint="eastAsia" w:ascii="宋体" w:hAnsi="宋体" w:cs="宋体"/>
                <w:color w:val="auto"/>
                <w:szCs w:val="21"/>
                <w:highlight w:val="none"/>
                <w:lang w:val="zh-CN"/>
              </w:rPr>
              <w:t>、开门尺寸宽×高：</w:t>
            </w:r>
            <w:r>
              <w:rPr>
                <w:rFonts w:hint="eastAsia" w:ascii="宋体" w:hAnsi="宋体" w:cs="宋体"/>
                <w:color w:val="auto"/>
                <w:szCs w:val="21"/>
                <w:highlight w:val="none"/>
              </w:rPr>
              <w:t>8</w:t>
            </w:r>
            <w:r>
              <w:rPr>
                <w:rFonts w:hint="eastAsia" w:ascii="宋体" w:hAnsi="宋体" w:cs="宋体"/>
                <w:color w:val="auto"/>
                <w:szCs w:val="21"/>
                <w:highlight w:val="none"/>
                <w:lang w:val="zh-CN"/>
              </w:rPr>
              <w:t>00mm×2100mm；</w:t>
            </w:r>
          </w:p>
          <w:p w14:paraId="187730EB">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9、控制方式：单控；</w:t>
            </w:r>
          </w:p>
          <w:p w14:paraId="06CD3826">
            <w:pPr>
              <w:widowControl/>
              <w:spacing w:line="360" w:lineRule="auto"/>
              <w:jc w:val="left"/>
              <w:rPr>
                <w:rFonts w:hint="eastAsia" w:ascii="宋体" w:hAnsi="宋体" w:cs="宋体"/>
                <w:color w:val="auto"/>
                <w:highlight w:val="none"/>
                <w:lang w:val="zh-CN"/>
              </w:rPr>
            </w:pPr>
            <w:r>
              <w:rPr>
                <w:rFonts w:hint="eastAsia" w:ascii="宋体" w:hAnsi="宋体" w:cs="宋体"/>
                <w:color w:val="auto"/>
                <w:kern w:val="0"/>
                <w:szCs w:val="21"/>
                <w:highlight w:val="none"/>
              </w:rPr>
              <w:t>备注：以上尺寸均以双方现场确认为准。</w:t>
            </w:r>
          </w:p>
          <w:p w14:paraId="7C441F2A">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二、技术要求：</w:t>
            </w:r>
          </w:p>
          <w:p w14:paraId="4753CAA0">
            <w:pPr>
              <w:tabs>
                <w:tab w:val="left" w:pos="756"/>
                <w:tab w:val="left" w:pos="3456"/>
              </w:tabs>
              <w:autoSpaceDE w:val="0"/>
              <w:autoSpaceDN w:val="0"/>
              <w:spacing w:line="360" w:lineRule="auto"/>
              <w:rPr>
                <w:rFonts w:hint="eastAsia" w:ascii="宋体" w:hAnsi="宋体" w:eastAsia="宋体" w:cs="宋体"/>
                <w:color w:val="auto"/>
                <w:szCs w:val="21"/>
                <w:highlight w:val="yellow"/>
                <w:lang w:eastAsia="zh-CN"/>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1、控制系统：32位微机处理器，采用模块化全电脑控制，主控制系统集运行逻辑系统、逆变驱动系统与网络通讯系统一体化，信号处理均由32位主控制系统担当。</w:t>
            </w:r>
            <w:r>
              <w:rPr>
                <w:rFonts w:hint="eastAsia" w:ascii="宋体" w:hAnsi="宋体" w:eastAsia="宋体" w:cs="宋体"/>
                <w:color w:val="auto"/>
                <w:sz w:val="21"/>
                <w:szCs w:val="21"/>
                <w:highlight w:val="yellow"/>
              </w:rPr>
              <w:t>控制主电路板必须为投标品牌制造商设计及生产，不接受外购和代工生产（贴牌生产）的产品</w:t>
            </w:r>
            <w:r>
              <w:rPr>
                <w:rFonts w:hint="eastAsia" w:ascii="宋体" w:hAnsi="宋体" w:eastAsia="宋体" w:cs="宋体"/>
                <w:color w:val="auto"/>
                <w:sz w:val="21"/>
                <w:szCs w:val="21"/>
                <w:highlight w:val="yellow"/>
                <w:lang w:eastAsia="zh-CN"/>
              </w:rPr>
              <w:t>。</w:t>
            </w:r>
          </w:p>
          <w:p w14:paraId="13B4C20F">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2、变频系统：采用双32 位新型、高性能的DSP，双微机控制分别负责位置控制及逆变控制，配置IPM 变频功率模块，增加位置控制的零速锁定控制。</w:t>
            </w:r>
          </w:p>
          <w:p w14:paraId="3A646F7F">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3、曳引系统：永磁同步主机，主机绕组绝缘等级为F级(含)以上，具备防脱磁钢设计。</w:t>
            </w:r>
          </w:p>
          <w:p w14:paraId="5DA2064C">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4、门机系统：永磁同步门机，使用32位微机控制，门机变频模块采用智能变频功率模块。</w:t>
            </w:r>
            <w:r>
              <w:rPr>
                <w:rFonts w:hint="eastAsia" w:ascii="宋体" w:hAnsi="宋体" w:eastAsia="宋体" w:cs="宋体"/>
                <w:color w:val="auto"/>
                <w:sz w:val="21"/>
                <w:szCs w:val="21"/>
                <w:highlight w:val="yellow"/>
              </w:rPr>
              <w:t>门系统运行寿命试验：在进行≥</w:t>
            </w:r>
            <w:r>
              <w:rPr>
                <w:rFonts w:hint="eastAsia" w:ascii="宋体" w:hAnsi="宋体" w:cs="宋体"/>
                <w:color w:val="auto"/>
                <w:sz w:val="21"/>
                <w:szCs w:val="21"/>
                <w:highlight w:val="yellow"/>
                <w:lang w:val="en-US" w:eastAsia="zh-CN"/>
              </w:rPr>
              <w:t>500</w:t>
            </w:r>
            <w:r>
              <w:rPr>
                <w:rFonts w:hint="eastAsia" w:ascii="宋体" w:hAnsi="宋体" w:eastAsia="宋体" w:cs="宋体"/>
                <w:color w:val="auto"/>
                <w:sz w:val="21"/>
                <w:szCs w:val="21"/>
                <w:highlight w:val="yellow"/>
              </w:rPr>
              <w:t>万次完全循环操作，门机电子板、门电机及门锁装置不更换，结束后应满足：门开关过程的噪声值≤65dB、当乘客在轿门关闭过程中，通过入口时被门扇撞击或将被撞击，保护装置应使门扇自动重新开启、门机在关门过程中受阻时能反开、开关门动作正常</w:t>
            </w:r>
            <w:r>
              <w:rPr>
                <w:rFonts w:hint="eastAsia" w:ascii="宋体" w:hAnsi="宋体" w:cs="宋体"/>
                <w:color w:val="auto"/>
                <w:szCs w:val="21"/>
                <w:highlight w:val="yellow"/>
              </w:rPr>
              <w:t>。</w:t>
            </w:r>
          </w:p>
          <w:p w14:paraId="1E4C7D1B">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5、通讯方式：采用抗干扰性强，可靠性高，能高速可靠传递厅外、轿厢召唤信号的高频脉冲变压器串行通讯技术</w:t>
            </w:r>
          </w:p>
          <w:p w14:paraId="7591D495">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6、网络智能化传输系统：采用网络智能传输系统，主控制系统为通讯设置专用的8位微机处理系统。</w:t>
            </w:r>
          </w:p>
          <w:p w14:paraId="62C8E576">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7、系统保护：可设定电子热继电器的热时间常数，可输入缺相保护功能。</w:t>
            </w:r>
          </w:p>
          <w:p w14:paraId="636903D1">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8、电梯主体结构采用全方位抗震保护设计，电梯设备具有抗地震等级的设计，确保电梯安全。</w:t>
            </w:r>
          </w:p>
          <w:p w14:paraId="0CE49F39">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9、轿厢架构：采用无焊接轿架及无焊接轿底工艺，保证构件加工精度、确保部件品质。</w:t>
            </w:r>
          </w:p>
          <w:p w14:paraId="07FD4704">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10、电梯主机制动器试验内容：轿厢内加载至</w:t>
            </w:r>
            <w:r>
              <w:rPr>
                <w:rFonts w:hint="eastAsia" w:ascii="宋体" w:hAnsi="宋体" w:cs="宋体"/>
                <w:color w:val="auto"/>
                <w:szCs w:val="21"/>
                <w:highlight w:val="yellow"/>
                <w:lang w:val="en-US" w:eastAsia="zh-CN"/>
              </w:rPr>
              <w:t>170</w:t>
            </w:r>
            <w:r>
              <w:rPr>
                <w:rFonts w:hint="eastAsia" w:ascii="宋体" w:hAnsi="宋体" w:cs="宋体"/>
                <w:color w:val="auto"/>
                <w:szCs w:val="21"/>
                <w:highlight w:val="yellow"/>
              </w:rPr>
              <w:t>%额定载荷及以上设计并保持</w:t>
            </w:r>
            <w:r>
              <w:rPr>
                <w:rFonts w:hint="eastAsia" w:ascii="宋体" w:hAnsi="宋体" w:cs="宋体"/>
                <w:color w:val="auto"/>
                <w:szCs w:val="21"/>
                <w:highlight w:val="yellow"/>
                <w:lang w:val="en-US" w:eastAsia="zh-CN"/>
              </w:rPr>
              <w:t>15</w:t>
            </w:r>
            <w:r>
              <w:rPr>
                <w:rFonts w:hint="eastAsia" w:ascii="宋体" w:hAnsi="宋体" w:cs="宋体"/>
                <w:color w:val="auto"/>
                <w:szCs w:val="21"/>
                <w:highlight w:val="yellow"/>
              </w:rPr>
              <w:t>min期间电梯应符合：各部件完好、曳引机不转动。</w:t>
            </w:r>
          </w:p>
          <w:p w14:paraId="79C3889B">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11、门电机：采用原品牌永磁同步门电机</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外壳防护等级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w:t>
            </w:r>
            <w:r>
              <w:rPr>
                <w:rFonts w:hint="eastAsia" w:ascii="宋体" w:hAnsi="宋体" w:eastAsia="宋体" w:cs="宋体"/>
                <w:color w:val="auto"/>
                <w:sz w:val="21"/>
                <w:szCs w:val="21"/>
                <w:highlight w:val="none"/>
                <w:lang w:eastAsia="zh-CN"/>
              </w:rPr>
              <w:t>P</w:t>
            </w:r>
            <w:r>
              <w:rPr>
                <w:rFonts w:hint="eastAsia" w:ascii="宋体" w:hAnsi="宋体" w:eastAsia="宋体" w:cs="宋体"/>
                <w:color w:val="auto"/>
                <w:sz w:val="21"/>
                <w:szCs w:val="21"/>
                <w:highlight w:val="none"/>
                <w:lang w:val="en-US" w:eastAsia="zh-CN"/>
              </w:rPr>
              <w:t>54</w:t>
            </w:r>
            <w:r>
              <w:rPr>
                <w:rFonts w:hint="eastAsia" w:ascii="宋体" w:hAnsi="宋体" w:cs="宋体"/>
                <w:color w:val="auto"/>
                <w:szCs w:val="21"/>
                <w:highlight w:val="none"/>
              </w:rPr>
              <w:t>。</w:t>
            </w:r>
          </w:p>
          <w:p w14:paraId="70FA6F5B">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12、保护措施：系统采用FRT技术，增加多项检测内容，可对电梯控制系统的电子板进行监测。控制系统可内置RTC 功能，可全方位记录电梯的不同状态，系统预留了大量空间及通讯接口，同时采用patch 扩展形式，可灵活、方便地应对不同功能的扩展。</w:t>
            </w:r>
          </w:p>
          <w:p w14:paraId="6FA19D25">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13、电梯轿厢门锁装置耐久试验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门锁装置在进行500万次完全循环操作试验结束后符合：不产生可能影响安全的磨损，变形或断裂</w:t>
            </w:r>
            <w:r>
              <w:rPr>
                <w:rFonts w:hint="eastAsia" w:ascii="宋体" w:hAnsi="宋体" w:cs="宋体"/>
                <w:color w:val="auto"/>
                <w:sz w:val="21"/>
                <w:szCs w:val="21"/>
                <w:highlight w:val="yellow"/>
                <w:lang w:eastAsia="zh-CN"/>
              </w:rPr>
              <w:t>。</w:t>
            </w:r>
          </w:p>
          <w:p w14:paraId="7CE0FD2D">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rPr>
              <w:t>14、电梯适应供电电源波动范围的运行稳定性试验</w:t>
            </w:r>
            <w:r>
              <w:rPr>
                <w:rFonts w:hint="eastAsia" w:ascii="宋体" w:hAnsi="宋体" w:cs="宋体"/>
                <w:color w:val="auto"/>
                <w:szCs w:val="21"/>
                <w:highlight w:val="yellow"/>
                <w:lang w:eastAsia="zh-CN"/>
              </w:rPr>
              <w:t>：</w:t>
            </w:r>
            <w:r>
              <w:rPr>
                <w:rFonts w:hint="eastAsia" w:ascii="宋体" w:hAnsi="宋体" w:eastAsia="宋体" w:cs="宋体"/>
                <w:color w:val="auto"/>
                <w:sz w:val="21"/>
                <w:szCs w:val="21"/>
                <w:highlight w:val="yellow"/>
              </w:rPr>
              <w:t>电压波动范围为±10%（380±57）V，即在342V～418V 范围内仍能正常使用，电梯运行符合：轿厢在装有≥110%额定载荷时电梯以额定速度正常运行；轿厢在装有≥50%额定荷载时电梯下行至行程中段时速度偏差范围在92%～105%之间</w:t>
            </w:r>
            <w:r>
              <w:rPr>
                <w:rFonts w:hint="eastAsia" w:ascii="宋体" w:hAnsi="宋体" w:cs="宋体"/>
                <w:color w:val="auto"/>
                <w:szCs w:val="21"/>
                <w:highlight w:val="yellow"/>
              </w:rPr>
              <w:t>。</w:t>
            </w:r>
          </w:p>
          <w:p w14:paraId="5C5A8AA0">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15、电梯控制柜雷击浪涌干扰试验</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电梯</w:t>
            </w:r>
            <w:r>
              <w:rPr>
                <w:rFonts w:hint="eastAsia" w:ascii="宋体" w:hAnsi="宋体" w:eastAsia="宋体" w:cs="宋体"/>
                <w:color w:val="auto"/>
                <w:szCs w:val="21"/>
                <w:highlight w:val="none"/>
              </w:rPr>
              <w:t>控制柜三相动力电源线与地之间施加±</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k</w:t>
            </w:r>
            <w:r>
              <w:rPr>
                <w:rFonts w:hint="eastAsia" w:ascii="宋体" w:hAnsi="宋体" w:eastAsia="宋体" w:cs="宋体"/>
                <w:color w:val="auto"/>
                <w:szCs w:val="21"/>
                <w:highlight w:val="none"/>
              </w:rPr>
              <w:t>V雷击浪涌干扰50次，部件无损坏。</w:t>
            </w:r>
          </w:p>
          <w:p w14:paraId="6B5A1C46">
            <w:pPr>
              <w:tabs>
                <w:tab w:val="left" w:pos="756"/>
                <w:tab w:val="left" w:pos="3456"/>
              </w:tabs>
              <w:autoSpaceDE w:val="0"/>
              <w:autoSpaceDN w:val="0"/>
              <w:spacing w:line="360" w:lineRule="auto"/>
              <w:rPr>
                <w:rFonts w:hint="eastAsia" w:ascii="宋体" w:hAnsi="宋体" w:eastAsia="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eastAsia="宋体" w:cs="宋体"/>
                <w:color w:val="auto"/>
                <w:szCs w:val="21"/>
                <w:highlight w:val="yellow"/>
              </w:rPr>
              <w:t>16、电梯制动器动作寿命试验：电梯驱动主机制动器总成应当进行不少于200万次的动作试验，试验过程中不得进行任何维护，试验期间制动器不允许出现任何故障，试验周期为5 s至6 s之间，试验时通电持续率取</w:t>
            </w:r>
            <w:r>
              <w:rPr>
                <w:rFonts w:hint="eastAsia" w:ascii="宋体" w:hAnsi="宋体" w:cs="宋体"/>
                <w:color w:val="auto"/>
                <w:szCs w:val="21"/>
                <w:highlight w:val="yellow"/>
                <w:lang w:val="en-US" w:eastAsia="zh-CN"/>
              </w:rPr>
              <w:t>5</w:t>
            </w:r>
            <w:r>
              <w:rPr>
                <w:rFonts w:hint="eastAsia" w:ascii="宋体" w:hAnsi="宋体" w:eastAsia="宋体" w:cs="宋体"/>
                <w:color w:val="auto"/>
                <w:szCs w:val="21"/>
                <w:highlight w:val="yellow"/>
              </w:rPr>
              <w:t>0%和驱动主机通电持续率的较大值。能符合以上试验条件寿命试验次数达到</w:t>
            </w:r>
            <w:r>
              <w:rPr>
                <w:rFonts w:hint="eastAsia" w:ascii="宋体" w:hAnsi="宋体" w:cs="宋体"/>
                <w:color w:val="auto"/>
                <w:szCs w:val="21"/>
                <w:highlight w:val="yellow"/>
                <w:lang w:val="en-US" w:eastAsia="zh-CN"/>
              </w:rPr>
              <w:t>500</w:t>
            </w:r>
            <w:r>
              <w:rPr>
                <w:rFonts w:hint="eastAsia" w:ascii="宋体" w:hAnsi="宋体" w:eastAsia="宋体" w:cs="宋体"/>
                <w:color w:val="auto"/>
                <w:szCs w:val="21"/>
                <w:highlight w:val="yellow"/>
              </w:rPr>
              <w:t>万次。</w:t>
            </w:r>
          </w:p>
          <w:p w14:paraId="263815D1">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电梯按钮工作寿命试验：在正常环境中,按钮应在转换速度每小时3600次的寿命试验设备上进行,通断比1:1，触点电路施加DC23V、25mA，阻性负载;按压力为6N~7.5N.试验中按钮应工作正常。试验后按钮应无损坏，并测量按钮动作力及回复力、触点阻值、绝缘电阻。能符合以上试验条件工作寿命达到500万次。</w:t>
            </w:r>
          </w:p>
          <w:p w14:paraId="31CCE898">
            <w:pPr>
              <w:tabs>
                <w:tab w:val="left" w:pos="756"/>
                <w:tab w:val="left" w:pos="3456"/>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18、光幕保护：原厂原品牌智能光幕，多红外线光束门感应器保护，光束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170束</w:t>
            </w:r>
            <w:r>
              <w:rPr>
                <w:rFonts w:hint="eastAsia" w:ascii="宋体" w:hAnsi="宋体" w:eastAsia="宋体" w:cs="宋体"/>
                <w:color w:val="auto"/>
                <w:szCs w:val="21"/>
                <w:highlight w:val="none"/>
                <w:lang w:eastAsia="zh-CN"/>
              </w:rPr>
              <w:t>，防护等级≥</w:t>
            </w:r>
            <w:r>
              <w:rPr>
                <w:rFonts w:hint="eastAsia" w:ascii="宋体" w:hAnsi="宋体" w:eastAsia="宋体" w:cs="宋体"/>
                <w:color w:val="auto"/>
                <w:szCs w:val="21"/>
                <w:highlight w:val="none"/>
                <w:lang w:val="en-US" w:eastAsia="zh-CN"/>
              </w:rPr>
              <w:t>IP54</w:t>
            </w:r>
            <w:r>
              <w:rPr>
                <w:rFonts w:hint="eastAsia" w:ascii="宋体" w:hAnsi="宋体" w:eastAsia="宋体" w:cs="宋体"/>
                <w:color w:val="auto"/>
                <w:szCs w:val="21"/>
                <w:highlight w:val="none"/>
              </w:rPr>
              <w:t>。</w:t>
            </w:r>
          </w:p>
          <w:p w14:paraId="6B66980D">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三、主要部件及要求</w:t>
            </w:r>
            <w:r>
              <w:rPr>
                <w:rFonts w:hint="eastAsia" w:ascii="宋体" w:hAnsi="宋体" w:cs="宋体"/>
                <w:color w:val="auto"/>
                <w:szCs w:val="21"/>
                <w:highlight w:val="none"/>
              </w:rPr>
              <w:t xml:space="preserve"> </w:t>
            </w:r>
          </w:p>
          <w:p w14:paraId="2E7E42A8">
            <w:pPr>
              <w:tabs>
                <w:tab w:val="left" w:pos="756"/>
                <w:tab w:val="left" w:pos="3456"/>
              </w:tabs>
              <w:autoSpaceDE w:val="0"/>
              <w:autoSpaceDN w:val="0"/>
              <w:spacing w:line="360" w:lineRule="auto"/>
              <w:rPr>
                <w:rFonts w:hint="eastAsia" w:ascii="宋体" w:hAnsi="宋体" w:cs="宋体"/>
                <w:color w:val="auto"/>
                <w:szCs w:val="21"/>
                <w:highlight w:val="yellow"/>
                <w:lang w:val="zh-CN"/>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整体要求：</w:t>
            </w:r>
            <w:r>
              <w:rPr>
                <w:rFonts w:hint="eastAsia" w:ascii="宋体" w:hAnsi="宋体" w:cs="宋体"/>
                <w:color w:val="auto"/>
                <w:szCs w:val="21"/>
                <w:highlight w:val="yellow"/>
              </w:rPr>
              <w:t>1</w:t>
            </w:r>
            <w:r>
              <w:rPr>
                <w:rFonts w:hint="eastAsia" w:ascii="宋体" w:hAnsi="宋体" w:cs="宋体"/>
                <w:color w:val="auto"/>
                <w:szCs w:val="21"/>
                <w:highlight w:val="yellow"/>
                <w:lang w:eastAsia="zh-CN"/>
              </w:rPr>
              <w:t>、</w:t>
            </w:r>
            <w:r>
              <w:rPr>
                <w:rFonts w:hint="eastAsia" w:ascii="宋体" w:hAnsi="宋体" w:cs="宋体"/>
                <w:color w:val="auto"/>
                <w:szCs w:val="21"/>
                <w:highlight w:val="yellow"/>
                <w:lang w:val="en-US" w:eastAsia="zh-CN"/>
              </w:rPr>
              <w:t>成交</w:t>
            </w:r>
            <w:r>
              <w:rPr>
                <w:rFonts w:hint="eastAsia" w:ascii="宋体" w:hAnsi="宋体" w:cs="宋体"/>
                <w:color w:val="auto"/>
                <w:szCs w:val="21"/>
                <w:highlight w:val="yellow"/>
                <w:lang w:val="zh-CN"/>
              </w:rPr>
              <w:t>供应商在签订合同前（或供货时），须提供所投产品的合法来源证明（包括但不限于：制造厂家出具的有效经销（代理）授权书、供货协议或能证明产品为正品来源的购货渠道证明等），并加盖</w:t>
            </w:r>
            <w:r>
              <w:rPr>
                <w:rFonts w:hint="eastAsia" w:ascii="宋体" w:hAnsi="宋体" w:cs="宋体"/>
                <w:color w:val="auto"/>
                <w:szCs w:val="21"/>
                <w:highlight w:val="yellow"/>
                <w:lang w:val="en-US" w:eastAsia="zh-CN"/>
              </w:rPr>
              <w:t>成交资格</w:t>
            </w:r>
            <w:r>
              <w:rPr>
                <w:rFonts w:hint="eastAsia" w:ascii="宋体" w:hAnsi="宋体" w:cs="宋体"/>
                <w:color w:val="auto"/>
                <w:szCs w:val="21"/>
                <w:highlight w:val="yellow"/>
                <w:lang w:val="zh-CN"/>
              </w:rPr>
              <w:t>人公章。如无法提供，视为投标无效，采购人有权取消其中标资格并追究其法律责任。</w:t>
            </w:r>
          </w:p>
          <w:p w14:paraId="6F9FA48A">
            <w:pPr>
              <w:tabs>
                <w:tab w:val="left" w:pos="756"/>
                <w:tab w:val="left" w:pos="3456"/>
              </w:tabs>
              <w:autoSpaceDE w:val="0"/>
              <w:autoSpaceDN w:val="0"/>
              <w:spacing w:line="360" w:lineRule="auto"/>
              <w:rPr>
                <w:rFonts w:hint="eastAsia" w:ascii="宋体" w:hAnsi="宋体" w:cs="宋体"/>
                <w:color w:val="auto"/>
                <w:szCs w:val="21"/>
                <w:highlight w:val="yellow"/>
              </w:rPr>
            </w:pPr>
            <w:r>
              <w:rPr>
                <w:rFonts w:hint="eastAsia" w:ascii="宋体" w:hAnsi="宋体" w:cs="宋体"/>
                <w:color w:val="auto"/>
                <w:szCs w:val="21"/>
                <w:highlight w:val="yellow"/>
                <w:lang w:val="zh-CN"/>
              </w:rPr>
              <w:t>▲</w:t>
            </w:r>
            <w:r>
              <w:rPr>
                <w:rFonts w:hint="eastAsia" w:ascii="宋体" w:hAnsi="宋体" w:cs="宋体"/>
                <w:color w:val="auto"/>
                <w:szCs w:val="21"/>
                <w:highlight w:val="yellow"/>
                <w:lang w:val="en-US" w:eastAsia="zh-CN"/>
              </w:rPr>
              <w:t>2</w:t>
            </w:r>
            <w:r>
              <w:rPr>
                <w:rFonts w:hint="eastAsia" w:ascii="宋体" w:hAnsi="宋体" w:cs="宋体"/>
                <w:color w:val="auto"/>
                <w:szCs w:val="21"/>
                <w:highlight w:val="yellow"/>
                <w:lang w:eastAsia="zh-CN"/>
              </w:rPr>
              <w:t>、</w:t>
            </w:r>
            <w:r>
              <w:rPr>
                <w:rFonts w:hint="eastAsia" w:ascii="宋体" w:hAnsi="宋体" w:cs="宋体"/>
                <w:color w:val="auto"/>
                <w:szCs w:val="21"/>
                <w:highlight w:val="yellow"/>
              </w:rPr>
              <w:t>曳引机、控制柜（含调速器、控制器）、门锁（含层门门锁、轿门门锁）、安全钳、限速器、上行超速保护装置、</w:t>
            </w:r>
            <w:r>
              <w:rPr>
                <w:rFonts w:hint="eastAsia" w:ascii="宋体" w:hAnsi="宋体" w:cs="宋体"/>
                <w:color w:val="auto"/>
                <w:szCs w:val="21"/>
                <w:highlight w:val="yellow"/>
                <w:lang w:val="en-US" w:eastAsia="zh-CN"/>
              </w:rPr>
              <w:t>缓冲器、限速器、轿厢意外移动保护装置等</w:t>
            </w:r>
            <w:r>
              <w:rPr>
                <w:rFonts w:hint="eastAsia" w:ascii="宋体" w:hAnsi="宋体" w:cs="宋体"/>
                <w:color w:val="auto"/>
                <w:szCs w:val="21"/>
                <w:highlight w:val="yellow"/>
              </w:rPr>
              <w:t>主要部件必须是所投品牌原厂设计和制造，</w:t>
            </w:r>
            <w:r>
              <w:rPr>
                <w:rFonts w:hint="eastAsia" w:ascii="宋体" w:hAnsi="宋体" w:cs="宋体"/>
                <w:color w:val="auto"/>
                <w:szCs w:val="21"/>
                <w:highlight w:val="yellow"/>
              </w:rPr>
              <w:t>而且产品商标为所投品牌统一商标（LOGO），外购和贴牌生产无效。</w:t>
            </w:r>
          </w:p>
          <w:p w14:paraId="4198E4A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、曳引机钢丝绳数量≥5条、悬挂比2：1，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时提供整梯型式试验报告中须体现出上述参数内容。</w:t>
            </w:r>
          </w:p>
          <w:p w14:paraId="5945D8BE">
            <w:pPr>
              <w:tabs>
                <w:tab w:val="left" w:pos="756"/>
                <w:tab w:val="left" w:pos="3456"/>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、导轨要求：提供一种电梯导轨安装精度检测装置</w:t>
            </w:r>
            <w:r>
              <w:rPr>
                <w:rFonts w:hint="eastAsia" w:ascii="宋体" w:hAnsi="宋体" w:cs="宋体"/>
                <w:color w:val="auto"/>
                <w:szCs w:val="21"/>
                <w:highlight w:val="none"/>
                <w:lang w:eastAsia="zh-CN"/>
              </w:rPr>
              <w:t>。</w:t>
            </w:r>
          </w:p>
          <w:p w14:paraId="12EE311E">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、客梯设计包含抗电磁干扰功能，可有效抵抗外界电磁干扰，提高设备控制精准度，提高可靠性。</w:t>
            </w:r>
          </w:p>
          <w:p w14:paraId="15069255">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四、基本功能要求（投标人投标时必须根据制造商产品样本（说明手册等）功能列表予以逐项承诺，如样本（说明手册等）中无功能列表或列表中无相应功能的，必须提供加盖投标人公章的功能说明文件。）</w:t>
            </w:r>
          </w:p>
          <w:p w14:paraId="68D6210D">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超载保护；</w:t>
            </w:r>
          </w:p>
          <w:p w14:paraId="6D92809F">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2.光幕保护；</w:t>
            </w:r>
          </w:p>
          <w:p w14:paraId="739CC757">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3.防扒门保护；</w:t>
            </w:r>
          </w:p>
          <w:p w14:paraId="62B17577">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4.关门时间异常保护；</w:t>
            </w:r>
          </w:p>
          <w:p w14:paraId="635B6AFA">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5.门受阻保护；</w:t>
            </w:r>
          </w:p>
          <w:p w14:paraId="6E7505B3">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6.非门区不能开门保护；</w:t>
            </w:r>
          </w:p>
          <w:p w14:paraId="4F1560AD">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7.开门异常时就近层停靠；</w:t>
            </w:r>
          </w:p>
          <w:p w14:paraId="65DA2380">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8.电梯自救运行；</w:t>
            </w:r>
          </w:p>
          <w:p w14:paraId="605E5A42">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9.轿厢意外移动保护；</w:t>
            </w:r>
          </w:p>
          <w:p w14:paraId="1E6DC853">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10.超速保护；</w:t>
            </w:r>
          </w:p>
          <w:p w14:paraId="3AF918C4">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11.防溜车保护；</w:t>
            </w:r>
          </w:p>
          <w:p w14:paraId="318BD995">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12.逆向运行保护；</w:t>
            </w:r>
          </w:p>
          <w:p w14:paraId="6A55E1D1">
            <w:pPr>
              <w:widowControl/>
              <w:numPr>
                <w:ilvl w:val="0"/>
                <w:numId w:val="0"/>
              </w:numPr>
              <w:jc w:val="left"/>
              <w:rPr>
                <w:rFonts w:hint="eastAsia" w:ascii="宋体" w:hAnsi="宋体"/>
                <w:color w:val="auto"/>
                <w:szCs w:val="21"/>
                <w:highlight w:val="none"/>
              </w:rPr>
            </w:pPr>
            <w:r>
              <w:rPr>
                <w:rFonts w:hint="eastAsia" w:ascii="宋体" w:hAnsi="宋体"/>
                <w:color w:val="auto"/>
                <w:szCs w:val="21"/>
                <w:highlight w:val="none"/>
              </w:rPr>
              <w:t>13运行超时保护；</w:t>
            </w:r>
          </w:p>
          <w:p w14:paraId="0CC89BF8">
            <w:pPr>
              <w:widowControl/>
              <w:numPr>
                <w:ilvl w:val="0"/>
                <w:numId w:val="5"/>
              </w:numPr>
              <w:jc w:val="left"/>
              <w:rPr>
                <w:rFonts w:hint="eastAsia" w:ascii="宋体" w:hAnsi="宋体"/>
                <w:color w:val="auto"/>
                <w:szCs w:val="21"/>
                <w:highlight w:val="none"/>
              </w:rPr>
            </w:pPr>
            <w:r>
              <w:rPr>
                <w:rFonts w:hint="eastAsia" w:ascii="宋体" w:hAnsi="宋体"/>
                <w:color w:val="auto"/>
                <w:szCs w:val="21"/>
                <w:highlight w:val="none"/>
              </w:rPr>
              <w:t>变频器多重保护；</w:t>
            </w:r>
          </w:p>
          <w:p w14:paraId="71B3854B">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防终端越程保护；</w:t>
            </w:r>
          </w:p>
          <w:p w14:paraId="413812B8">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防门锁短接保护；</w:t>
            </w:r>
          </w:p>
          <w:p w14:paraId="2C4349D2">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电源相位故障检测；</w:t>
            </w:r>
          </w:p>
          <w:p w14:paraId="333D97B1">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电网异常检测；</w:t>
            </w:r>
          </w:p>
          <w:p w14:paraId="4C4FB2FC">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接触器异常检测；</w:t>
            </w:r>
          </w:p>
          <w:p w14:paraId="4B0F4CCC">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门回路检测；</w:t>
            </w:r>
          </w:p>
          <w:p w14:paraId="298E4FD9">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抱闸力检测；</w:t>
            </w:r>
          </w:p>
          <w:p w14:paraId="21CD919E">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检修操作；</w:t>
            </w:r>
          </w:p>
          <w:p w14:paraId="55C185A2">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故障自诊断及记录；</w:t>
            </w:r>
          </w:p>
          <w:p w14:paraId="74C74824">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磁角度自学习；</w:t>
            </w:r>
          </w:p>
          <w:p w14:paraId="0EB06D40">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层楼位置信号自动修正；</w:t>
            </w:r>
          </w:p>
          <w:p w14:paraId="33CF6F02">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井道层楼数据自学习；</w:t>
            </w:r>
          </w:p>
          <w:p w14:paraId="6FCBECA2">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运行次数显示；</w:t>
            </w:r>
          </w:p>
          <w:p w14:paraId="21BA6D2D">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电梯体检；</w:t>
            </w:r>
          </w:p>
          <w:p w14:paraId="3D6489B1">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警铃报警;</w:t>
            </w:r>
          </w:p>
          <w:p w14:paraId="5664F5CA">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无线</w:t>
            </w:r>
            <w:r>
              <w:rPr>
                <w:rFonts w:hint="eastAsia" w:ascii="宋体" w:hAnsi="宋体"/>
                <w:color w:val="auto"/>
                <w:szCs w:val="21"/>
                <w:highlight w:val="none"/>
              </w:rPr>
              <w:t>五方通话；</w:t>
            </w:r>
          </w:p>
          <w:p w14:paraId="635713C5">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消防应急返回；</w:t>
            </w:r>
          </w:p>
          <w:p w14:paraId="34189F5C">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消防信号反馈；</w:t>
            </w:r>
          </w:p>
          <w:p w14:paraId="1CA8A708">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紧急电动运行；</w:t>
            </w:r>
          </w:p>
          <w:p w14:paraId="115BCD12">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轿厢应急照明；</w:t>
            </w:r>
          </w:p>
          <w:p w14:paraId="3A37AE08">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远程监控（物联网功能）；</w:t>
            </w:r>
          </w:p>
          <w:p w14:paraId="195AE971">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启动补偿；</w:t>
            </w:r>
          </w:p>
          <w:p w14:paraId="2A752CB7">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直接停靠；</w:t>
            </w:r>
          </w:p>
          <w:p w14:paraId="0917D082">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微动平层；</w:t>
            </w:r>
          </w:p>
          <w:p w14:paraId="7B89D977">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静音通风；</w:t>
            </w:r>
          </w:p>
          <w:p w14:paraId="689A7A17">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超载报警</w:t>
            </w:r>
            <w:r>
              <w:rPr>
                <w:rFonts w:hint="eastAsia" w:ascii="宋体" w:hAnsi="宋体"/>
                <w:color w:val="auto"/>
                <w:szCs w:val="21"/>
                <w:highlight w:val="none"/>
                <w:lang w:eastAsia="zh-CN"/>
              </w:rPr>
              <w:t>；</w:t>
            </w:r>
          </w:p>
          <w:p w14:paraId="099F7778">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语音报站；</w:t>
            </w:r>
          </w:p>
          <w:p w14:paraId="1A843EC8">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语音播报；</w:t>
            </w:r>
          </w:p>
          <w:p w14:paraId="01E9067C">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语音安抚</w:t>
            </w:r>
            <w:r>
              <w:rPr>
                <w:rFonts w:hint="eastAsia" w:ascii="宋体" w:hAnsi="宋体"/>
                <w:color w:val="auto"/>
                <w:szCs w:val="21"/>
                <w:highlight w:val="none"/>
                <w:lang w:eastAsia="zh-CN"/>
              </w:rPr>
              <w:t>；</w:t>
            </w:r>
          </w:p>
          <w:p w14:paraId="1049BE41">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内召登记声音反馈；</w:t>
            </w:r>
          </w:p>
          <w:p w14:paraId="31A1F90A">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静音模式（可以自行设定时间段）；</w:t>
            </w:r>
          </w:p>
          <w:p w14:paraId="1FACAC59">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超载指示；</w:t>
            </w:r>
          </w:p>
          <w:p w14:paraId="3D638DC6">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检修指示；</w:t>
            </w:r>
          </w:p>
          <w:p w14:paraId="14F409EC">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消防指示；</w:t>
            </w:r>
          </w:p>
          <w:p w14:paraId="24FE06F9">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运行方向显示；</w:t>
            </w:r>
          </w:p>
          <w:p w14:paraId="6F2D3A3F">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关门按钮提前关门；</w:t>
            </w:r>
          </w:p>
          <w:p w14:paraId="648462CF">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开门按钮重开门；</w:t>
            </w:r>
          </w:p>
          <w:p w14:paraId="036A2665">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满载直驶；</w:t>
            </w:r>
          </w:p>
          <w:p w14:paraId="4AA61B39">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防捣乱功能；</w:t>
            </w:r>
          </w:p>
          <w:p w14:paraId="5456F462">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反向指令自动消除；</w:t>
            </w:r>
          </w:p>
          <w:p w14:paraId="560FCF1B">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轿内误指令消除</w:t>
            </w:r>
            <w:r>
              <w:rPr>
                <w:rFonts w:hint="eastAsia" w:ascii="宋体" w:hAnsi="宋体"/>
                <w:color w:val="auto"/>
                <w:szCs w:val="21"/>
                <w:highlight w:val="none"/>
                <w:lang w:eastAsia="zh-CN"/>
              </w:rPr>
              <w:t>；</w:t>
            </w:r>
          </w:p>
          <w:p w14:paraId="27F51A38">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厅外误指令消除；</w:t>
            </w:r>
          </w:p>
          <w:p w14:paraId="1C90A8D3">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外召按钮嵌入自诊断；</w:t>
            </w:r>
          </w:p>
          <w:p w14:paraId="2BC88F7D">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驻停模式</w:t>
            </w:r>
            <w:r>
              <w:rPr>
                <w:rFonts w:hint="eastAsia" w:ascii="宋体" w:hAnsi="宋体"/>
                <w:color w:val="auto"/>
                <w:szCs w:val="21"/>
                <w:highlight w:val="none"/>
                <w:lang w:eastAsia="zh-CN"/>
              </w:rPr>
              <w:t>；</w:t>
            </w:r>
          </w:p>
          <w:p w14:paraId="4920AB3A">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司机服务；</w:t>
            </w:r>
          </w:p>
          <w:p w14:paraId="57029088">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专用服务；</w:t>
            </w:r>
          </w:p>
          <w:p w14:paraId="4E845BCC">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风扇照明手动关闭；</w:t>
            </w:r>
          </w:p>
          <w:p w14:paraId="6BBB2AE0">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休眠节能；</w:t>
            </w:r>
          </w:p>
          <w:p w14:paraId="02555879">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开门时间分别控制；</w:t>
            </w:r>
          </w:p>
          <w:p w14:paraId="25BEC436">
            <w:pPr>
              <w:widowControl/>
              <w:numPr>
                <w:ilvl w:val="0"/>
                <w:numId w:val="5"/>
              </w:numPr>
              <w:jc w:val="left"/>
              <w:rPr>
                <w:rFonts w:hint="default" w:ascii="宋体" w:hAnsi="宋体"/>
                <w:color w:val="auto"/>
                <w:szCs w:val="21"/>
                <w:highlight w:val="none"/>
                <w:lang w:val="en-US" w:eastAsia="zh-CN"/>
              </w:rPr>
            </w:pPr>
            <w:r>
              <w:rPr>
                <w:rFonts w:hint="eastAsia" w:ascii="宋体" w:hAnsi="宋体"/>
                <w:color w:val="auto"/>
                <w:szCs w:val="21"/>
                <w:highlight w:val="none"/>
              </w:rPr>
              <w:t>全集选控制；</w:t>
            </w:r>
          </w:p>
          <w:p w14:paraId="162BCC50">
            <w:pPr>
              <w:widowControl/>
              <w:numPr>
                <w:ilvl w:val="0"/>
                <w:numId w:val="5"/>
              </w:num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视频监控（配置摄像头）；</w:t>
            </w:r>
          </w:p>
          <w:p w14:paraId="162EC31F">
            <w:pPr>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五、装饰材质要求</w:t>
            </w:r>
          </w:p>
          <w:p w14:paraId="743F827C">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1、轿厢装饰要求：</w:t>
            </w:r>
            <w:r>
              <w:rPr>
                <w:rFonts w:hint="eastAsia" w:ascii="宋体" w:hAnsi="宋体" w:cs="宋体"/>
                <w:color w:val="auto"/>
                <w:szCs w:val="21"/>
                <w:highlight w:val="none"/>
              </w:rPr>
              <w:t>发纹不锈钢 ，轿厢后壁中间镜面不锈钢；</w:t>
            </w:r>
            <w:r>
              <w:rPr>
                <w:rFonts w:hint="eastAsia" w:ascii="宋体" w:hAnsi="宋体" w:cs="宋体"/>
                <w:color w:val="auto"/>
                <w:szCs w:val="21"/>
                <w:highlight w:val="none"/>
                <w:lang w:val="zh-CN"/>
              </w:rPr>
              <w:t xml:space="preserve"> </w:t>
            </w:r>
          </w:p>
          <w:p w14:paraId="492671A8">
            <w:pPr>
              <w:tabs>
                <w:tab w:val="left" w:pos="756"/>
                <w:tab w:val="left" w:pos="3456"/>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2、踢脚板：发纹不锈钢；</w:t>
            </w:r>
          </w:p>
          <w:p w14:paraId="7CC3E234">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3、轿门地坎：</w:t>
            </w:r>
            <w:r>
              <w:rPr>
                <w:rFonts w:hint="eastAsia" w:ascii="宋体" w:hAnsi="宋体" w:cs="宋体"/>
                <w:color w:val="auto"/>
                <w:szCs w:val="21"/>
                <w:highlight w:val="none"/>
                <w:lang w:val="zh-CN"/>
              </w:rPr>
              <w:t>挤压成型硬铝；</w:t>
            </w:r>
          </w:p>
          <w:p w14:paraId="0AF9C202">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4、轿厢门：发纹不锈钢；</w:t>
            </w:r>
          </w:p>
          <w:p w14:paraId="5E3F41B3">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5、层门、门套：层层发纹不锈钢厅门，不锈钢大门套（大门套门框正面单边宽度单边应≥200mm），轿壁、轿门、厅门及门套不锈钢厚度应≥1.5mm；6、轿厢地面：</w:t>
            </w:r>
            <w:r>
              <w:rPr>
                <w:rFonts w:hint="eastAsia" w:ascii="宋体" w:hAnsi="宋体" w:cs="宋体"/>
                <w:color w:val="auto"/>
                <w:szCs w:val="21"/>
                <w:highlight w:val="none"/>
              </w:rPr>
              <w:t>PVC地板</w:t>
            </w:r>
            <w:r>
              <w:rPr>
                <w:rFonts w:hint="eastAsia" w:ascii="宋体" w:hAnsi="宋体" w:cs="宋体"/>
                <w:color w:val="auto"/>
                <w:szCs w:val="21"/>
                <w:highlight w:val="none"/>
                <w:lang w:val="zh-CN"/>
              </w:rPr>
              <w:t>；</w:t>
            </w:r>
          </w:p>
          <w:p w14:paraId="4B8C1167">
            <w:pPr>
              <w:tabs>
                <w:tab w:val="left" w:pos="756"/>
                <w:tab w:val="left" w:pos="3456"/>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7、轿厢召唤箱：发纹</w:t>
            </w:r>
            <w:r>
              <w:rPr>
                <w:rFonts w:hint="eastAsia" w:ascii="宋体" w:hAnsi="宋体" w:cs="宋体"/>
                <w:color w:val="auto"/>
                <w:highlight w:val="none"/>
              </w:rPr>
              <w:t>不锈钢面板</w:t>
            </w:r>
            <w:r>
              <w:rPr>
                <w:rFonts w:hint="eastAsia" w:ascii="宋体" w:hAnsi="宋体" w:cs="宋体"/>
                <w:color w:val="auto"/>
                <w:szCs w:val="21"/>
                <w:highlight w:val="none"/>
              </w:rPr>
              <w:t>；微动式盲文按钮</w:t>
            </w:r>
          </w:p>
          <w:p w14:paraId="57F16EAC">
            <w:pPr>
              <w:tabs>
                <w:tab w:val="left" w:pos="756"/>
                <w:tab w:val="left" w:pos="3456"/>
              </w:tabs>
              <w:autoSpaceDE w:val="0"/>
              <w:autoSpaceDN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8</w:t>
            </w:r>
            <w:r>
              <w:rPr>
                <w:rFonts w:hint="eastAsia" w:ascii="宋体" w:hAnsi="宋体" w:cs="宋体"/>
                <w:color w:val="auto"/>
                <w:szCs w:val="21"/>
                <w:highlight w:val="none"/>
                <w:lang w:val="zh-CN"/>
              </w:rPr>
              <w:t>、厅门召唤箱：薄型外挂式，不锈钢面板，微动式</w:t>
            </w:r>
            <w:r>
              <w:rPr>
                <w:rFonts w:hint="eastAsia" w:ascii="宋体" w:hAnsi="宋体" w:cs="宋体"/>
                <w:color w:val="auto"/>
                <w:szCs w:val="21"/>
                <w:highlight w:val="none"/>
              </w:rPr>
              <w:t>盲文</w:t>
            </w:r>
            <w:r>
              <w:rPr>
                <w:rFonts w:hint="eastAsia" w:ascii="宋体" w:hAnsi="宋体" w:cs="宋体"/>
                <w:color w:val="auto"/>
                <w:szCs w:val="21"/>
                <w:highlight w:val="none"/>
                <w:lang w:val="zh-CN"/>
              </w:rPr>
              <w:t>按钮；</w:t>
            </w:r>
          </w:p>
          <w:p w14:paraId="52BF0353">
            <w:pPr>
              <w:spacing w:line="360" w:lineRule="auto"/>
              <w:rPr>
                <w:rFonts w:hint="eastAsia" w:ascii="宋体" w:hAnsi="宋体" w:eastAsia="宋体" w:cs="宋体"/>
                <w:color w:val="auto"/>
                <w:spacing w:val="-4"/>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、轿厢天花：</w:t>
            </w:r>
            <w:r>
              <w:rPr>
                <w:rFonts w:hint="eastAsia" w:ascii="宋体" w:hAnsi="宋体" w:cs="宋体"/>
                <w:color w:val="auto"/>
                <w:spacing w:val="-4"/>
                <w:szCs w:val="21"/>
                <w:highlight w:val="none"/>
              </w:rPr>
              <w:t>原装配置LED，经过防尘、无静电处理</w:t>
            </w:r>
            <w:r>
              <w:rPr>
                <w:rFonts w:hint="eastAsia" w:ascii="宋体" w:hAnsi="宋体" w:cs="宋体"/>
                <w:color w:val="auto"/>
                <w:szCs w:val="21"/>
                <w:highlight w:val="none"/>
              </w:rPr>
              <w:t>，</w:t>
            </w:r>
            <w:r>
              <w:rPr>
                <w:rFonts w:hint="eastAsia" w:ascii="宋体" w:hAnsi="宋体" w:cs="宋体"/>
                <w:color w:val="auto"/>
                <w:szCs w:val="21"/>
                <w:highlight w:val="none"/>
                <w:lang w:val="zh-CN"/>
              </w:rPr>
              <w:t>轿厢通风系统：轿顶风口送风。</w:t>
            </w:r>
          </w:p>
          <w:p w14:paraId="65A036A9">
            <w:pP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pacing w:val="-4"/>
                <w:szCs w:val="21"/>
                <w:highlight w:val="none"/>
                <w:lang w:val="en-US" w:eastAsia="zh-CN"/>
              </w:rPr>
              <w:t>六、</w:t>
            </w:r>
            <w:r>
              <w:rPr>
                <w:rFonts w:hint="eastAsia" w:ascii="宋体" w:hAnsi="宋体" w:eastAsia="宋体" w:cs="宋体"/>
                <w:color w:val="auto"/>
                <w:kern w:val="2"/>
                <w:sz w:val="21"/>
                <w:szCs w:val="21"/>
                <w:highlight w:val="none"/>
                <w:lang w:val="zh-CN" w:eastAsia="zh-CN" w:bidi="ar-SA"/>
              </w:rPr>
              <w:t>其他事项：</w:t>
            </w:r>
          </w:p>
          <w:p w14:paraId="4868BD2E">
            <w:pPr>
              <w:spacing w:line="360" w:lineRule="auto"/>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szCs w:val="21"/>
                <w:highlight w:val="yellow"/>
                <w:lang w:val="zh-CN"/>
              </w:rPr>
              <w:t>▲</w:t>
            </w:r>
            <w:r>
              <w:rPr>
                <w:rFonts w:hint="eastAsia" w:ascii="宋体" w:hAnsi="宋体" w:eastAsia="宋体" w:cs="宋体"/>
                <w:color w:val="auto"/>
                <w:kern w:val="2"/>
                <w:sz w:val="21"/>
                <w:szCs w:val="21"/>
                <w:highlight w:val="yellow"/>
                <w:lang w:val="en-US" w:eastAsia="zh-CN" w:bidi="ar-SA"/>
              </w:rPr>
              <w:t>1.由</w:t>
            </w:r>
            <w:r>
              <w:rPr>
                <w:rFonts w:hint="eastAsia" w:ascii="宋体" w:hAnsi="宋体" w:cs="宋体"/>
                <w:color w:val="auto"/>
                <w:kern w:val="2"/>
                <w:sz w:val="21"/>
                <w:szCs w:val="21"/>
                <w:highlight w:val="yellow"/>
                <w:lang w:val="en-US" w:eastAsia="zh-CN" w:bidi="ar-SA"/>
              </w:rPr>
              <w:t>成交人</w:t>
            </w:r>
            <w:r>
              <w:rPr>
                <w:rFonts w:hint="eastAsia" w:ascii="宋体" w:hAnsi="宋体" w:eastAsia="宋体" w:cs="宋体"/>
                <w:color w:val="auto"/>
                <w:kern w:val="2"/>
                <w:sz w:val="21"/>
                <w:szCs w:val="21"/>
                <w:highlight w:val="yellow"/>
                <w:lang w:val="en-US" w:eastAsia="zh-CN" w:bidi="ar-SA"/>
              </w:rPr>
              <w:t>负责厅门门洞封堵，机房孔洞封堵，机座混凝土浇筑、封堵，机房钢丝绳孔洞防水边制作，应符合电梯验收规范。</w:t>
            </w:r>
            <w:r>
              <w:rPr>
                <w:rFonts w:hint="eastAsia" w:ascii="宋体" w:hAnsi="宋体" w:cs="宋体"/>
                <w:color w:val="auto"/>
                <w:kern w:val="2"/>
                <w:sz w:val="21"/>
                <w:szCs w:val="21"/>
                <w:highlight w:val="yellow"/>
                <w:lang w:val="en-US" w:eastAsia="zh-CN" w:bidi="ar-SA"/>
              </w:rPr>
              <w:t>费用由成交人负责人。</w:t>
            </w:r>
          </w:p>
          <w:p w14:paraId="5F0D2905">
            <w:pPr>
              <w:pStyle w:val="23"/>
              <w:ind w:firstLine="0" w:firstLineChars="0"/>
              <w:rPr>
                <w:rFonts w:hint="eastAsia"/>
                <w:color w:val="auto"/>
                <w:highlight w:val="none"/>
              </w:rPr>
            </w:pPr>
            <w:r>
              <w:rPr>
                <w:rFonts w:hint="eastAsia" w:ascii="宋体" w:hAnsi="宋体" w:cs="宋体"/>
                <w:color w:val="auto"/>
                <w:szCs w:val="21"/>
                <w:highlight w:val="yellow"/>
                <w:lang w:val="zh-CN"/>
              </w:rPr>
              <w:t>▲</w:t>
            </w:r>
            <w:r>
              <w:rPr>
                <w:rFonts w:hint="eastAsia" w:ascii="宋体" w:hAnsi="宋体" w:eastAsia="宋体" w:cs="宋体"/>
                <w:color w:val="auto"/>
                <w:kern w:val="2"/>
                <w:sz w:val="21"/>
                <w:szCs w:val="21"/>
                <w:highlight w:val="yellow"/>
                <w:lang w:val="en-US" w:eastAsia="zh-CN" w:bidi="ar-SA"/>
              </w:rPr>
              <w:t>2.</w:t>
            </w:r>
            <w:r>
              <w:rPr>
                <w:rFonts w:hint="eastAsia" w:ascii="宋体" w:hAnsi="宋体" w:eastAsia="宋体" w:cs="宋体"/>
                <w:color w:val="auto"/>
                <w:kern w:val="2"/>
                <w:sz w:val="21"/>
                <w:szCs w:val="21"/>
                <w:highlight w:val="yellow"/>
                <w:lang w:val="zh-CN" w:eastAsia="zh-CN" w:bidi="ar-SA"/>
              </w:rPr>
              <w:t>采购单位有权对以上主要部件聘请专家及第三方专业机构进行核查，核查费用由采购人支付。成交人需配合提供主要部件的电梯质量监督检验机构或第三方机构出具的检验报告复印件等能证明达到技术参数及性能配置要求的材料。若出现弄虚作假情况，一经查实，采购单位将予以退货或换货，核查费用由成交人支付，并将追究成交人法律责任并要求供应商赔偿相关损失。</w:t>
            </w:r>
          </w:p>
        </w:tc>
      </w:tr>
      <w:tr w14:paraId="08F3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06" w:type="dxa"/>
            <w:gridSpan w:val="4"/>
            <w:noWrap w:val="0"/>
            <w:vAlign w:val="center"/>
          </w:tcPr>
          <w:p w14:paraId="090040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售后服务及其他要求：</w:t>
            </w:r>
          </w:p>
          <w:p w14:paraId="3070B82F">
            <w:pPr>
              <w:spacing w:line="360" w:lineRule="auto"/>
              <w:ind w:left="420" w:leftChars="200"/>
              <w:rPr>
                <w:rFonts w:hint="eastAsia" w:ascii="宋体" w:hAnsi="宋体" w:cs="宋体"/>
                <w:color w:val="auto"/>
                <w:sz w:val="20"/>
                <w:szCs w:val="20"/>
                <w:highlight w:val="none"/>
              </w:rPr>
            </w:pPr>
            <w:r>
              <w:rPr>
                <w:rFonts w:hint="eastAsia" w:ascii="宋体" w:hAnsi="宋体" w:cs="宋体"/>
                <w:color w:val="auto"/>
                <w:sz w:val="20"/>
                <w:szCs w:val="20"/>
                <w:highlight w:val="none"/>
              </w:rPr>
              <w:t>一、基本要求：</w:t>
            </w:r>
          </w:p>
          <w:p w14:paraId="5D0072F3">
            <w:pPr>
              <w:spacing w:line="360" w:lineRule="auto"/>
              <w:ind w:left="844" w:leftChars="169" w:hanging="490" w:hangingChars="245"/>
              <w:rPr>
                <w:rFonts w:hint="eastAsia" w:ascii="宋体" w:hAnsi="宋体" w:cs="宋体"/>
                <w:color w:val="auto"/>
                <w:sz w:val="20"/>
                <w:szCs w:val="20"/>
                <w:highlight w:val="yellow"/>
              </w:rPr>
            </w:pPr>
            <w:r>
              <w:rPr>
                <w:rFonts w:hint="eastAsia" w:ascii="宋体" w:hAnsi="宋体" w:cs="宋体"/>
                <w:color w:val="auto"/>
                <w:sz w:val="20"/>
                <w:szCs w:val="20"/>
                <w:highlight w:val="yellow"/>
                <w:lang w:val="zh-CN"/>
              </w:rPr>
              <w:t>▲</w:t>
            </w:r>
            <w:r>
              <w:rPr>
                <w:rFonts w:hint="eastAsia" w:ascii="宋体" w:hAnsi="宋体" w:cs="宋体"/>
                <w:color w:val="auto"/>
                <w:sz w:val="20"/>
                <w:szCs w:val="20"/>
                <w:highlight w:val="yellow"/>
              </w:rPr>
              <w:t>1、产品制造厂家必须具有《中华人民共和国特种设备制造许可证》（电梯）曳引式客梯资质或具有《中华人民共和国特种设备生产许可证》曳引驱动乘客电梯（含消防员电梯）生产资质（复印件并加盖投标人公章）。</w:t>
            </w:r>
          </w:p>
          <w:p w14:paraId="31910954">
            <w:pPr>
              <w:spacing w:line="360" w:lineRule="auto"/>
              <w:ind w:left="844" w:leftChars="169" w:hanging="490" w:hangingChars="245"/>
              <w:rPr>
                <w:rFonts w:hint="eastAsia" w:ascii="宋体" w:hAnsi="宋体" w:cs="宋体"/>
                <w:color w:val="auto"/>
                <w:sz w:val="20"/>
                <w:szCs w:val="20"/>
                <w:highlight w:val="yellow"/>
              </w:rPr>
            </w:pPr>
            <w:r>
              <w:rPr>
                <w:rFonts w:hint="eastAsia" w:ascii="宋体" w:hAnsi="宋体" w:cs="宋体"/>
                <w:color w:val="auto"/>
                <w:sz w:val="20"/>
                <w:szCs w:val="20"/>
                <w:highlight w:val="yellow"/>
                <w:lang w:val="zh-CN"/>
              </w:rPr>
              <w:t>▲</w:t>
            </w:r>
            <w:r>
              <w:rPr>
                <w:rFonts w:hint="eastAsia" w:ascii="宋体" w:hAnsi="宋体" w:cs="宋体"/>
                <w:color w:val="auto"/>
                <w:sz w:val="20"/>
                <w:szCs w:val="20"/>
                <w:highlight w:val="yellow"/>
              </w:rPr>
              <w:t>2、投标人必须具有《中华人民共和国特种设备安装改造维修许可证（电梯）》安装、维修B级及以上资质或《中华人民共和国特种设备生产许可证》电梯安装（含修理）资质（提供证书复印件并加盖投标人公章）。</w:t>
            </w:r>
          </w:p>
          <w:p w14:paraId="09B26B1D">
            <w:pPr>
              <w:spacing w:line="360" w:lineRule="auto"/>
              <w:ind w:left="844" w:leftChars="169" w:hanging="490" w:hangingChars="245"/>
              <w:rPr>
                <w:rFonts w:hint="eastAsia"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0000FF"/>
                <w:sz w:val="20"/>
                <w:szCs w:val="20"/>
                <w:highlight w:val="yellow"/>
              </w:rPr>
              <w:t>成交人须提供合同约定的全新电梯设备（含所有零部件）。所有设备必须符合国家及行业现行有效的特种设备安全技术规范（如TSG）及相关标准（如GB）要求。货物交付时，成交人须随机持有国家规定的产品质量合格证，并承诺负责通过项目所在地特种设备监督检验机构的验收检测，取得安全检验合格标志及监督检验报告。</w:t>
            </w:r>
          </w:p>
          <w:p w14:paraId="4647D456">
            <w:pPr>
              <w:spacing w:line="360" w:lineRule="auto"/>
              <w:ind w:left="844" w:leftChars="169" w:hanging="490" w:hangingChars="245"/>
              <w:rPr>
                <w:rFonts w:hint="eastAsia" w:ascii="宋体" w:hAnsi="宋体" w:cs="宋体"/>
                <w:color w:val="auto"/>
                <w:sz w:val="20"/>
                <w:szCs w:val="20"/>
                <w:highlight w:val="none"/>
                <w:lang w:val="zh-CN"/>
              </w:rPr>
            </w:pPr>
            <w:r>
              <w:rPr>
                <w:rFonts w:hint="eastAsia" w:ascii="宋体" w:hAnsi="宋体" w:cs="宋体"/>
                <w:color w:val="auto"/>
                <w:sz w:val="20"/>
                <w:szCs w:val="20"/>
                <w:highlight w:val="none"/>
              </w:rPr>
              <w:t>4</w:t>
            </w:r>
            <w:r>
              <w:rPr>
                <w:rFonts w:hint="eastAsia" w:ascii="宋体" w:hAnsi="宋体" w:cs="宋体"/>
                <w:color w:val="auto"/>
                <w:sz w:val="20"/>
                <w:szCs w:val="20"/>
                <w:highlight w:val="none"/>
                <w:lang w:val="zh-CN"/>
              </w:rPr>
              <w:t>、竣工时，采购人按照制造厂提供的性能指标及我国有关制造标准验收。</w:t>
            </w:r>
          </w:p>
          <w:p w14:paraId="1CD8A97F">
            <w:pPr>
              <w:spacing w:line="360" w:lineRule="auto"/>
              <w:ind w:left="844" w:leftChars="169" w:hanging="490" w:hangingChars="245"/>
              <w:rPr>
                <w:rFonts w:hint="eastAsia" w:ascii="宋体" w:hAnsi="宋体" w:cs="宋体"/>
                <w:color w:val="auto"/>
                <w:sz w:val="20"/>
                <w:szCs w:val="20"/>
                <w:highlight w:val="none"/>
                <w:lang w:val="zh-CN"/>
              </w:rPr>
            </w:pPr>
            <w:r>
              <w:rPr>
                <w:rFonts w:hint="eastAsia" w:ascii="宋体" w:hAnsi="宋体" w:cs="宋体"/>
                <w:color w:val="auto"/>
                <w:sz w:val="20"/>
                <w:szCs w:val="20"/>
                <w:highlight w:val="none"/>
              </w:rPr>
              <w:t>5</w:t>
            </w:r>
            <w:r>
              <w:rPr>
                <w:rFonts w:hint="eastAsia" w:ascii="宋体" w:hAnsi="宋体" w:cs="宋体"/>
                <w:color w:val="auto"/>
                <w:sz w:val="20"/>
                <w:szCs w:val="20"/>
                <w:highlight w:val="none"/>
                <w:lang w:val="zh-CN"/>
              </w:rPr>
              <w:t>、安装要求：成交人承包电梯报装、安装调试及报验，在施工、安装、调试等全过程中接受用户的监督并对工程进度、安全、质量负责，应能满足制造方提供的各项指标和我国电梯的相关规范。</w:t>
            </w:r>
          </w:p>
          <w:p w14:paraId="60D1F5B6">
            <w:pPr>
              <w:spacing w:line="360" w:lineRule="auto"/>
              <w:ind w:left="844" w:leftChars="169" w:hanging="490" w:hangingChars="245"/>
              <w:rPr>
                <w:rFonts w:hint="eastAsia" w:ascii="宋体" w:hAnsi="宋体" w:cs="宋体"/>
                <w:color w:val="auto"/>
                <w:sz w:val="20"/>
                <w:szCs w:val="20"/>
                <w:highlight w:val="yellow"/>
              </w:rPr>
            </w:pPr>
            <w:r>
              <w:rPr>
                <w:rFonts w:hint="eastAsia" w:ascii="宋体" w:hAnsi="宋体" w:cs="宋体"/>
                <w:color w:val="auto"/>
                <w:sz w:val="20"/>
                <w:szCs w:val="20"/>
                <w:highlight w:val="yellow"/>
                <w:lang w:val="zh-CN"/>
              </w:rPr>
              <w:t>▲</w:t>
            </w:r>
            <w:r>
              <w:rPr>
                <w:rFonts w:hint="eastAsia" w:ascii="宋体" w:hAnsi="宋体" w:cs="宋体"/>
                <w:color w:val="auto"/>
                <w:sz w:val="20"/>
                <w:szCs w:val="20"/>
                <w:highlight w:val="yellow"/>
              </w:rPr>
              <w:t>6、</w:t>
            </w:r>
            <w:r>
              <w:rPr>
                <w:rFonts w:hint="eastAsia" w:ascii="宋体" w:hAnsi="宋体" w:cs="宋体"/>
                <w:color w:val="auto"/>
                <w:sz w:val="20"/>
                <w:szCs w:val="20"/>
                <w:highlight w:val="yellow"/>
                <w:lang w:val="zh-CN"/>
              </w:rPr>
              <w:t>产品生产厂家</w:t>
            </w:r>
            <w:r>
              <w:rPr>
                <w:rFonts w:hint="eastAsia" w:ascii="宋体" w:hAnsi="宋体" w:cs="宋体"/>
                <w:color w:val="auto"/>
                <w:sz w:val="20"/>
                <w:szCs w:val="20"/>
                <w:highlight w:val="yellow"/>
              </w:rPr>
              <w:t>设有零配件储备仓库常年备有充足的电梯配件并提供相应证明（需提供仓库配件相应图片及配件清单并加盖投标人公章）。</w:t>
            </w:r>
          </w:p>
          <w:p w14:paraId="294359E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二、售后服务：</w:t>
            </w:r>
          </w:p>
          <w:p w14:paraId="68BF1933">
            <w:pPr>
              <w:spacing w:line="360" w:lineRule="auto"/>
              <w:ind w:left="720" w:leftChars="200" w:hanging="300" w:hangingChars="150"/>
              <w:rPr>
                <w:rFonts w:hint="eastAsia" w:ascii="宋体" w:hAnsi="宋体" w:cs="宋体"/>
                <w:color w:val="auto"/>
                <w:sz w:val="20"/>
                <w:szCs w:val="20"/>
                <w:highlight w:val="none"/>
                <w:lang w:val="zh-CN"/>
              </w:rPr>
            </w:pPr>
            <w:r>
              <w:rPr>
                <w:rFonts w:hint="eastAsia" w:ascii="宋体" w:hAnsi="宋体" w:cs="宋体"/>
                <w:color w:val="auto"/>
                <w:sz w:val="20"/>
                <w:szCs w:val="20"/>
                <w:highlight w:val="none"/>
                <w:lang w:val="zh-CN"/>
              </w:rPr>
              <w:t>1、售后服务要求：</w:t>
            </w:r>
          </w:p>
          <w:p w14:paraId="5FDF377F">
            <w:pPr>
              <w:spacing w:line="360" w:lineRule="auto"/>
              <w:ind w:left="720" w:leftChars="200" w:hanging="300" w:hangingChars="150"/>
              <w:rPr>
                <w:rFonts w:hint="eastAsia" w:ascii="宋体" w:hAnsi="宋体" w:cs="宋体"/>
                <w:color w:val="auto"/>
                <w:sz w:val="20"/>
                <w:szCs w:val="20"/>
                <w:highlight w:val="none"/>
                <w:lang w:val="zh-CN"/>
              </w:rPr>
            </w:pPr>
            <w:r>
              <w:rPr>
                <w:rFonts w:hint="eastAsia" w:ascii="宋体" w:hAnsi="宋体" w:cs="宋体"/>
                <w:color w:val="auto"/>
                <w:sz w:val="20"/>
                <w:szCs w:val="20"/>
                <w:highlight w:val="none"/>
                <w:lang w:val="zh-CN"/>
              </w:rPr>
              <w:t>（1）免费办理报装、报验手续；</w:t>
            </w:r>
          </w:p>
          <w:p w14:paraId="3379FF6A">
            <w:pPr>
              <w:spacing w:line="360" w:lineRule="auto"/>
              <w:ind w:left="720" w:leftChars="200" w:hanging="300" w:hangingChars="150"/>
              <w:rPr>
                <w:rFonts w:hint="eastAsia" w:ascii="宋体" w:hAnsi="宋体" w:cs="宋体"/>
                <w:color w:val="auto"/>
                <w:sz w:val="20"/>
                <w:szCs w:val="20"/>
                <w:highlight w:val="none"/>
                <w:lang w:val="zh-CN"/>
              </w:rPr>
            </w:pPr>
            <w:r>
              <w:rPr>
                <w:rFonts w:hint="eastAsia" w:ascii="宋体" w:hAnsi="宋体" w:cs="宋体"/>
                <w:color w:val="auto"/>
                <w:sz w:val="20"/>
                <w:szCs w:val="20"/>
                <w:highlight w:val="none"/>
                <w:lang w:val="zh-CN"/>
              </w:rPr>
              <w:t>（2）质保期内每月上门不低于两次（检查、清洁、除尘、调整）；</w:t>
            </w:r>
          </w:p>
          <w:p w14:paraId="0B87E783">
            <w:pPr>
              <w:spacing w:line="360" w:lineRule="auto"/>
              <w:ind w:left="720" w:leftChars="200" w:hanging="300" w:hangingChars="150"/>
              <w:rPr>
                <w:rFonts w:hint="eastAsia" w:ascii="宋体" w:hAnsi="宋体" w:cs="宋体"/>
                <w:color w:val="auto"/>
                <w:sz w:val="20"/>
                <w:szCs w:val="20"/>
                <w:highlight w:val="none"/>
                <w:lang w:val="zh-CN"/>
              </w:rPr>
            </w:pPr>
            <w:r>
              <w:rPr>
                <w:rFonts w:hint="eastAsia" w:ascii="宋体" w:hAnsi="宋体" w:cs="宋体"/>
                <w:color w:val="auto"/>
                <w:sz w:val="20"/>
                <w:szCs w:val="20"/>
                <w:highlight w:val="none"/>
                <w:lang w:val="zh-CN"/>
              </w:rPr>
              <w:t>（3）维修人员24小时服务，接到用户故障通知后，1小时内到达现场，一般故障不超过2小时，重大故障不超过</w:t>
            </w:r>
            <w:r>
              <w:rPr>
                <w:rFonts w:hint="eastAsia" w:ascii="宋体" w:hAnsi="宋体" w:cs="宋体"/>
                <w:color w:val="auto"/>
                <w:sz w:val="20"/>
                <w:szCs w:val="20"/>
                <w:highlight w:val="none"/>
              </w:rPr>
              <w:t>24</w:t>
            </w:r>
            <w:r>
              <w:rPr>
                <w:rFonts w:hint="eastAsia" w:ascii="宋体" w:hAnsi="宋体" w:cs="宋体"/>
                <w:color w:val="auto"/>
                <w:sz w:val="20"/>
                <w:szCs w:val="20"/>
                <w:highlight w:val="none"/>
                <w:lang w:val="zh-CN"/>
              </w:rPr>
              <w:t>小时修复；</w:t>
            </w:r>
          </w:p>
          <w:p w14:paraId="40241FFB">
            <w:pPr>
              <w:spacing w:line="360" w:lineRule="auto"/>
              <w:ind w:left="720" w:leftChars="200" w:hanging="300" w:hangingChars="150"/>
              <w:rPr>
                <w:rFonts w:hint="eastAsia" w:ascii="宋体" w:hAnsi="宋体" w:cs="宋体"/>
                <w:color w:val="auto"/>
                <w:sz w:val="20"/>
                <w:szCs w:val="20"/>
                <w:highlight w:val="none"/>
                <w:lang w:val="zh-CN"/>
              </w:rPr>
            </w:pPr>
            <w:r>
              <w:rPr>
                <w:rFonts w:hint="eastAsia" w:ascii="宋体" w:hAnsi="宋体" w:cs="宋体"/>
                <w:color w:val="auto"/>
                <w:sz w:val="20"/>
                <w:szCs w:val="20"/>
                <w:highlight w:val="none"/>
                <w:lang w:val="zh-CN"/>
              </w:rPr>
              <w:t>（4）常年备有电梯配件，能及时处理、替换损坏的部件。</w:t>
            </w:r>
          </w:p>
          <w:p w14:paraId="48F8DCEE">
            <w:pPr>
              <w:spacing w:line="360" w:lineRule="auto"/>
              <w:ind w:left="720" w:leftChars="200" w:hanging="300" w:hangingChars="150"/>
              <w:rPr>
                <w:rFonts w:hint="eastAsia" w:ascii="宋体" w:hAnsi="宋体" w:cs="宋体"/>
                <w:color w:val="auto"/>
                <w:sz w:val="20"/>
                <w:szCs w:val="20"/>
                <w:highlight w:val="none"/>
              </w:rPr>
            </w:pPr>
            <w:r>
              <w:rPr>
                <w:rFonts w:hint="eastAsia" w:ascii="宋体" w:hAnsi="宋体" w:cs="宋体"/>
                <w:color w:val="auto"/>
                <w:sz w:val="20"/>
                <w:szCs w:val="20"/>
                <w:highlight w:val="none"/>
              </w:rPr>
              <w:t>2</w:t>
            </w:r>
            <w:r>
              <w:rPr>
                <w:rFonts w:hint="eastAsia" w:ascii="宋体" w:hAnsi="宋体" w:cs="宋体"/>
                <w:color w:val="auto"/>
                <w:sz w:val="20"/>
                <w:szCs w:val="20"/>
                <w:highlight w:val="none"/>
                <w:lang w:val="zh-CN"/>
              </w:rPr>
              <w:t>、质保期：自货物通过最终验收合格之日起质保期</w:t>
            </w:r>
            <w:r>
              <w:rPr>
                <w:rFonts w:hint="eastAsia" w:ascii="宋体" w:hAnsi="宋体" w:cs="宋体"/>
                <w:color w:val="auto"/>
                <w:sz w:val="20"/>
                <w:szCs w:val="20"/>
                <w:highlight w:val="none"/>
              </w:rPr>
              <w:t>壹</w:t>
            </w:r>
            <w:r>
              <w:rPr>
                <w:rFonts w:hint="eastAsia" w:ascii="宋体" w:hAnsi="宋体" w:cs="宋体"/>
                <w:color w:val="auto"/>
                <w:sz w:val="20"/>
                <w:szCs w:val="20"/>
                <w:highlight w:val="none"/>
                <w:lang w:val="zh-CN"/>
              </w:rPr>
              <w:t>年；</w:t>
            </w:r>
          </w:p>
          <w:p w14:paraId="4BE3CF0A">
            <w:pPr>
              <w:spacing w:line="360" w:lineRule="auto"/>
              <w:ind w:left="720" w:leftChars="200" w:hanging="300" w:hangingChars="150"/>
              <w:rPr>
                <w:rFonts w:hint="eastAsia" w:ascii="宋体" w:hAnsi="宋体" w:cs="宋体"/>
                <w:color w:val="auto"/>
                <w:sz w:val="20"/>
                <w:szCs w:val="20"/>
                <w:highlight w:val="none"/>
              </w:rPr>
            </w:pPr>
            <w:r>
              <w:rPr>
                <w:rFonts w:hint="eastAsia" w:ascii="宋体" w:hAnsi="宋体" w:cs="宋体"/>
                <w:color w:val="auto"/>
                <w:sz w:val="20"/>
                <w:szCs w:val="20"/>
                <w:highlight w:val="none"/>
              </w:rPr>
              <w:t>3、为了保证是正规合法渠道的产品，供货前中标人必须提供生产厂家/代理商出具该项目中标产品的供货证明原件。</w:t>
            </w:r>
          </w:p>
          <w:p w14:paraId="64FB785A">
            <w:pPr>
              <w:spacing w:line="360" w:lineRule="auto"/>
              <w:ind w:left="720" w:leftChars="200" w:hanging="300" w:hangingChars="150"/>
              <w:rPr>
                <w:rFonts w:hint="eastAsia" w:ascii="宋体" w:hAnsi="宋体" w:cs="宋体"/>
                <w:color w:val="auto"/>
                <w:sz w:val="20"/>
                <w:szCs w:val="20"/>
                <w:highlight w:val="yellow"/>
              </w:rPr>
            </w:pPr>
            <w:r>
              <w:rPr>
                <w:rFonts w:hint="eastAsia" w:ascii="宋体" w:hAnsi="宋体" w:cs="宋体"/>
                <w:color w:val="auto"/>
                <w:sz w:val="20"/>
                <w:szCs w:val="20"/>
                <w:highlight w:val="yellow"/>
                <w:lang w:val="zh-CN"/>
              </w:rPr>
              <w:t>▲</w:t>
            </w:r>
            <w:r>
              <w:rPr>
                <w:rFonts w:hint="eastAsia" w:ascii="宋体" w:hAnsi="宋体" w:cs="宋体"/>
                <w:color w:val="auto"/>
                <w:sz w:val="20"/>
                <w:szCs w:val="20"/>
                <w:highlight w:val="yellow"/>
              </w:rPr>
              <w:t>4、投标产品生产厂家必须设有电梯服务支援系统（无线远程监控中心)，须提供相关证明文件并附上相应图片。</w:t>
            </w:r>
          </w:p>
          <w:p w14:paraId="3EB34AF6">
            <w:pPr>
              <w:spacing w:line="360" w:lineRule="auto"/>
              <w:ind w:left="720" w:leftChars="200" w:hanging="300" w:hangingChars="150"/>
              <w:rPr>
                <w:rFonts w:ascii="宋体" w:hAnsi="宋体" w:cs="宋体"/>
                <w:color w:val="auto"/>
                <w:sz w:val="20"/>
                <w:szCs w:val="20"/>
                <w:highlight w:val="none"/>
                <w:lang w:val="zh-CN"/>
              </w:rPr>
            </w:pPr>
            <w:r>
              <w:rPr>
                <w:rFonts w:hint="eastAsia" w:ascii="宋体" w:hAnsi="宋体" w:cs="宋体"/>
                <w:color w:val="auto"/>
                <w:sz w:val="20"/>
                <w:szCs w:val="20"/>
                <w:highlight w:val="none"/>
              </w:rPr>
              <w:t>5</w:t>
            </w:r>
            <w:r>
              <w:rPr>
                <w:rFonts w:hint="eastAsia" w:ascii="宋体" w:hAnsi="宋体" w:cs="宋体"/>
                <w:color w:val="auto"/>
                <w:sz w:val="20"/>
                <w:szCs w:val="20"/>
                <w:highlight w:val="none"/>
                <w:lang w:val="zh-CN"/>
              </w:rPr>
              <w:t>、负责为采购人免费培训电梯</w:t>
            </w:r>
            <w:r>
              <w:rPr>
                <w:rFonts w:hint="eastAsia" w:ascii="宋体" w:hAnsi="宋体" w:cs="宋体"/>
                <w:color w:val="auto"/>
                <w:sz w:val="20"/>
                <w:szCs w:val="20"/>
                <w:highlight w:val="none"/>
                <w:lang w:val="en-US" w:eastAsia="zh-CN"/>
              </w:rPr>
              <w:t>管理</w:t>
            </w:r>
            <w:r>
              <w:rPr>
                <w:rFonts w:hint="eastAsia" w:ascii="宋体" w:hAnsi="宋体" w:cs="宋体"/>
                <w:color w:val="auto"/>
                <w:sz w:val="20"/>
                <w:szCs w:val="20"/>
                <w:highlight w:val="none"/>
                <w:lang w:val="zh-CN"/>
              </w:rPr>
              <w:t>及电梯维修人员</w:t>
            </w:r>
            <w:r>
              <w:rPr>
                <w:rFonts w:hint="eastAsia" w:ascii="宋体" w:hAnsi="宋体" w:cs="宋体"/>
                <w:color w:val="auto"/>
                <w:sz w:val="20"/>
                <w:szCs w:val="20"/>
                <w:highlight w:val="none"/>
                <w:lang w:val="en-US" w:eastAsia="zh-CN"/>
              </w:rPr>
              <w:t>共</w:t>
            </w:r>
            <w:r>
              <w:rPr>
                <w:rFonts w:hint="eastAsia" w:ascii="宋体" w:hAnsi="宋体" w:cs="宋体"/>
                <w:color w:val="auto"/>
                <w:sz w:val="20"/>
                <w:szCs w:val="20"/>
                <w:highlight w:val="none"/>
                <w:lang w:val="zh-CN"/>
              </w:rPr>
              <w:t>2名。</w:t>
            </w:r>
          </w:p>
          <w:p w14:paraId="4C6050C3">
            <w:pPr>
              <w:spacing w:line="360" w:lineRule="auto"/>
              <w:ind w:firstLine="400" w:firstLineChars="200"/>
              <w:rPr>
                <w:rFonts w:hint="eastAsia" w:ascii="宋体" w:hAnsi="宋体" w:cs="宋体"/>
                <w:color w:val="auto"/>
                <w:szCs w:val="21"/>
                <w:highlight w:val="yellow"/>
                <w:lang w:val="en-US" w:eastAsia="zh-CN"/>
              </w:rPr>
            </w:pPr>
            <w:r>
              <w:rPr>
                <w:rFonts w:hint="eastAsia" w:ascii="宋体" w:hAnsi="宋体" w:cs="宋体"/>
                <w:color w:val="auto"/>
                <w:sz w:val="20"/>
                <w:szCs w:val="20"/>
                <w:highlight w:val="yellow"/>
                <w:lang w:val="zh-CN"/>
              </w:rPr>
              <w:t>▲</w:t>
            </w:r>
            <w:r>
              <w:rPr>
                <w:rFonts w:hint="eastAsia" w:ascii="宋体" w:hAnsi="宋体" w:eastAsia="宋体" w:cs="宋体"/>
                <w:color w:val="auto"/>
                <w:szCs w:val="21"/>
                <w:highlight w:val="yellow"/>
                <w:lang w:val="zh-CN"/>
              </w:rPr>
              <w:t>6、</w:t>
            </w:r>
            <w:r>
              <w:rPr>
                <w:rFonts w:hint="eastAsia" w:ascii="宋体" w:hAnsi="宋体" w:eastAsia="宋体" w:cs="宋体"/>
                <w:color w:val="auto"/>
                <w:szCs w:val="21"/>
                <w:highlight w:val="yellow"/>
                <w:lang w:val="en-US" w:eastAsia="zh-CN"/>
              </w:rPr>
              <w:t>电梯安装负责人（项目负责人）需具有特种设备安全管理A证和作业人员T证。投标时提供证明文件</w:t>
            </w:r>
            <w:r>
              <w:rPr>
                <w:rFonts w:hint="eastAsia" w:ascii="宋体" w:hAnsi="宋体" w:cs="宋体"/>
                <w:color w:val="auto"/>
                <w:szCs w:val="21"/>
                <w:highlight w:val="yellow"/>
                <w:lang w:val="en-US" w:eastAsia="zh-CN"/>
              </w:rPr>
              <w:t>并加盖单位公章；</w:t>
            </w:r>
          </w:p>
          <w:p w14:paraId="08CAA22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三、交付使用期：在收到采购人的交货通知之日起60天内。</w:t>
            </w:r>
          </w:p>
          <w:p w14:paraId="4BDDB89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四、交货地点：广西防城港市（采购人指定地点）。</w:t>
            </w:r>
          </w:p>
          <w:p w14:paraId="199A4C03">
            <w:pPr>
              <w:spacing w:line="360" w:lineRule="auto"/>
              <w:ind w:left="720" w:leftChars="200" w:hanging="300" w:hangingChars="150"/>
              <w:rPr>
                <w:rFonts w:hint="eastAsia" w:ascii="宋体" w:hAnsi="宋体" w:cs="宋体"/>
                <w:color w:val="auto"/>
                <w:sz w:val="20"/>
                <w:szCs w:val="20"/>
                <w:highlight w:val="none"/>
                <w:lang w:val="zh-CN"/>
              </w:rPr>
            </w:pPr>
            <w:r>
              <w:rPr>
                <w:rFonts w:hint="eastAsia" w:ascii="宋体" w:hAnsi="宋体" w:cs="宋体"/>
                <w:color w:val="auto"/>
                <w:sz w:val="20"/>
                <w:szCs w:val="20"/>
                <w:highlight w:val="none"/>
                <w:lang w:val="zh-CN"/>
              </w:rPr>
              <w:t>五、报价及付款方式：</w:t>
            </w:r>
          </w:p>
          <w:p w14:paraId="39FD1BB6">
            <w:pPr>
              <w:spacing w:line="360" w:lineRule="auto"/>
              <w:ind w:left="863" w:leftChars="275" w:hanging="286" w:hangingChars="143"/>
              <w:rPr>
                <w:rFonts w:hint="eastAsia" w:ascii="宋体" w:hAnsi="宋体" w:cs="宋体"/>
                <w:color w:val="auto"/>
                <w:sz w:val="20"/>
                <w:szCs w:val="20"/>
                <w:highlight w:val="none"/>
              </w:rPr>
            </w:pPr>
            <w:r>
              <w:rPr>
                <w:rFonts w:hint="eastAsia" w:ascii="宋体" w:hAnsi="宋体" w:cs="宋体"/>
                <w:color w:val="auto"/>
                <w:sz w:val="20"/>
                <w:szCs w:val="20"/>
                <w:highlight w:val="none"/>
              </w:rPr>
              <w:t>1、报价为采购人指定地点的现场交货价，包括：（1）货物的价格：包括安装费、验收费、检验费；（2）货物的标准附件、备品备件、专用工具的价格；（3）运输、装卸、调试、培训、技术支持、售后服务费；（4）</w:t>
            </w:r>
            <w:r>
              <w:rPr>
                <w:rFonts w:hint="eastAsia" w:ascii="宋体" w:hAnsi="宋体" w:cs="宋体"/>
                <w:color w:val="auto"/>
                <w:kern w:val="0"/>
                <w:sz w:val="20"/>
                <w:szCs w:val="20"/>
                <w:highlight w:val="none"/>
              </w:rPr>
              <w:t>包括必要的保险费和各项税金等</w:t>
            </w:r>
            <w:r>
              <w:rPr>
                <w:rFonts w:hint="eastAsia" w:ascii="宋体" w:hAnsi="宋体" w:cs="宋体"/>
                <w:color w:val="auto"/>
                <w:sz w:val="20"/>
                <w:szCs w:val="20"/>
                <w:highlight w:val="none"/>
              </w:rPr>
              <w:t>；（5）</w:t>
            </w:r>
            <w:r>
              <w:rPr>
                <w:rFonts w:hint="eastAsia" w:ascii="宋体" w:hAnsi="宋体" w:cs="宋体"/>
                <w:color w:val="auto"/>
                <w:kern w:val="0"/>
                <w:sz w:val="20"/>
                <w:szCs w:val="20"/>
                <w:highlight w:val="none"/>
              </w:rPr>
              <w:t>本项目的电梯均具有五方通话功能，机房到采购人监控室的布线由供应商负责</w:t>
            </w:r>
            <w:r>
              <w:rPr>
                <w:rFonts w:hint="eastAsia" w:ascii="宋体" w:hAnsi="宋体" w:cs="宋体"/>
                <w:color w:val="auto"/>
                <w:sz w:val="20"/>
                <w:szCs w:val="20"/>
                <w:highlight w:val="none"/>
              </w:rPr>
              <w:t>。</w:t>
            </w:r>
          </w:p>
          <w:p w14:paraId="1CCF2EBF">
            <w:pPr>
              <w:spacing w:line="360" w:lineRule="auto"/>
              <w:ind w:left="845" w:leftChars="76" w:hanging="686" w:hangingChars="343"/>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2、付款方式：</w:t>
            </w:r>
            <w:r>
              <w:rPr>
                <w:rFonts w:hint="eastAsia" w:ascii="宋体" w:hAnsi="宋体" w:eastAsia="宋体" w:cs="宋体"/>
                <w:color w:val="auto"/>
                <w:sz w:val="20"/>
                <w:szCs w:val="20"/>
                <w:highlight w:val="none"/>
              </w:rPr>
              <w:t>合同签订生效后，乙方向甲方开具等额有效发票，甲方7个工作日内预付</w:t>
            </w:r>
            <w:r>
              <w:rPr>
                <w:rFonts w:hint="eastAsia" w:ascii="宋体" w:hAnsi="宋体" w:eastAsia="宋体" w:cs="宋体"/>
                <w:color w:val="auto"/>
                <w:sz w:val="20"/>
                <w:szCs w:val="20"/>
                <w:highlight w:val="none"/>
                <w:lang w:eastAsia="zh-CN"/>
              </w:rPr>
              <w:t>合同总</w:t>
            </w:r>
            <w:r>
              <w:rPr>
                <w:rFonts w:hint="eastAsia" w:ascii="宋体" w:hAnsi="宋体" w:eastAsia="宋体" w:cs="宋体"/>
                <w:color w:val="auto"/>
                <w:sz w:val="20"/>
                <w:szCs w:val="20"/>
                <w:highlight w:val="none"/>
                <w:lang w:val="en-US" w:eastAsia="zh-CN"/>
              </w:rPr>
              <w:t>价</w:t>
            </w:r>
            <w:r>
              <w:rPr>
                <w:rFonts w:hint="eastAsia" w:ascii="宋体" w:hAnsi="宋体" w:eastAsia="宋体" w:cs="宋体"/>
                <w:color w:val="auto"/>
                <w:sz w:val="20"/>
                <w:szCs w:val="20"/>
                <w:highlight w:val="none"/>
                <w:lang w:eastAsia="zh-CN"/>
              </w:rPr>
              <w:t>的</w:t>
            </w:r>
            <w:r>
              <w:rPr>
                <w:rFonts w:hint="eastAsia" w:ascii="宋体" w:hAnsi="宋体" w:eastAsia="宋体" w:cs="宋体"/>
                <w:color w:val="auto"/>
                <w:sz w:val="20"/>
                <w:szCs w:val="20"/>
                <w:highlight w:val="none"/>
              </w:rPr>
              <w:t>30%；电梯</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钢结构主体、</w:t>
            </w:r>
            <w:r>
              <w:rPr>
                <w:rFonts w:hint="eastAsia" w:ascii="宋体" w:hAnsi="宋体" w:eastAsia="宋体" w:cs="宋体"/>
                <w:color w:val="auto"/>
                <w:sz w:val="20"/>
                <w:szCs w:val="20"/>
                <w:highlight w:val="none"/>
              </w:rPr>
              <w:t>门洞封堵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机房孔洞、机座</w:t>
            </w:r>
            <w:r>
              <w:rPr>
                <w:rFonts w:hint="eastAsia" w:ascii="宋体" w:hAnsi="宋体" w:eastAsia="宋体" w:cs="宋体"/>
                <w:color w:val="auto"/>
                <w:sz w:val="20"/>
                <w:szCs w:val="20"/>
                <w:highlight w:val="none"/>
                <w:lang w:val="en-US" w:eastAsia="zh-CN"/>
              </w:rPr>
              <w:t>封堵、</w:t>
            </w:r>
            <w:r>
              <w:rPr>
                <w:rFonts w:hint="eastAsia" w:ascii="宋体" w:hAnsi="宋体" w:eastAsia="宋体" w:cs="宋体"/>
                <w:color w:val="auto"/>
                <w:sz w:val="20"/>
                <w:szCs w:val="20"/>
                <w:highlight w:val="none"/>
              </w:rPr>
              <w:t>机房钢丝绳孔洞</w:t>
            </w:r>
            <w:r>
              <w:rPr>
                <w:rFonts w:hint="eastAsia" w:ascii="宋体" w:hAnsi="宋体" w:eastAsia="宋体" w:cs="宋体"/>
                <w:color w:val="auto"/>
                <w:sz w:val="20"/>
                <w:szCs w:val="20"/>
                <w:highlight w:val="none"/>
                <w:lang w:val="en-US" w:eastAsia="zh-CN"/>
              </w:rPr>
              <w:t>等施工安装调试完毕7个工作日内，甲方向乙方支付合同总价的60%</w:t>
            </w:r>
            <w:r>
              <w:rPr>
                <w:rFonts w:hint="eastAsia" w:ascii="宋体" w:hAnsi="宋体" w:eastAsia="宋体" w:cs="宋体"/>
                <w:color w:val="auto"/>
                <w:sz w:val="20"/>
                <w:szCs w:val="20"/>
                <w:highlight w:val="none"/>
                <w:lang w:eastAsia="zh-CN"/>
              </w:rPr>
              <w:t>；成交供应商向当地质检部门提出验收申请，并协助当地质检部门检验验收，负责办理特种设备使用登记证，费用由成交供应商负责</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完成验收及登记后，</w:t>
            </w:r>
            <w:r>
              <w:rPr>
                <w:rFonts w:hint="eastAsia" w:ascii="宋体" w:hAnsi="宋体" w:eastAsia="宋体" w:cs="宋体"/>
                <w:color w:val="auto"/>
                <w:sz w:val="20"/>
                <w:szCs w:val="20"/>
                <w:highlight w:val="none"/>
              </w:rPr>
              <w:t>甲方支付合同</w:t>
            </w:r>
            <w:r>
              <w:rPr>
                <w:rFonts w:hint="eastAsia" w:ascii="宋体" w:hAnsi="宋体" w:cs="宋体"/>
                <w:color w:val="auto"/>
                <w:sz w:val="20"/>
                <w:szCs w:val="20"/>
                <w:highlight w:val="none"/>
                <w:lang w:val="en-US" w:eastAsia="zh-CN"/>
              </w:rPr>
              <w:t>剩下款项。</w:t>
            </w:r>
            <w:r>
              <w:rPr>
                <w:rFonts w:hint="eastAsia" w:ascii="宋体" w:hAnsi="宋体" w:cs="宋体"/>
                <w:color w:val="auto"/>
                <w:sz w:val="20"/>
                <w:szCs w:val="20"/>
                <w:highlight w:val="none"/>
              </w:rPr>
              <w:t>乙方在移交电梯使用合格证及电梯资料时将发票全额开具给甲方。</w:t>
            </w:r>
          </w:p>
          <w:p w14:paraId="49F8F6F9">
            <w:pPr>
              <w:spacing w:line="360" w:lineRule="auto"/>
              <w:ind w:left="720" w:leftChars="200" w:hanging="300" w:hangingChars="150"/>
              <w:rPr>
                <w:rFonts w:hint="eastAsia" w:ascii="宋体" w:hAnsi="宋体" w:cs="宋体"/>
                <w:color w:val="auto"/>
                <w:sz w:val="20"/>
                <w:szCs w:val="20"/>
                <w:highlight w:val="yellow"/>
                <w:lang w:val="zh-CN"/>
              </w:rPr>
            </w:pPr>
            <w:r>
              <w:rPr>
                <w:rFonts w:hint="eastAsia" w:ascii="宋体" w:hAnsi="宋体" w:cs="宋体"/>
                <w:color w:val="auto"/>
                <w:sz w:val="20"/>
                <w:szCs w:val="20"/>
                <w:highlight w:val="yellow"/>
                <w:lang w:val="zh-CN"/>
              </w:rPr>
              <w:t>▲六、本项目不接受整套进口产品参加</w:t>
            </w:r>
            <w:r>
              <w:rPr>
                <w:rFonts w:hint="eastAsia" w:ascii="宋体" w:hAnsi="宋体" w:cs="宋体"/>
                <w:color w:val="auto"/>
                <w:sz w:val="20"/>
                <w:szCs w:val="20"/>
                <w:highlight w:val="yellow"/>
              </w:rPr>
              <w:t>投标</w:t>
            </w:r>
            <w:r>
              <w:rPr>
                <w:rFonts w:hint="eastAsia" w:ascii="宋体" w:hAnsi="宋体" w:cs="宋体"/>
                <w:color w:val="auto"/>
                <w:sz w:val="20"/>
                <w:szCs w:val="20"/>
                <w:highlight w:val="yellow"/>
                <w:lang w:val="zh-CN"/>
              </w:rPr>
              <w:t>。</w:t>
            </w:r>
          </w:p>
          <w:p w14:paraId="4A2BEA7A">
            <w:pPr>
              <w:spacing w:line="360" w:lineRule="auto"/>
              <w:ind w:left="720" w:leftChars="200" w:hanging="300" w:hangingChars="150"/>
              <w:rPr>
                <w:rFonts w:hint="eastAsia" w:ascii="宋体" w:hAnsi="宋体" w:cs="宋体"/>
                <w:color w:val="auto"/>
                <w:highlight w:val="none"/>
                <w:lang w:val="zh-CN"/>
              </w:rPr>
            </w:pPr>
            <w:r>
              <w:rPr>
                <w:rFonts w:hint="eastAsia" w:ascii="宋体" w:hAnsi="宋体" w:cs="宋体"/>
                <w:color w:val="auto"/>
                <w:sz w:val="20"/>
                <w:szCs w:val="20"/>
                <w:highlight w:val="none"/>
                <w:lang w:val="zh-CN"/>
              </w:rPr>
              <w:t>七、谈判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谈判小组应当将其作为无效投标处理。</w:t>
            </w:r>
          </w:p>
        </w:tc>
      </w:tr>
    </w:tbl>
    <w:p w14:paraId="25E2C9CC">
      <w:pPr>
        <w:pStyle w:val="2"/>
        <w:spacing w:before="0" w:after="0" w:line="240" w:lineRule="auto"/>
        <w:rPr>
          <w:rFonts w:hint="eastAsia"/>
          <w:color w:val="auto"/>
          <w:highlight w:val="none"/>
        </w:rPr>
      </w:pPr>
    </w:p>
    <w:p w14:paraId="261B304C">
      <w:pPr>
        <w:rPr>
          <w:rFonts w:hint="eastAsia"/>
          <w:color w:val="auto"/>
          <w:highlight w:val="none"/>
        </w:rPr>
      </w:pPr>
    </w:p>
    <w:p w14:paraId="575AB5C4">
      <w:pPr>
        <w:rPr>
          <w:rFonts w:hint="eastAsia"/>
          <w:color w:val="auto"/>
          <w:highlight w:val="none"/>
        </w:rPr>
      </w:pPr>
    </w:p>
    <w:p w14:paraId="74451997">
      <w:pPr>
        <w:rPr>
          <w:rFonts w:hint="eastAsia"/>
          <w:color w:val="auto"/>
          <w:highlight w:val="none"/>
        </w:rPr>
      </w:pPr>
    </w:p>
    <w:p w14:paraId="7352EB67">
      <w:pPr>
        <w:rPr>
          <w:rFonts w:hint="eastAsia"/>
          <w:color w:val="auto"/>
          <w:highlight w:val="none"/>
        </w:rPr>
      </w:pPr>
    </w:p>
    <w:p w14:paraId="27EED11B">
      <w:pPr>
        <w:rPr>
          <w:rFonts w:hint="eastAsia"/>
          <w:color w:val="auto"/>
          <w:highlight w:val="none"/>
        </w:rPr>
      </w:pPr>
    </w:p>
    <w:p w14:paraId="55200C41">
      <w:pPr>
        <w:rPr>
          <w:rFonts w:hint="eastAsia"/>
          <w:color w:val="auto"/>
          <w:highlight w:val="none"/>
        </w:rPr>
      </w:pPr>
    </w:p>
    <w:p w14:paraId="0F5C1BA0">
      <w:pPr>
        <w:rPr>
          <w:rFonts w:hint="eastAsia"/>
          <w:color w:val="auto"/>
          <w:highlight w:val="none"/>
        </w:rPr>
      </w:pPr>
    </w:p>
    <w:p w14:paraId="1E6D872F">
      <w:pPr>
        <w:rPr>
          <w:rFonts w:hint="eastAsia"/>
          <w:color w:val="auto"/>
          <w:highlight w:val="none"/>
        </w:rPr>
      </w:pPr>
    </w:p>
    <w:p w14:paraId="67B28270">
      <w:pPr>
        <w:rPr>
          <w:rFonts w:hint="eastAsia"/>
          <w:color w:val="auto"/>
          <w:highlight w:val="none"/>
        </w:rPr>
      </w:pPr>
    </w:p>
    <w:p w14:paraId="2ED422C3">
      <w:pPr>
        <w:rPr>
          <w:rFonts w:hint="eastAsia"/>
          <w:color w:val="auto"/>
          <w:highlight w:val="none"/>
        </w:rPr>
      </w:pPr>
    </w:p>
    <w:p w14:paraId="011217CD">
      <w:pPr>
        <w:rPr>
          <w:rFonts w:hint="eastAsia"/>
          <w:color w:val="auto"/>
          <w:highlight w:val="none"/>
        </w:rPr>
      </w:pPr>
    </w:p>
    <w:p w14:paraId="71E5095E">
      <w:pPr>
        <w:rPr>
          <w:rFonts w:hint="eastAsia"/>
          <w:color w:val="auto"/>
          <w:highlight w:val="none"/>
        </w:rPr>
      </w:pPr>
    </w:p>
    <w:p w14:paraId="43320B01">
      <w:pPr>
        <w:rPr>
          <w:rFonts w:hint="eastAsia"/>
          <w:color w:val="auto"/>
          <w:highlight w:val="none"/>
        </w:rPr>
      </w:pPr>
    </w:p>
    <w:p w14:paraId="55129D4C">
      <w:pPr>
        <w:rPr>
          <w:rFonts w:hint="eastAsia"/>
          <w:color w:val="auto"/>
          <w:highlight w:val="none"/>
        </w:rPr>
      </w:pPr>
    </w:p>
    <w:p w14:paraId="30637B0A">
      <w:pPr>
        <w:rPr>
          <w:rFonts w:hint="eastAsia"/>
          <w:color w:val="auto"/>
          <w:highlight w:val="none"/>
        </w:rPr>
      </w:pPr>
    </w:p>
    <w:p w14:paraId="4D945B4F">
      <w:pPr>
        <w:rPr>
          <w:rFonts w:hint="eastAsia"/>
          <w:color w:val="auto"/>
          <w:highlight w:val="none"/>
        </w:rPr>
      </w:pPr>
    </w:p>
    <w:p w14:paraId="5AE60F24">
      <w:pPr>
        <w:rPr>
          <w:rFonts w:hint="eastAsia"/>
          <w:color w:val="auto"/>
          <w:highlight w:val="none"/>
        </w:rPr>
      </w:pPr>
    </w:p>
    <w:p w14:paraId="30EE72F1">
      <w:pPr>
        <w:rPr>
          <w:rFonts w:hint="eastAsia"/>
          <w:color w:val="auto"/>
          <w:highlight w:val="none"/>
        </w:rPr>
      </w:pPr>
    </w:p>
    <w:p w14:paraId="76F46CF6">
      <w:pPr>
        <w:rPr>
          <w:rFonts w:hint="eastAsia"/>
          <w:color w:val="auto"/>
          <w:highlight w:val="none"/>
        </w:rPr>
      </w:pPr>
    </w:p>
    <w:p w14:paraId="157249C4">
      <w:pPr>
        <w:rPr>
          <w:rFonts w:hint="eastAsia"/>
          <w:color w:val="auto"/>
          <w:highlight w:val="none"/>
        </w:rPr>
      </w:pPr>
    </w:p>
    <w:p w14:paraId="293DB3A2">
      <w:pPr>
        <w:rPr>
          <w:rFonts w:hint="eastAsia"/>
          <w:color w:val="auto"/>
          <w:highlight w:val="none"/>
        </w:rPr>
      </w:pPr>
    </w:p>
    <w:p w14:paraId="319D6149">
      <w:pPr>
        <w:rPr>
          <w:rFonts w:hint="eastAsia"/>
          <w:color w:val="auto"/>
          <w:highlight w:val="none"/>
        </w:rPr>
      </w:pPr>
    </w:p>
    <w:p w14:paraId="333CE73E">
      <w:pPr>
        <w:rPr>
          <w:rFonts w:hint="eastAsia"/>
          <w:color w:val="auto"/>
          <w:highlight w:val="none"/>
        </w:rPr>
      </w:pPr>
    </w:p>
    <w:p w14:paraId="2B837FFE">
      <w:pPr>
        <w:pStyle w:val="2"/>
        <w:jc w:val="center"/>
        <w:rPr>
          <w:rFonts w:hint="eastAsia"/>
          <w:color w:val="auto"/>
          <w:highlight w:val="none"/>
        </w:rPr>
      </w:pPr>
      <w:r>
        <w:rPr>
          <w:rFonts w:hint="eastAsia"/>
          <w:color w:val="auto"/>
          <w:highlight w:val="none"/>
        </w:rPr>
        <w:t>第四章  评审程序和评定成交的标准</w:t>
      </w:r>
    </w:p>
    <w:p w14:paraId="6043E3C8">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16680707">
      <w:pPr>
        <w:spacing w:line="360" w:lineRule="auto"/>
        <w:ind w:firstLine="480"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5CB64D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769805F1">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1EF3157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47434FF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2B0FB0B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7CB8062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09C496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5DBC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w:t>
      </w:r>
      <w:r>
        <w:rPr>
          <w:color w:val="auto"/>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w:t>
      </w:r>
      <w:r>
        <w:rPr>
          <w:color w:val="auto"/>
          <w:highlight w:val="none"/>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28234A2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6876E37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1C4671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100C2F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22647F8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2613F21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58EBBC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9631F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0463332F">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7284F5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2E0302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92818A">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03CA59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7586B1A9">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35BD8E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12B75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6DDF8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B3DB6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E7D50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C788F9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A9F4B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13008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74A344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7A4ED4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4F438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4E4C1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30FAB8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5）未对竞标有效期作出响应或者响应文件承诺的竞标有效期不满足谈判文件要求；</w:t>
      </w:r>
    </w:p>
    <w:p w14:paraId="56306F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6）响应文件的实质性内容未使用中文表述、使用计量单位不符合谈判文件要求的；</w:t>
      </w:r>
    </w:p>
    <w:p w14:paraId="1BD710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7）响应文件中的文件资料因填写不齐全或者内容虚假或者出现其他情形而导致被谈判小组认定无效的；</w:t>
      </w:r>
    </w:p>
    <w:p w14:paraId="465E04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8）响应文件含有采购人不能接受的附加条件的；</w:t>
      </w:r>
    </w:p>
    <w:p w14:paraId="043D2C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60DC04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10）技术评审允许负偏离的条款数超过“供应商须知前附表”规定项数的；</w:t>
      </w:r>
    </w:p>
    <w:p w14:paraId="1BB7DF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11）虚假竞标，或者出现其他情形而导致被谈判小组认定无效的；</w:t>
      </w:r>
    </w:p>
    <w:p w14:paraId="769B3F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bookmarkStart w:id="65"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65"/>
    </w:p>
    <w:p w14:paraId="03E88B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13）响应文件标注的项目名称或者项目编号与谈判文件标注的项目名称或者项目编号不一致的；</w:t>
      </w:r>
    </w:p>
    <w:p w14:paraId="1DDB1B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olor w:val="auto"/>
          <w:szCs w:val="21"/>
          <w:highlight w:val="none"/>
        </w:rPr>
        <w:t>谈判文件明确不允许分包，响应文件拟分包的；</w:t>
      </w:r>
    </w:p>
    <w:p w14:paraId="4C581F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15）未响应谈判文件实质性要求；</w:t>
      </w:r>
    </w:p>
    <w:p w14:paraId="46BE21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16）法律、法规和谈判文件规定的其他无效情形。</w:t>
      </w:r>
    </w:p>
    <w:p w14:paraId="7FD8C6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3D66B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报价文件中规定的“竞标报价表”的；</w:t>
      </w:r>
    </w:p>
    <w:p w14:paraId="78155A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1B37BD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122F4B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公布了最高限价）；竞标报价（包含首次报价、最后报价）超过谈判文件分项采购预算金额或者最高限价的（如本项目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w:t>
      </w:r>
    </w:p>
    <w:p w14:paraId="6A824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公布了最高限价）；或者经供应商确认修正后竞标报价（包含首次报价、最后报价）超过谈判文件分项采购预算金额或者最高限价的（如本项目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w:t>
      </w:r>
    </w:p>
    <w:p w14:paraId="10122E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13FD632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369433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B697FD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703F25FA">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0BF2C1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55C63B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1103DB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5C0A06C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4A72F4A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06C9ACF3">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382A68F7">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19767A6C">
      <w:pPr>
        <w:spacing w:line="360" w:lineRule="auto"/>
        <w:ind w:firstLine="480"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3E6378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5AB5068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592DF18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3最后报价是供应商响应文件的有效组成部分。</w:t>
      </w:r>
    </w:p>
    <w:p w14:paraId="28F56F2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4已经提交响应文件的供应商，在提交最后报价之前，可以根据谈判情况退出谈判，退出谈判的供应商的响应文件按无效响应处理。</w:t>
      </w:r>
    </w:p>
    <w:p w14:paraId="53DC110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5供应商未在规定时间内提交最后报价的，视为退出谈判，其响应文件按无效处理。</w:t>
      </w:r>
    </w:p>
    <w:p w14:paraId="3CE87D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6最后报价统一开启后，谈判小组对最后报价进行有效性、完整性和响应程度的审查。</w:t>
      </w:r>
    </w:p>
    <w:p w14:paraId="5BDF1C6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7最后报价出现前后不一致的，按照本章第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299860A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8修正后的报价出现下列情形的，按无效响应处理：</w:t>
      </w:r>
    </w:p>
    <w:p w14:paraId="4C38CA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AE47E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w:t>
      </w:r>
    </w:p>
    <w:p w14:paraId="156773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ascii="宋体" w:hAnsi="宋体" w:cs="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w:t>
      </w:r>
      <w:r>
        <w:rPr>
          <w:rFonts w:hint="eastAsia" w:ascii="宋体" w:hAnsi="宋体"/>
          <w:color w:val="auto"/>
          <w:szCs w:val="21"/>
          <w:highlight w:val="none"/>
          <w:lang w:eastAsia="zh-CN"/>
        </w:rPr>
        <w:t>根据《</w:t>
      </w:r>
      <w:r>
        <w:rPr>
          <w:rFonts w:hint="eastAsia" w:ascii="宋体" w:hAnsi="宋体" w:eastAsia="宋体" w:cs="Times New Roman"/>
          <w:color w:val="auto"/>
          <w:szCs w:val="21"/>
          <w:highlight w:val="none"/>
        </w:rPr>
        <w:t>关于推动解决政府采购异常低价问题的通知</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财库〔2026〕2号</w:t>
      </w:r>
      <w:r>
        <w:rPr>
          <w:rFonts w:hint="eastAsia" w:ascii="宋体" w:hAnsi="宋体" w:eastAsia="宋体" w:cs="Times New Roman"/>
          <w:color w:val="auto"/>
          <w:szCs w:val="21"/>
          <w:highlight w:val="none"/>
          <w:lang w:eastAsia="zh-CN"/>
        </w:rPr>
        <w:t>）的规定，</w:t>
      </w:r>
      <w:r>
        <w:rPr>
          <w:rFonts w:hint="eastAsia" w:ascii="宋体" w:hAnsi="宋体" w:eastAsia="宋体" w:cs="Times New Roman"/>
          <w:color w:val="auto"/>
          <w:szCs w:val="21"/>
          <w:highlight w:val="none"/>
        </w:rPr>
        <w:t>应当要求其在评标现场合理</w:t>
      </w:r>
      <w:r>
        <w:rPr>
          <w:rFonts w:hint="eastAsia" w:ascii="宋体" w:hAnsi="宋体"/>
          <w:color w:val="auto"/>
          <w:szCs w:val="21"/>
          <w:highlight w:val="none"/>
        </w:rPr>
        <w:t>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405DE11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（3）经供应商确认修正后的竞标报价（包含首次报价、最后报价）超过分项采购预算金额或者最高限价的（如本项目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w:t>
      </w:r>
    </w:p>
    <w:p w14:paraId="5BB193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9经供应商确认修正后的最后报价作为评审及签订合同的依据。</w:t>
      </w:r>
    </w:p>
    <w:p w14:paraId="0A8EC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000FA2A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11最后报价结束后，谈判小组不得再与供应商进行任何形式的商谈。</w:t>
      </w:r>
    </w:p>
    <w:p w14:paraId="3D39FC95">
      <w:pPr>
        <w:spacing w:line="360" w:lineRule="auto"/>
        <w:ind w:firstLine="470"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4F024E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05239323">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2F402630">
      <w:pPr>
        <w:spacing w:line="360" w:lineRule="auto"/>
        <w:ind w:firstLine="369" w:firstLineChars="176"/>
        <w:rPr>
          <w:rFonts w:hint="eastAsia" w:ascii="宋体" w:hAnsi="宋体" w:cs="宋体"/>
          <w:color w:val="auto"/>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w:t>
      </w:r>
      <w:r>
        <w:rPr>
          <w:rFonts w:hint="eastAsia" w:ascii="宋体" w:hAnsi="宋体" w:cs="宋体"/>
          <w:color w:val="auto"/>
          <w:szCs w:val="21"/>
          <w:highlight w:val="none"/>
        </w:rPr>
        <w:t>，供应商在其响应文件中提供《中小企业声明函》，且其竞标全部货物由小微企业制造的，对其投标报价给予10%的扣除，扣除后的价格为评标报价，即评标报价=投标报价×（1-10%）</w:t>
      </w:r>
      <w:r>
        <w:rPr>
          <w:rFonts w:hint="eastAsia" w:ascii="宋体" w:hAnsi="宋体"/>
          <w:bCs/>
          <w:color w:val="auto"/>
          <w:szCs w:val="21"/>
          <w:highlight w:val="none"/>
        </w:rPr>
        <w:t>，扣除后的价格为评审价，即评审价=竞标报价×（1-1</w:t>
      </w:r>
      <w:r>
        <w:rPr>
          <w:rFonts w:ascii="宋体" w:hAnsi="宋体"/>
          <w:bCs/>
          <w:color w:val="auto"/>
          <w:szCs w:val="21"/>
          <w:highlight w:val="none"/>
        </w:rPr>
        <w:t>0</w:t>
      </w:r>
      <w:r>
        <w:rPr>
          <w:rFonts w:hint="eastAsia" w:ascii="宋体" w:hAnsi="宋体"/>
          <w:bCs/>
          <w:color w:val="auto"/>
          <w:szCs w:val="21"/>
          <w:highlight w:val="none"/>
        </w:rPr>
        <w:t>%）。</w:t>
      </w:r>
    </w:p>
    <w:p w14:paraId="0B29039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75BB1E">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1A102D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color w:val="auto"/>
          <w:highlight w:val="none"/>
        </w:rPr>
      </w:pPr>
      <w:r>
        <w:rPr>
          <w:rFonts w:hint="eastAsia" w:ascii="宋体" w:hAnsi="宋体" w:cs="宋体"/>
          <w:highlight w:val="none"/>
        </w:rPr>
        <w:t>6.5</w:t>
      </w:r>
      <w:r>
        <w:rPr>
          <w:rFonts w:hint="eastAsia" w:ascii="宋体" w:hAnsi="宋体" w:cs="宋体"/>
          <w:color w:val="auto"/>
          <w:highlight w:val="none"/>
        </w:rPr>
        <w:t>按照</w:t>
      </w:r>
      <w:r>
        <w:rPr>
          <w:rFonts w:hint="eastAsia" w:ascii="宋体" w:hAnsi="宋体" w:cs="宋体"/>
          <w:color w:val="auto"/>
          <w:highlight w:val="none"/>
          <w:lang w:eastAsia="zh-CN"/>
        </w:rPr>
        <w:t>《</w:t>
      </w:r>
      <w:r>
        <w:rPr>
          <w:rFonts w:hint="eastAsia" w:ascii="宋体" w:hAnsi="宋体" w:cs="宋体"/>
          <w:color w:val="auto"/>
          <w:highlight w:val="none"/>
        </w:rPr>
        <w:t>国务院办公厅关于在政府采购中实施本国产品标准及相关政策的通知</w:t>
      </w:r>
      <w:r>
        <w:rPr>
          <w:rFonts w:hint="eastAsia" w:ascii="宋体" w:hAnsi="宋体" w:cs="宋体"/>
          <w:color w:val="auto"/>
          <w:highlight w:val="none"/>
          <w:lang w:eastAsia="zh-CN"/>
        </w:rPr>
        <w:t>》（</w:t>
      </w:r>
      <w:r>
        <w:rPr>
          <w:rFonts w:hint="eastAsia" w:ascii="宋体" w:hAnsi="宋体" w:cs="宋体"/>
          <w:color w:val="auto"/>
          <w:highlight w:val="none"/>
        </w:rPr>
        <w:t>国办发</w:t>
      </w:r>
      <w:r>
        <w:rPr>
          <w:rFonts w:hint="eastAsia" w:ascii="宋体" w:hAnsi="宋体" w:cs="宋体"/>
          <w:color w:val="auto"/>
          <w:highlight w:val="none"/>
          <w:lang w:eastAsia="zh-CN"/>
        </w:rPr>
        <w:t>（</w:t>
      </w:r>
      <w:r>
        <w:rPr>
          <w:rFonts w:hint="eastAsia" w:ascii="宋体" w:hAnsi="宋体" w:cs="宋体"/>
          <w:color w:val="auto"/>
          <w:highlight w:val="none"/>
        </w:rPr>
        <w:t>2025</w:t>
      </w:r>
      <w:r>
        <w:rPr>
          <w:rFonts w:hint="eastAsia" w:ascii="宋体" w:hAnsi="宋体" w:cs="宋体"/>
          <w:color w:val="auto"/>
          <w:highlight w:val="none"/>
          <w:lang w:eastAsia="zh-CN"/>
        </w:rPr>
        <w:t>）</w:t>
      </w:r>
      <w:r>
        <w:rPr>
          <w:rFonts w:hint="eastAsia" w:ascii="宋体" w:hAnsi="宋体" w:cs="宋体"/>
          <w:color w:val="auto"/>
          <w:highlight w:val="none"/>
        </w:rPr>
        <w:t>34号</w:t>
      </w:r>
      <w:r>
        <w:rPr>
          <w:rFonts w:hint="eastAsia" w:ascii="宋体" w:hAnsi="宋体" w:cs="宋体"/>
          <w:color w:val="auto"/>
          <w:highlight w:val="none"/>
          <w:lang w:eastAsia="zh-CN"/>
        </w:rPr>
        <w:t>）</w:t>
      </w:r>
      <w:r>
        <w:rPr>
          <w:rFonts w:hint="eastAsia" w:ascii="宋体" w:hAnsi="宋体" w:cs="宋体"/>
          <w:color w:val="auto"/>
          <w:highlight w:val="none"/>
        </w:rPr>
        <w:t>和关于贯彻落实</w:t>
      </w:r>
      <w:r>
        <w:rPr>
          <w:rFonts w:hint="eastAsia" w:ascii="宋体" w:hAnsi="宋体" w:cs="宋体"/>
          <w:color w:val="auto"/>
          <w:highlight w:val="none"/>
          <w:lang w:eastAsia="zh-CN"/>
        </w:rPr>
        <w:t>《</w:t>
      </w:r>
      <w:r>
        <w:rPr>
          <w:rFonts w:hint="eastAsia" w:ascii="宋体" w:hAnsi="宋体" w:cs="宋体"/>
          <w:color w:val="auto"/>
          <w:highlight w:val="none"/>
        </w:rPr>
        <w:t>国务院办公厅关于在政府采购中实施本国产品标准及相关政策的通知</w:t>
      </w:r>
      <w:r>
        <w:rPr>
          <w:rFonts w:hint="eastAsia" w:ascii="宋体" w:hAnsi="宋体" w:cs="宋体"/>
          <w:color w:val="auto"/>
          <w:highlight w:val="none"/>
          <w:lang w:eastAsia="zh-CN"/>
        </w:rPr>
        <w:t>》</w:t>
      </w:r>
      <w:r>
        <w:rPr>
          <w:rFonts w:hint="eastAsia" w:ascii="宋体" w:hAnsi="宋体" w:cs="宋体"/>
          <w:color w:val="auto"/>
          <w:highlight w:val="none"/>
        </w:rPr>
        <w:t>的意</w:t>
      </w:r>
      <w:r>
        <w:rPr>
          <w:rFonts w:hint="eastAsia" w:ascii="宋体" w:hAnsi="宋体" w:cs="宋体"/>
          <w:color w:val="auto"/>
          <w:highlight w:val="none"/>
          <w:lang w:val="en-US" w:eastAsia="zh-CN"/>
        </w:rPr>
        <w:t>见</w:t>
      </w:r>
      <w:r>
        <w:rPr>
          <w:rFonts w:hint="eastAsia" w:ascii="宋体" w:hAnsi="宋体" w:cs="宋体"/>
          <w:color w:val="auto"/>
          <w:highlight w:val="none"/>
          <w:lang w:eastAsia="zh-CN"/>
        </w:rPr>
        <w:t>（</w:t>
      </w:r>
      <w:r>
        <w:rPr>
          <w:rFonts w:hint="eastAsia" w:ascii="宋体" w:hAnsi="宋体" w:cs="宋体"/>
          <w:color w:val="auto"/>
          <w:highlight w:val="none"/>
        </w:rPr>
        <w:t>财库〔2025﹞30号</w:t>
      </w:r>
      <w:r>
        <w:rPr>
          <w:rFonts w:hint="eastAsia" w:ascii="宋体" w:hAnsi="宋体" w:cs="宋体"/>
          <w:color w:val="auto"/>
          <w:highlight w:val="none"/>
          <w:lang w:eastAsia="zh-CN"/>
        </w:rPr>
        <w:t>）</w:t>
      </w:r>
      <w:r>
        <w:rPr>
          <w:rFonts w:hint="eastAsia" w:ascii="宋体" w:hAnsi="宋体" w:cs="宋体"/>
          <w:color w:val="auto"/>
          <w:highlight w:val="none"/>
        </w:rPr>
        <w:t>的规定</w:t>
      </w:r>
      <w:r>
        <w:rPr>
          <w:rFonts w:hint="eastAsia" w:ascii="宋体" w:hAnsi="宋体" w:cs="宋体"/>
          <w:color w:val="auto"/>
          <w:highlight w:val="none"/>
          <w:lang w:eastAsia="zh-CN"/>
        </w:rPr>
        <w:t>，</w:t>
      </w:r>
      <w:r>
        <w:rPr>
          <w:rFonts w:hint="eastAsia" w:ascii="宋体" w:hAnsi="宋体" w:cs="宋体"/>
          <w:color w:val="auto"/>
          <w:highlight w:val="none"/>
        </w:rPr>
        <w:t>政府采购活动中既有本国产品又有非本国产品参与竞争的，依法对本国产品给予价格评审优惠</w:t>
      </w:r>
      <w:r>
        <w:rPr>
          <w:rFonts w:hint="eastAsia" w:ascii="宋体" w:hAnsi="宋体" w:cs="宋体"/>
          <w:color w:val="auto"/>
          <w:highlight w:val="none"/>
          <w:lang w:eastAsia="zh-CN"/>
        </w:rPr>
        <w:t>，</w:t>
      </w:r>
      <w:r>
        <w:rPr>
          <w:rFonts w:hint="eastAsia" w:ascii="宋体" w:hAnsi="宋体" w:cs="宋体"/>
          <w:color w:val="auto"/>
          <w:highlight w:val="none"/>
        </w:rPr>
        <w:t>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ascii="宋体" w:hAnsi="宋体" w:cs="宋体"/>
          <w:color w:val="auto"/>
          <w:highlight w:val="none"/>
          <w:lang w:eastAsia="zh-CN"/>
        </w:rPr>
        <w:t>，</w:t>
      </w:r>
      <w:r>
        <w:rPr>
          <w:rFonts w:hint="eastAsia" w:ascii="宋体" w:hAnsi="宋体" w:cs="宋体"/>
          <w:color w:val="auto"/>
          <w:highlight w:val="none"/>
        </w:rPr>
        <w:t>即对该供应商提供的全部产品的总报价给予20%的价格扣除</w:t>
      </w:r>
      <w:r>
        <w:rPr>
          <w:rFonts w:hint="eastAsia" w:ascii="宋体" w:hAnsi="宋体" w:cs="宋体"/>
          <w:color w:val="auto"/>
          <w:highlight w:val="none"/>
          <w:lang w:eastAsia="zh-CN"/>
        </w:rPr>
        <w:t>，</w:t>
      </w:r>
      <w:r>
        <w:rPr>
          <w:rFonts w:hint="eastAsia" w:ascii="宋体" w:hAnsi="宋体" w:cs="宋体"/>
          <w:color w:val="auto"/>
          <w:highlight w:val="none"/>
        </w:rPr>
        <w:t>用扣除后的价格参与评审。产品在中国境内生产的组件成本占比应当达到规定比例，计算公式为:</w:t>
      </w:r>
    </w:p>
    <w:p w14:paraId="2737D4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产品在中国境内生产的组件成本/产品总成本</w:t>
      </w:r>
      <w:r>
        <w:rPr>
          <w:rFonts w:hint="eastAsia" w:ascii="宋体" w:hAnsi="宋体" w:cs="宋体"/>
          <w:color w:val="auto"/>
          <w:highlight w:val="none"/>
          <w:lang w:val="en-US" w:eastAsia="zh-CN"/>
        </w:rPr>
        <w:t>≥</w:t>
      </w:r>
      <w:r>
        <w:rPr>
          <w:rFonts w:hint="eastAsia" w:ascii="宋体" w:hAnsi="宋体" w:cs="宋体"/>
          <w:color w:val="auto"/>
          <w:highlight w:val="none"/>
        </w:rPr>
        <w:t>规定比例</w:t>
      </w:r>
      <w:r>
        <w:rPr>
          <w:rFonts w:hint="eastAsia" w:ascii="宋体" w:hAnsi="宋体" w:cs="宋体"/>
          <w:color w:val="auto"/>
          <w:highlight w:val="none"/>
          <w:lang w:eastAsia="zh-CN"/>
        </w:rPr>
        <w:t>。</w:t>
      </w:r>
    </w:p>
    <w:p w14:paraId="2CA89C7D">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lang w:val="en-US" w:eastAsia="zh-CN"/>
        </w:rPr>
        <w:t>6</w:t>
      </w:r>
      <w:r>
        <w:rPr>
          <w:rFonts w:hint="eastAsia" w:ascii="宋体" w:hAnsi="宋体" w:cs="宋体"/>
          <w:color w:val="auto"/>
          <w:highlight w:val="none"/>
        </w:rPr>
        <w:t>除上述情况外，评审价＝最后报价。</w:t>
      </w:r>
    </w:p>
    <w:p w14:paraId="7F631FF2">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3FA8645B">
      <w:pPr>
        <w:spacing w:line="360" w:lineRule="auto"/>
        <w:ind w:firstLine="480"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成交候选人推荐</w:t>
      </w:r>
    </w:p>
    <w:p w14:paraId="271BD770">
      <w:pPr>
        <w:spacing w:line="360" w:lineRule="auto"/>
        <w:ind w:firstLine="420" w:firstLineChars="200"/>
        <w:contextualSpacing/>
        <w:rPr>
          <w:rFonts w:hint="eastAsia"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767C8194">
      <w:pPr>
        <w:pStyle w:val="2"/>
        <w:jc w:val="center"/>
        <w:rPr>
          <w:rFonts w:hint="eastAsia"/>
          <w:color w:val="auto"/>
          <w:highlight w:val="none"/>
        </w:rPr>
      </w:pPr>
      <w:bookmarkStart w:id="66" w:name="_Toc168674249"/>
    </w:p>
    <w:p w14:paraId="26F8EC9F">
      <w:pPr>
        <w:pStyle w:val="2"/>
        <w:jc w:val="center"/>
        <w:rPr>
          <w:rFonts w:hint="eastAsia"/>
          <w:color w:val="auto"/>
          <w:highlight w:val="none"/>
        </w:rPr>
      </w:pPr>
    </w:p>
    <w:p w14:paraId="12F6F23D">
      <w:pPr>
        <w:pStyle w:val="2"/>
        <w:jc w:val="center"/>
        <w:rPr>
          <w:rFonts w:hint="eastAsia"/>
          <w:color w:val="auto"/>
          <w:highlight w:val="none"/>
        </w:rPr>
      </w:pPr>
    </w:p>
    <w:p w14:paraId="12685631">
      <w:pPr>
        <w:rPr>
          <w:rFonts w:hint="eastAsia"/>
          <w:color w:val="auto"/>
          <w:highlight w:val="none"/>
        </w:rPr>
      </w:pPr>
    </w:p>
    <w:p w14:paraId="36A0D801">
      <w:pPr>
        <w:rPr>
          <w:rFonts w:hint="eastAsia"/>
          <w:color w:val="auto"/>
          <w:highlight w:val="none"/>
        </w:rPr>
      </w:pPr>
    </w:p>
    <w:p w14:paraId="180BDA5F">
      <w:pPr>
        <w:pStyle w:val="2"/>
        <w:jc w:val="center"/>
        <w:rPr>
          <w:rFonts w:hint="eastAsia"/>
          <w:color w:val="auto"/>
          <w:highlight w:val="none"/>
        </w:rPr>
      </w:pPr>
    </w:p>
    <w:p w14:paraId="2B8C0D91">
      <w:pPr>
        <w:pStyle w:val="2"/>
        <w:jc w:val="center"/>
        <w:rPr>
          <w:rFonts w:hint="eastAsia"/>
          <w:color w:val="auto"/>
          <w:highlight w:val="none"/>
        </w:rPr>
      </w:pPr>
    </w:p>
    <w:p w14:paraId="31F6333F">
      <w:pPr>
        <w:pStyle w:val="2"/>
        <w:jc w:val="center"/>
        <w:rPr>
          <w:rFonts w:hint="eastAsia"/>
          <w:color w:val="auto"/>
          <w:highlight w:val="none"/>
        </w:rPr>
      </w:pPr>
    </w:p>
    <w:p w14:paraId="725AC714">
      <w:pPr>
        <w:pStyle w:val="2"/>
        <w:jc w:val="center"/>
        <w:rPr>
          <w:rFonts w:hint="eastAsia"/>
          <w:color w:val="auto"/>
          <w:highlight w:val="none"/>
        </w:rPr>
      </w:pPr>
      <w:r>
        <w:rPr>
          <w:rFonts w:hint="eastAsia"/>
          <w:color w:val="auto"/>
          <w:highlight w:val="none"/>
        </w:rPr>
        <w:t>第五章 响应文件格式</w:t>
      </w:r>
      <w:bookmarkEnd w:id="66"/>
    </w:p>
    <w:p w14:paraId="2B2B89F1">
      <w:pPr>
        <w:rPr>
          <w:rFonts w:hint="eastAsia"/>
          <w:b/>
          <w:color w:val="auto"/>
          <w:sz w:val="32"/>
          <w:szCs w:val="32"/>
          <w:highlight w:val="none"/>
        </w:rPr>
      </w:pPr>
      <w:bookmarkStart w:id="67" w:name="_Toc71365382"/>
      <w:bookmarkStart w:id="68" w:name="_Toc71366060"/>
    </w:p>
    <w:p w14:paraId="1CBE6B0D">
      <w:pPr>
        <w:rPr>
          <w:rFonts w:hint="eastAsia"/>
          <w:b/>
          <w:color w:val="auto"/>
          <w:sz w:val="32"/>
          <w:szCs w:val="32"/>
          <w:highlight w:val="none"/>
        </w:rPr>
      </w:pPr>
    </w:p>
    <w:p w14:paraId="6AFCBA49">
      <w:pPr>
        <w:rPr>
          <w:rFonts w:hint="eastAsia"/>
          <w:b/>
          <w:color w:val="auto"/>
          <w:sz w:val="32"/>
          <w:szCs w:val="32"/>
          <w:highlight w:val="none"/>
        </w:rPr>
      </w:pPr>
    </w:p>
    <w:p w14:paraId="688505BC">
      <w:pPr>
        <w:rPr>
          <w:rFonts w:hint="eastAsia"/>
          <w:b/>
          <w:color w:val="auto"/>
          <w:sz w:val="32"/>
          <w:szCs w:val="32"/>
          <w:highlight w:val="none"/>
        </w:rPr>
      </w:pPr>
    </w:p>
    <w:p w14:paraId="1F2D264A">
      <w:pPr>
        <w:rPr>
          <w:rFonts w:hint="eastAsia"/>
          <w:b/>
          <w:color w:val="auto"/>
          <w:sz w:val="32"/>
          <w:szCs w:val="32"/>
          <w:highlight w:val="none"/>
        </w:rPr>
      </w:pPr>
    </w:p>
    <w:p w14:paraId="46F74390">
      <w:pPr>
        <w:rPr>
          <w:rFonts w:hint="eastAsia"/>
          <w:b/>
          <w:color w:val="auto"/>
          <w:sz w:val="32"/>
          <w:szCs w:val="32"/>
          <w:highlight w:val="none"/>
        </w:rPr>
      </w:pPr>
    </w:p>
    <w:p w14:paraId="43B84FE3">
      <w:pPr>
        <w:rPr>
          <w:rFonts w:hint="eastAsia"/>
          <w:b/>
          <w:color w:val="auto"/>
          <w:sz w:val="32"/>
          <w:szCs w:val="32"/>
          <w:highlight w:val="none"/>
        </w:rPr>
      </w:pPr>
    </w:p>
    <w:p w14:paraId="5CA9EF80">
      <w:pPr>
        <w:rPr>
          <w:rFonts w:hint="eastAsia"/>
          <w:b/>
          <w:color w:val="auto"/>
          <w:sz w:val="32"/>
          <w:szCs w:val="32"/>
          <w:highlight w:val="none"/>
        </w:rPr>
      </w:pPr>
    </w:p>
    <w:p w14:paraId="6B069EC1">
      <w:pPr>
        <w:rPr>
          <w:rFonts w:hint="eastAsia"/>
          <w:b/>
          <w:color w:val="auto"/>
          <w:sz w:val="32"/>
          <w:szCs w:val="32"/>
          <w:highlight w:val="none"/>
        </w:rPr>
      </w:pPr>
    </w:p>
    <w:p w14:paraId="074791BF">
      <w:pPr>
        <w:rPr>
          <w:rFonts w:hint="eastAsia"/>
          <w:b/>
          <w:color w:val="auto"/>
          <w:sz w:val="32"/>
          <w:szCs w:val="32"/>
          <w:highlight w:val="none"/>
        </w:rPr>
      </w:pPr>
    </w:p>
    <w:p w14:paraId="635FA4C4">
      <w:pPr>
        <w:rPr>
          <w:rFonts w:hint="eastAsia"/>
          <w:b/>
          <w:color w:val="auto"/>
          <w:sz w:val="32"/>
          <w:szCs w:val="32"/>
          <w:highlight w:val="none"/>
        </w:rPr>
      </w:pPr>
    </w:p>
    <w:p w14:paraId="263972C1">
      <w:pPr>
        <w:rPr>
          <w:rFonts w:hint="eastAsia"/>
          <w:b/>
          <w:color w:val="auto"/>
          <w:sz w:val="32"/>
          <w:szCs w:val="32"/>
          <w:highlight w:val="none"/>
        </w:rPr>
      </w:pPr>
    </w:p>
    <w:p w14:paraId="6058FA06">
      <w:pPr>
        <w:rPr>
          <w:rFonts w:hint="eastAsia"/>
          <w:b/>
          <w:color w:val="auto"/>
          <w:sz w:val="32"/>
          <w:szCs w:val="32"/>
          <w:highlight w:val="none"/>
        </w:rPr>
      </w:pPr>
    </w:p>
    <w:p w14:paraId="01F3F89C">
      <w:pPr>
        <w:rPr>
          <w:rFonts w:hint="eastAsia"/>
          <w:b/>
          <w:color w:val="auto"/>
          <w:sz w:val="32"/>
          <w:szCs w:val="32"/>
          <w:highlight w:val="none"/>
        </w:rPr>
      </w:pPr>
    </w:p>
    <w:p w14:paraId="45E828A1">
      <w:pPr>
        <w:rPr>
          <w:rFonts w:hint="eastAsia"/>
          <w:b/>
          <w:color w:val="auto"/>
          <w:sz w:val="32"/>
          <w:szCs w:val="32"/>
          <w:highlight w:val="none"/>
        </w:rPr>
      </w:pPr>
    </w:p>
    <w:p w14:paraId="53437F12">
      <w:pPr>
        <w:rPr>
          <w:rFonts w:hint="eastAsia"/>
          <w:b/>
          <w:color w:val="auto"/>
          <w:sz w:val="32"/>
          <w:szCs w:val="32"/>
          <w:highlight w:val="none"/>
        </w:rPr>
      </w:pPr>
      <w:r>
        <w:rPr>
          <w:rFonts w:hint="eastAsia"/>
          <w:b/>
          <w:color w:val="auto"/>
          <w:sz w:val="32"/>
          <w:szCs w:val="32"/>
          <w:highlight w:val="none"/>
        </w:rPr>
        <w:t>一、资格证明文件格式</w:t>
      </w:r>
      <w:bookmarkEnd w:id="67"/>
      <w:bookmarkEnd w:id="68"/>
    </w:p>
    <w:p w14:paraId="3E021713">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0BECDAFE">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CFB478E">
      <w:pPr>
        <w:snapToGrid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88A2CCB">
      <w:pPr>
        <w:snapToGrid w:val="0"/>
        <w:spacing w:before="120" w:beforeLines="50" w:after="50"/>
        <w:rPr>
          <w:rFonts w:hint="eastAsia" w:ascii="宋体" w:hAnsi="宋体"/>
          <w:color w:val="auto"/>
          <w:sz w:val="24"/>
          <w:szCs w:val="20"/>
          <w:highlight w:val="none"/>
        </w:rPr>
      </w:pPr>
    </w:p>
    <w:p w14:paraId="7174D54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w:t>
      </w:r>
    </w:p>
    <w:p w14:paraId="7593F556">
      <w:pPr>
        <w:snapToGrid w:val="0"/>
        <w:spacing w:before="120" w:beforeLines="50" w:after="50"/>
        <w:rPr>
          <w:rFonts w:hint="eastAsia" w:ascii="宋体" w:hAnsi="宋体"/>
          <w:bCs/>
          <w:color w:val="auto"/>
          <w:sz w:val="24"/>
          <w:szCs w:val="20"/>
          <w:highlight w:val="none"/>
        </w:rPr>
      </w:pPr>
    </w:p>
    <w:p w14:paraId="2E43FD1B">
      <w:pPr>
        <w:snapToGrid w:val="0"/>
        <w:spacing w:before="120" w:beforeLines="50" w:after="50"/>
        <w:rPr>
          <w:rFonts w:hint="eastAsia" w:ascii="宋体" w:hAnsi="宋体"/>
          <w:bCs/>
          <w:color w:val="auto"/>
          <w:sz w:val="24"/>
          <w:szCs w:val="20"/>
          <w:highlight w:val="none"/>
        </w:rPr>
      </w:pPr>
    </w:p>
    <w:p w14:paraId="0082FC60">
      <w:pPr>
        <w:snapToGrid w:val="0"/>
        <w:spacing w:before="120" w:beforeLines="50" w:after="50"/>
        <w:rPr>
          <w:rFonts w:hint="eastAsia" w:ascii="宋体" w:hAnsi="宋体"/>
          <w:bCs/>
          <w:color w:val="auto"/>
          <w:sz w:val="24"/>
          <w:szCs w:val="20"/>
          <w:highlight w:val="none"/>
        </w:rPr>
      </w:pPr>
    </w:p>
    <w:p w14:paraId="303AD7AB">
      <w:pPr>
        <w:snapToGrid w:val="0"/>
        <w:spacing w:before="120" w:beforeLines="50" w:after="50"/>
        <w:rPr>
          <w:rFonts w:hint="eastAsia" w:ascii="宋体" w:hAnsi="宋体"/>
          <w:bCs/>
          <w:color w:val="auto"/>
          <w:sz w:val="24"/>
          <w:szCs w:val="20"/>
          <w:highlight w:val="none"/>
        </w:rPr>
      </w:pPr>
    </w:p>
    <w:p w14:paraId="6974CE6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0BA41FD">
      <w:pPr>
        <w:snapToGrid w:val="0"/>
        <w:spacing w:before="120" w:beforeLines="50" w:after="50"/>
        <w:ind w:firstLine="720" w:firstLineChars="225"/>
        <w:rPr>
          <w:rFonts w:hint="eastAsia" w:ascii="宋体" w:hAnsi="宋体" w:cs="仿宋_GB2312"/>
          <w:bCs/>
          <w:color w:val="auto"/>
          <w:sz w:val="32"/>
          <w:szCs w:val="32"/>
          <w:highlight w:val="none"/>
        </w:rPr>
      </w:pPr>
    </w:p>
    <w:p w14:paraId="3D8E0F8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393D5F3">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0952CBE">
      <w:pPr>
        <w:pStyle w:val="4"/>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C00A35E">
      <w:pPr>
        <w:snapToGrid w:val="0"/>
        <w:spacing w:before="120" w:beforeLines="50" w:after="50"/>
        <w:ind w:firstLine="640" w:firstLineChars="200"/>
        <w:rPr>
          <w:rFonts w:hint="eastAsia" w:ascii="宋体" w:hAnsi="宋体" w:cs="仿宋_GB2312"/>
          <w:bCs/>
          <w:color w:val="auto"/>
          <w:sz w:val="32"/>
          <w:szCs w:val="32"/>
          <w:highlight w:val="none"/>
        </w:rPr>
      </w:pPr>
    </w:p>
    <w:p w14:paraId="53AC8316">
      <w:pPr>
        <w:pStyle w:val="4"/>
        <w:snapToGrid w:val="0"/>
        <w:spacing w:before="50" w:after="50"/>
        <w:ind w:firstLine="1280" w:firstLineChars="400"/>
        <w:rPr>
          <w:rFonts w:hint="eastAsia" w:ascii="宋体" w:hAnsi="宋体" w:cs="仿宋_GB2312"/>
          <w:bCs/>
          <w:color w:val="auto"/>
          <w:sz w:val="32"/>
          <w:szCs w:val="32"/>
          <w:highlight w:val="none"/>
        </w:rPr>
      </w:pPr>
    </w:p>
    <w:p w14:paraId="5037DDA2">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F036F08">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19F68456">
      <w:pP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56F7F359">
      <w:pPr>
        <w:snapToGrid w:val="0"/>
        <w:spacing w:before="120"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6A8567C7">
      <w:pPr>
        <w:spacing w:line="360" w:lineRule="auto"/>
        <w:rPr>
          <w:rFonts w:hint="eastAsia" w:ascii="宋体" w:hAnsi="宋体"/>
          <w:color w:val="auto"/>
          <w:szCs w:val="21"/>
          <w:highlight w:val="none"/>
        </w:rPr>
      </w:pPr>
    </w:p>
    <w:p w14:paraId="187D6A1F">
      <w:pPr>
        <w:spacing w:line="360" w:lineRule="auto"/>
        <w:rPr>
          <w:rFonts w:hint="eastAsia" w:ascii="宋体" w:hAnsi="宋体"/>
          <w:color w:val="auto"/>
          <w:szCs w:val="21"/>
          <w:highlight w:val="none"/>
        </w:rPr>
      </w:pPr>
    </w:p>
    <w:p w14:paraId="2968D989">
      <w:pPr>
        <w:spacing w:line="360" w:lineRule="auto"/>
        <w:rPr>
          <w:rFonts w:hint="eastAsia" w:ascii="宋体" w:hAnsi="宋体"/>
          <w:color w:val="auto"/>
          <w:szCs w:val="21"/>
          <w:highlight w:val="none"/>
        </w:rPr>
      </w:pPr>
    </w:p>
    <w:p w14:paraId="652DB02F">
      <w:pPr>
        <w:spacing w:line="360" w:lineRule="auto"/>
        <w:rPr>
          <w:rFonts w:hint="eastAsia" w:ascii="宋体" w:hAnsi="宋体"/>
          <w:color w:val="auto"/>
          <w:szCs w:val="21"/>
          <w:highlight w:val="none"/>
        </w:rPr>
      </w:pPr>
    </w:p>
    <w:p w14:paraId="55B81799">
      <w:pPr>
        <w:spacing w:line="300" w:lineRule="auto"/>
        <w:rPr>
          <w:rFonts w:hint="eastAsia" w:ascii="宋体" w:hAnsi="宋体"/>
          <w:color w:val="auto"/>
          <w:szCs w:val="21"/>
          <w:highlight w:val="none"/>
        </w:rPr>
      </w:pPr>
    </w:p>
    <w:p w14:paraId="513B8318">
      <w:pPr>
        <w:spacing w:line="300" w:lineRule="auto"/>
        <w:rPr>
          <w:rFonts w:hint="eastAsia" w:ascii="宋体" w:hAnsi="宋体"/>
          <w:color w:val="auto"/>
          <w:szCs w:val="21"/>
          <w:highlight w:val="none"/>
        </w:rPr>
      </w:pPr>
    </w:p>
    <w:p w14:paraId="4B9382D6">
      <w:pPr>
        <w:spacing w:line="300" w:lineRule="auto"/>
        <w:rPr>
          <w:rFonts w:hint="eastAsia" w:ascii="宋体" w:hAnsi="宋体"/>
          <w:color w:val="auto"/>
          <w:szCs w:val="21"/>
          <w:highlight w:val="none"/>
        </w:rPr>
      </w:pPr>
    </w:p>
    <w:p w14:paraId="775A0EA9">
      <w:pPr>
        <w:spacing w:line="300" w:lineRule="auto"/>
        <w:rPr>
          <w:rFonts w:hint="eastAsia" w:ascii="宋体" w:hAnsi="宋体"/>
          <w:color w:val="auto"/>
          <w:szCs w:val="21"/>
          <w:highlight w:val="none"/>
        </w:rPr>
      </w:pPr>
    </w:p>
    <w:p w14:paraId="112E55FA">
      <w:pPr>
        <w:spacing w:line="300" w:lineRule="auto"/>
        <w:rPr>
          <w:rFonts w:hint="eastAsia" w:ascii="宋体" w:hAnsi="宋体"/>
          <w:color w:val="auto"/>
          <w:szCs w:val="21"/>
          <w:highlight w:val="none"/>
        </w:rPr>
      </w:pPr>
    </w:p>
    <w:p w14:paraId="6F65B02A">
      <w:pPr>
        <w:spacing w:line="300" w:lineRule="auto"/>
        <w:rPr>
          <w:rFonts w:hint="eastAsia" w:ascii="宋体" w:hAnsi="宋体"/>
          <w:color w:val="auto"/>
          <w:szCs w:val="21"/>
          <w:highlight w:val="none"/>
        </w:rPr>
      </w:pPr>
    </w:p>
    <w:p w14:paraId="74E6D700">
      <w:pPr>
        <w:spacing w:line="300" w:lineRule="auto"/>
        <w:rPr>
          <w:rFonts w:hint="eastAsia" w:ascii="宋体" w:hAnsi="宋体"/>
          <w:color w:val="auto"/>
          <w:szCs w:val="21"/>
          <w:highlight w:val="none"/>
        </w:rPr>
      </w:pPr>
    </w:p>
    <w:p w14:paraId="57DFEE23">
      <w:pPr>
        <w:spacing w:line="300" w:lineRule="auto"/>
        <w:rPr>
          <w:rFonts w:hint="eastAsia" w:ascii="宋体" w:hAnsi="宋体"/>
          <w:color w:val="auto"/>
          <w:szCs w:val="21"/>
          <w:highlight w:val="none"/>
        </w:rPr>
      </w:pPr>
    </w:p>
    <w:p w14:paraId="179C434B">
      <w:pPr>
        <w:spacing w:line="300" w:lineRule="auto"/>
        <w:rPr>
          <w:rFonts w:hint="eastAsia" w:ascii="宋体" w:hAnsi="宋体"/>
          <w:color w:val="auto"/>
          <w:szCs w:val="21"/>
          <w:highlight w:val="none"/>
        </w:rPr>
      </w:pPr>
    </w:p>
    <w:p w14:paraId="518118A7">
      <w:pPr>
        <w:spacing w:line="300" w:lineRule="auto"/>
        <w:rPr>
          <w:rFonts w:hint="eastAsia" w:ascii="宋体" w:hAnsi="宋体"/>
          <w:color w:val="auto"/>
          <w:szCs w:val="21"/>
          <w:highlight w:val="none"/>
        </w:rPr>
      </w:pPr>
    </w:p>
    <w:p w14:paraId="79DF4A79">
      <w:pPr>
        <w:spacing w:line="300" w:lineRule="auto"/>
        <w:rPr>
          <w:rFonts w:hint="eastAsia" w:ascii="宋体" w:hAnsi="宋体"/>
          <w:color w:val="auto"/>
          <w:szCs w:val="21"/>
          <w:highlight w:val="none"/>
        </w:rPr>
      </w:pPr>
    </w:p>
    <w:p w14:paraId="30B0BD78">
      <w:pPr>
        <w:spacing w:line="320" w:lineRule="exact"/>
        <w:jc w:val="left"/>
        <w:rPr>
          <w:rFonts w:hint="eastAsia" w:ascii="宋体" w:hAnsi="宋体"/>
          <w:color w:val="auto"/>
          <w:szCs w:val="21"/>
          <w:highlight w:val="none"/>
        </w:rPr>
      </w:pPr>
    </w:p>
    <w:p w14:paraId="537610FD">
      <w:pPr>
        <w:spacing w:line="32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防城港市政府采购供应商信用承诺函（格式）</w:t>
      </w:r>
    </w:p>
    <w:p w14:paraId="46C28194">
      <w:pPr>
        <w:spacing w:line="320" w:lineRule="exact"/>
        <w:jc w:val="left"/>
        <w:rPr>
          <w:rFonts w:hint="eastAsia" w:ascii="宋体" w:hAnsi="宋体"/>
          <w:color w:val="auto"/>
          <w:szCs w:val="21"/>
          <w:highlight w:val="none"/>
        </w:rPr>
      </w:pPr>
    </w:p>
    <w:p w14:paraId="0755C9B0">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08C9034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67FD72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7A680EC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382EF78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64EB463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11FE2BF5">
      <w:pPr>
        <w:spacing w:line="360" w:lineRule="auto"/>
        <w:jc w:val="left"/>
        <w:rPr>
          <w:rFonts w:hint="eastAsia" w:ascii="宋体" w:hAnsi="宋体"/>
          <w:color w:val="auto"/>
          <w:sz w:val="24"/>
          <w:highlight w:val="none"/>
        </w:rPr>
      </w:pPr>
    </w:p>
    <w:p w14:paraId="47A74160">
      <w:pPr>
        <w:spacing w:line="360" w:lineRule="auto"/>
        <w:jc w:val="left"/>
        <w:rPr>
          <w:rFonts w:hint="eastAsia" w:ascii="宋体" w:hAnsi="宋体"/>
          <w:color w:val="auto"/>
          <w:sz w:val="24"/>
          <w:highlight w:val="none"/>
        </w:rPr>
      </w:pPr>
    </w:p>
    <w:p w14:paraId="690CDF4B">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1200F569">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66F0B67C">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50436573">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615435B1">
      <w:pPr>
        <w:spacing w:line="360" w:lineRule="auto"/>
        <w:jc w:val="left"/>
        <w:rPr>
          <w:rFonts w:hint="eastAsia" w:ascii="宋体" w:hAnsi="宋体"/>
          <w:color w:val="auto"/>
          <w:sz w:val="24"/>
          <w:highlight w:val="none"/>
        </w:rPr>
      </w:pPr>
    </w:p>
    <w:p w14:paraId="0D674145">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762611EF">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1BCFC4C1">
      <w:pPr>
        <w:snapToGrid w:val="0"/>
        <w:spacing w:before="120" w:beforeLines="50" w:after="50"/>
        <w:jc w:val="center"/>
        <w:rPr>
          <w:rFonts w:hint="eastAsia" w:ascii="宋体" w:hAnsi="宋体"/>
          <w:b/>
          <w:color w:val="auto"/>
          <w:sz w:val="32"/>
          <w:szCs w:val="32"/>
          <w:highlight w:val="none"/>
        </w:rPr>
      </w:pPr>
    </w:p>
    <w:p w14:paraId="0743325A">
      <w:pPr>
        <w:snapToGrid w:val="0"/>
        <w:spacing w:before="120" w:beforeLines="50" w:after="50"/>
        <w:jc w:val="center"/>
        <w:rPr>
          <w:rFonts w:hint="eastAsia" w:ascii="宋体" w:hAnsi="宋体"/>
          <w:b/>
          <w:color w:val="auto"/>
          <w:sz w:val="32"/>
          <w:szCs w:val="32"/>
          <w:highlight w:val="none"/>
        </w:rPr>
      </w:pPr>
    </w:p>
    <w:p w14:paraId="4F7C67FB">
      <w:pPr>
        <w:snapToGrid w:val="0"/>
        <w:spacing w:before="120" w:beforeLines="50" w:after="50"/>
        <w:jc w:val="center"/>
        <w:rPr>
          <w:rFonts w:hint="eastAsia" w:ascii="宋体" w:hAnsi="宋体"/>
          <w:b/>
          <w:color w:val="auto"/>
          <w:sz w:val="32"/>
          <w:szCs w:val="32"/>
          <w:highlight w:val="none"/>
        </w:rPr>
      </w:pPr>
    </w:p>
    <w:p w14:paraId="31ABB30D">
      <w:pPr>
        <w:snapToGrid w:val="0"/>
        <w:spacing w:before="120" w:beforeLines="50" w:after="50"/>
        <w:jc w:val="center"/>
        <w:rPr>
          <w:rFonts w:hint="eastAsia" w:ascii="宋体" w:hAnsi="宋体"/>
          <w:b/>
          <w:color w:val="auto"/>
          <w:sz w:val="32"/>
          <w:szCs w:val="32"/>
          <w:highlight w:val="none"/>
        </w:rPr>
      </w:pPr>
    </w:p>
    <w:p w14:paraId="769D73A8">
      <w:pPr>
        <w:snapToGrid w:val="0"/>
        <w:spacing w:before="120" w:beforeLines="50" w:after="50"/>
        <w:jc w:val="center"/>
        <w:rPr>
          <w:rFonts w:hint="eastAsia" w:ascii="宋体" w:hAnsi="宋体"/>
          <w:b/>
          <w:color w:val="auto"/>
          <w:sz w:val="32"/>
          <w:szCs w:val="32"/>
          <w:highlight w:val="none"/>
        </w:rPr>
      </w:pPr>
    </w:p>
    <w:p w14:paraId="400B284C">
      <w:pPr>
        <w:snapToGrid w:val="0"/>
        <w:spacing w:before="120" w:beforeLines="50" w:after="50"/>
        <w:jc w:val="center"/>
        <w:rPr>
          <w:rFonts w:hint="eastAsia" w:ascii="宋体" w:hAnsi="宋体"/>
          <w:b/>
          <w:color w:val="auto"/>
          <w:sz w:val="32"/>
          <w:szCs w:val="32"/>
          <w:highlight w:val="none"/>
        </w:rPr>
      </w:pPr>
    </w:p>
    <w:p w14:paraId="0F439CDE">
      <w:pPr>
        <w:snapToGrid w:val="0"/>
        <w:spacing w:before="120" w:beforeLines="50" w:after="50"/>
        <w:jc w:val="both"/>
        <w:rPr>
          <w:rFonts w:hint="eastAsia" w:ascii="宋体" w:hAnsi="宋体"/>
          <w:b/>
          <w:color w:val="auto"/>
          <w:sz w:val="32"/>
          <w:szCs w:val="32"/>
          <w:highlight w:val="none"/>
        </w:rPr>
      </w:pPr>
    </w:p>
    <w:p w14:paraId="095CB7B0">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3A93FD95">
      <w:pPr>
        <w:snapToGrid w:val="0"/>
        <w:spacing w:before="120" w:beforeLines="50" w:after="50"/>
        <w:jc w:val="center"/>
        <w:rPr>
          <w:rFonts w:hint="eastAsia" w:ascii="宋体" w:hAnsi="宋体"/>
          <w:b/>
          <w:color w:val="auto"/>
          <w:sz w:val="32"/>
          <w:szCs w:val="32"/>
          <w:highlight w:val="none"/>
        </w:rPr>
      </w:pPr>
    </w:p>
    <w:p w14:paraId="6D108CB1">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C338BB5">
      <w:pPr>
        <w:snapToGrid w:val="0"/>
        <w:spacing w:before="50" w:after="120" w:afterLines="50"/>
        <w:jc w:val="center"/>
        <w:rPr>
          <w:rFonts w:hint="eastAsia" w:ascii="宋体" w:hAnsi="宋体"/>
          <w:b/>
          <w:color w:val="auto"/>
          <w:sz w:val="32"/>
          <w:szCs w:val="32"/>
          <w:highlight w:val="none"/>
        </w:rPr>
      </w:pPr>
    </w:p>
    <w:tbl>
      <w:tblPr>
        <w:tblStyle w:val="18"/>
        <w:tblW w:w="8237" w:type="dxa"/>
        <w:jc w:val="center"/>
        <w:shd w:val="clear" w:color="auto" w:fill="FBFBFB"/>
        <w:tblLayout w:type="fixed"/>
        <w:tblCellMar>
          <w:top w:w="0" w:type="dxa"/>
          <w:left w:w="0" w:type="dxa"/>
          <w:bottom w:w="0" w:type="dxa"/>
          <w:right w:w="0" w:type="dxa"/>
        </w:tblCellMar>
      </w:tblPr>
      <w:tblGrid>
        <w:gridCol w:w="713"/>
        <w:gridCol w:w="2156"/>
        <w:gridCol w:w="1181"/>
        <w:gridCol w:w="3482"/>
        <w:gridCol w:w="705"/>
      </w:tblGrid>
      <w:tr w14:paraId="608DCB6E">
        <w:tblPrEx>
          <w:shd w:val="clear" w:color="auto" w:fill="FBFBFB"/>
          <w:tblCellMar>
            <w:top w:w="0" w:type="dxa"/>
            <w:left w:w="0" w:type="dxa"/>
            <w:bottom w:w="0" w:type="dxa"/>
            <w:right w:w="0" w:type="dxa"/>
          </w:tblCellMar>
        </w:tblPrEx>
        <w:trPr>
          <w:trHeight w:val="980" w:hRule="atLeast"/>
          <w:tblHeader/>
          <w:jc w:val="center"/>
        </w:trPr>
        <w:tc>
          <w:tcPr>
            <w:tcW w:w="713"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9EA8C3">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5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3BA8C3">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18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17CCD6">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48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6A56DE">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7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D41489">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BA44BEF">
        <w:tblPrEx>
          <w:shd w:val="clear" w:color="auto" w:fill="FBFBFB"/>
          <w:tblCellMar>
            <w:top w:w="0" w:type="dxa"/>
            <w:left w:w="0" w:type="dxa"/>
            <w:bottom w:w="0" w:type="dxa"/>
            <w:right w:w="0" w:type="dxa"/>
          </w:tblCellMar>
        </w:tblPrEx>
        <w:trPr>
          <w:trHeight w:val="752"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1654C6">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7EBFEB">
            <w:pPr>
              <w:widowControl/>
              <w:spacing w:line="360" w:lineRule="auto"/>
              <w:jc w:val="center"/>
              <w:rPr>
                <w:rFonts w:hint="eastAsia" w:ascii="宋体" w:hAnsi="宋体" w:cs="宋体"/>
                <w:color w:val="auto"/>
                <w:kern w:val="0"/>
                <w:sz w:val="28"/>
                <w:szCs w:val="28"/>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3BE5D6">
            <w:pPr>
              <w:widowControl/>
              <w:spacing w:line="360" w:lineRule="auto"/>
              <w:jc w:val="center"/>
              <w:rPr>
                <w:rFonts w:hint="eastAsia" w:ascii="宋体" w:hAnsi="宋体" w:cs="宋体"/>
                <w:color w:val="auto"/>
                <w:kern w:val="0"/>
                <w:sz w:val="28"/>
                <w:szCs w:val="28"/>
                <w:highlight w:val="none"/>
              </w:rPr>
            </w:pPr>
          </w:p>
        </w:tc>
        <w:tc>
          <w:tcPr>
            <w:tcW w:w="348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50B055">
            <w:pPr>
              <w:widowControl/>
              <w:spacing w:line="360" w:lineRule="auto"/>
              <w:jc w:val="center"/>
              <w:rPr>
                <w:rFonts w:hint="eastAsia" w:ascii="宋体" w:hAnsi="宋体" w:cs="宋体"/>
                <w:color w:val="auto"/>
                <w:kern w:val="0"/>
                <w:sz w:val="28"/>
                <w:szCs w:val="28"/>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4824B3">
            <w:pPr>
              <w:widowControl/>
              <w:spacing w:line="360" w:lineRule="auto"/>
              <w:jc w:val="center"/>
              <w:rPr>
                <w:rFonts w:hint="eastAsia" w:ascii="宋体" w:hAnsi="宋体" w:cs="宋体"/>
                <w:color w:val="auto"/>
                <w:kern w:val="0"/>
                <w:sz w:val="28"/>
                <w:szCs w:val="28"/>
                <w:highlight w:val="none"/>
              </w:rPr>
            </w:pPr>
          </w:p>
        </w:tc>
      </w:tr>
      <w:tr w14:paraId="74E45B0E">
        <w:tblPrEx>
          <w:shd w:val="clear" w:color="auto" w:fill="FBFBFB"/>
          <w:tblCellMar>
            <w:top w:w="0" w:type="dxa"/>
            <w:left w:w="0" w:type="dxa"/>
            <w:bottom w:w="0" w:type="dxa"/>
            <w:right w:w="0" w:type="dxa"/>
          </w:tblCellMar>
        </w:tblPrEx>
        <w:trPr>
          <w:trHeight w:val="752"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5E8274">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2282D6">
            <w:pPr>
              <w:widowControl/>
              <w:spacing w:line="360" w:lineRule="auto"/>
              <w:jc w:val="center"/>
              <w:rPr>
                <w:rFonts w:hint="eastAsia" w:ascii="宋体" w:hAnsi="宋体" w:cs="宋体"/>
                <w:color w:val="auto"/>
                <w:kern w:val="0"/>
                <w:sz w:val="28"/>
                <w:szCs w:val="28"/>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DA7C6">
            <w:pPr>
              <w:widowControl/>
              <w:spacing w:line="360" w:lineRule="auto"/>
              <w:jc w:val="center"/>
              <w:rPr>
                <w:rFonts w:hint="eastAsia" w:ascii="宋体" w:hAnsi="宋体" w:cs="宋体"/>
                <w:color w:val="auto"/>
                <w:kern w:val="0"/>
                <w:sz w:val="28"/>
                <w:szCs w:val="28"/>
                <w:highlight w:val="none"/>
              </w:rPr>
            </w:pPr>
          </w:p>
        </w:tc>
        <w:tc>
          <w:tcPr>
            <w:tcW w:w="348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5187E2">
            <w:pPr>
              <w:widowControl/>
              <w:spacing w:line="360" w:lineRule="auto"/>
              <w:jc w:val="center"/>
              <w:rPr>
                <w:rFonts w:hint="eastAsia" w:ascii="宋体" w:hAnsi="宋体" w:cs="宋体"/>
                <w:color w:val="auto"/>
                <w:kern w:val="0"/>
                <w:sz w:val="28"/>
                <w:szCs w:val="28"/>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BEDD9A">
            <w:pPr>
              <w:widowControl/>
              <w:spacing w:line="360" w:lineRule="auto"/>
              <w:jc w:val="center"/>
              <w:rPr>
                <w:rFonts w:hint="eastAsia" w:ascii="宋体" w:hAnsi="宋体" w:cs="宋体"/>
                <w:color w:val="auto"/>
                <w:kern w:val="0"/>
                <w:sz w:val="28"/>
                <w:szCs w:val="28"/>
                <w:highlight w:val="none"/>
              </w:rPr>
            </w:pPr>
          </w:p>
        </w:tc>
      </w:tr>
      <w:tr w14:paraId="55108702">
        <w:tblPrEx>
          <w:shd w:val="clear" w:color="auto" w:fill="FBFBFB"/>
          <w:tblCellMar>
            <w:top w:w="0" w:type="dxa"/>
            <w:left w:w="0" w:type="dxa"/>
            <w:bottom w:w="0" w:type="dxa"/>
            <w:right w:w="0" w:type="dxa"/>
          </w:tblCellMar>
        </w:tblPrEx>
        <w:trPr>
          <w:trHeight w:val="752"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FBF4B5">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EC108F">
            <w:pPr>
              <w:widowControl/>
              <w:spacing w:line="360" w:lineRule="auto"/>
              <w:jc w:val="center"/>
              <w:rPr>
                <w:rFonts w:hint="eastAsia" w:ascii="宋体" w:hAnsi="宋体" w:cs="宋体"/>
                <w:color w:val="auto"/>
                <w:kern w:val="0"/>
                <w:sz w:val="28"/>
                <w:szCs w:val="28"/>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448369">
            <w:pPr>
              <w:widowControl/>
              <w:spacing w:line="360" w:lineRule="auto"/>
              <w:jc w:val="center"/>
              <w:rPr>
                <w:rFonts w:hint="eastAsia" w:ascii="宋体" w:hAnsi="宋体" w:cs="宋体"/>
                <w:color w:val="auto"/>
                <w:kern w:val="0"/>
                <w:sz w:val="28"/>
                <w:szCs w:val="28"/>
                <w:highlight w:val="none"/>
              </w:rPr>
            </w:pPr>
          </w:p>
        </w:tc>
        <w:tc>
          <w:tcPr>
            <w:tcW w:w="348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A55B83">
            <w:pPr>
              <w:widowControl/>
              <w:spacing w:line="360" w:lineRule="auto"/>
              <w:jc w:val="center"/>
              <w:rPr>
                <w:rFonts w:hint="eastAsia" w:ascii="宋体" w:hAnsi="宋体" w:cs="宋体"/>
                <w:color w:val="auto"/>
                <w:kern w:val="0"/>
                <w:sz w:val="28"/>
                <w:szCs w:val="28"/>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1FB487">
            <w:pPr>
              <w:widowControl/>
              <w:spacing w:line="360" w:lineRule="auto"/>
              <w:jc w:val="center"/>
              <w:rPr>
                <w:rFonts w:hint="eastAsia" w:ascii="宋体" w:hAnsi="宋体" w:cs="宋体"/>
                <w:color w:val="auto"/>
                <w:kern w:val="0"/>
                <w:sz w:val="28"/>
                <w:szCs w:val="28"/>
                <w:highlight w:val="none"/>
              </w:rPr>
            </w:pPr>
          </w:p>
        </w:tc>
      </w:tr>
      <w:tr w14:paraId="4ECC47E6">
        <w:tblPrEx>
          <w:shd w:val="clear" w:color="auto" w:fill="FBFBFB"/>
          <w:tblCellMar>
            <w:top w:w="0" w:type="dxa"/>
            <w:left w:w="0" w:type="dxa"/>
            <w:bottom w:w="0" w:type="dxa"/>
            <w:right w:w="0" w:type="dxa"/>
          </w:tblCellMar>
        </w:tblPrEx>
        <w:trPr>
          <w:trHeight w:val="992"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ACF2CE">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703FAF">
            <w:pPr>
              <w:widowControl/>
              <w:spacing w:line="360" w:lineRule="auto"/>
              <w:jc w:val="center"/>
              <w:rPr>
                <w:rFonts w:hint="eastAsia" w:ascii="宋体" w:hAnsi="宋体" w:cs="宋体"/>
                <w:color w:val="auto"/>
                <w:kern w:val="0"/>
                <w:sz w:val="28"/>
                <w:szCs w:val="28"/>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916E85">
            <w:pPr>
              <w:widowControl/>
              <w:spacing w:line="360" w:lineRule="auto"/>
              <w:jc w:val="center"/>
              <w:rPr>
                <w:rFonts w:hint="eastAsia" w:ascii="宋体" w:hAnsi="宋体" w:cs="宋体"/>
                <w:color w:val="auto"/>
                <w:kern w:val="0"/>
                <w:sz w:val="28"/>
                <w:szCs w:val="28"/>
                <w:highlight w:val="none"/>
              </w:rPr>
            </w:pPr>
          </w:p>
        </w:tc>
        <w:tc>
          <w:tcPr>
            <w:tcW w:w="348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FACA74">
            <w:pPr>
              <w:widowControl/>
              <w:spacing w:line="360" w:lineRule="auto"/>
              <w:jc w:val="center"/>
              <w:rPr>
                <w:rFonts w:hint="eastAsia" w:ascii="宋体" w:hAnsi="宋体" w:cs="宋体"/>
                <w:color w:val="auto"/>
                <w:kern w:val="0"/>
                <w:sz w:val="28"/>
                <w:szCs w:val="28"/>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5132E2">
            <w:pPr>
              <w:widowControl/>
              <w:spacing w:line="360" w:lineRule="auto"/>
              <w:jc w:val="center"/>
              <w:rPr>
                <w:rFonts w:hint="eastAsia" w:ascii="宋体" w:hAnsi="宋体" w:cs="宋体"/>
                <w:color w:val="auto"/>
                <w:kern w:val="0"/>
                <w:sz w:val="28"/>
                <w:szCs w:val="28"/>
                <w:highlight w:val="none"/>
              </w:rPr>
            </w:pPr>
          </w:p>
        </w:tc>
      </w:tr>
    </w:tbl>
    <w:p w14:paraId="0E2441CF">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6F824C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5339DA">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EF7384">
      <w:pPr>
        <w:spacing w:line="360" w:lineRule="auto"/>
        <w:ind w:firstLine="480" w:firstLineChars="200"/>
        <w:contextualSpacing/>
        <w:jc w:val="left"/>
        <w:rPr>
          <w:rFonts w:ascii="宋体" w:hAnsi="宋体" w:cs="宋体"/>
          <w:color w:val="auto"/>
          <w:szCs w:val="21"/>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5AB760C">
      <w:pPr>
        <w:spacing w:line="360" w:lineRule="auto"/>
        <w:ind w:firstLine="560" w:firstLineChars="200"/>
        <w:contextualSpacing/>
        <w:jc w:val="left"/>
        <w:rPr>
          <w:rFonts w:hint="eastAsia" w:ascii="宋体" w:hAnsi="宋体" w:cs="宋体"/>
          <w:color w:val="auto"/>
          <w:sz w:val="28"/>
          <w:szCs w:val="28"/>
          <w:highlight w:val="none"/>
        </w:rPr>
      </w:pPr>
    </w:p>
    <w:p w14:paraId="1DA08F51">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C397B14">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7F321C84">
      <w:pPr>
        <w:spacing w:line="360" w:lineRule="auto"/>
        <w:ind w:right="480" w:firstLine="6480" w:firstLineChars="2700"/>
        <w:contextualSpacing/>
        <w:rPr>
          <w:rFonts w:hint="eastAsia"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7FF23C8B">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ED36E10">
      <w:pPr>
        <w:snapToGrid w:val="0"/>
        <w:jc w:val="center"/>
        <w:rPr>
          <w:rFonts w:hint="eastAsia" w:ascii="宋体" w:hAnsi="宋体"/>
          <w:b/>
          <w:color w:val="auto"/>
          <w:sz w:val="32"/>
          <w:szCs w:val="32"/>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701"/>
        <w:gridCol w:w="3126"/>
        <w:gridCol w:w="3087"/>
        <w:gridCol w:w="1465"/>
      </w:tblGrid>
      <w:tr w14:paraId="52FC95B3">
        <w:tblPrEx>
          <w:shd w:val="clear" w:color="auto" w:fill="FBFBFB"/>
          <w:tblCellMar>
            <w:top w:w="0" w:type="dxa"/>
            <w:left w:w="0" w:type="dxa"/>
            <w:bottom w:w="0" w:type="dxa"/>
            <w:right w:w="0" w:type="dxa"/>
          </w:tblCellMar>
        </w:tblPrEx>
        <w:trPr>
          <w:trHeight w:val="887" w:hRule="atLeast"/>
          <w:tblHeader/>
          <w:jc w:val="center"/>
        </w:trPr>
        <w:tc>
          <w:tcPr>
            <w:tcW w:w="70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20010E">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12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144D21D">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0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BC8B4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46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E2A7D8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70A0831E">
        <w:tblPrEx>
          <w:shd w:val="clear" w:color="auto" w:fill="FBFBFB"/>
          <w:tblCellMar>
            <w:top w:w="0" w:type="dxa"/>
            <w:left w:w="0" w:type="dxa"/>
            <w:bottom w:w="0" w:type="dxa"/>
            <w:right w:w="0" w:type="dxa"/>
          </w:tblCellMar>
        </w:tblPrEx>
        <w:trPr>
          <w:trHeight w:val="777"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4E2A2E">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1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C7F75">
            <w:pPr>
              <w:widowControl/>
              <w:wordWrap w:val="0"/>
              <w:spacing w:line="200" w:lineRule="atLeast"/>
              <w:jc w:val="center"/>
              <w:rPr>
                <w:rFonts w:ascii="宋体" w:hAnsi="宋体" w:cs="宋体"/>
                <w:color w:val="auto"/>
                <w:kern w:val="0"/>
                <w:sz w:val="28"/>
                <w:szCs w:val="28"/>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C6D00">
            <w:pPr>
              <w:widowControl/>
              <w:wordWrap w:val="0"/>
              <w:spacing w:line="200" w:lineRule="atLeast"/>
              <w:jc w:val="center"/>
              <w:rPr>
                <w:rFonts w:ascii="宋体" w:hAnsi="宋体" w:cs="宋体"/>
                <w:color w:val="auto"/>
                <w:kern w:val="0"/>
                <w:sz w:val="28"/>
                <w:szCs w:val="28"/>
                <w:highlight w:val="none"/>
              </w:rPr>
            </w:pPr>
          </w:p>
        </w:tc>
        <w:tc>
          <w:tcPr>
            <w:tcW w:w="14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D17474">
            <w:pPr>
              <w:widowControl/>
              <w:wordWrap w:val="0"/>
              <w:spacing w:line="200" w:lineRule="atLeast"/>
              <w:jc w:val="center"/>
              <w:rPr>
                <w:rFonts w:ascii="宋体" w:hAnsi="宋体" w:cs="宋体"/>
                <w:color w:val="auto"/>
                <w:kern w:val="0"/>
                <w:sz w:val="28"/>
                <w:szCs w:val="28"/>
                <w:highlight w:val="none"/>
              </w:rPr>
            </w:pPr>
          </w:p>
        </w:tc>
      </w:tr>
      <w:tr w14:paraId="45EA76D1">
        <w:tblPrEx>
          <w:shd w:val="clear" w:color="auto" w:fill="FBFBFB"/>
          <w:tblCellMar>
            <w:top w:w="0" w:type="dxa"/>
            <w:left w:w="0" w:type="dxa"/>
            <w:bottom w:w="0" w:type="dxa"/>
            <w:right w:w="0" w:type="dxa"/>
          </w:tblCellMar>
        </w:tblPrEx>
        <w:trPr>
          <w:trHeight w:val="777"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90AFA6">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1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2180B3">
            <w:pPr>
              <w:widowControl/>
              <w:wordWrap w:val="0"/>
              <w:spacing w:line="200" w:lineRule="atLeast"/>
              <w:jc w:val="center"/>
              <w:rPr>
                <w:rFonts w:ascii="宋体" w:hAnsi="宋体" w:cs="宋体"/>
                <w:color w:val="auto"/>
                <w:kern w:val="0"/>
                <w:sz w:val="28"/>
                <w:szCs w:val="28"/>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334006">
            <w:pPr>
              <w:widowControl/>
              <w:wordWrap w:val="0"/>
              <w:spacing w:line="200" w:lineRule="atLeast"/>
              <w:jc w:val="center"/>
              <w:rPr>
                <w:rFonts w:ascii="宋体" w:hAnsi="宋体" w:cs="宋体"/>
                <w:color w:val="auto"/>
                <w:kern w:val="0"/>
                <w:sz w:val="28"/>
                <w:szCs w:val="28"/>
                <w:highlight w:val="none"/>
              </w:rPr>
            </w:pPr>
          </w:p>
        </w:tc>
        <w:tc>
          <w:tcPr>
            <w:tcW w:w="14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3B7852">
            <w:pPr>
              <w:widowControl/>
              <w:wordWrap w:val="0"/>
              <w:spacing w:line="200" w:lineRule="atLeast"/>
              <w:jc w:val="center"/>
              <w:rPr>
                <w:rFonts w:ascii="宋体" w:hAnsi="宋体" w:cs="宋体"/>
                <w:color w:val="auto"/>
                <w:kern w:val="0"/>
                <w:sz w:val="28"/>
                <w:szCs w:val="28"/>
                <w:highlight w:val="none"/>
              </w:rPr>
            </w:pPr>
          </w:p>
        </w:tc>
      </w:tr>
      <w:tr w14:paraId="6FBF25A1">
        <w:tblPrEx>
          <w:shd w:val="clear" w:color="auto" w:fill="FBFBFB"/>
          <w:tblCellMar>
            <w:top w:w="0" w:type="dxa"/>
            <w:left w:w="0" w:type="dxa"/>
            <w:bottom w:w="0" w:type="dxa"/>
            <w:right w:w="0" w:type="dxa"/>
          </w:tblCellMar>
        </w:tblPrEx>
        <w:trPr>
          <w:trHeight w:val="777"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0303A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1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F4A87A">
            <w:pPr>
              <w:widowControl/>
              <w:wordWrap w:val="0"/>
              <w:spacing w:line="200" w:lineRule="atLeast"/>
              <w:jc w:val="center"/>
              <w:rPr>
                <w:rFonts w:ascii="宋体" w:hAnsi="宋体" w:cs="宋体"/>
                <w:color w:val="auto"/>
                <w:kern w:val="0"/>
                <w:sz w:val="28"/>
                <w:szCs w:val="28"/>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C558D0">
            <w:pPr>
              <w:widowControl/>
              <w:wordWrap w:val="0"/>
              <w:spacing w:line="200" w:lineRule="atLeast"/>
              <w:jc w:val="center"/>
              <w:rPr>
                <w:rFonts w:ascii="宋体" w:hAnsi="宋体" w:cs="宋体"/>
                <w:color w:val="auto"/>
                <w:kern w:val="0"/>
                <w:sz w:val="28"/>
                <w:szCs w:val="28"/>
                <w:highlight w:val="none"/>
              </w:rPr>
            </w:pPr>
          </w:p>
        </w:tc>
        <w:tc>
          <w:tcPr>
            <w:tcW w:w="14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03D5D7">
            <w:pPr>
              <w:widowControl/>
              <w:wordWrap w:val="0"/>
              <w:spacing w:line="200" w:lineRule="atLeast"/>
              <w:jc w:val="center"/>
              <w:rPr>
                <w:rFonts w:ascii="宋体" w:hAnsi="宋体" w:cs="宋体"/>
                <w:color w:val="auto"/>
                <w:kern w:val="0"/>
                <w:sz w:val="28"/>
                <w:szCs w:val="28"/>
                <w:highlight w:val="none"/>
              </w:rPr>
            </w:pPr>
          </w:p>
        </w:tc>
      </w:tr>
      <w:tr w14:paraId="7E8EB080">
        <w:tblPrEx>
          <w:shd w:val="clear" w:color="auto" w:fill="FBFBFB"/>
          <w:tblCellMar>
            <w:top w:w="0" w:type="dxa"/>
            <w:left w:w="0" w:type="dxa"/>
            <w:bottom w:w="0" w:type="dxa"/>
            <w:right w:w="0" w:type="dxa"/>
          </w:tblCellMar>
        </w:tblPrEx>
        <w:trPr>
          <w:trHeight w:val="89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A7C7A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1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12EADC">
            <w:pPr>
              <w:widowControl/>
              <w:wordWrap w:val="0"/>
              <w:spacing w:line="200" w:lineRule="atLeast"/>
              <w:jc w:val="center"/>
              <w:rPr>
                <w:rFonts w:ascii="宋体" w:hAnsi="宋体" w:cs="宋体"/>
                <w:color w:val="auto"/>
                <w:kern w:val="0"/>
                <w:sz w:val="28"/>
                <w:szCs w:val="28"/>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1666AA">
            <w:pPr>
              <w:widowControl/>
              <w:wordWrap w:val="0"/>
              <w:spacing w:line="200" w:lineRule="atLeast"/>
              <w:jc w:val="center"/>
              <w:rPr>
                <w:rFonts w:ascii="宋体" w:hAnsi="宋体" w:cs="宋体"/>
                <w:color w:val="auto"/>
                <w:kern w:val="0"/>
                <w:sz w:val="28"/>
                <w:szCs w:val="28"/>
                <w:highlight w:val="none"/>
              </w:rPr>
            </w:pPr>
          </w:p>
        </w:tc>
        <w:tc>
          <w:tcPr>
            <w:tcW w:w="14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EAE3F4">
            <w:pPr>
              <w:widowControl/>
              <w:wordWrap w:val="0"/>
              <w:spacing w:line="200" w:lineRule="atLeast"/>
              <w:jc w:val="center"/>
              <w:rPr>
                <w:rFonts w:ascii="宋体" w:hAnsi="宋体" w:cs="宋体"/>
                <w:color w:val="auto"/>
                <w:kern w:val="0"/>
                <w:sz w:val="28"/>
                <w:szCs w:val="28"/>
                <w:highlight w:val="none"/>
              </w:rPr>
            </w:pPr>
          </w:p>
        </w:tc>
      </w:tr>
    </w:tbl>
    <w:p w14:paraId="47A8B300">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2490AA9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79D178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D41B42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FE8E391">
      <w:pPr>
        <w:spacing w:line="360" w:lineRule="auto"/>
        <w:contextualSpacing/>
        <w:jc w:val="left"/>
        <w:rPr>
          <w:rFonts w:hint="eastAsia"/>
          <w:color w:val="auto"/>
          <w:sz w:val="28"/>
          <w:szCs w:val="28"/>
          <w:highlight w:val="none"/>
        </w:rPr>
      </w:pPr>
    </w:p>
    <w:p w14:paraId="7D6A04F3">
      <w:pPr>
        <w:spacing w:line="360" w:lineRule="auto"/>
        <w:contextualSpacing/>
        <w:jc w:val="left"/>
        <w:rPr>
          <w:rFonts w:hint="eastAsia"/>
          <w:color w:val="auto"/>
          <w:sz w:val="28"/>
          <w:szCs w:val="28"/>
          <w:highlight w:val="none"/>
        </w:rPr>
      </w:pPr>
    </w:p>
    <w:p w14:paraId="4CF7DA4C">
      <w:pPr>
        <w:spacing w:line="360" w:lineRule="auto"/>
        <w:contextualSpacing/>
        <w:jc w:val="left"/>
        <w:rPr>
          <w:rFonts w:hint="eastAsia"/>
          <w:color w:val="auto"/>
          <w:sz w:val="28"/>
          <w:szCs w:val="28"/>
          <w:highlight w:val="none"/>
        </w:rPr>
      </w:pPr>
    </w:p>
    <w:p w14:paraId="0A95885C">
      <w:pPr>
        <w:spacing w:line="360" w:lineRule="auto"/>
        <w:contextualSpacing/>
        <w:jc w:val="left"/>
        <w:rPr>
          <w:rFonts w:hint="eastAsia" w:ascii="宋体" w:hAnsi="宋体"/>
          <w:color w:val="auto"/>
          <w:sz w:val="28"/>
          <w:szCs w:val="28"/>
          <w:highlight w:val="none"/>
        </w:rPr>
      </w:pPr>
    </w:p>
    <w:p w14:paraId="15F838FF">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C43AFA4">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2012DB3C">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38421E44">
      <w:pPr>
        <w:spacing w:line="500" w:lineRule="exact"/>
        <w:jc w:val="center"/>
        <w:rPr>
          <w:rFonts w:ascii="宋体" w:hAnsi="宋体"/>
          <w:b/>
          <w:color w:val="auto"/>
          <w:sz w:val="32"/>
          <w:szCs w:val="32"/>
          <w:highlight w:val="none"/>
        </w:rPr>
      </w:pPr>
      <w:r>
        <w:rPr>
          <w:rFonts w:ascii="宋体" w:hAnsi="宋体"/>
          <w:b/>
          <w:color w:val="auto"/>
          <w:sz w:val="32"/>
          <w:szCs w:val="32"/>
          <w:highlight w:val="none"/>
        </w:rPr>
        <w:br w:type="page"/>
      </w:r>
    </w:p>
    <w:p w14:paraId="6795FB9F">
      <w:pPr>
        <w:spacing w:line="500" w:lineRule="exact"/>
        <w:jc w:val="center"/>
        <w:rPr>
          <w:rFonts w:hint="eastAsia" w:ascii="方正小标宋简体" w:hAnsi="宋体" w:eastAsia="方正小标宋简体"/>
          <w:b/>
          <w:color w:val="auto"/>
          <w:sz w:val="32"/>
          <w:szCs w:val="32"/>
          <w:highlight w:val="none"/>
        </w:rPr>
      </w:pPr>
      <w:r>
        <w:rPr>
          <w:rFonts w:hint="eastAsia" w:asciiTheme="minorEastAsia" w:hAnsiTheme="minorEastAsia" w:eastAsiaTheme="minorEastAsia" w:cstheme="minorEastAsia"/>
          <w:b/>
          <w:color w:val="auto"/>
          <w:sz w:val="32"/>
          <w:szCs w:val="32"/>
          <w:highlight w:val="none"/>
        </w:rPr>
        <w:t>竞标声明</w:t>
      </w:r>
    </w:p>
    <w:p w14:paraId="349A2ED9">
      <w:pPr>
        <w:spacing w:line="320" w:lineRule="exact"/>
        <w:jc w:val="center"/>
        <w:rPr>
          <w:rFonts w:hint="eastAsia" w:ascii="宋体" w:hAnsi="宋体"/>
          <w:color w:val="auto"/>
          <w:sz w:val="24"/>
          <w:szCs w:val="20"/>
          <w:highlight w:val="none"/>
        </w:rPr>
      </w:pPr>
    </w:p>
    <w:p w14:paraId="642222B8">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B1243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FBE30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4B579D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F4F266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EA518F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4B356D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6284AFF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01503EE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4CA2E0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5C18BEA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BBC9DE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DDD0CC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1A582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37FCBC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19A74B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23FF27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DE2113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color w:val="auto"/>
          <w:sz w:val="24"/>
          <w:highlight w:val="none"/>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5A8640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BA8522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08EEB7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39C0C6E">
      <w:pPr>
        <w:pStyle w:val="1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C3C7CC9">
      <w:pPr>
        <w:pStyle w:val="1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1518761">
      <w:pPr>
        <w:pStyle w:val="11"/>
        <w:tabs>
          <w:tab w:val="left" w:pos="939"/>
        </w:tabs>
        <w:spacing w:line="360" w:lineRule="auto"/>
        <w:ind w:left="140"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77FACFFC">
      <w:pPr>
        <w:pStyle w:val="11"/>
        <w:tabs>
          <w:tab w:val="left" w:pos="939"/>
        </w:tabs>
        <w:spacing w:line="360" w:lineRule="auto"/>
        <w:ind w:left="140"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74F8ABE">
      <w:pPr>
        <w:pStyle w:val="11"/>
        <w:tabs>
          <w:tab w:val="left" w:pos="939"/>
        </w:tabs>
        <w:spacing w:line="360" w:lineRule="auto"/>
        <w:ind w:left="140"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5E72E8F3">
      <w:pPr>
        <w:spacing w:line="360" w:lineRule="auto"/>
        <w:contextualSpacing/>
        <w:jc w:val="left"/>
        <w:rPr>
          <w:rFonts w:hint="eastAsia" w:ascii="宋体" w:hAnsi="宋体" w:cs="宋体"/>
          <w:color w:val="auto"/>
          <w:sz w:val="24"/>
          <w:highlight w:val="none"/>
        </w:rPr>
      </w:pPr>
    </w:p>
    <w:p w14:paraId="7FCADC77">
      <w:pPr>
        <w:spacing w:line="360" w:lineRule="auto"/>
        <w:ind w:firstLine="2280" w:firstLineChars="950"/>
        <w:contextualSpacing/>
        <w:rPr>
          <w:rFonts w:hint="eastAsia"/>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34BF60E1">
      <w:pPr>
        <w:spacing w:line="360" w:lineRule="auto"/>
        <w:ind w:firstLine="3840" w:firstLineChars="1600"/>
        <w:contextualSpacing/>
        <w:rPr>
          <w:rFonts w:hint="eastAsia"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p>
    <w:p w14:paraId="06C50B09">
      <w:pPr>
        <w:spacing w:line="360" w:lineRule="auto"/>
        <w:ind w:right="482"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年    月    日 </w:t>
      </w:r>
    </w:p>
    <w:p w14:paraId="3F7ACE85">
      <w:pPr>
        <w:spacing w:line="360" w:lineRule="auto"/>
        <w:ind w:right="482" w:firstLine="240" w:firstLineChars="100"/>
        <w:contextualSpacing/>
        <w:jc w:val="center"/>
        <w:rPr>
          <w:color w:val="auto"/>
          <w:sz w:val="24"/>
          <w:highlight w:val="none"/>
        </w:rPr>
      </w:pPr>
    </w:p>
    <w:p w14:paraId="1C1852D4">
      <w:pPr>
        <w:spacing w:line="360" w:lineRule="auto"/>
        <w:ind w:right="482" w:firstLine="210" w:firstLineChars="100"/>
        <w:contextualSpacing/>
        <w:jc w:val="center"/>
        <w:rPr>
          <w:color w:val="auto"/>
          <w:highlight w:val="none"/>
        </w:rPr>
      </w:pPr>
    </w:p>
    <w:p w14:paraId="4BE57667">
      <w:pPr>
        <w:spacing w:line="360" w:lineRule="auto"/>
        <w:ind w:right="482" w:firstLine="210" w:firstLineChars="100"/>
        <w:contextualSpacing/>
        <w:jc w:val="center"/>
        <w:rPr>
          <w:color w:val="auto"/>
          <w:highlight w:val="none"/>
        </w:rPr>
      </w:pPr>
    </w:p>
    <w:p w14:paraId="072DC760">
      <w:pPr>
        <w:spacing w:line="360" w:lineRule="auto"/>
        <w:ind w:right="482" w:firstLine="210" w:firstLineChars="100"/>
        <w:contextualSpacing/>
        <w:jc w:val="center"/>
        <w:rPr>
          <w:color w:val="auto"/>
          <w:highlight w:val="none"/>
        </w:rPr>
      </w:pPr>
    </w:p>
    <w:p w14:paraId="1B1094D3">
      <w:pPr>
        <w:spacing w:line="360" w:lineRule="auto"/>
        <w:ind w:right="482" w:firstLine="210" w:firstLineChars="100"/>
        <w:contextualSpacing/>
        <w:jc w:val="center"/>
        <w:rPr>
          <w:color w:val="auto"/>
          <w:highlight w:val="none"/>
        </w:rPr>
      </w:pPr>
    </w:p>
    <w:p w14:paraId="2B69AF39">
      <w:pPr>
        <w:spacing w:line="360" w:lineRule="auto"/>
        <w:ind w:right="482" w:firstLine="210" w:firstLineChars="100"/>
        <w:contextualSpacing/>
        <w:jc w:val="center"/>
        <w:rPr>
          <w:color w:val="auto"/>
          <w:highlight w:val="none"/>
        </w:rPr>
      </w:pPr>
    </w:p>
    <w:p w14:paraId="6101C16A">
      <w:pPr>
        <w:spacing w:line="360" w:lineRule="auto"/>
        <w:ind w:right="482" w:firstLine="210" w:firstLineChars="100"/>
        <w:contextualSpacing/>
        <w:jc w:val="center"/>
        <w:rPr>
          <w:color w:val="auto"/>
          <w:highlight w:val="none"/>
        </w:rPr>
      </w:pPr>
    </w:p>
    <w:p w14:paraId="454D5731">
      <w:pPr>
        <w:spacing w:line="360" w:lineRule="auto"/>
        <w:ind w:right="482" w:firstLine="210" w:firstLineChars="100"/>
        <w:contextualSpacing/>
        <w:jc w:val="center"/>
        <w:rPr>
          <w:color w:val="auto"/>
          <w:highlight w:val="none"/>
        </w:rPr>
      </w:pPr>
    </w:p>
    <w:p w14:paraId="61F781A7">
      <w:pPr>
        <w:spacing w:line="360" w:lineRule="auto"/>
        <w:ind w:right="482" w:firstLine="210" w:firstLineChars="100"/>
        <w:contextualSpacing/>
        <w:jc w:val="center"/>
        <w:rPr>
          <w:color w:val="auto"/>
          <w:highlight w:val="none"/>
        </w:rPr>
      </w:pPr>
    </w:p>
    <w:p w14:paraId="24E8D706">
      <w:pPr>
        <w:spacing w:line="360" w:lineRule="auto"/>
        <w:ind w:right="482" w:firstLine="210" w:firstLineChars="100"/>
        <w:contextualSpacing/>
        <w:jc w:val="center"/>
        <w:rPr>
          <w:color w:val="auto"/>
          <w:highlight w:val="none"/>
        </w:rPr>
      </w:pPr>
    </w:p>
    <w:p w14:paraId="69F2667E">
      <w:pPr>
        <w:spacing w:line="360" w:lineRule="auto"/>
        <w:ind w:right="482" w:firstLine="210" w:firstLineChars="100"/>
        <w:contextualSpacing/>
        <w:jc w:val="center"/>
        <w:rPr>
          <w:color w:val="auto"/>
          <w:highlight w:val="none"/>
        </w:rPr>
      </w:pPr>
    </w:p>
    <w:p w14:paraId="26EFFE1D">
      <w:pPr>
        <w:spacing w:line="360" w:lineRule="auto"/>
        <w:ind w:right="482" w:firstLine="210" w:firstLineChars="100"/>
        <w:contextualSpacing/>
        <w:jc w:val="center"/>
        <w:rPr>
          <w:color w:val="auto"/>
          <w:highlight w:val="none"/>
        </w:rPr>
      </w:pPr>
    </w:p>
    <w:p w14:paraId="2A9B1896">
      <w:pPr>
        <w:spacing w:line="360" w:lineRule="auto"/>
        <w:ind w:right="482" w:firstLine="210" w:firstLineChars="100"/>
        <w:contextualSpacing/>
        <w:jc w:val="center"/>
        <w:rPr>
          <w:color w:val="auto"/>
          <w:highlight w:val="none"/>
        </w:rPr>
      </w:pPr>
    </w:p>
    <w:p w14:paraId="1224A84D">
      <w:pPr>
        <w:spacing w:line="360" w:lineRule="auto"/>
        <w:ind w:right="482" w:firstLine="210" w:firstLineChars="100"/>
        <w:contextualSpacing/>
        <w:jc w:val="center"/>
        <w:rPr>
          <w:color w:val="auto"/>
          <w:highlight w:val="none"/>
        </w:rPr>
      </w:pPr>
    </w:p>
    <w:p w14:paraId="3917E224">
      <w:pPr>
        <w:spacing w:line="360" w:lineRule="auto"/>
        <w:ind w:right="482" w:firstLine="210" w:firstLineChars="100"/>
        <w:contextualSpacing/>
        <w:jc w:val="center"/>
        <w:rPr>
          <w:color w:val="auto"/>
          <w:highlight w:val="none"/>
        </w:rPr>
      </w:pPr>
    </w:p>
    <w:p w14:paraId="0CFAACAD">
      <w:pPr>
        <w:spacing w:line="360" w:lineRule="auto"/>
        <w:ind w:right="482" w:firstLine="240" w:firstLineChars="100"/>
        <w:contextualSpacing/>
        <w:jc w:val="center"/>
        <w:rPr>
          <w:color w:val="auto"/>
          <w:sz w:val="24"/>
          <w:highlight w:val="none"/>
        </w:rPr>
      </w:pPr>
    </w:p>
    <w:p w14:paraId="341D2E67">
      <w:pPr>
        <w:spacing w:line="360" w:lineRule="auto"/>
        <w:ind w:right="482" w:firstLine="210" w:firstLineChars="100"/>
        <w:contextualSpacing/>
        <w:jc w:val="center"/>
        <w:rPr>
          <w:color w:val="auto"/>
          <w:highlight w:val="none"/>
        </w:rPr>
      </w:pPr>
    </w:p>
    <w:p w14:paraId="2B759A2D">
      <w:pPr>
        <w:spacing w:line="360" w:lineRule="auto"/>
        <w:ind w:right="482"/>
        <w:contextualSpacing/>
        <w:jc w:val="both"/>
        <w:rPr>
          <w:color w:val="auto"/>
          <w:highlight w:val="none"/>
        </w:rPr>
      </w:pPr>
    </w:p>
    <w:p w14:paraId="077E4642">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具备履行合同所必需的设备和专业技术能力的证明材料</w:t>
      </w:r>
    </w:p>
    <w:p w14:paraId="38DC4DC2">
      <w:pPr>
        <w:jc w:val="both"/>
        <w:rPr>
          <w:rFonts w:hint="eastAsia" w:ascii="宋体" w:hAnsi="宋体" w:cs="Times New Roman"/>
          <w:kern w:val="2"/>
          <w:sz w:val="24"/>
          <w:szCs w:val="24"/>
          <w:lang w:val="en-US" w:eastAsia="zh-CN" w:bidi="ar-SA"/>
        </w:rPr>
      </w:pPr>
    </w:p>
    <w:p w14:paraId="00CFB361">
      <w:pPr>
        <w:jc w:val="center"/>
        <w:rPr>
          <w:rFonts w:hint="eastAsia" w:ascii="宋体" w:hAnsi="宋体" w:eastAsia="宋体" w:cs="Times New Roman"/>
          <w:b/>
          <w:bCs/>
          <w:kern w:val="2"/>
          <w:sz w:val="24"/>
          <w:szCs w:val="24"/>
          <w:lang w:val="en-US" w:eastAsia="zh-CN" w:bidi="ar-SA"/>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158B39AB">
      <w:pPr>
        <w:spacing w:line="360" w:lineRule="auto"/>
        <w:ind w:right="482" w:firstLine="210" w:firstLineChars="100"/>
        <w:contextualSpacing/>
        <w:jc w:val="center"/>
        <w:rPr>
          <w:color w:val="auto"/>
          <w:highlight w:val="none"/>
        </w:rPr>
      </w:pPr>
    </w:p>
    <w:p w14:paraId="47DC54B6">
      <w:pPr>
        <w:spacing w:line="360" w:lineRule="auto"/>
        <w:ind w:right="482" w:firstLine="210" w:firstLineChars="100"/>
        <w:contextualSpacing/>
        <w:jc w:val="center"/>
        <w:rPr>
          <w:color w:val="auto"/>
          <w:highlight w:val="none"/>
        </w:rPr>
      </w:pPr>
    </w:p>
    <w:p w14:paraId="58E5E836">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0FAE8483">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2BC1185E">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4E7DDA7E">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2923EE8D">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0762F5E1">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12BA191D">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1604AE00">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2522E8FA">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66BD4309">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05382F10">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65D92BF5">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10489E45">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226CF2A9">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262369DA">
      <w:pPr>
        <w:tabs>
          <w:tab w:val="left" w:pos="4946"/>
        </w:tabs>
        <w:spacing w:line="360" w:lineRule="auto"/>
        <w:ind w:right="482"/>
        <w:contextualSpacing/>
        <w:jc w:val="both"/>
        <w:rPr>
          <w:rFonts w:hint="eastAsia" w:ascii="宋体" w:hAnsi="宋体"/>
          <w:b/>
          <w:bCs/>
          <w:color w:val="auto"/>
          <w:sz w:val="32"/>
          <w:szCs w:val="32"/>
          <w:highlight w:val="none"/>
        </w:rPr>
      </w:pPr>
    </w:p>
    <w:p w14:paraId="1820D5A6">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454EE9E5">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37DC66D8">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7FF6F5BA">
      <w:pPr>
        <w:tabs>
          <w:tab w:val="left" w:pos="4946"/>
        </w:tabs>
        <w:spacing w:line="360" w:lineRule="auto"/>
        <w:ind w:right="482" w:firstLine="320" w:firstLineChars="100"/>
        <w:contextualSpacing/>
        <w:jc w:val="center"/>
        <w:rPr>
          <w:rFonts w:hint="eastAsia" w:ascii="宋体" w:hAnsi="宋体"/>
          <w:b/>
          <w:bCs/>
          <w:color w:val="auto"/>
          <w:sz w:val="32"/>
          <w:szCs w:val="32"/>
          <w:highlight w:val="none"/>
        </w:rPr>
      </w:pPr>
    </w:p>
    <w:p w14:paraId="55F06884">
      <w:pPr>
        <w:tabs>
          <w:tab w:val="left" w:pos="4946"/>
        </w:tabs>
        <w:spacing w:line="360" w:lineRule="auto"/>
        <w:ind w:right="482" w:firstLine="320" w:firstLineChars="100"/>
        <w:contextualSpacing/>
        <w:jc w:val="center"/>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14:paraId="449D8635">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4D2C6D9E">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7FD78BD">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0573891">
      <w:pPr>
        <w:snapToGrid w:val="0"/>
        <w:spacing w:before="120" w:beforeLines="50" w:after="50"/>
        <w:rPr>
          <w:rFonts w:hint="eastAsia" w:ascii="宋体" w:hAnsi="宋体"/>
          <w:color w:val="auto"/>
          <w:sz w:val="24"/>
          <w:szCs w:val="20"/>
          <w:highlight w:val="none"/>
        </w:rPr>
      </w:pPr>
    </w:p>
    <w:p w14:paraId="309ACF54">
      <w:pPr>
        <w:snapToGrid w:val="0"/>
        <w:spacing w:before="120" w:beforeLines="50" w:after="50"/>
        <w:rPr>
          <w:rFonts w:hint="eastAsia" w:ascii="宋体" w:hAnsi="宋体"/>
          <w:color w:val="auto"/>
          <w:sz w:val="24"/>
          <w:szCs w:val="20"/>
          <w:highlight w:val="none"/>
        </w:rPr>
      </w:pPr>
    </w:p>
    <w:p w14:paraId="3D170C48">
      <w:pPr>
        <w:snapToGrid w:val="0"/>
        <w:spacing w:before="120" w:beforeLines="50" w:after="50"/>
        <w:jc w:val="center"/>
        <w:rPr>
          <w:rFonts w:hint="eastAsia" w:ascii="宋体" w:hAnsi="宋体"/>
          <w:bCs/>
          <w:color w:val="auto"/>
          <w:sz w:val="24"/>
          <w:szCs w:val="20"/>
          <w:highlight w:val="none"/>
        </w:rPr>
      </w:pPr>
      <w:r>
        <w:rPr>
          <w:rFonts w:hint="eastAsia" w:asciiTheme="minorEastAsia" w:hAnsiTheme="minorEastAsia" w:eastAsiaTheme="minorEastAsia" w:cstheme="minorEastAsia"/>
          <w:bCs/>
          <w:color w:val="auto"/>
          <w:sz w:val="32"/>
          <w:szCs w:val="32"/>
          <w:highlight w:val="none"/>
        </w:rPr>
        <w:t>报  价  文  件</w:t>
      </w:r>
    </w:p>
    <w:p w14:paraId="109F3DF0">
      <w:pPr>
        <w:snapToGrid w:val="0"/>
        <w:spacing w:before="120" w:beforeLines="50" w:after="50"/>
        <w:rPr>
          <w:rFonts w:hint="eastAsia" w:ascii="宋体" w:hAnsi="宋体"/>
          <w:bCs/>
          <w:color w:val="auto"/>
          <w:sz w:val="24"/>
          <w:szCs w:val="20"/>
          <w:highlight w:val="none"/>
        </w:rPr>
      </w:pPr>
    </w:p>
    <w:p w14:paraId="75CAB8BC">
      <w:pPr>
        <w:snapToGrid w:val="0"/>
        <w:spacing w:before="120" w:beforeLines="50" w:after="50"/>
        <w:rPr>
          <w:rFonts w:hint="eastAsia" w:ascii="宋体" w:hAnsi="宋体"/>
          <w:bCs/>
          <w:color w:val="auto"/>
          <w:sz w:val="24"/>
          <w:szCs w:val="20"/>
          <w:highlight w:val="none"/>
        </w:rPr>
      </w:pPr>
    </w:p>
    <w:p w14:paraId="084AA3B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2A0F7D1">
      <w:pPr>
        <w:snapToGrid w:val="0"/>
        <w:spacing w:before="120" w:beforeLines="50" w:after="50"/>
        <w:ind w:firstLine="720" w:firstLineChars="225"/>
        <w:rPr>
          <w:rFonts w:hint="eastAsia" w:ascii="宋体" w:hAnsi="宋体" w:cs="仿宋_GB2312"/>
          <w:bCs/>
          <w:color w:val="auto"/>
          <w:sz w:val="32"/>
          <w:szCs w:val="32"/>
          <w:highlight w:val="none"/>
        </w:rPr>
      </w:pPr>
    </w:p>
    <w:p w14:paraId="42023D0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2110330">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DDD1971">
      <w:pPr>
        <w:pStyle w:val="4"/>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FB9897">
      <w:pPr>
        <w:pStyle w:val="4"/>
        <w:snapToGrid w:val="0"/>
        <w:spacing w:before="50" w:after="50"/>
        <w:ind w:firstLine="640" w:firstLineChars="200"/>
        <w:rPr>
          <w:rFonts w:hint="eastAsia" w:ascii="宋体" w:hAnsi="宋体" w:cs="仿宋_GB2312"/>
          <w:bCs/>
          <w:color w:val="auto"/>
          <w:sz w:val="32"/>
          <w:szCs w:val="32"/>
          <w:highlight w:val="none"/>
        </w:rPr>
      </w:pPr>
    </w:p>
    <w:p w14:paraId="0BF1B2AC">
      <w:pPr>
        <w:pStyle w:val="4"/>
        <w:snapToGrid w:val="0"/>
        <w:spacing w:before="50" w:after="50"/>
        <w:ind w:firstLine="720" w:firstLineChars="225"/>
        <w:rPr>
          <w:rFonts w:hint="eastAsia" w:ascii="宋体" w:hAnsi="宋体" w:cs="仿宋_GB2312"/>
          <w:bCs/>
          <w:color w:val="auto"/>
          <w:sz w:val="32"/>
          <w:szCs w:val="32"/>
          <w:highlight w:val="none"/>
        </w:rPr>
      </w:pPr>
    </w:p>
    <w:p w14:paraId="0F355B18">
      <w:pPr>
        <w:pStyle w:val="4"/>
        <w:snapToGrid w:val="0"/>
        <w:spacing w:before="50" w:after="50"/>
        <w:ind w:firstLine="0"/>
        <w:rPr>
          <w:rFonts w:hint="eastAsia" w:ascii="宋体" w:hAnsi="宋体" w:cs="仿宋_GB2312"/>
          <w:bCs/>
          <w:color w:val="auto"/>
          <w:sz w:val="32"/>
          <w:szCs w:val="32"/>
          <w:highlight w:val="none"/>
        </w:rPr>
      </w:pPr>
    </w:p>
    <w:p w14:paraId="7C3B52C5">
      <w:pPr>
        <w:pStyle w:val="4"/>
        <w:snapToGrid w:val="0"/>
        <w:spacing w:before="50" w:after="50"/>
        <w:ind w:firstLine="1280" w:firstLineChars="400"/>
        <w:rPr>
          <w:rFonts w:hint="eastAsia" w:ascii="宋体" w:hAnsi="宋体" w:cs="仿宋_GB2312"/>
          <w:bCs/>
          <w:color w:val="auto"/>
          <w:sz w:val="32"/>
          <w:szCs w:val="32"/>
          <w:highlight w:val="none"/>
        </w:rPr>
      </w:pPr>
    </w:p>
    <w:p w14:paraId="5BA80354">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2ABDF6C">
      <w:pPr>
        <w:snapToGrid w:val="0"/>
        <w:spacing w:before="120" w:beforeLines="5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0865B107">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59D07574">
      <w:pPr>
        <w:pStyle w:val="12"/>
        <w:ind w:firstLine="500" w:firstLineChars="250"/>
        <w:jc w:val="center"/>
        <w:rPr>
          <w:rFonts w:hAnsi="宋体"/>
          <w:b/>
          <w:sz w:val="32"/>
        </w:rPr>
      </w:pPr>
      <w:r>
        <w:rPr>
          <w:rFonts w:ascii="宋体" w:hAnsi="宋体"/>
          <w:color w:val="auto"/>
          <w:szCs w:val="21"/>
          <w:highlight w:val="none"/>
        </w:rPr>
        <w:br w:type="page"/>
      </w:r>
      <w:r>
        <w:rPr>
          <w:rFonts w:hint="eastAsia" w:hAnsi="宋体"/>
          <w:b/>
          <w:sz w:val="32"/>
        </w:rPr>
        <w:t>响</w:t>
      </w:r>
      <w:r>
        <w:rPr>
          <w:rFonts w:hAnsi="宋体"/>
          <w:b/>
          <w:sz w:val="32"/>
        </w:rPr>
        <w:t xml:space="preserve"> </w:t>
      </w:r>
      <w:r>
        <w:rPr>
          <w:rFonts w:hint="eastAsia" w:hAnsi="宋体"/>
          <w:b/>
          <w:sz w:val="32"/>
        </w:rPr>
        <w:t>应</w:t>
      </w:r>
      <w:r>
        <w:rPr>
          <w:rFonts w:hAnsi="宋体"/>
          <w:b/>
          <w:sz w:val="32"/>
        </w:rPr>
        <w:t xml:space="preserve"> </w:t>
      </w:r>
      <w:r>
        <w:rPr>
          <w:rFonts w:hint="eastAsia" w:hAnsi="宋体"/>
          <w:b/>
          <w:sz w:val="32"/>
        </w:rPr>
        <w:t>函</w:t>
      </w:r>
      <w:r>
        <w:rPr>
          <w:rFonts w:hAnsi="宋体"/>
          <w:b/>
          <w:sz w:val="32"/>
        </w:rPr>
        <w:t xml:space="preserve"> </w:t>
      </w:r>
      <w:r>
        <w:rPr>
          <w:rFonts w:hint="eastAsia" w:hAnsi="宋体"/>
          <w:b/>
          <w:sz w:val="32"/>
        </w:rPr>
        <w:t>（格</w:t>
      </w:r>
      <w:r>
        <w:rPr>
          <w:rFonts w:hAnsi="宋体"/>
          <w:b/>
          <w:sz w:val="32"/>
        </w:rPr>
        <w:t xml:space="preserve"> </w:t>
      </w:r>
      <w:r>
        <w:rPr>
          <w:rFonts w:hint="eastAsia" w:hAnsi="宋体"/>
          <w:b/>
          <w:sz w:val="32"/>
        </w:rPr>
        <w:t>式）</w:t>
      </w:r>
    </w:p>
    <w:p w14:paraId="0A932D49">
      <w:pPr>
        <w:spacing w:line="240" w:lineRule="exact"/>
        <w:jc w:val="center"/>
        <w:rPr>
          <w:rFonts w:ascii="宋体"/>
          <w:sz w:val="32"/>
        </w:rPr>
      </w:pPr>
    </w:p>
    <w:p w14:paraId="681E1177">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：防城港市政府采购中心</w:t>
      </w:r>
    </w:p>
    <w:p w14:paraId="383BFEEE">
      <w:pPr>
        <w:spacing w:line="400" w:lineRule="exact"/>
        <w:rPr>
          <w:rFonts w:hint="eastAsia" w:ascii="宋体" w:hAnsi="宋体" w:cs="宋体"/>
          <w:szCs w:val="21"/>
        </w:rPr>
      </w:pPr>
    </w:p>
    <w:p w14:paraId="4AB81891">
      <w:pPr>
        <w:pStyle w:val="12"/>
        <w:spacing w:line="360" w:lineRule="exact"/>
        <w:ind w:firstLine="420"/>
        <w:rPr>
          <w:rFonts w:hint="eastAsia" w:hAnsi="宋体" w:cs="宋体"/>
        </w:rPr>
      </w:pPr>
      <w:r>
        <w:rPr>
          <w:rFonts w:hint="eastAsia" w:hAnsi="宋体" w:cs="宋体"/>
        </w:rPr>
        <w:t>根据贵方</w:t>
      </w:r>
      <w:r>
        <w:rPr>
          <w:rFonts w:hint="eastAsia" w:hAnsi="宋体" w:cs="宋体"/>
          <w:u w:val="single"/>
        </w:rPr>
        <w:t xml:space="preserve">       </w:t>
      </w:r>
      <w:r>
        <w:rPr>
          <w:rFonts w:hint="eastAsia" w:hAnsi="宋体" w:cs="宋体"/>
        </w:rPr>
        <w:t>项目谈判文件，项目编号：</w:t>
      </w:r>
      <w:r>
        <w:rPr>
          <w:rFonts w:hint="eastAsia" w:hAnsi="宋体" w:cs="宋体"/>
          <w:u w:val="single"/>
        </w:rPr>
        <w:t xml:space="preserve">            </w:t>
      </w:r>
      <w:r>
        <w:rPr>
          <w:rFonts w:hint="eastAsia" w:hAnsi="宋体" w:cs="宋体"/>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14:paraId="30CB71FA">
      <w:pPr>
        <w:pStyle w:val="12"/>
        <w:spacing w:line="360" w:lineRule="exact"/>
        <w:ind w:firstLine="420"/>
        <w:rPr>
          <w:rFonts w:hint="eastAsia" w:hAnsi="宋体" w:cs="宋体"/>
        </w:rPr>
      </w:pPr>
      <w:r>
        <w:rPr>
          <w:rFonts w:hint="eastAsia" w:hAnsi="宋体" w:cs="宋体"/>
        </w:rPr>
        <w:t>据此函，签字代表宣布同意如下：</w:t>
      </w:r>
    </w:p>
    <w:p w14:paraId="1E30C252">
      <w:pPr>
        <w:pStyle w:val="12"/>
        <w:spacing w:line="360" w:lineRule="exact"/>
        <w:ind w:firstLine="420"/>
        <w:outlineLvl w:val="3"/>
        <w:rPr>
          <w:rFonts w:hint="eastAsia" w:hAnsi="宋体" w:cs="宋体"/>
        </w:rPr>
      </w:pPr>
      <w:r>
        <w:rPr>
          <w:rFonts w:hint="eastAsia" w:hAnsi="宋体" w:cs="宋体"/>
        </w:rPr>
        <w:t>1. 按谈判文件采购需求和谈判报价表：</w:t>
      </w:r>
    </w:p>
    <w:p w14:paraId="62558F07">
      <w:pPr>
        <w:pStyle w:val="12"/>
        <w:spacing w:line="360" w:lineRule="exact"/>
        <w:ind w:firstLine="420"/>
        <w:rPr>
          <w:rFonts w:hint="eastAsia" w:hAnsi="宋体" w:cs="宋体"/>
        </w:rPr>
      </w:pPr>
      <w:r>
        <w:rPr>
          <w:rFonts w:hint="eastAsia" w:hAnsi="宋体" w:cs="宋体"/>
        </w:rPr>
        <w:t>谈判总报价（大写）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14:paraId="79327563">
      <w:pPr>
        <w:pStyle w:val="12"/>
        <w:spacing w:line="360" w:lineRule="exact"/>
        <w:ind w:firstLine="420"/>
        <w:outlineLvl w:val="3"/>
        <w:rPr>
          <w:rFonts w:hint="eastAsia" w:hAnsi="宋体" w:cs="宋体"/>
        </w:rPr>
      </w:pPr>
      <w:r>
        <w:rPr>
          <w:rFonts w:hint="eastAsia" w:hAnsi="宋体" w:cs="宋体"/>
        </w:rPr>
        <w:t>2.我方承诺已具备谈判文件规定的供应商资格条件。</w:t>
      </w:r>
    </w:p>
    <w:p w14:paraId="28B35BEF">
      <w:pPr>
        <w:pStyle w:val="12"/>
        <w:spacing w:line="360" w:lineRule="exact"/>
        <w:ind w:firstLine="420"/>
        <w:rPr>
          <w:rFonts w:hint="eastAsia" w:hAnsi="宋体" w:cs="宋体"/>
        </w:rPr>
      </w:pPr>
      <w:r>
        <w:rPr>
          <w:rFonts w:hint="eastAsia" w:hAnsi="宋体" w:cs="宋体"/>
        </w:rPr>
        <w:t>3.我方已详细审核谈判文件，包括修改文件（如有的话）和有关附件，将自行承担因对全部谈判文件理解不正确或误解而产生的相应后果。</w:t>
      </w:r>
    </w:p>
    <w:p w14:paraId="7DB435D7">
      <w:pPr>
        <w:pStyle w:val="12"/>
        <w:spacing w:line="360" w:lineRule="exact"/>
        <w:ind w:firstLine="420"/>
        <w:rPr>
          <w:rFonts w:hint="eastAsia" w:hAnsi="宋体" w:cs="宋体"/>
        </w:rPr>
      </w:pPr>
      <w:r>
        <w:rPr>
          <w:rFonts w:hint="eastAsia" w:hAnsi="宋体" w:cs="宋体"/>
        </w:rPr>
        <w:t>4. 响应文件有效期为响应文件递交截止时间之日起</w:t>
      </w:r>
      <w:r>
        <w:rPr>
          <w:rFonts w:hint="eastAsia" w:hAnsi="宋体" w:cs="宋体"/>
          <w:lang w:val="en-US" w:eastAsia="zh-CN"/>
        </w:rPr>
        <w:t>60</w:t>
      </w:r>
      <w:r>
        <w:rPr>
          <w:rFonts w:hint="eastAsia" w:hAnsi="宋体" w:cs="宋体"/>
        </w:rPr>
        <w:t>天。</w:t>
      </w:r>
    </w:p>
    <w:p w14:paraId="3C0CBA1F">
      <w:pPr>
        <w:pStyle w:val="12"/>
        <w:spacing w:line="360" w:lineRule="exact"/>
        <w:ind w:firstLine="420"/>
        <w:rPr>
          <w:rFonts w:hint="eastAsia" w:hAnsi="宋体" w:cs="宋体"/>
        </w:rPr>
      </w:pPr>
      <w:r>
        <w:rPr>
          <w:rFonts w:hint="eastAsia" w:hAnsi="宋体" w:cs="宋体"/>
        </w:rPr>
        <w:t>5. 如我方成交：</w:t>
      </w:r>
    </w:p>
    <w:p w14:paraId="6BFF3E34">
      <w:pPr>
        <w:pStyle w:val="12"/>
        <w:spacing w:line="360" w:lineRule="exact"/>
        <w:ind w:firstLine="420"/>
        <w:rPr>
          <w:rFonts w:hint="eastAsia" w:hAnsi="宋体" w:cs="宋体"/>
        </w:rPr>
      </w:pPr>
      <w:r>
        <w:rPr>
          <w:rFonts w:hint="eastAsia" w:hAnsi="宋体" w:cs="宋体"/>
        </w:rPr>
        <w:t>（1）我方承诺在收到成交通知书后，在成交通知书规定的期限内与采购人签订合同。</w:t>
      </w:r>
    </w:p>
    <w:p w14:paraId="003BFBC1">
      <w:pPr>
        <w:pStyle w:val="12"/>
        <w:spacing w:line="360" w:lineRule="exact"/>
        <w:ind w:firstLine="420"/>
        <w:outlineLvl w:val="4"/>
        <w:rPr>
          <w:rFonts w:hint="eastAsia" w:hAnsi="宋体" w:cs="宋体"/>
        </w:rPr>
      </w:pPr>
      <w:r>
        <w:rPr>
          <w:rFonts w:hint="eastAsia" w:hAnsi="宋体" w:cs="宋体"/>
        </w:rPr>
        <w:t>（2）我方承诺按照谈判文件规定递交履约担保。</w:t>
      </w:r>
    </w:p>
    <w:p w14:paraId="0247799B">
      <w:pPr>
        <w:pStyle w:val="12"/>
        <w:spacing w:line="360" w:lineRule="exact"/>
        <w:ind w:firstLine="420"/>
        <w:rPr>
          <w:rFonts w:hint="eastAsia" w:hAnsi="宋体" w:cs="宋体"/>
        </w:rPr>
      </w:pPr>
      <w:r>
        <w:rPr>
          <w:rFonts w:hint="eastAsia" w:hAnsi="宋体" w:cs="宋体"/>
        </w:rPr>
        <w:t>（3）我方承诺本响应文件至本项目合同履行完毕止均保持有效，按谈判文件及政府采购法律、法规的规定履行合同责任和义务。</w:t>
      </w:r>
    </w:p>
    <w:p w14:paraId="03A855D2">
      <w:pPr>
        <w:pStyle w:val="12"/>
        <w:spacing w:line="360" w:lineRule="exact"/>
        <w:ind w:firstLine="420"/>
        <w:rPr>
          <w:rFonts w:hint="eastAsia" w:hAnsi="宋体" w:cs="宋体"/>
        </w:rPr>
      </w:pPr>
      <w:r>
        <w:rPr>
          <w:rFonts w:hint="eastAsia" w:hAnsi="宋体" w:cs="宋体"/>
        </w:rPr>
        <w:t>与本项目有关的正式通讯地址为：</w:t>
      </w:r>
    </w:p>
    <w:p w14:paraId="771A967E">
      <w:pPr>
        <w:pStyle w:val="12"/>
        <w:spacing w:line="400" w:lineRule="exact"/>
        <w:ind w:firstLine="420"/>
        <w:rPr>
          <w:rFonts w:hint="eastAsia" w:hAnsi="宋体" w:cs="宋体"/>
        </w:rPr>
      </w:pPr>
    </w:p>
    <w:p w14:paraId="6B7D7156">
      <w:pPr>
        <w:pStyle w:val="12"/>
        <w:spacing w:line="320" w:lineRule="exact"/>
        <w:ind w:firstLine="42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电话、传真：</w:t>
      </w:r>
      <w:r>
        <w:rPr>
          <w:rFonts w:hint="eastAsia" w:hAnsi="宋体" w:cs="宋体"/>
          <w:u w:val="single"/>
        </w:rPr>
        <w:t xml:space="preserve">            </w:t>
      </w:r>
    </w:p>
    <w:p w14:paraId="0BB23B37">
      <w:pPr>
        <w:pStyle w:val="12"/>
        <w:spacing w:line="320" w:lineRule="exact"/>
        <w:ind w:firstLine="420"/>
        <w:rPr>
          <w:rFonts w:hint="eastAsia" w:hAnsi="宋体" w:cs="宋体"/>
        </w:rPr>
      </w:pPr>
      <w:r>
        <w:rPr>
          <w:rFonts w:hint="eastAsia" w:hAnsi="宋体" w:cs="宋体"/>
        </w:rPr>
        <w:t>开户名称：</w:t>
      </w:r>
      <w:r>
        <w:rPr>
          <w:rFonts w:hint="eastAsia" w:hAnsi="宋体" w:cs="宋体"/>
          <w:u w:val="single"/>
        </w:rPr>
        <w:t xml:space="preserve">                                        </w:t>
      </w:r>
    </w:p>
    <w:p w14:paraId="20C6565A">
      <w:pPr>
        <w:pStyle w:val="12"/>
        <w:spacing w:line="320" w:lineRule="exact"/>
        <w:ind w:firstLine="420"/>
        <w:rPr>
          <w:rFonts w:hint="eastAsia" w:hAnsi="宋体" w:cs="宋体"/>
        </w:rPr>
      </w:pPr>
      <w:r>
        <w:rPr>
          <w:rFonts w:hint="eastAsia" w:hAnsi="宋体" w:cs="宋体"/>
        </w:rPr>
        <w:t>开户银行：</w:t>
      </w:r>
      <w:r>
        <w:rPr>
          <w:rFonts w:hint="eastAsia" w:hAnsi="宋体" w:cs="宋体"/>
          <w:u w:val="single"/>
        </w:rPr>
        <w:t xml:space="preserve">                               　       </w:t>
      </w:r>
    </w:p>
    <w:p w14:paraId="5EB3FB57">
      <w:pPr>
        <w:pStyle w:val="12"/>
        <w:spacing w:line="320" w:lineRule="exact"/>
        <w:ind w:firstLine="420"/>
        <w:rPr>
          <w:rFonts w:hint="eastAsia" w:hAnsi="宋体" w:cs="宋体"/>
        </w:rPr>
      </w:pPr>
      <w:r>
        <w:rPr>
          <w:rFonts w:hint="eastAsia" w:hAnsi="宋体" w:cs="宋体"/>
        </w:rPr>
        <w:t>账号：</w:t>
      </w:r>
      <w:r>
        <w:rPr>
          <w:rFonts w:hint="eastAsia" w:hAnsi="宋体" w:cs="宋体"/>
          <w:u w:val="single"/>
        </w:rPr>
        <w:t xml:space="preserve">                                   　　　   </w:t>
      </w:r>
    </w:p>
    <w:p w14:paraId="0EBBE1A5">
      <w:pPr>
        <w:pStyle w:val="12"/>
        <w:spacing w:line="320" w:lineRule="exact"/>
        <w:ind w:firstLine="420"/>
        <w:rPr>
          <w:rFonts w:hint="eastAsia" w:hAnsi="宋体" w:cs="宋体"/>
          <w:bCs/>
          <w:u w:val="single"/>
        </w:rPr>
      </w:pPr>
      <w:r>
        <w:rPr>
          <w:rFonts w:hint="eastAsia" w:hAnsi="宋体" w:cs="宋体"/>
          <w:bCs/>
        </w:rPr>
        <w:t>供应商[公章(CA签章)、自然人除外]：</w:t>
      </w:r>
      <w:r>
        <w:rPr>
          <w:rFonts w:hint="eastAsia" w:hAnsi="宋体" w:cs="宋体"/>
          <w:bCs/>
          <w:u w:val="single"/>
        </w:rPr>
        <w:t xml:space="preserve">                              </w:t>
      </w:r>
    </w:p>
    <w:p w14:paraId="02770224">
      <w:pPr>
        <w:pStyle w:val="12"/>
        <w:spacing w:line="320" w:lineRule="exact"/>
        <w:ind w:firstLine="420"/>
        <w:rPr>
          <w:rFonts w:hint="eastAsia" w:hAnsi="宋体" w:cs="宋体"/>
          <w:u w:val="single"/>
        </w:rPr>
      </w:pPr>
      <w:r>
        <w:rPr>
          <w:rFonts w:hint="eastAsia" w:hAnsi="宋体" w:cs="宋体"/>
        </w:rPr>
        <w:t>法定代表人、负责人、自然人或相应的委托代理人签字[或盖章(CA签章)]（属自然人的应在签名处加盖大拇指指印或个人CA签章）：</w:t>
      </w:r>
      <w:r>
        <w:rPr>
          <w:rFonts w:hint="eastAsia" w:hAnsi="宋体" w:cs="宋体"/>
          <w:u w:val="single"/>
        </w:rPr>
        <w:t xml:space="preserve">              </w:t>
      </w:r>
    </w:p>
    <w:p w14:paraId="385BBB51">
      <w:pPr>
        <w:ind w:firstLine="420" w:firstLineChars="200"/>
        <w:rPr>
          <w:rFonts w:hint="eastAsia" w:ascii="宋体" w:hAnsi="宋体" w:cs="宋体"/>
          <w:szCs w:val="21"/>
          <w:u w:val="single"/>
        </w:rPr>
      </w:pPr>
      <w:r>
        <w:rPr>
          <w:rFonts w:hint="eastAsia" w:ascii="宋体" w:hAnsi="宋体" w:cs="宋体"/>
          <w:bCs/>
          <w:szCs w:val="21"/>
        </w:rPr>
        <w:t>响应</w:t>
      </w:r>
      <w:r>
        <w:rPr>
          <w:rFonts w:hint="eastAsia" w:ascii="宋体" w:hAnsi="宋体" w:cs="宋体"/>
          <w:szCs w:val="21"/>
        </w:rPr>
        <w:t>日期：</w:t>
      </w:r>
      <w:r>
        <w:rPr>
          <w:rFonts w:hint="eastAsia" w:ascii="宋体" w:hAnsi="宋体" w:cs="宋体"/>
          <w:szCs w:val="21"/>
          <w:u w:val="single"/>
        </w:rPr>
        <w:t xml:space="preserve">                              </w:t>
      </w:r>
    </w:p>
    <w:p w14:paraId="20EE3E09">
      <w:pPr>
        <w:pStyle w:val="8"/>
        <w:rPr>
          <w:rFonts w:hint="eastAsia"/>
        </w:rPr>
      </w:pPr>
    </w:p>
    <w:p w14:paraId="643D7A85">
      <w:pPr>
        <w:pStyle w:val="12"/>
        <w:spacing w:line="320" w:lineRule="exact"/>
        <w:ind w:firstLine="420"/>
        <w:rPr>
          <w:rFonts w:hint="eastAsia" w:hAnsi="宋体" w:cs="宋体"/>
          <w:bCs/>
        </w:rPr>
      </w:pPr>
      <w:r>
        <w:rPr>
          <w:rFonts w:hint="eastAsia" w:hAnsi="宋体" w:cs="宋体"/>
          <w:bCs/>
        </w:rPr>
        <w:t>注：1.未按照本响应函（格式）要求填报的响应函将被视为非实质性响应询价通知书要求，从而导致该响应被拒绝。</w:t>
      </w:r>
    </w:p>
    <w:p w14:paraId="5BDDCBE7">
      <w:pPr>
        <w:pStyle w:val="12"/>
        <w:spacing w:line="320" w:lineRule="exact"/>
        <w:ind w:firstLine="800" w:firstLineChars="400"/>
        <w:rPr>
          <w:rFonts w:hint="eastAsia" w:hAnsi="宋体" w:cs="宋体"/>
          <w:b/>
          <w:bCs/>
        </w:rPr>
        <w:sectPr>
          <w:pgSz w:w="11906" w:h="16838"/>
          <w:pgMar w:top="1440" w:right="935" w:bottom="1440" w:left="779" w:header="851" w:footer="992" w:gutter="0"/>
          <w:pgNumType w:fmt="decimal"/>
          <w:cols w:space="720" w:num="1"/>
          <w:docGrid w:type="linesAndChars" w:linePitch="312" w:charSpace="0"/>
        </w:sectPr>
      </w:pPr>
      <w:r>
        <w:rPr>
          <w:rFonts w:hint="eastAsia" w:hAnsi="宋体" w:cs="宋体"/>
          <w:bCs/>
        </w:rPr>
        <w:t>2.响应函须由法定代表人（负责人/自然人）或委托代理人签字或CA个人签章并加盖供应商公章（自然人签字并加盖大拇指指印或个人CA签</w:t>
      </w:r>
    </w:p>
    <w:p w14:paraId="174DC378">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eastAsia="宋体" w:cs="Times New Roman"/>
          <w:b/>
          <w:kern w:val="0"/>
          <w:sz w:val="32"/>
          <w:szCs w:val="21"/>
          <w:lang w:val="en-US" w:eastAsia="zh-CN" w:bidi="ar-SA"/>
        </w:rPr>
        <w:t>竞  标  报  价  表</w:t>
      </w:r>
    </w:p>
    <w:p w14:paraId="70FF471F">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3A21ABF7">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A8EC930">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5BF6713">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895"/>
        <w:gridCol w:w="839"/>
        <w:gridCol w:w="1095"/>
        <w:gridCol w:w="780"/>
        <w:gridCol w:w="1155"/>
      </w:tblGrid>
      <w:tr w14:paraId="25667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14C594BB">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F2016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069614E">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753257D8">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85F411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6C4CEB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1D13FA55">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6BBC84B3">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6433FA52">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B22983D">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3F9EAC3">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单价</w:t>
            </w:r>
          </w:p>
          <w:p w14:paraId="3AB0E4DD">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②</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F26F8CF">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竞标报价③=①×②</w:t>
            </w:r>
          </w:p>
        </w:tc>
      </w:tr>
      <w:tr w14:paraId="64903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7D520676">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1EE0C7">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3F94DFB">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8E82D98">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E72D98">
            <w:pPr>
              <w:spacing w:line="360" w:lineRule="auto"/>
              <w:jc w:val="center"/>
              <w:rPr>
                <w:rFonts w:hint="eastAsia"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2946101">
            <w:pPr>
              <w:spacing w:line="360" w:lineRule="auto"/>
              <w:jc w:val="center"/>
              <w:rPr>
                <w:rFonts w:hint="eastAsia" w:ascii="宋体" w:hAnsi="宋体" w:cs="仿宋_GB2312"/>
                <w:color w:val="auto"/>
                <w:sz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top"/>
          </w:tcPr>
          <w:p w14:paraId="71B165AE">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A2C22D">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4E46DC6">
            <w:pPr>
              <w:spacing w:line="360" w:lineRule="auto"/>
              <w:jc w:val="center"/>
              <w:rPr>
                <w:rFonts w:hint="eastAsia" w:ascii="宋体" w:hAnsi="宋体" w:cs="仿宋_GB2312"/>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1803903">
            <w:pPr>
              <w:spacing w:line="360" w:lineRule="auto"/>
              <w:jc w:val="center"/>
              <w:rPr>
                <w:rFonts w:hint="eastAsia" w:ascii="宋体" w:hAnsi="宋体" w:cs="仿宋_GB2312"/>
                <w:color w:val="auto"/>
                <w:sz w:val="24"/>
                <w:highlight w:val="none"/>
              </w:rPr>
            </w:pPr>
          </w:p>
        </w:tc>
      </w:tr>
      <w:tr w14:paraId="662BD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1E3131B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35D239">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E990CDE">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ACF75DE">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000ACB">
            <w:pPr>
              <w:spacing w:line="360" w:lineRule="auto"/>
              <w:jc w:val="center"/>
              <w:rPr>
                <w:rFonts w:hint="eastAsia"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ED0AFAE">
            <w:pPr>
              <w:spacing w:line="360" w:lineRule="auto"/>
              <w:jc w:val="center"/>
              <w:rPr>
                <w:rFonts w:hint="eastAsia" w:ascii="宋体" w:hAnsi="宋体" w:cs="仿宋_GB2312"/>
                <w:color w:val="auto"/>
                <w:sz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top"/>
          </w:tcPr>
          <w:p w14:paraId="41CCD8D8">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25D29E8">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4B5BF20">
            <w:pPr>
              <w:spacing w:line="360" w:lineRule="auto"/>
              <w:jc w:val="center"/>
              <w:rPr>
                <w:rFonts w:hint="eastAsia" w:ascii="宋体" w:hAnsi="宋体" w:cs="仿宋_GB2312"/>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8C9A585">
            <w:pPr>
              <w:spacing w:line="360" w:lineRule="auto"/>
              <w:jc w:val="center"/>
              <w:rPr>
                <w:rFonts w:hint="eastAsia" w:ascii="宋体" w:hAnsi="宋体" w:cs="仿宋_GB2312"/>
                <w:color w:val="auto"/>
                <w:sz w:val="24"/>
                <w:highlight w:val="none"/>
              </w:rPr>
            </w:pPr>
          </w:p>
        </w:tc>
      </w:tr>
      <w:tr w14:paraId="1D86D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6C2D0602">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8DB412E">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D51F5AE">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2359A6A">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D9848A8">
            <w:pPr>
              <w:spacing w:line="360" w:lineRule="auto"/>
              <w:jc w:val="center"/>
              <w:rPr>
                <w:rFonts w:hint="eastAsia"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7BB63F0">
            <w:pPr>
              <w:spacing w:line="360" w:lineRule="auto"/>
              <w:jc w:val="center"/>
              <w:rPr>
                <w:rFonts w:hint="eastAsia" w:ascii="宋体" w:hAnsi="宋体" w:cs="仿宋_GB2312"/>
                <w:color w:val="auto"/>
                <w:sz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top"/>
          </w:tcPr>
          <w:p w14:paraId="10CFB386">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2959BF2">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841E885">
            <w:pPr>
              <w:spacing w:line="360" w:lineRule="auto"/>
              <w:jc w:val="center"/>
              <w:rPr>
                <w:rFonts w:hint="eastAsia" w:ascii="宋体" w:hAnsi="宋体" w:cs="仿宋_GB2312"/>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CB641B3">
            <w:pPr>
              <w:spacing w:line="360" w:lineRule="auto"/>
              <w:jc w:val="center"/>
              <w:rPr>
                <w:rFonts w:hint="eastAsia" w:ascii="宋体" w:hAnsi="宋体" w:cs="仿宋_GB2312"/>
                <w:color w:val="auto"/>
                <w:sz w:val="24"/>
                <w:highlight w:val="none"/>
              </w:rPr>
            </w:pPr>
          </w:p>
        </w:tc>
      </w:tr>
      <w:tr w14:paraId="59A37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376" w:type="dxa"/>
            <w:gridSpan w:val="10"/>
            <w:tcBorders>
              <w:top w:val="single" w:color="auto" w:sz="4" w:space="0"/>
              <w:left w:val="single" w:color="auto" w:sz="4" w:space="0"/>
              <w:bottom w:val="single" w:color="auto" w:sz="4" w:space="0"/>
              <w:right w:val="single" w:color="auto" w:sz="4" w:space="0"/>
            </w:tcBorders>
            <w:noWrap w:val="0"/>
            <w:vAlign w:val="top"/>
          </w:tcPr>
          <w:p w14:paraId="7DCECE58">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color w:val="auto"/>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p w14:paraId="74D7E849">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3BA7283C">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72C4DF83">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w:t>
      </w:r>
      <w:r>
        <w:rPr>
          <w:rFonts w:hint="eastAsia" w:ascii="宋体" w:hAnsi="宋体"/>
          <w:color w:val="auto"/>
          <w:sz w:val="24"/>
          <w:highlight w:val="none"/>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cs="仿宋_GB2312"/>
          <w:b/>
          <w:color w:val="auto"/>
          <w:sz w:val="24"/>
          <w:highlight w:val="none"/>
        </w:rPr>
        <w:t>其响应文件按无效处理</w:t>
      </w:r>
      <w:r>
        <w:rPr>
          <w:rFonts w:hint="eastAsia" w:ascii="宋体" w:hAnsi="宋体"/>
          <w:b/>
          <w:color w:val="auto"/>
          <w:sz w:val="24"/>
          <w:highlight w:val="none"/>
        </w:rPr>
        <w:t>。</w:t>
      </w:r>
    </w:p>
    <w:p w14:paraId="5630B810">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962AC4B">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3C979ED2">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6D8663B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137FD33A">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886D6DF">
      <w:pPr>
        <w:spacing w:line="360" w:lineRule="auto"/>
        <w:ind w:right="-817" w:rightChars="-389"/>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日期：   年   月   日</w:t>
      </w:r>
    </w:p>
    <w:p w14:paraId="49AF8556">
      <w:pPr>
        <w:tabs>
          <w:tab w:val="left" w:pos="3479"/>
        </w:tabs>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bookmarkStart w:id="69" w:name="_Toc71366061"/>
      <w:bookmarkStart w:id="70" w:name="_Toc71365383"/>
      <w:r>
        <w:rPr>
          <w:rFonts w:hint="eastAsia" w:ascii="宋体" w:hAnsi="宋体" w:eastAsia="宋体" w:cs="Times New Roman"/>
          <w:b/>
          <w:kern w:val="0"/>
          <w:sz w:val="32"/>
          <w:szCs w:val="21"/>
          <w:lang w:val="en-US" w:eastAsia="zh-CN" w:bidi="ar-SA"/>
        </w:rPr>
        <w:t>中小企业声明函</w:t>
      </w:r>
      <w:bookmarkEnd w:id="69"/>
      <w:bookmarkEnd w:id="70"/>
    </w:p>
    <w:p w14:paraId="733567BB">
      <w:pPr>
        <w:rPr>
          <w:rFonts w:hint="eastAsia"/>
          <w:color w:val="auto"/>
          <w:highlight w:val="none"/>
        </w:rPr>
      </w:pPr>
    </w:p>
    <w:p w14:paraId="603D073E">
      <w:pPr>
        <w:pStyle w:val="8"/>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2AD57E32">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73427A7A">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3B8660A6">
      <w:pPr>
        <w:pStyle w:val="8"/>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673DDF53">
      <w:pPr>
        <w:pStyle w:val="8"/>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C4A3A3F">
      <w:pPr>
        <w:pStyle w:val="8"/>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7E958E7">
      <w:pPr>
        <w:pStyle w:val="8"/>
        <w:spacing w:after="0" w:line="360" w:lineRule="auto"/>
        <w:ind w:left="3960" w:right="1808"/>
        <w:contextualSpacing/>
        <w:rPr>
          <w:rFonts w:hint="eastAsia" w:ascii="宋体" w:hAnsi="宋体"/>
          <w:color w:val="auto"/>
          <w:sz w:val="24"/>
          <w:highlight w:val="none"/>
        </w:rPr>
      </w:pPr>
    </w:p>
    <w:p w14:paraId="03A77366">
      <w:pPr>
        <w:pStyle w:val="8"/>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6048ADC6">
      <w:pPr>
        <w:pStyle w:val="8"/>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443B4642">
      <w:pPr>
        <w:pStyle w:val="8"/>
        <w:spacing w:after="0" w:line="360" w:lineRule="auto"/>
        <w:ind w:left="3960" w:right="1808"/>
        <w:contextualSpacing/>
        <w:rPr>
          <w:color w:val="auto"/>
          <w:highlight w:val="none"/>
        </w:rPr>
      </w:pPr>
    </w:p>
    <w:p w14:paraId="626450C3">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593291E">
      <w:pPr>
        <w:tabs>
          <w:tab w:val="left" w:pos="3479"/>
        </w:tabs>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宋体" w:hAnsi="宋体" w:eastAsia="宋体" w:cs="Times New Roman"/>
          <w:b/>
          <w:kern w:val="0"/>
          <w:sz w:val="32"/>
          <w:szCs w:val="21"/>
          <w:lang w:val="en-US" w:eastAsia="zh-CN" w:bidi="ar-SA"/>
        </w:rPr>
        <w:t>残疾人福利性单位声明函</w:t>
      </w:r>
    </w:p>
    <w:p w14:paraId="49352457">
      <w:pPr>
        <w:spacing w:line="520" w:lineRule="exact"/>
        <w:rPr>
          <w:rFonts w:hint="eastAsia" w:ascii="仿宋_GB2312" w:hAnsi="仿宋_GB2312" w:eastAsia="仿宋_GB2312" w:cs="仿宋_GB2312"/>
          <w:color w:val="auto"/>
          <w:sz w:val="32"/>
          <w:szCs w:val="32"/>
          <w:highlight w:val="none"/>
        </w:rPr>
      </w:pPr>
    </w:p>
    <w:p w14:paraId="2BDA14C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087ECF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D1C5BCA">
      <w:pPr>
        <w:spacing w:line="360" w:lineRule="auto"/>
        <w:contextualSpacing/>
        <w:rPr>
          <w:rFonts w:hint="eastAsia" w:ascii="宋体" w:hAnsi="宋体" w:cs="仿宋_GB2312"/>
          <w:color w:val="auto"/>
          <w:sz w:val="24"/>
          <w:highlight w:val="none"/>
        </w:rPr>
      </w:pPr>
    </w:p>
    <w:p w14:paraId="418019E3">
      <w:pPr>
        <w:spacing w:line="360" w:lineRule="auto"/>
        <w:contextualSpacing/>
        <w:rPr>
          <w:rFonts w:hint="eastAsia" w:ascii="宋体" w:hAnsi="宋体" w:cs="仿宋_GB2312"/>
          <w:color w:val="auto"/>
          <w:sz w:val="24"/>
          <w:highlight w:val="none"/>
        </w:rPr>
      </w:pPr>
    </w:p>
    <w:p w14:paraId="1773EEE0">
      <w:pPr>
        <w:spacing w:line="360" w:lineRule="auto"/>
        <w:contextualSpacing/>
        <w:rPr>
          <w:rFonts w:hint="eastAsia" w:ascii="宋体" w:hAnsi="宋体" w:cs="仿宋_GB2312"/>
          <w:color w:val="auto"/>
          <w:sz w:val="24"/>
          <w:highlight w:val="none"/>
        </w:rPr>
      </w:pPr>
    </w:p>
    <w:p w14:paraId="7E458936">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39346D35">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2EE4EE4">
      <w:pPr>
        <w:spacing w:line="360" w:lineRule="auto"/>
        <w:contextualSpacing/>
        <w:rPr>
          <w:rFonts w:hint="eastAsia" w:ascii="宋体" w:hAnsi="宋体" w:cs="仿宋_GB2312"/>
          <w:color w:val="auto"/>
          <w:sz w:val="24"/>
          <w:highlight w:val="none"/>
        </w:rPr>
      </w:pPr>
    </w:p>
    <w:p w14:paraId="55D69656">
      <w:pPr>
        <w:spacing w:line="360" w:lineRule="auto"/>
        <w:contextualSpacing/>
        <w:rPr>
          <w:rFonts w:hint="eastAsia" w:ascii="宋体" w:hAnsi="宋体" w:cs="仿宋_GB2312"/>
          <w:color w:val="auto"/>
          <w:sz w:val="24"/>
          <w:highlight w:val="none"/>
        </w:rPr>
      </w:pPr>
    </w:p>
    <w:p w14:paraId="09ABDDEE">
      <w:pPr>
        <w:spacing w:line="360" w:lineRule="auto"/>
        <w:contextualSpacing/>
        <w:rPr>
          <w:rFonts w:hint="eastAsia" w:ascii="宋体" w:hAnsi="宋体" w:cs="仿宋_GB2312"/>
          <w:color w:val="auto"/>
          <w:sz w:val="24"/>
          <w:highlight w:val="none"/>
        </w:rPr>
      </w:pPr>
    </w:p>
    <w:p w14:paraId="6031FDA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7270BA9">
      <w:pPr>
        <w:spacing w:line="360" w:lineRule="auto"/>
        <w:jc w:val="center"/>
        <w:rPr>
          <w:rFonts w:hint="eastAsia" w:ascii="方正小标宋简体" w:hAnsi="方正小标宋简体" w:eastAsia="方正小标宋简体" w:cs="方正小标宋简体"/>
          <w:color w:val="auto"/>
          <w:sz w:val="44"/>
          <w:szCs w:val="44"/>
          <w:highlight w:val="none"/>
        </w:rPr>
      </w:pPr>
    </w:p>
    <w:p w14:paraId="76C4C1D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7727111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1673434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3ABF654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49F5667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4D53265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7B288B8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46AD881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r>
        <w:rPr>
          <w:rStyle w:val="20"/>
          <w:rFonts w:hint="eastAsia" w:ascii="仿宋" w:hAnsi="仿宋" w:eastAsia="仿宋" w:cs="仿宋"/>
          <w:i w:val="0"/>
          <w:iCs w:val="0"/>
          <w:caps w:val="0"/>
          <w:color w:val="auto"/>
          <w:spacing w:val="0"/>
          <w:sz w:val="36"/>
          <w:szCs w:val="36"/>
          <w:highlight w:val="none"/>
          <w:shd w:val="clear" w:color="auto" w:fill="FFFFFF"/>
          <w:vertAlign w:val="baseline"/>
        </w:rPr>
        <w:t>关于符合本国产品标准的声明函</w:t>
      </w:r>
    </w:p>
    <w:p w14:paraId="123E93D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0"/>
          <w:rFonts w:hint="eastAsia" w:ascii="仿宋" w:hAnsi="仿宋" w:eastAsia="仿宋" w:cs="仿宋"/>
          <w:i w:val="0"/>
          <w:iCs w:val="0"/>
          <w:caps w:val="0"/>
          <w:color w:val="auto"/>
          <w:spacing w:val="0"/>
          <w:sz w:val="36"/>
          <w:szCs w:val="36"/>
          <w:highlight w:val="none"/>
          <w:shd w:val="clear" w:color="auto" w:fill="FFFFFF"/>
          <w:vertAlign w:val="baseline"/>
        </w:rPr>
      </w:pPr>
    </w:p>
    <w:p w14:paraId="08A9C5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2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AE8C4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2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1"/>
          <w:rFonts w:hint="eastAsia" w:ascii="宋体" w:hAnsi="宋体" w:eastAsia="宋体" w:cs="宋体"/>
          <w:i w:val="0"/>
          <w:iCs w:val="0"/>
          <w:caps w:val="0"/>
          <w:color w:val="auto"/>
          <w:spacing w:val="0"/>
          <w:sz w:val="24"/>
          <w:szCs w:val="24"/>
          <w:highlight w:val="none"/>
          <w:shd w:val="clear" w:color="auto" w:fill="FFFFFF"/>
          <w:vertAlign w:val="baseline"/>
        </w:rPr>
        <w:t>1</w:t>
      </w:r>
      <w:r>
        <w:rPr>
          <w:rFonts w:hint="eastAsia" w:ascii="宋体" w:hAnsi="宋体" w:eastAsia="宋体" w:cs="宋体"/>
          <w:i w:val="0"/>
          <w:iCs w:val="0"/>
          <w:caps w:val="0"/>
          <w:color w:val="auto"/>
          <w:spacing w:val="0"/>
          <w:sz w:val="24"/>
          <w:szCs w:val="24"/>
          <w:highlight w:val="none"/>
          <w:shd w:val="clear" w:color="auto" w:fill="FFFFFF"/>
          <w:vertAlign w:val="baseline"/>
        </w:rPr>
        <w:t>，生产厂为</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1"/>
          <w:rFonts w:hint="eastAsia" w:ascii="宋体" w:hAnsi="宋体" w:eastAsia="宋体" w:cs="宋体"/>
          <w:i w:val="0"/>
          <w:iCs w:val="0"/>
          <w:caps w:val="0"/>
          <w:color w:val="auto"/>
          <w:spacing w:val="0"/>
          <w:sz w:val="24"/>
          <w:szCs w:val="24"/>
          <w:highlight w:val="none"/>
          <w:shd w:val="clear" w:color="auto" w:fill="FFFFFF"/>
          <w:vertAlign w:val="baseline"/>
        </w:rPr>
        <w:t>2</w:t>
      </w:r>
      <w:r>
        <w:rPr>
          <w:rFonts w:hint="eastAsia" w:ascii="宋体" w:hAnsi="宋体" w:eastAsia="宋体" w:cs="宋体"/>
          <w:i w:val="0"/>
          <w:iCs w:val="0"/>
          <w:caps w:val="0"/>
          <w:color w:val="auto"/>
          <w:spacing w:val="0"/>
          <w:sz w:val="24"/>
          <w:szCs w:val="24"/>
          <w:highlight w:val="none"/>
          <w:shd w:val="clear" w:color="auto" w:fill="FFFFFF"/>
          <w:vertAlign w:val="baseline"/>
        </w:rPr>
        <w:t>，厂址为</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shd w:val="clear" w:color="auto" w:fill="FFFFFF"/>
          <w:vertAlign w:val="baseline"/>
        </w:rPr>
        <w:t>的中国境内生产的组件成本占比≥</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（规定比例）</w:t>
      </w:r>
      <w:r>
        <w:rPr>
          <w:rStyle w:val="21"/>
          <w:rFonts w:hint="eastAsia" w:ascii="宋体" w:hAnsi="宋体" w:eastAsia="宋体" w:cs="宋体"/>
          <w:i w:val="0"/>
          <w:iCs w:val="0"/>
          <w:caps w:val="0"/>
          <w:color w:val="auto"/>
          <w:spacing w:val="0"/>
          <w:sz w:val="24"/>
          <w:szCs w:val="24"/>
          <w:highlight w:val="none"/>
          <w:shd w:val="clear" w:color="auto" w:fill="FFFFFF"/>
          <w:vertAlign w:val="baseline"/>
        </w:rPr>
        <w:t>3</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shd w:val="clear" w:color="auto" w:fill="FFFFFF"/>
          <w:vertAlign w:val="baseline"/>
        </w:rPr>
        <w:t>的</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（关键组件）</w:t>
      </w:r>
      <w:r>
        <w:rPr>
          <w:rStyle w:val="21"/>
          <w:rFonts w:hint="eastAsia" w:ascii="宋体" w:hAnsi="宋体" w:eastAsia="宋体" w:cs="宋体"/>
          <w:i w:val="0"/>
          <w:iCs w:val="0"/>
          <w:caps w:val="0"/>
          <w:color w:val="auto"/>
          <w:spacing w:val="0"/>
          <w:sz w:val="24"/>
          <w:szCs w:val="24"/>
          <w:highlight w:val="none"/>
          <w:shd w:val="clear" w:color="auto" w:fill="FFFFFF"/>
          <w:vertAlign w:val="baseline"/>
        </w:rPr>
        <w:t>4</w:t>
      </w:r>
      <w:r>
        <w:rPr>
          <w:rFonts w:hint="eastAsia" w:ascii="宋体" w:hAnsi="宋体" w:eastAsia="宋体" w:cs="宋体"/>
          <w:i w:val="0"/>
          <w:iCs w:val="0"/>
          <w:caps w:val="0"/>
          <w:color w:val="auto"/>
          <w:spacing w:val="0"/>
          <w:sz w:val="24"/>
          <w:szCs w:val="24"/>
          <w:highlight w:val="none"/>
          <w:shd w:val="clear" w:color="auto" w:fill="FFFFFF"/>
          <w:vertAlign w:val="baseline"/>
        </w:rPr>
        <w:t>在中国境内生产。</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shd w:val="clear" w:color="auto" w:fill="FFFFFF"/>
          <w:vertAlign w:val="baseline"/>
        </w:rPr>
        <w:t>的</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（关键工序）</w:t>
      </w:r>
      <w:r>
        <w:rPr>
          <w:rStyle w:val="21"/>
          <w:rFonts w:hint="eastAsia" w:ascii="宋体" w:hAnsi="宋体" w:eastAsia="宋体" w:cs="宋体"/>
          <w:i w:val="0"/>
          <w:iCs w:val="0"/>
          <w:caps w:val="0"/>
          <w:color w:val="auto"/>
          <w:spacing w:val="0"/>
          <w:sz w:val="24"/>
          <w:szCs w:val="24"/>
          <w:highlight w:val="none"/>
          <w:shd w:val="clear" w:color="auto" w:fill="FFFFFF"/>
          <w:vertAlign w:val="baseline"/>
        </w:rPr>
        <w:t>5</w:t>
      </w:r>
      <w:r>
        <w:rPr>
          <w:rFonts w:hint="eastAsia" w:ascii="宋体" w:hAnsi="宋体" w:eastAsia="宋体" w:cs="宋体"/>
          <w:i w:val="0"/>
          <w:iCs w:val="0"/>
          <w:caps w:val="0"/>
          <w:color w:val="auto"/>
          <w:spacing w:val="0"/>
          <w:sz w:val="24"/>
          <w:szCs w:val="24"/>
          <w:highlight w:val="none"/>
          <w:shd w:val="clear" w:color="auto" w:fill="FFFFFF"/>
          <w:vertAlign w:val="baseline"/>
        </w:rPr>
        <w:t>在中国境内完成。</w:t>
      </w:r>
    </w:p>
    <w:p w14:paraId="21EE9B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2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shd w:val="clear" w:color="auto" w:fill="FFFFFF"/>
          <w:vertAlign w:val="baseline"/>
        </w:rPr>
        <w:t>，生产厂为</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shd w:val="clear" w:color="auto" w:fill="FFFFFF"/>
          <w:vertAlign w:val="baseline"/>
        </w:rPr>
        <w:t>，厂址为</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shd w:val="clear" w:color="auto" w:fill="FFFFFF"/>
          <w:vertAlign w:val="baseline"/>
        </w:rPr>
        <w:t>的中国境内生产的组件成本占比≥</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（规定比例）</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shd w:val="clear" w:color="auto" w:fill="FFFFFF"/>
          <w:vertAlign w:val="baseline"/>
        </w:rPr>
        <w:t>的</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（关键组件）</w:t>
      </w:r>
      <w:r>
        <w:rPr>
          <w:rFonts w:hint="eastAsia" w:ascii="宋体" w:hAnsi="宋体" w:eastAsia="宋体" w:cs="宋体"/>
          <w:i w:val="0"/>
          <w:iCs w:val="0"/>
          <w:caps w:val="0"/>
          <w:color w:val="auto"/>
          <w:spacing w:val="0"/>
          <w:sz w:val="24"/>
          <w:szCs w:val="24"/>
          <w:highlight w:val="none"/>
          <w:shd w:val="clear" w:color="auto" w:fill="FFFFFF"/>
          <w:vertAlign w:val="baseline"/>
        </w:rPr>
        <w:t>在中国境内生产。</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shd w:val="clear" w:color="auto" w:fill="FFFFFF"/>
          <w:vertAlign w:val="baseline"/>
        </w:rPr>
        <w:t>的</w:t>
      </w:r>
      <w:r>
        <w:rPr>
          <w:rStyle w:val="21"/>
          <w:rFonts w:hint="eastAsia" w:ascii="宋体" w:hAnsi="宋体" w:eastAsia="宋体" w:cs="宋体"/>
          <w:i w:val="0"/>
          <w:iCs w:val="0"/>
          <w:caps w:val="0"/>
          <w:color w:val="auto"/>
          <w:spacing w:val="0"/>
          <w:sz w:val="24"/>
          <w:szCs w:val="24"/>
          <w:highlight w:val="none"/>
          <w:u w:val="single"/>
          <w:shd w:val="clear" w:color="auto" w:fill="FFFFFF"/>
          <w:vertAlign w:val="baseline"/>
        </w:rPr>
        <w:t>（关键工序）</w:t>
      </w:r>
      <w:r>
        <w:rPr>
          <w:rFonts w:hint="eastAsia" w:ascii="宋体" w:hAnsi="宋体" w:eastAsia="宋体" w:cs="宋体"/>
          <w:i w:val="0"/>
          <w:iCs w:val="0"/>
          <w:caps w:val="0"/>
          <w:color w:val="auto"/>
          <w:spacing w:val="0"/>
          <w:sz w:val="24"/>
          <w:szCs w:val="24"/>
          <w:highlight w:val="none"/>
          <w:shd w:val="clear" w:color="auto" w:fill="FFFFFF"/>
          <w:vertAlign w:val="baseline"/>
        </w:rPr>
        <w:t>在中国境内完成。</w:t>
      </w:r>
    </w:p>
    <w:p w14:paraId="4F89A5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2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632A186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2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212F9D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20" w:lineRule="atLeast"/>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66A645F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2B8F609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771FDB4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__________________</w:t>
      </w:r>
    </w:p>
    <w:p w14:paraId="056B00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1.产品如有型号，请在“产品名称”栏一并填写。</w:t>
      </w:r>
    </w:p>
    <w:p w14:paraId="3214CE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2.生产厂名与厂址应与生产厂营业执照载明的相关信息保持一致。</w:t>
      </w:r>
    </w:p>
    <w:p w14:paraId="44D248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3.该产品的中国境内生产的组件成本占比相关要求实施前，“规定比例”栏可不填，下同。</w:t>
      </w:r>
    </w:p>
    <w:p w14:paraId="4BD643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4.该产品的关键组件要求实施前，“关键组件”栏可不填，下同。</w:t>
      </w:r>
    </w:p>
    <w:p w14:paraId="7DE778E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方正小标宋简体" w:hAnsi="方正小标宋简体" w:eastAsia="方正小标宋简体" w:cs="方正小标宋简体"/>
          <w:color w:val="auto"/>
          <w:sz w:val="44"/>
          <w:szCs w:val="44"/>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5.该产品的关键工序要求实施前，“关键工序”栏可不填，下同。</w:t>
      </w:r>
    </w:p>
    <w:p w14:paraId="6D657957">
      <w:pPr>
        <w:spacing w:line="360" w:lineRule="auto"/>
        <w:ind w:right="-817" w:rightChars="-389"/>
        <w:contextualSpacing/>
        <w:rPr>
          <w:rFonts w:hint="eastAsia" w:ascii="宋体" w:hAnsi="宋体"/>
          <w:b/>
          <w:bCs/>
          <w:color w:val="auto"/>
          <w:sz w:val="32"/>
          <w:szCs w:val="32"/>
          <w:highlight w:val="none"/>
        </w:rPr>
      </w:pPr>
    </w:p>
    <w:p w14:paraId="51F19C65">
      <w:pPr>
        <w:spacing w:line="360" w:lineRule="auto"/>
        <w:ind w:right="-817" w:rightChars="-389"/>
        <w:contextualSpacing/>
        <w:rPr>
          <w:rFonts w:hint="eastAsia" w:ascii="宋体" w:hAnsi="宋体"/>
          <w:b/>
          <w:bCs/>
          <w:color w:val="auto"/>
          <w:sz w:val="32"/>
          <w:szCs w:val="32"/>
          <w:highlight w:val="none"/>
        </w:rPr>
      </w:pPr>
    </w:p>
    <w:p w14:paraId="59B8BCE0">
      <w:pPr>
        <w:spacing w:line="360" w:lineRule="auto"/>
        <w:ind w:right="-817" w:rightChars="-389"/>
        <w:contextualSpacing/>
        <w:rPr>
          <w:rFonts w:hint="eastAsia" w:ascii="宋体" w:hAnsi="宋体"/>
          <w:b/>
          <w:bCs/>
          <w:color w:val="auto"/>
          <w:sz w:val="32"/>
          <w:szCs w:val="32"/>
          <w:highlight w:val="none"/>
        </w:rPr>
      </w:pPr>
    </w:p>
    <w:p w14:paraId="03C5CEA9">
      <w:pPr>
        <w:spacing w:line="360" w:lineRule="auto"/>
        <w:ind w:right="-817" w:rightChars="-389"/>
        <w:contextualSpacing/>
        <w:rPr>
          <w:rFonts w:hint="eastAsia" w:ascii="宋体" w:hAnsi="宋体"/>
          <w:b/>
          <w:bCs/>
          <w:color w:val="auto"/>
          <w:sz w:val="32"/>
          <w:szCs w:val="32"/>
          <w:highlight w:val="none"/>
        </w:rPr>
      </w:pPr>
    </w:p>
    <w:p w14:paraId="2CC2C3A3">
      <w:pPr>
        <w:spacing w:line="360" w:lineRule="auto"/>
        <w:ind w:right="-817" w:rightChars="-389"/>
        <w:contextualSpacing/>
        <w:rPr>
          <w:rFonts w:hint="eastAsia" w:ascii="宋体" w:hAnsi="宋体"/>
          <w:b/>
          <w:bCs/>
          <w:color w:val="auto"/>
          <w:sz w:val="32"/>
          <w:szCs w:val="32"/>
          <w:highlight w:val="none"/>
        </w:rPr>
      </w:pPr>
    </w:p>
    <w:p w14:paraId="33701916">
      <w:pPr>
        <w:spacing w:line="360" w:lineRule="auto"/>
        <w:ind w:right="-817" w:rightChars="-389"/>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324908DC">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03E29D43">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67AB93B">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040D6ACA">
      <w:pPr>
        <w:snapToGrid w:val="0"/>
        <w:spacing w:before="120" w:beforeLines="50" w:after="50"/>
        <w:rPr>
          <w:rFonts w:hint="eastAsia" w:ascii="宋体" w:hAnsi="宋体"/>
          <w:color w:val="auto"/>
          <w:sz w:val="24"/>
          <w:szCs w:val="20"/>
          <w:highlight w:val="none"/>
        </w:rPr>
      </w:pPr>
    </w:p>
    <w:p w14:paraId="3A22AD32">
      <w:pPr>
        <w:snapToGrid w:val="0"/>
        <w:spacing w:before="120" w:beforeLines="50" w:after="50"/>
        <w:rPr>
          <w:rFonts w:hint="eastAsia" w:ascii="宋体" w:hAnsi="宋体"/>
          <w:color w:val="auto"/>
          <w:sz w:val="24"/>
          <w:szCs w:val="20"/>
          <w:highlight w:val="none"/>
        </w:rPr>
      </w:pPr>
    </w:p>
    <w:p w14:paraId="0513FC6D">
      <w:pPr>
        <w:tabs>
          <w:tab w:val="left" w:pos="3479"/>
        </w:tabs>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宋体" w:hAnsi="宋体" w:eastAsia="宋体" w:cs="Times New Roman"/>
          <w:b/>
          <w:kern w:val="0"/>
          <w:sz w:val="32"/>
          <w:szCs w:val="21"/>
          <w:lang w:val="en-US" w:eastAsia="zh-CN" w:bidi="ar-SA"/>
        </w:rPr>
        <w:t>商  务  技  术  文  件</w:t>
      </w:r>
    </w:p>
    <w:p w14:paraId="77FFD542">
      <w:pPr>
        <w:snapToGrid w:val="0"/>
        <w:spacing w:before="120" w:beforeLines="50" w:after="50"/>
        <w:rPr>
          <w:rFonts w:hint="eastAsia" w:ascii="宋体" w:hAnsi="宋体"/>
          <w:bCs/>
          <w:color w:val="auto"/>
          <w:sz w:val="24"/>
          <w:szCs w:val="20"/>
          <w:highlight w:val="none"/>
        </w:rPr>
      </w:pPr>
    </w:p>
    <w:p w14:paraId="3EAE26AC">
      <w:pPr>
        <w:snapToGrid w:val="0"/>
        <w:spacing w:before="120" w:beforeLines="50" w:after="50"/>
        <w:rPr>
          <w:rFonts w:hint="eastAsia" w:ascii="宋体" w:hAnsi="宋体"/>
          <w:bCs/>
          <w:color w:val="auto"/>
          <w:sz w:val="24"/>
          <w:szCs w:val="20"/>
          <w:highlight w:val="none"/>
        </w:rPr>
      </w:pPr>
    </w:p>
    <w:p w14:paraId="27AB327F">
      <w:pPr>
        <w:snapToGrid w:val="0"/>
        <w:spacing w:before="120" w:beforeLines="50" w:after="50"/>
        <w:rPr>
          <w:rFonts w:hint="eastAsia" w:ascii="宋体" w:hAnsi="宋体"/>
          <w:bCs/>
          <w:color w:val="auto"/>
          <w:sz w:val="24"/>
          <w:szCs w:val="20"/>
          <w:highlight w:val="none"/>
        </w:rPr>
      </w:pPr>
    </w:p>
    <w:p w14:paraId="4C306093">
      <w:pPr>
        <w:snapToGrid w:val="0"/>
        <w:spacing w:before="120" w:beforeLines="50" w:after="50"/>
        <w:rPr>
          <w:rFonts w:hint="eastAsia" w:ascii="宋体" w:hAnsi="宋体"/>
          <w:bCs/>
          <w:color w:val="auto"/>
          <w:sz w:val="24"/>
          <w:szCs w:val="20"/>
          <w:highlight w:val="none"/>
        </w:rPr>
      </w:pPr>
    </w:p>
    <w:p w14:paraId="543E3D04">
      <w:pPr>
        <w:snapToGrid w:val="0"/>
        <w:spacing w:before="120" w:beforeLines="50" w:after="50"/>
        <w:rPr>
          <w:rFonts w:hint="eastAsia" w:ascii="宋体" w:hAnsi="宋体"/>
          <w:bCs/>
          <w:color w:val="auto"/>
          <w:sz w:val="24"/>
          <w:szCs w:val="20"/>
          <w:highlight w:val="none"/>
        </w:rPr>
      </w:pPr>
    </w:p>
    <w:p w14:paraId="7230362E">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3E3B7D2">
      <w:pPr>
        <w:snapToGrid w:val="0"/>
        <w:spacing w:before="120" w:beforeLines="50" w:after="50"/>
        <w:ind w:firstLine="720" w:firstLineChars="225"/>
        <w:rPr>
          <w:rFonts w:hint="eastAsia" w:ascii="宋体" w:hAnsi="宋体" w:cs="仿宋_GB2312"/>
          <w:bCs/>
          <w:color w:val="auto"/>
          <w:sz w:val="32"/>
          <w:szCs w:val="32"/>
          <w:highlight w:val="none"/>
        </w:rPr>
      </w:pPr>
    </w:p>
    <w:p w14:paraId="093F795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ACF9A73">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4C2C208">
      <w:pPr>
        <w:pStyle w:val="4"/>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3DFA721">
      <w:pPr>
        <w:pStyle w:val="4"/>
        <w:snapToGrid w:val="0"/>
        <w:spacing w:before="50" w:after="50"/>
        <w:ind w:firstLine="640" w:firstLineChars="200"/>
        <w:rPr>
          <w:rFonts w:hint="eastAsia" w:ascii="宋体" w:hAnsi="宋体" w:cs="仿宋_GB2312"/>
          <w:bCs/>
          <w:color w:val="auto"/>
          <w:sz w:val="32"/>
          <w:szCs w:val="32"/>
          <w:highlight w:val="none"/>
        </w:rPr>
      </w:pPr>
    </w:p>
    <w:p w14:paraId="0D2F6BAF">
      <w:pPr>
        <w:pStyle w:val="4"/>
        <w:snapToGrid w:val="0"/>
        <w:spacing w:before="50" w:after="50"/>
        <w:ind w:firstLine="720" w:firstLineChars="225"/>
        <w:rPr>
          <w:rFonts w:hint="eastAsia" w:ascii="宋体" w:hAnsi="宋体" w:cs="仿宋_GB2312"/>
          <w:bCs/>
          <w:color w:val="auto"/>
          <w:sz w:val="32"/>
          <w:szCs w:val="32"/>
          <w:highlight w:val="none"/>
        </w:rPr>
      </w:pPr>
    </w:p>
    <w:p w14:paraId="43FE7AF0">
      <w:pPr>
        <w:pStyle w:val="4"/>
        <w:snapToGrid w:val="0"/>
        <w:spacing w:before="50" w:after="50"/>
        <w:ind w:firstLine="0"/>
        <w:rPr>
          <w:rFonts w:hint="eastAsia" w:ascii="宋体" w:hAnsi="宋体" w:cs="仿宋_GB2312"/>
          <w:bCs/>
          <w:color w:val="auto"/>
          <w:sz w:val="32"/>
          <w:szCs w:val="32"/>
          <w:highlight w:val="none"/>
        </w:rPr>
      </w:pPr>
    </w:p>
    <w:p w14:paraId="1637F320">
      <w:pPr>
        <w:pStyle w:val="4"/>
        <w:snapToGrid w:val="0"/>
        <w:spacing w:before="50" w:after="50"/>
        <w:ind w:firstLine="1280" w:firstLineChars="400"/>
        <w:rPr>
          <w:rFonts w:hint="eastAsia" w:ascii="宋体" w:hAnsi="宋体" w:cs="仿宋_GB2312"/>
          <w:bCs/>
          <w:color w:val="auto"/>
          <w:sz w:val="32"/>
          <w:szCs w:val="32"/>
          <w:highlight w:val="none"/>
        </w:rPr>
      </w:pPr>
    </w:p>
    <w:p w14:paraId="64676FCF">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0E9E5D9">
      <w:pPr>
        <w:snapToGrid w:val="0"/>
        <w:spacing w:before="120"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4E718B2D">
      <w:pP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6BF55E5B">
      <w:pPr>
        <w:spacing w:line="400" w:lineRule="exact"/>
        <w:rPr>
          <w:rFonts w:hint="eastAsia" w:ascii="仿宋_GB2312" w:hAnsi="仿宋_GB2312" w:eastAsia="仿宋_GB2312" w:cs="仿宋_GB2312"/>
          <w:color w:val="auto"/>
          <w:sz w:val="32"/>
          <w:szCs w:val="32"/>
          <w:highlight w:val="none"/>
        </w:rPr>
      </w:pPr>
    </w:p>
    <w:p w14:paraId="61FA666D">
      <w:pPr>
        <w:tabs>
          <w:tab w:val="left" w:pos="3479"/>
        </w:tabs>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Times New Roman"/>
          <w:b/>
          <w:kern w:val="0"/>
          <w:sz w:val="32"/>
          <w:szCs w:val="21"/>
          <w:lang w:val="en-US" w:eastAsia="zh-CN" w:bidi="ar-SA"/>
        </w:rPr>
        <w:t>无串通竞标行为的承诺函</w:t>
      </w:r>
    </w:p>
    <w:p w14:paraId="0CC711B9">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D0D053A">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FCB0A1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6C246A2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FE103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451496D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5DD8AAA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3E29C0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43145C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55BF7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237798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03AA43A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3A51082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461A66C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2F8C69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336FA04E">
      <w:pPr>
        <w:spacing w:line="360" w:lineRule="auto"/>
        <w:ind w:firstLine="480" w:firstLineChars="200"/>
        <w:contextualSpacing/>
        <w:rPr>
          <w:rFonts w:hint="eastAsia" w:ascii="宋体" w:hAnsi="宋体" w:cs="仿宋_GB2312"/>
          <w:color w:val="auto"/>
          <w:sz w:val="24"/>
          <w:highlight w:val="none"/>
        </w:rPr>
      </w:pPr>
    </w:p>
    <w:p w14:paraId="4F0CBE25">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55DFD415">
      <w:pPr>
        <w:spacing w:line="360" w:lineRule="auto"/>
        <w:ind w:firstLine="480" w:firstLineChars="200"/>
        <w:contextualSpacing/>
        <w:rPr>
          <w:rFonts w:hint="eastAsia" w:ascii="宋体" w:hAnsi="宋体" w:cs="仿宋_GB2312"/>
          <w:color w:val="auto"/>
          <w:sz w:val="24"/>
          <w:highlight w:val="none"/>
        </w:rPr>
      </w:pPr>
    </w:p>
    <w:p w14:paraId="6068E5F8">
      <w:pPr>
        <w:spacing w:line="360" w:lineRule="auto"/>
        <w:contextualSpacing/>
        <w:rPr>
          <w:rFonts w:hint="eastAsia" w:ascii="宋体" w:hAnsi="宋体" w:cs="仿宋_GB2312"/>
          <w:color w:val="auto"/>
          <w:sz w:val="24"/>
          <w:highlight w:val="none"/>
        </w:rPr>
      </w:pPr>
    </w:p>
    <w:p w14:paraId="7DFE5168">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16F3A07">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303EC58">
      <w:pPr>
        <w:spacing w:line="360" w:lineRule="auto"/>
        <w:ind w:firstLine="640" w:firstLineChars="200"/>
        <w:contextualSpacing/>
        <w:jc w:val="center"/>
        <w:rPr>
          <w:rFonts w:hint="eastAsia" w:ascii="宋体" w:hAnsi="宋体" w:cs="仿宋_GB2312"/>
          <w:color w:val="auto"/>
          <w:sz w:val="32"/>
          <w:szCs w:val="32"/>
          <w:highlight w:val="none"/>
        </w:rPr>
      </w:pPr>
    </w:p>
    <w:p w14:paraId="2D15A018">
      <w:pPr>
        <w:tabs>
          <w:tab w:val="left" w:pos="3479"/>
        </w:tabs>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Times New Roman"/>
          <w:b/>
          <w:kern w:val="0"/>
          <w:sz w:val="32"/>
          <w:szCs w:val="21"/>
          <w:lang w:val="en-US" w:eastAsia="zh-CN" w:bidi="ar-SA"/>
        </w:rPr>
        <w:t>法定代表人证明书</w:t>
      </w:r>
    </w:p>
    <w:p w14:paraId="7F91B380">
      <w:pPr>
        <w:spacing w:line="360" w:lineRule="auto"/>
        <w:ind w:left="540"/>
        <w:contextualSpacing/>
        <w:rPr>
          <w:rFonts w:hint="eastAsia" w:ascii="仿宋_GB2312" w:hAnsi="仿宋_GB2312" w:eastAsia="仿宋_GB2312" w:cs="仿宋_GB2312"/>
          <w:color w:val="auto"/>
          <w:sz w:val="32"/>
          <w:szCs w:val="32"/>
          <w:highlight w:val="none"/>
        </w:rPr>
      </w:pPr>
    </w:p>
    <w:p w14:paraId="335EBF9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3200EB9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938772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7A4635F">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BB3FB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7BE196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7FBB0A9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30C0CC21">
      <w:pPr>
        <w:spacing w:line="360" w:lineRule="auto"/>
        <w:ind w:left="540"/>
        <w:contextualSpacing/>
        <w:rPr>
          <w:rFonts w:hint="eastAsia" w:ascii="宋体" w:hAnsi="宋体" w:cs="仿宋_GB2312"/>
          <w:color w:val="auto"/>
          <w:sz w:val="24"/>
          <w:highlight w:val="none"/>
        </w:rPr>
      </w:pPr>
    </w:p>
    <w:p w14:paraId="1195DF87">
      <w:pPr>
        <w:spacing w:line="360" w:lineRule="auto"/>
        <w:ind w:left="540"/>
        <w:contextualSpacing/>
        <w:rPr>
          <w:rFonts w:hint="eastAsia" w:ascii="宋体" w:hAnsi="宋体" w:cs="仿宋_GB2312"/>
          <w:color w:val="auto"/>
          <w:sz w:val="24"/>
          <w:highlight w:val="none"/>
        </w:rPr>
      </w:pPr>
    </w:p>
    <w:p w14:paraId="2484DA47">
      <w:pPr>
        <w:spacing w:line="360" w:lineRule="auto"/>
        <w:ind w:left="540"/>
        <w:contextualSpacing/>
        <w:rPr>
          <w:rFonts w:hint="eastAsia" w:ascii="宋体" w:hAnsi="宋体" w:cs="仿宋_GB2312"/>
          <w:color w:val="auto"/>
          <w:sz w:val="24"/>
          <w:highlight w:val="none"/>
        </w:rPr>
      </w:pPr>
    </w:p>
    <w:p w14:paraId="11A7871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492331">
      <w:pPr>
        <w:spacing w:line="360" w:lineRule="auto"/>
        <w:ind w:left="540"/>
        <w:contextualSpacing/>
        <w:rPr>
          <w:rFonts w:hint="eastAsia" w:ascii="宋体" w:hAnsi="宋体" w:cs="仿宋_GB2312"/>
          <w:color w:val="auto"/>
          <w:sz w:val="24"/>
          <w:highlight w:val="none"/>
        </w:rPr>
      </w:pPr>
    </w:p>
    <w:p w14:paraId="682D6BD0">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6ACC9779">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6FBF2E5">
      <w:pPr>
        <w:spacing w:line="360" w:lineRule="auto"/>
        <w:contextualSpacing/>
        <w:jc w:val="center"/>
        <w:rPr>
          <w:rFonts w:hint="eastAsia" w:ascii="宋体" w:hAnsi="宋体" w:cs="仿宋_GB2312"/>
          <w:b/>
          <w:color w:val="auto"/>
          <w:sz w:val="24"/>
          <w:highlight w:val="none"/>
        </w:rPr>
      </w:pPr>
    </w:p>
    <w:p w14:paraId="41754BB8">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w:t>
      </w:r>
    </w:p>
    <w:p w14:paraId="5E10E239">
      <w:pPr>
        <w:adjustRightInd w:val="0"/>
        <w:snapToGrid w:val="0"/>
        <w:spacing w:line="300" w:lineRule="auto"/>
        <w:jc w:val="left"/>
        <w:rPr>
          <w:rFonts w:hint="eastAsia" w:ascii="宋体" w:hAnsi="宋体"/>
          <w:b/>
          <w:color w:val="auto"/>
          <w:szCs w:val="21"/>
          <w:highlight w:val="none"/>
        </w:rPr>
      </w:pPr>
    </w:p>
    <w:p w14:paraId="584AB38B">
      <w:pPr>
        <w:tabs>
          <w:tab w:val="left" w:pos="3479"/>
        </w:tabs>
        <w:spacing w:line="520" w:lineRule="exact"/>
        <w:jc w:val="center"/>
        <w:rPr>
          <w:rFonts w:hint="eastAsia" w:ascii="宋体" w:hAnsi="宋体" w:eastAsia="宋体" w:cs="Times New Roman"/>
          <w:b/>
          <w:kern w:val="0"/>
          <w:sz w:val="32"/>
          <w:szCs w:val="21"/>
          <w:lang w:val="en-US" w:eastAsia="zh-CN" w:bidi="ar-SA"/>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Times New Roman"/>
          <w:b/>
          <w:kern w:val="0"/>
          <w:sz w:val="32"/>
          <w:szCs w:val="21"/>
          <w:lang w:val="en-US" w:eastAsia="zh-CN" w:bidi="ar-SA"/>
        </w:rPr>
        <w:t>授权委托书</w:t>
      </w:r>
    </w:p>
    <w:p w14:paraId="5121AA39">
      <w:pPr>
        <w:tabs>
          <w:tab w:val="left" w:pos="3479"/>
        </w:tabs>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宋体" w:hAnsi="宋体" w:eastAsia="宋体" w:cs="Times New Roman"/>
          <w:b/>
          <w:kern w:val="0"/>
          <w:sz w:val="32"/>
          <w:szCs w:val="21"/>
          <w:lang w:val="en-US" w:eastAsia="zh-CN" w:bidi="ar-SA"/>
        </w:rPr>
        <w:t>（如有委托时）</w:t>
      </w:r>
    </w:p>
    <w:p w14:paraId="39D23584">
      <w:pPr>
        <w:spacing w:line="360" w:lineRule="auto"/>
        <w:contextualSpacing/>
        <w:rPr>
          <w:rFonts w:hint="eastAsia" w:ascii="仿宋_GB2312" w:hAnsi="仿宋_GB2312" w:eastAsia="仿宋_GB2312" w:cs="仿宋_GB2312"/>
          <w:color w:val="auto"/>
          <w:sz w:val="32"/>
          <w:szCs w:val="32"/>
          <w:highlight w:val="none"/>
        </w:rPr>
      </w:pPr>
    </w:p>
    <w:p w14:paraId="7995D1C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2E0021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分标</w:t>
      </w:r>
      <w:r>
        <w:rPr>
          <w:rFonts w:hint="eastAsia" w:ascii="宋体" w:hAnsi="宋体" w:cs="仿宋_GB2312"/>
          <w:color w:val="auto"/>
          <w:sz w:val="24"/>
          <w:highlight w:val="none"/>
        </w:rPr>
        <w:t>的竞标活动，并代表我方全权办理针对上述项目的所有采购程序和环节的具体事务和签署相关文件。</w:t>
      </w:r>
    </w:p>
    <w:p w14:paraId="0CA781B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6E18774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543C57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B08C2A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999B125">
      <w:pPr>
        <w:spacing w:line="360" w:lineRule="auto"/>
        <w:contextualSpacing/>
        <w:rPr>
          <w:rFonts w:hint="eastAsia" w:ascii="宋体" w:hAnsi="宋体" w:cs="仿宋_GB2312"/>
          <w:color w:val="auto"/>
          <w:sz w:val="24"/>
          <w:highlight w:val="none"/>
        </w:rPr>
      </w:pPr>
    </w:p>
    <w:p w14:paraId="06AC894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700E475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C34109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68406E6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459F6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6EEB343">
      <w:pPr>
        <w:spacing w:line="360" w:lineRule="auto"/>
        <w:contextualSpacing/>
        <w:rPr>
          <w:rFonts w:hint="eastAsia" w:ascii="宋体" w:hAnsi="宋体" w:cs="仿宋_GB2312"/>
          <w:color w:val="auto"/>
          <w:sz w:val="24"/>
          <w:highlight w:val="none"/>
        </w:rPr>
      </w:pPr>
    </w:p>
    <w:p w14:paraId="3FAA996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D484F47">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410CF555">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22837DEA">
      <w:pPr>
        <w:tabs>
          <w:tab w:val="left" w:pos="3479"/>
        </w:tabs>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宋体" w:hAnsi="宋体" w:eastAsia="宋体" w:cs="Times New Roman"/>
          <w:b/>
          <w:kern w:val="0"/>
          <w:sz w:val="32"/>
          <w:szCs w:val="21"/>
          <w:lang w:val="en-US" w:eastAsia="zh-CN" w:bidi="ar-SA"/>
        </w:rPr>
        <w:t>商务要求偏离表格式</w:t>
      </w:r>
    </w:p>
    <w:tbl>
      <w:tblPr>
        <w:tblStyle w:val="18"/>
        <w:tblpPr w:leftFromText="180" w:rightFromText="180" w:vertAnchor="text" w:horzAnchor="margin" w:tblpXSpec="center" w:tblpY="311"/>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5A99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411E07A">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1DE937E">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E939E14">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2AB8A40">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7F6C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14B6569">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E2B5D2">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9190015">
            <w:pPr>
              <w:snapToGrid w:val="0"/>
              <w:spacing w:before="120" w:beforeLines="50" w:line="360" w:lineRule="auto"/>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C9CF8EF">
            <w:pPr>
              <w:snapToGrid w:val="0"/>
              <w:spacing w:before="120" w:beforeLines="50" w:line="360" w:lineRule="auto"/>
              <w:jc w:val="center"/>
              <w:rPr>
                <w:rFonts w:hint="eastAsia" w:ascii="宋体" w:hAnsi="宋体" w:cs="宋体"/>
                <w:color w:val="auto"/>
                <w:szCs w:val="21"/>
                <w:highlight w:val="none"/>
              </w:rPr>
            </w:pPr>
          </w:p>
        </w:tc>
      </w:tr>
      <w:tr w14:paraId="12D53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158D793">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3ECA233">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F4BD759">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1E58C82">
            <w:pPr>
              <w:snapToGrid w:val="0"/>
              <w:spacing w:before="120" w:beforeLines="50" w:line="360" w:lineRule="auto"/>
              <w:ind w:left="43"/>
              <w:jc w:val="center"/>
              <w:rPr>
                <w:rFonts w:hint="eastAsia" w:ascii="宋体" w:hAnsi="宋体" w:cs="宋体"/>
                <w:color w:val="auto"/>
                <w:szCs w:val="21"/>
                <w:highlight w:val="none"/>
              </w:rPr>
            </w:pPr>
          </w:p>
        </w:tc>
      </w:tr>
      <w:tr w14:paraId="1F0A2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091C6C4">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1112BD7">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B43DEE5">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EDDA518">
            <w:pPr>
              <w:snapToGrid w:val="0"/>
              <w:spacing w:before="120" w:beforeLines="50" w:line="360" w:lineRule="auto"/>
              <w:ind w:left="43"/>
              <w:jc w:val="center"/>
              <w:rPr>
                <w:rFonts w:hint="eastAsia" w:ascii="宋体" w:hAnsi="宋体" w:cs="宋体"/>
                <w:color w:val="auto"/>
                <w:szCs w:val="21"/>
                <w:highlight w:val="none"/>
              </w:rPr>
            </w:pPr>
          </w:p>
        </w:tc>
      </w:tr>
      <w:tr w14:paraId="07B70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2561343">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4C71802">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A9AF3B6">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929BE8A">
            <w:pPr>
              <w:snapToGrid w:val="0"/>
              <w:spacing w:before="120" w:beforeLines="50" w:line="360" w:lineRule="auto"/>
              <w:ind w:left="43"/>
              <w:jc w:val="center"/>
              <w:rPr>
                <w:rFonts w:hint="eastAsia" w:ascii="宋体" w:hAnsi="宋体" w:cs="宋体"/>
                <w:color w:val="auto"/>
                <w:szCs w:val="21"/>
                <w:highlight w:val="none"/>
              </w:rPr>
            </w:pPr>
          </w:p>
        </w:tc>
      </w:tr>
      <w:tr w14:paraId="5DECC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2F9C062">
            <w:pPr>
              <w:snapToGrid w:val="0"/>
              <w:spacing w:line="300" w:lineRule="exact"/>
              <w:ind w:firstLine="210" w:firstLineChars="10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98936D8">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CAE7E78">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F6F6CCC">
            <w:pPr>
              <w:snapToGrid w:val="0"/>
              <w:spacing w:before="120" w:beforeLines="50" w:line="360" w:lineRule="auto"/>
              <w:ind w:left="43"/>
              <w:jc w:val="center"/>
              <w:rPr>
                <w:rFonts w:hint="eastAsia" w:ascii="宋体" w:hAnsi="宋体" w:cs="宋体"/>
                <w:color w:val="auto"/>
                <w:szCs w:val="21"/>
                <w:highlight w:val="none"/>
              </w:rPr>
            </w:pPr>
          </w:p>
        </w:tc>
      </w:tr>
      <w:tr w14:paraId="1E681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23D9B7EF">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FF7F50D">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C4268B8">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FD59DAC">
            <w:pPr>
              <w:snapToGrid w:val="0"/>
              <w:spacing w:before="120" w:beforeLines="50" w:line="360" w:lineRule="auto"/>
              <w:ind w:left="43"/>
              <w:jc w:val="center"/>
              <w:rPr>
                <w:rFonts w:hint="eastAsia" w:ascii="宋体" w:hAnsi="宋体" w:cs="宋体"/>
                <w:color w:val="auto"/>
                <w:szCs w:val="21"/>
                <w:highlight w:val="none"/>
              </w:rPr>
            </w:pPr>
          </w:p>
        </w:tc>
      </w:tr>
      <w:tr w14:paraId="2208D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2061389D">
            <w:pPr>
              <w:spacing w:line="300" w:lineRule="atLeast"/>
              <w:jc w:val="center"/>
              <w:rPr>
                <w:rFonts w:hint="eastAsia" w:ascii="宋体" w:hAnsi="宋体" w:cs="宋体"/>
                <w:color w:val="auto"/>
                <w:szCs w:val="21"/>
                <w:highlight w:val="none"/>
              </w:rPr>
            </w:pPr>
            <w:r>
              <w:rPr>
                <w:rFonts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F13BB4A">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81BB159">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5B61504">
            <w:pPr>
              <w:snapToGrid w:val="0"/>
              <w:spacing w:before="120" w:beforeLines="50" w:line="360" w:lineRule="auto"/>
              <w:ind w:left="43"/>
              <w:jc w:val="center"/>
              <w:rPr>
                <w:rFonts w:hint="eastAsia" w:ascii="宋体" w:hAnsi="宋体" w:cs="宋体"/>
                <w:color w:val="auto"/>
                <w:szCs w:val="21"/>
                <w:highlight w:val="none"/>
              </w:rPr>
            </w:pPr>
          </w:p>
        </w:tc>
      </w:tr>
      <w:tr w14:paraId="730F4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0533B97">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820DEE3">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BDE71CA">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2A57668">
            <w:pPr>
              <w:snapToGrid w:val="0"/>
              <w:spacing w:before="120" w:beforeLines="50" w:line="360" w:lineRule="auto"/>
              <w:ind w:left="43"/>
              <w:jc w:val="center"/>
              <w:rPr>
                <w:rFonts w:hint="eastAsia" w:ascii="宋体" w:hAnsi="宋体" w:cs="宋体"/>
                <w:color w:val="auto"/>
                <w:szCs w:val="21"/>
                <w:highlight w:val="none"/>
              </w:rPr>
            </w:pPr>
          </w:p>
        </w:tc>
      </w:tr>
      <w:tr w14:paraId="17AF6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76402A9A">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5DEDA84">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CEAF478">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C86336A">
            <w:pPr>
              <w:snapToGrid w:val="0"/>
              <w:spacing w:before="120" w:beforeLines="50" w:line="360" w:lineRule="auto"/>
              <w:ind w:left="43"/>
              <w:jc w:val="center"/>
              <w:rPr>
                <w:rFonts w:hint="eastAsia" w:ascii="宋体" w:hAnsi="宋体" w:cs="宋体"/>
                <w:color w:val="auto"/>
                <w:szCs w:val="21"/>
                <w:highlight w:val="none"/>
              </w:rPr>
            </w:pPr>
          </w:p>
        </w:tc>
      </w:tr>
      <w:tr w14:paraId="5D99F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35CFF86">
            <w:pPr>
              <w:snapToGrid w:val="0"/>
              <w:spacing w:line="300" w:lineRule="exact"/>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BE97EE6">
            <w:pPr>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BC54A63">
            <w:pPr>
              <w:snapToGrid w:val="0"/>
              <w:spacing w:before="120" w:beforeLines="50" w:line="360" w:lineRule="auto"/>
              <w:ind w:left="43"/>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796312B">
            <w:pPr>
              <w:snapToGrid w:val="0"/>
              <w:spacing w:before="120" w:beforeLines="50" w:line="360" w:lineRule="auto"/>
              <w:ind w:left="43"/>
              <w:jc w:val="center"/>
              <w:rPr>
                <w:rFonts w:hint="eastAsia" w:ascii="宋体" w:hAnsi="宋体" w:cs="宋体"/>
                <w:color w:val="auto"/>
                <w:szCs w:val="21"/>
                <w:highlight w:val="none"/>
              </w:rPr>
            </w:pPr>
          </w:p>
        </w:tc>
      </w:tr>
      <w:tr w14:paraId="46F08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0F04482">
            <w:pPr>
              <w:spacing w:line="300" w:lineRule="atLeas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008B3AE">
            <w:pPr>
              <w:snapToGrid w:val="0"/>
              <w:spacing w:before="120" w:beforeLines="50" w:line="360" w:lineRule="auto"/>
              <w:jc w:val="center"/>
              <w:rPr>
                <w:rFonts w:hint="eastAsia"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54E33BB">
            <w:pPr>
              <w:snapToGrid w:val="0"/>
              <w:spacing w:before="120" w:beforeLines="50" w:line="360" w:lineRule="auto"/>
              <w:jc w:val="center"/>
              <w:rPr>
                <w:rFonts w:hint="eastAsia"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0E4EF12">
            <w:pPr>
              <w:snapToGrid w:val="0"/>
              <w:spacing w:before="120" w:beforeLines="50" w:line="360" w:lineRule="auto"/>
              <w:jc w:val="center"/>
              <w:rPr>
                <w:rFonts w:hint="eastAsia" w:ascii="宋体" w:hAnsi="宋体" w:cs="宋体"/>
                <w:color w:val="auto"/>
                <w:szCs w:val="21"/>
                <w:highlight w:val="none"/>
              </w:rPr>
            </w:pPr>
          </w:p>
        </w:tc>
      </w:tr>
    </w:tbl>
    <w:p w14:paraId="7CEA8347">
      <w:pPr>
        <w:pStyle w:val="7"/>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3D1B7D82">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1. 说明：应对照谈判文件“第三章 采购需求”中的商务要求逐条明确响应，并作出偏离说明。</w:t>
      </w:r>
    </w:p>
    <w:p w14:paraId="46BED29F">
      <w:pPr>
        <w:spacing w:line="360" w:lineRule="auto"/>
        <w:contextualSpacing/>
        <w:rPr>
          <w:rFonts w:hint="eastAsia" w:ascii="宋体" w:hAnsi="宋体"/>
          <w:color w:val="auto"/>
          <w:kern w:val="0"/>
          <w:sz w:val="24"/>
          <w:highlight w:val="none"/>
        </w:rPr>
      </w:pPr>
      <w:r>
        <w:rPr>
          <w:rFonts w:hint="eastAsia" w:ascii="宋体" w:hAnsi="宋体"/>
          <w:color w:val="auto"/>
          <w:kern w:val="0"/>
          <w:sz w:val="24"/>
          <w:highlight w:val="none"/>
        </w:rPr>
        <w:t>2.供应商应根据自身的承诺，对照谈判文件要求在“偏离说明”中注明“正偏离”、“负偏离”或者“无偏离”。既不属于“正偏离”也不属于“负偏离”即为“无偏离”。</w:t>
      </w:r>
    </w:p>
    <w:p w14:paraId="2F376FEE">
      <w:pPr>
        <w:spacing w:line="360" w:lineRule="auto"/>
        <w:contextualSpacing/>
        <w:jc w:val="left"/>
        <w:rPr>
          <w:rFonts w:hint="eastAsia" w:ascii="宋体" w:hAnsi="宋体" w:cs="仿宋_GB2312"/>
          <w:color w:val="auto"/>
          <w:sz w:val="24"/>
          <w:highlight w:val="none"/>
          <w:u w:val="single"/>
        </w:rPr>
      </w:pPr>
    </w:p>
    <w:p w14:paraId="23ED9885">
      <w:pPr>
        <w:spacing w:line="360" w:lineRule="auto"/>
        <w:contextualSpacing/>
        <w:jc w:val="left"/>
        <w:rPr>
          <w:rFonts w:hint="eastAsia" w:ascii="宋体" w:hAnsi="宋体" w:cs="仿宋_GB2312"/>
          <w:color w:val="auto"/>
          <w:sz w:val="24"/>
          <w:highlight w:val="none"/>
          <w:u w:val="single"/>
        </w:rPr>
      </w:pPr>
    </w:p>
    <w:p w14:paraId="1D43261E">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7C9D2A6">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8056A9E">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00C240BE">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D2B8B5C">
      <w:pPr>
        <w:spacing w:line="600" w:lineRule="exact"/>
        <w:jc w:val="center"/>
        <w:rPr>
          <w:rFonts w:hint="eastAsia" w:ascii="宋体" w:hAnsi="宋体" w:cs="宋体"/>
          <w:b/>
          <w:bCs/>
          <w:kern w:val="0"/>
          <w:sz w:val="32"/>
          <w:szCs w:val="32"/>
        </w:rPr>
      </w:pPr>
      <w:r>
        <w:rPr>
          <w:rFonts w:hint="eastAsia" w:ascii="宋体" w:hAnsi="宋体" w:cs="宋体"/>
          <w:b/>
          <w:bCs/>
          <w:kern w:val="0"/>
          <w:sz w:val="32"/>
          <w:szCs w:val="32"/>
        </w:rPr>
        <w:t>产品质量保证书</w:t>
      </w:r>
    </w:p>
    <w:p w14:paraId="50BCFC01">
      <w:pPr>
        <w:spacing w:line="360" w:lineRule="exact"/>
        <w:ind w:left="420" w:hanging="420"/>
        <w:jc w:val="center"/>
        <w:rPr>
          <w:rFonts w:hint="eastAsia" w:ascii="宋体" w:hAnsi="宋体" w:cs="宋体"/>
          <w:b/>
          <w:kern w:val="0"/>
          <w:sz w:val="24"/>
        </w:rPr>
      </w:pPr>
    </w:p>
    <w:p w14:paraId="04C92CBE">
      <w:pPr>
        <w:spacing w:line="360" w:lineRule="exact"/>
        <w:ind w:left="420" w:hanging="420"/>
        <w:rPr>
          <w:rFonts w:hint="eastAsia" w:ascii="宋体" w:hAnsi="宋体" w:cs="宋体"/>
          <w:kern w:val="0"/>
          <w:szCs w:val="21"/>
          <w:u w:val="single"/>
        </w:rPr>
      </w:pPr>
      <w:r>
        <w:rPr>
          <w:rFonts w:hint="eastAsia" w:ascii="宋体" w:hAnsi="宋体" w:cs="宋体"/>
          <w:kern w:val="0"/>
          <w:szCs w:val="21"/>
          <w:u w:val="single"/>
        </w:rPr>
        <w:t xml:space="preserve">致             </w:t>
      </w:r>
      <w:r>
        <w:rPr>
          <w:rFonts w:hint="eastAsia" w:ascii="宋体" w:hAnsi="宋体" w:cs="宋体"/>
          <w:kern w:val="0"/>
          <w:szCs w:val="21"/>
        </w:rPr>
        <w:t>：</w:t>
      </w:r>
    </w:p>
    <w:p w14:paraId="12616943">
      <w:pPr>
        <w:spacing w:line="360" w:lineRule="exact"/>
        <w:ind w:firstLine="420" w:firstLineChars="200"/>
        <w:rPr>
          <w:rFonts w:hint="eastAsia" w:ascii="宋体" w:hAnsi="宋体" w:cs="宋体"/>
          <w:kern w:val="0"/>
          <w:szCs w:val="21"/>
        </w:rPr>
      </w:pPr>
      <w:r>
        <w:rPr>
          <w:rFonts w:hint="eastAsia" w:ascii="宋体" w:hAnsi="宋体" w:cs="宋体"/>
          <w:kern w:val="0"/>
          <w:szCs w:val="21"/>
        </w:rPr>
        <w:t>我公司在此向贵方承诺：</w:t>
      </w:r>
    </w:p>
    <w:p w14:paraId="19176E2B">
      <w:pPr>
        <w:spacing w:line="360" w:lineRule="exact"/>
        <w:ind w:firstLine="420" w:firstLineChars="200"/>
        <w:rPr>
          <w:rFonts w:hint="eastAsia" w:ascii="宋体" w:hAnsi="宋体" w:cs="宋体"/>
          <w:kern w:val="0"/>
          <w:szCs w:val="21"/>
        </w:rPr>
      </w:pPr>
      <w:r>
        <w:rPr>
          <w:rFonts w:hint="eastAsia" w:ascii="宋体" w:hAnsi="宋体" w:cs="宋体"/>
          <w:kern w:val="0"/>
          <w:szCs w:val="21"/>
        </w:rPr>
        <w:t>我方参与谈判的</w:t>
      </w:r>
      <w:r>
        <w:rPr>
          <w:rFonts w:hint="eastAsia" w:ascii="宋体" w:hAnsi="宋体" w:cs="宋体"/>
          <w:kern w:val="0"/>
          <w:szCs w:val="21"/>
          <w:u w:val="single"/>
        </w:rPr>
        <w:t xml:space="preserve">                  </w:t>
      </w:r>
      <w:r>
        <w:rPr>
          <w:rFonts w:hint="eastAsia" w:ascii="宋体" w:hAnsi="宋体" w:cs="宋体"/>
          <w:kern w:val="0"/>
          <w:szCs w:val="21"/>
        </w:rPr>
        <w:t>项目（编号</w:t>
      </w:r>
      <w:r>
        <w:rPr>
          <w:rFonts w:hint="eastAsia" w:ascii="宋体" w:hAnsi="宋体" w:cs="宋体"/>
          <w:kern w:val="0"/>
          <w:szCs w:val="21"/>
          <w:u w:val="single"/>
        </w:rPr>
        <w:t xml:space="preserve">：         </w:t>
      </w:r>
      <w:r>
        <w:rPr>
          <w:rFonts w:hint="eastAsia" w:ascii="宋体" w:hAnsi="宋体" w:cs="宋体"/>
          <w:kern w:val="0"/>
          <w:szCs w:val="21"/>
        </w:rPr>
        <w:t>），一旦成交，我方保证按照谈判文件和谈判响应文件的要求提供合格的产品，如出现弄虚作假，包括掺杂、掺假、以假充真、以次充好、以不合格产品冒充合格产品的，我方愿按《政府采购法》、《民法典》、《产品质量法》、《消费者权益保护法》等法律法规规定，承担相应的经济责任和法律责任。</w:t>
      </w:r>
    </w:p>
    <w:p w14:paraId="0F38122B">
      <w:pPr>
        <w:spacing w:line="300" w:lineRule="auto"/>
        <w:rPr>
          <w:rFonts w:hint="eastAsia" w:ascii="宋体" w:hAnsi="宋体" w:cs="宋体"/>
          <w:kern w:val="0"/>
          <w:sz w:val="28"/>
          <w:szCs w:val="28"/>
        </w:rPr>
      </w:pPr>
    </w:p>
    <w:p w14:paraId="2C0B99F2">
      <w:pPr>
        <w:spacing w:line="300" w:lineRule="auto"/>
        <w:ind w:hanging="420"/>
        <w:rPr>
          <w:rFonts w:hint="eastAsia" w:ascii="宋体" w:hAnsi="宋体" w:cs="宋体"/>
          <w:kern w:val="0"/>
          <w:sz w:val="28"/>
          <w:szCs w:val="28"/>
        </w:rPr>
      </w:pPr>
    </w:p>
    <w:p w14:paraId="72F1F065">
      <w:pPr>
        <w:spacing w:line="300" w:lineRule="auto"/>
        <w:ind w:left="420" w:hanging="420"/>
        <w:jc w:val="center"/>
        <w:rPr>
          <w:rFonts w:hint="eastAsia" w:ascii="宋体" w:hAnsi="宋体" w:cs="宋体"/>
          <w:b/>
          <w:kern w:val="0"/>
          <w:sz w:val="32"/>
          <w:szCs w:val="32"/>
        </w:rPr>
      </w:pPr>
    </w:p>
    <w:p w14:paraId="6F1E5BD9">
      <w:pPr>
        <w:spacing w:line="300" w:lineRule="auto"/>
        <w:ind w:left="420" w:hanging="420"/>
        <w:jc w:val="center"/>
        <w:rPr>
          <w:rFonts w:hint="eastAsia" w:ascii="宋体" w:hAnsi="宋体" w:cs="宋体"/>
          <w:b/>
          <w:kern w:val="0"/>
          <w:sz w:val="32"/>
          <w:szCs w:val="32"/>
        </w:rPr>
      </w:pPr>
    </w:p>
    <w:p w14:paraId="20DA002A">
      <w:pPr>
        <w:spacing w:line="300" w:lineRule="auto"/>
        <w:ind w:left="420" w:hanging="420"/>
        <w:jc w:val="center"/>
        <w:rPr>
          <w:rFonts w:hint="eastAsia" w:ascii="宋体" w:hAnsi="宋体" w:cs="宋体"/>
          <w:b/>
          <w:kern w:val="0"/>
          <w:sz w:val="32"/>
          <w:szCs w:val="32"/>
        </w:rPr>
      </w:pPr>
    </w:p>
    <w:p w14:paraId="50C1599C">
      <w:pPr>
        <w:spacing w:line="300" w:lineRule="auto"/>
        <w:ind w:left="420" w:hanging="420"/>
        <w:jc w:val="center"/>
        <w:rPr>
          <w:rFonts w:hint="eastAsia" w:ascii="宋体" w:hAnsi="宋体" w:cs="宋体"/>
          <w:b/>
          <w:kern w:val="0"/>
          <w:sz w:val="32"/>
          <w:szCs w:val="32"/>
        </w:rPr>
      </w:pPr>
    </w:p>
    <w:p w14:paraId="348EAECE">
      <w:pPr>
        <w:spacing w:line="300" w:lineRule="auto"/>
        <w:ind w:left="420" w:hanging="420"/>
        <w:jc w:val="center"/>
        <w:rPr>
          <w:rFonts w:hint="eastAsia" w:ascii="宋体" w:hAnsi="宋体" w:cs="宋体"/>
          <w:b/>
          <w:kern w:val="0"/>
          <w:sz w:val="32"/>
          <w:szCs w:val="32"/>
        </w:rPr>
      </w:pPr>
    </w:p>
    <w:p w14:paraId="5396E167">
      <w:pPr>
        <w:spacing w:line="300" w:lineRule="auto"/>
        <w:ind w:left="420" w:hanging="420"/>
        <w:jc w:val="center"/>
        <w:rPr>
          <w:rFonts w:hint="eastAsia" w:ascii="宋体" w:hAnsi="宋体" w:cs="宋体"/>
          <w:b/>
          <w:kern w:val="0"/>
          <w:sz w:val="32"/>
          <w:szCs w:val="32"/>
        </w:rPr>
      </w:pPr>
    </w:p>
    <w:p w14:paraId="56656B64">
      <w:pPr>
        <w:spacing w:line="300" w:lineRule="auto"/>
        <w:ind w:left="420" w:hanging="420"/>
        <w:jc w:val="center"/>
        <w:rPr>
          <w:rFonts w:hint="eastAsia" w:ascii="宋体" w:hAnsi="宋体" w:cs="宋体"/>
          <w:b/>
          <w:kern w:val="0"/>
          <w:sz w:val="32"/>
          <w:szCs w:val="32"/>
        </w:rPr>
      </w:pPr>
    </w:p>
    <w:p w14:paraId="4BBEB266">
      <w:pPr>
        <w:spacing w:line="300" w:lineRule="auto"/>
        <w:ind w:left="420" w:hanging="420"/>
        <w:jc w:val="center"/>
        <w:rPr>
          <w:rFonts w:hint="eastAsia" w:ascii="宋体" w:hAnsi="宋体" w:cs="宋体"/>
          <w:b/>
          <w:kern w:val="0"/>
          <w:sz w:val="32"/>
          <w:szCs w:val="32"/>
        </w:rPr>
      </w:pPr>
    </w:p>
    <w:p w14:paraId="5D237ADE">
      <w:pPr>
        <w:spacing w:line="300" w:lineRule="auto"/>
        <w:ind w:left="420" w:hanging="420"/>
        <w:jc w:val="center"/>
        <w:rPr>
          <w:rFonts w:hint="eastAsia" w:ascii="宋体" w:hAnsi="宋体" w:cs="宋体"/>
          <w:b/>
          <w:kern w:val="0"/>
          <w:sz w:val="32"/>
          <w:szCs w:val="32"/>
        </w:rPr>
      </w:pPr>
    </w:p>
    <w:p w14:paraId="0C4C65E7">
      <w:pPr>
        <w:spacing w:line="300" w:lineRule="auto"/>
        <w:ind w:left="420" w:hanging="420"/>
        <w:jc w:val="center"/>
        <w:rPr>
          <w:rFonts w:hint="eastAsia" w:ascii="宋体" w:hAnsi="宋体" w:cs="宋体"/>
          <w:b/>
          <w:kern w:val="0"/>
          <w:sz w:val="32"/>
          <w:szCs w:val="32"/>
        </w:rPr>
      </w:pPr>
    </w:p>
    <w:p w14:paraId="5C638C7D">
      <w:pPr>
        <w:spacing w:line="300" w:lineRule="auto"/>
        <w:rPr>
          <w:rFonts w:hint="eastAsia" w:ascii="宋体" w:hAnsi="宋体" w:cs="宋体"/>
          <w:b/>
          <w:kern w:val="0"/>
          <w:sz w:val="32"/>
          <w:szCs w:val="32"/>
        </w:rPr>
      </w:pPr>
    </w:p>
    <w:p w14:paraId="44360B0C">
      <w:pPr>
        <w:adjustRightInd w:val="0"/>
        <w:snapToGrid w:val="0"/>
        <w:ind w:firstLine="422" w:firstLineChars="201"/>
        <w:rPr>
          <w:rFonts w:hint="eastAsia" w:ascii="宋体" w:hAnsi="宋体" w:cs="宋体"/>
          <w:szCs w:val="21"/>
        </w:rPr>
      </w:pPr>
      <w:r>
        <w:rPr>
          <w:rFonts w:hint="eastAsia" w:ascii="宋体" w:hAnsi="宋体" w:cs="宋体"/>
          <w:szCs w:val="21"/>
        </w:rPr>
        <w:t>谈判供应商（章）：</w:t>
      </w:r>
    </w:p>
    <w:p w14:paraId="3658A2B9">
      <w:pPr>
        <w:adjustRightInd w:val="0"/>
        <w:snapToGrid w:val="0"/>
        <w:ind w:firstLine="422" w:firstLineChars="201"/>
        <w:rPr>
          <w:rFonts w:hint="eastAsia" w:ascii="宋体" w:hAnsi="宋体" w:cs="宋体"/>
          <w:szCs w:val="21"/>
        </w:rPr>
      </w:pPr>
    </w:p>
    <w:p w14:paraId="643B52A6">
      <w:pPr>
        <w:adjustRightInd w:val="0"/>
        <w:snapToGrid w:val="0"/>
        <w:ind w:firstLine="422" w:firstLineChars="201"/>
        <w:rPr>
          <w:rFonts w:hint="eastAsia" w:ascii="宋体" w:hAnsi="宋体" w:cs="宋体"/>
          <w:szCs w:val="21"/>
          <w:u w:val="single"/>
        </w:rPr>
      </w:pPr>
      <w:r>
        <w:rPr>
          <w:rFonts w:hint="eastAsia" w:ascii="宋体" w:hAnsi="宋体" w:cs="宋体"/>
          <w:szCs w:val="21"/>
        </w:rPr>
        <w:t>法定代表人（负责人）或委托代理人（签名）：</w:t>
      </w:r>
    </w:p>
    <w:p w14:paraId="0B815171">
      <w:pPr>
        <w:adjustRightInd w:val="0"/>
        <w:snapToGrid w:val="0"/>
        <w:ind w:firstLine="484" w:firstLineChars="201"/>
        <w:rPr>
          <w:rFonts w:hint="eastAsia" w:ascii="宋体" w:hAnsi="宋体" w:cs="宋体"/>
          <w:b/>
          <w:sz w:val="24"/>
          <w:szCs w:val="21"/>
        </w:rPr>
      </w:pPr>
    </w:p>
    <w:p w14:paraId="134B995D">
      <w:pPr>
        <w:adjustRightInd w:val="0"/>
        <w:snapToGrid w:val="0"/>
        <w:ind w:firstLine="422" w:firstLineChars="201"/>
        <w:rPr>
          <w:rFonts w:hint="eastAsia" w:ascii="宋体" w:hAnsi="宋体" w:cs="宋体"/>
          <w:szCs w:val="21"/>
          <w:u w:val="single"/>
        </w:rPr>
      </w:pPr>
      <w:r>
        <w:rPr>
          <w:rFonts w:hint="eastAsia" w:ascii="宋体" w:hAnsi="宋体" w:cs="宋体"/>
          <w:szCs w:val="21"/>
        </w:rPr>
        <w:t>日期：</w:t>
      </w:r>
    </w:p>
    <w:p w14:paraId="5A6B1D89">
      <w:pPr>
        <w:pStyle w:val="8"/>
        <w:rPr>
          <w:rFonts w:hint="eastAsia" w:ascii="宋体" w:hAnsi="宋体" w:cs="宋体"/>
        </w:rPr>
      </w:pPr>
    </w:p>
    <w:p w14:paraId="48E2699C">
      <w:pPr>
        <w:rPr>
          <w:rFonts w:hint="eastAsia" w:ascii="宋体" w:hAnsi="宋体" w:cs="宋体"/>
        </w:rPr>
      </w:pPr>
    </w:p>
    <w:p w14:paraId="289A13B0">
      <w:pPr>
        <w:rPr>
          <w:rFonts w:hint="eastAsia"/>
        </w:rPr>
      </w:pPr>
    </w:p>
    <w:p w14:paraId="08DEC637">
      <w:pPr>
        <w:adjustRightInd w:val="0"/>
        <w:snapToGrid w:val="0"/>
        <w:spacing w:line="600" w:lineRule="exact"/>
        <w:jc w:val="center"/>
        <w:rPr>
          <w:rFonts w:hint="eastAsia" w:ascii="宋体" w:hAnsi="宋体" w:cs="宋体"/>
          <w:b/>
          <w:bCs/>
          <w:sz w:val="30"/>
          <w:szCs w:val="30"/>
        </w:rPr>
      </w:pPr>
    </w:p>
    <w:p w14:paraId="29F2C083">
      <w:pPr>
        <w:adjustRightInd w:val="0"/>
        <w:snapToGrid w:val="0"/>
        <w:spacing w:line="600" w:lineRule="exact"/>
        <w:jc w:val="center"/>
        <w:rPr>
          <w:rFonts w:hint="eastAsia" w:ascii="宋体" w:hAnsi="宋体" w:cs="宋体"/>
          <w:b/>
          <w:bCs/>
          <w:sz w:val="30"/>
          <w:szCs w:val="30"/>
        </w:rPr>
      </w:pPr>
    </w:p>
    <w:p w14:paraId="120F4537">
      <w:pPr>
        <w:adjustRightInd w:val="0"/>
        <w:snapToGrid w:val="0"/>
        <w:spacing w:line="600" w:lineRule="exact"/>
        <w:jc w:val="center"/>
        <w:rPr>
          <w:rFonts w:hint="eastAsia" w:ascii="宋体" w:hAnsi="宋体" w:cs="宋体"/>
          <w:b/>
          <w:bCs/>
          <w:sz w:val="30"/>
          <w:szCs w:val="30"/>
        </w:rPr>
      </w:pPr>
    </w:p>
    <w:p w14:paraId="1E46D5BC">
      <w:pPr>
        <w:spacing w:line="600" w:lineRule="exact"/>
        <w:jc w:val="center"/>
        <w:rPr>
          <w:rFonts w:hint="eastAsia" w:ascii="宋体" w:hAnsi="宋体" w:cs="宋体"/>
          <w:b/>
          <w:bCs/>
          <w:sz w:val="30"/>
          <w:szCs w:val="30"/>
        </w:rPr>
      </w:pPr>
      <w:r>
        <w:rPr>
          <w:rFonts w:hint="eastAsia" w:ascii="宋体" w:hAnsi="宋体" w:cs="宋体"/>
          <w:b/>
          <w:bCs/>
          <w:kern w:val="0"/>
          <w:sz w:val="32"/>
          <w:szCs w:val="32"/>
        </w:rPr>
        <w:t>售后服务承诺书</w:t>
      </w:r>
    </w:p>
    <w:p w14:paraId="23B10811">
      <w:pPr>
        <w:spacing w:line="360" w:lineRule="exact"/>
        <w:rPr>
          <w:rFonts w:hint="eastAsia" w:ascii="宋体" w:hAnsi="宋体" w:cs="宋体"/>
        </w:rPr>
      </w:pPr>
    </w:p>
    <w:p w14:paraId="655F6B0D">
      <w:pPr>
        <w:spacing w:line="360" w:lineRule="exact"/>
        <w:ind w:firstLine="420" w:firstLineChars="200"/>
        <w:rPr>
          <w:rFonts w:hint="eastAsia" w:ascii="宋体" w:hAnsi="宋体" w:cs="宋体"/>
          <w:b/>
          <w:kern w:val="0"/>
          <w:sz w:val="32"/>
          <w:szCs w:val="32"/>
        </w:rPr>
      </w:pPr>
      <w:r>
        <w:rPr>
          <w:rFonts w:hint="eastAsia" w:ascii="宋体" w:hAnsi="宋体" w:cs="宋体"/>
        </w:rPr>
        <w:t>【由谈判供应商按《</w:t>
      </w:r>
      <w:r>
        <w:rPr>
          <w:rFonts w:hint="eastAsia" w:ascii="宋体" w:hAnsi="宋体" w:cs="宋体"/>
          <w:lang w:val="en-US" w:eastAsia="zh-CN"/>
        </w:rPr>
        <w:t>采购需求</w:t>
      </w:r>
      <w:r>
        <w:rPr>
          <w:rFonts w:hint="eastAsia" w:ascii="宋体" w:hAnsi="宋体" w:cs="宋体"/>
        </w:rPr>
        <w:t>》要求自行填写，提供的切实可行的售后服务和优惠承诺，保证交货期的措施（必要时提供生产计划周期表）】</w:t>
      </w:r>
    </w:p>
    <w:p w14:paraId="13B1BBC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5C50D6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37DC6CBB">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1F1D9DD">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0C85EA58">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39B5393">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515332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0E6A5A2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3AE094DA">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61E7E9FB">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48460FFD">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D5732FD">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C5EB2EF">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36067ECD">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D4EA2CA">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AADFC21">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628847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576A459">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0FD0EEF5">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EC8EF2C">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3007985">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0AA2DDD8">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7C13160C">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5B69CE8">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E631124">
      <w:pPr>
        <w:spacing w:line="600" w:lineRule="exact"/>
        <w:jc w:val="center"/>
        <w:rPr>
          <w:rFonts w:hint="eastAsia" w:ascii="宋体" w:hAnsi="宋体"/>
          <w:b/>
          <w:color w:val="auto"/>
          <w:sz w:val="32"/>
          <w:szCs w:val="32"/>
          <w:highlight w:val="none"/>
        </w:rPr>
      </w:pPr>
      <w:r>
        <w:rPr>
          <w:rFonts w:hint="eastAsia" w:ascii="宋体" w:hAnsi="宋体" w:cs="宋体"/>
          <w:b/>
          <w:bCs/>
          <w:kern w:val="0"/>
          <w:sz w:val="32"/>
          <w:szCs w:val="32"/>
        </w:rPr>
        <w:t>货物配置清单</w:t>
      </w:r>
    </w:p>
    <w:p w14:paraId="277ED7CB">
      <w:pPr>
        <w:spacing w:line="300" w:lineRule="auto"/>
        <w:rPr>
          <w:rFonts w:hint="eastAsia" w:ascii="宋体" w:hAnsi="宋体"/>
          <w:color w:val="auto"/>
          <w:szCs w:val="21"/>
          <w:highlight w:val="none"/>
        </w:rPr>
      </w:pPr>
    </w:p>
    <w:p w14:paraId="6C328B9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C3C046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7F966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07476692">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E1CF037">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D648A07">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140EF626">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24B92540">
            <w:pPr>
              <w:snapToGrid w:val="0"/>
              <w:spacing w:before="50" w:after="50"/>
              <w:jc w:val="center"/>
              <w:rPr>
                <w:rFonts w:ascii="宋体" w:hAnsi="宋体"/>
                <w:color w:val="auto"/>
                <w:sz w:val="24"/>
                <w:highlight w:val="none"/>
              </w:rPr>
            </w:pPr>
          </w:p>
          <w:p w14:paraId="33F0FE3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6ABCE32">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B04BC3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8B6E42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77243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E58C40B">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D7216C5">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32C0F619">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6125C51">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3C562A47">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CD97072">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22EAD2B">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DA85BA9">
            <w:pPr>
              <w:snapToGrid w:val="0"/>
              <w:spacing w:before="50" w:after="50"/>
              <w:jc w:val="center"/>
              <w:rPr>
                <w:rFonts w:hint="eastAsia" w:ascii="宋体" w:hAnsi="宋体"/>
                <w:color w:val="auto"/>
                <w:sz w:val="24"/>
                <w:highlight w:val="none"/>
              </w:rPr>
            </w:pPr>
          </w:p>
        </w:tc>
      </w:tr>
      <w:tr w14:paraId="58A75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4121CB4">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7908530">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51A8E482">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662E7A3">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7299AB49">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FB4E08C">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33F0BB8">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E0A6305">
            <w:pPr>
              <w:snapToGrid w:val="0"/>
              <w:spacing w:before="50" w:after="50"/>
              <w:jc w:val="center"/>
              <w:rPr>
                <w:rFonts w:hint="eastAsia" w:ascii="宋体" w:hAnsi="宋体"/>
                <w:color w:val="auto"/>
                <w:sz w:val="24"/>
                <w:highlight w:val="none"/>
              </w:rPr>
            </w:pPr>
          </w:p>
        </w:tc>
      </w:tr>
      <w:tr w14:paraId="5BC33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D988785">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53E3BB9">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2BF520ED">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3CB60DB">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6AE9126B">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B820EDE">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820FAC1">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F72AE41">
            <w:pPr>
              <w:snapToGrid w:val="0"/>
              <w:spacing w:before="50" w:after="50"/>
              <w:jc w:val="center"/>
              <w:rPr>
                <w:rFonts w:hint="eastAsia" w:ascii="宋体" w:hAnsi="宋体"/>
                <w:color w:val="auto"/>
                <w:sz w:val="24"/>
                <w:highlight w:val="none"/>
              </w:rPr>
            </w:pPr>
          </w:p>
        </w:tc>
      </w:tr>
    </w:tbl>
    <w:p w14:paraId="69E9D2F7">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0A1DE826">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color w:val="auto"/>
          <w:sz w:val="24"/>
          <w:highlight w:val="none"/>
        </w:rPr>
        <w:t>货物名称、数量及单位、品牌必须与“竞标报价表”一致，</w:t>
      </w:r>
      <w:r>
        <w:rPr>
          <w:rFonts w:hint="eastAsia" w:ascii="宋体" w:hAnsi="宋体"/>
          <w:bCs/>
          <w:color w:val="auto"/>
          <w:sz w:val="24"/>
          <w:highlight w:val="none"/>
        </w:rPr>
        <w:t>否则响应文件按无效处理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06DD879E">
      <w:pPr>
        <w:adjustRightInd w:val="0"/>
        <w:spacing w:line="360" w:lineRule="auto"/>
        <w:contextualSpacing/>
        <w:jc w:val="left"/>
        <w:rPr>
          <w:rFonts w:hint="eastAsia" w:ascii="宋体" w:hAnsi="宋体" w:cs="仿宋_GB2312"/>
          <w:color w:val="auto"/>
          <w:sz w:val="24"/>
          <w:highlight w:val="none"/>
        </w:rPr>
      </w:pPr>
    </w:p>
    <w:p w14:paraId="6C40A555">
      <w:pPr>
        <w:adjustRightInd w:val="0"/>
        <w:spacing w:line="360" w:lineRule="auto"/>
        <w:contextualSpacing/>
        <w:jc w:val="left"/>
        <w:rPr>
          <w:rFonts w:hint="eastAsia" w:ascii="宋体" w:hAnsi="宋体" w:cs="仿宋_GB2312"/>
          <w:color w:val="auto"/>
          <w:sz w:val="24"/>
          <w:highlight w:val="none"/>
        </w:rPr>
      </w:pPr>
    </w:p>
    <w:p w14:paraId="6FE49D9D">
      <w:pPr>
        <w:adjustRightInd w:val="0"/>
        <w:spacing w:line="360" w:lineRule="auto"/>
        <w:contextualSpacing/>
        <w:jc w:val="left"/>
        <w:rPr>
          <w:rFonts w:hint="eastAsia" w:ascii="宋体" w:hAnsi="宋体" w:cs="仿宋_GB2312"/>
          <w:color w:val="auto"/>
          <w:sz w:val="24"/>
          <w:highlight w:val="none"/>
        </w:rPr>
      </w:pPr>
    </w:p>
    <w:p w14:paraId="181ACF85">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C932E57">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151F21D">
      <w:pPr>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4F96AA1E">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405DA57B">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2C803AB5">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2CC75C8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68589F1C">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7A7E1483">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775D765C">
      <w:pPr>
        <w:spacing w:line="6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宋体" w:hAnsi="宋体" w:cs="宋体"/>
          <w:b/>
          <w:bCs/>
          <w:kern w:val="0"/>
          <w:sz w:val="32"/>
          <w:szCs w:val="32"/>
        </w:rPr>
        <w:t>技术要求偏离表</w:t>
      </w:r>
    </w:p>
    <w:p w14:paraId="4FF31EF3">
      <w:pPr>
        <w:spacing w:line="520" w:lineRule="exact"/>
        <w:rPr>
          <w:rFonts w:hint="eastAsia" w:ascii="仿宋_GB2312" w:hAnsi="仿宋_GB2312" w:eastAsia="仿宋_GB2312" w:cs="仿宋_GB2312"/>
          <w:color w:val="auto"/>
          <w:sz w:val="32"/>
          <w:szCs w:val="32"/>
          <w:highlight w:val="none"/>
        </w:rPr>
      </w:pPr>
    </w:p>
    <w:p w14:paraId="35BE0E47">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15A7CC3">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2"/>
        <w:gridCol w:w="902"/>
        <w:gridCol w:w="2988"/>
        <w:gridCol w:w="2689"/>
        <w:gridCol w:w="1465"/>
      </w:tblGrid>
      <w:tr w14:paraId="4968B2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2" w:type="dxa"/>
            <w:noWrap w:val="0"/>
            <w:vAlign w:val="center"/>
          </w:tcPr>
          <w:p w14:paraId="1E5B0264">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序号</w:t>
            </w:r>
          </w:p>
        </w:tc>
        <w:tc>
          <w:tcPr>
            <w:tcW w:w="902" w:type="dxa"/>
            <w:tcBorders>
              <w:right w:val="single" w:color="auto" w:sz="4" w:space="0"/>
            </w:tcBorders>
            <w:noWrap w:val="0"/>
            <w:vAlign w:val="center"/>
          </w:tcPr>
          <w:p w14:paraId="12507E04">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2988" w:type="dxa"/>
            <w:tcBorders>
              <w:left w:val="single" w:color="auto" w:sz="4" w:space="0"/>
            </w:tcBorders>
            <w:noWrap w:val="0"/>
            <w:vAlign w:val="center"/>
          </w:tcPr>
          <w:p w14:paraId="041D3D1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谈判文件要求</w:t>
            </w:r>
          </w:p>
        </w:tc>
        <w:tc>
          <w:tcPr>
            <w:tcW w:w="2689" w:type="dxa"/>
            <w:noWrap w:val="0"/>
            <w:vAlign w:val="center"/>
          </w:tcPr>
          <w:p w14:paraId="2387F434">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竞标响应</w:t>
            </w:r>
          </w:p>
        </w:tc>
        <w:tc>
          <w:tcPr>
            <w:tcW w:w="1465" w:type="dxa"/>
            <w:noWrap w:val="0"/>
            <w:vAlign w:val="center"/>
          </w:tcPr>
          <w:p w14:paraId="7C91C70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偏离说明</w:t>
            </w:r>
          </w:p>
        </w:tc>
      </w:tr>
      <w:tr w14:paraId="4E9959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2" w:type="dxa"/>
            <w:noWrap w:val="0"/>
            <w:vAlign w:val="center"/>
          </w:tcPr>
          <w:p w14:paraId="45797C4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w:t>
            </w:r>
          </w:p>
        </w:tc>
        <w:tc>
          <w:tcPr>
            <w:tcW w:w="902" w:type="dxa"/>
            <w:tcBorders>
              <w:right w:val="single" w:color="auto" w:sz="4" w:space="0"/>
            </w:tcBorders>
            <w:noWrap w:val="0"/>
            <w:vAlign w:val="center"/>
          </w:tcPr>
          <w:p w14:paraId="31C9762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5C79915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47D50DC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5" w:type="dxa"/>
            <w:noWrap w:val="0"/>
            <w:vAlign w:val="center"/>
          </w:tcPr>
          <w:p w14:paraId="5B3922C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3269F3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2" w:type="dxa"/>
            <w:noWrap w:val="0"/>
            <w:vAlign w:val="center"/>
          </w:tcPr>
          <w:p w14:paraId="6485D21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w:t>
            </w:r>
          </w:p>
        </w:tc>
        <w:tc>
          <w:tcPr>
            <w:tcW w:w="902" w:type="dxa"/>
            <w:tcBorders>
              <w:right w:val="single" w:color="auto" w:sz="4" w:space="0"/>
            </w:tcBorders>
            <w:noWrap w:val="0"/>
            <w:vAlign w:val="center"/>
          </w:tcPr>
          <w:p w14:paraId="093C35F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7CED317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75A3A7F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5" w:type="dxa"/>
            <w:noWrap w:val="0"/>
            <w:vAlign w:val="center"/>
          </w:tcPr>
          <w:p w14:paraId="04CCB74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60AB8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2" w:type="dxa"/>
            <w:noWrap w:val="0"/>
            <w:vAlign w:val="center"/>
          </w:tcPr>
          <w:p w14:paraId="2F1F41C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w:t>
            </w:r>
          </w:p>
        </w:tc>
        <w:tc>
          <w:tcPr>
            <w:tcW w:w="902" w:type="dxa"/>
            <w:tcBorders>
              <w:right w:val="single" w:color="auto" w:sz="4" w:space="0"/>
            </w:tcBorders>
            <w:noWrap w:val="0"/>
            <w:vAlign w:val="center"/>
          </w:tcPr>
          <w:p w14:paraId="6748966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7CEDE56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6EE5B44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5" w:type="dxa"/>
            <w:noWrap w:val="0"/>
            <w:vAlign w:val="center"/>
          </w:tcPr>
          <w:p w14:paraId="664958F8">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A79A2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2" w:type="dxa"/>
            <w:noWrap w:val="0"/>
            <w:vAlign w:val="center"/>
          </w:tcPr>
          <w:p w14:paraId="7CA8B16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w:t>
            </w:r>
          </w:p>
        </w:tc>
        <w:tc>
          <w:tcPr>
            <w:tcW w:w="902" w:type="dxa"/>
            <w:tcBorders>
              <w:right w:val="single" w:color="auto" w:sz="4" w:space="0"/>
            </w:tcBorders>
            <w:noWrap w:val="0"/>
            <w:vAlign w:val="center"/>
          </w:tcPr>
          <w:p w14:paraId="6DFCC09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1D84D685">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2598AC9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5" w:type="dxa"/>
            <w:noWrap w:val="0"/>
            <w:vAlign w:val="center"/>
          </w:tcPr>
          <w:p w14:paraId="4953A1E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022E4F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2" w:type="dxa"/>
            <w:noWrap w:val="0"/>
            <w:vAlign w:val="center"/>
          </w:tcPr>
          <w:p w14:paraId="50FCF5F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5</w:t>
            </w:r>
          </w:p>
        </w:tc>
        <w:tc>
          <w:tcPr>
            <w:tcW w:w="902" w:type="dxa"/>
            <w:tcBorders>
              <w:right w:val="single" w:color="auto" w:sz="4" w:space="0"/>
            </w:tcBorders>
            <w:noWrap w:val="0"/>
            <w:vAlign w:val="center"/>
          </w:tcPr>
          <w:p w14:paraId="6CFCD4F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61CE4E2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451A4B0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5" w:type="dxa"/>
            <w:noWrap w:val="0"/>
            <w:vAlign w:val="center"/>
          </w:tcPr>
          <w:p w14:paraId="4835AF2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C2497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2" w:type="dxa"/>
            <w:noWrap w:val="0"/>
            <w:vAlign w:val="center"/>
          </w:tcPr>
          <w:p w14:paraId="66C1CEA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w:t>
            </w:r>
          </w:p>
        </w:tc>
        <w:tc>
          <w:tcPr>
            <w:tcW w:w="902" w:type="dxa"/>
            <w:tcBorders>
              <w:right w:val="single" w:color="auto" w:sz="4" w:space="0"/>
            </w:tcBorders>
            <w:noWrap w:val="0"/>
            <w:vAlign w:val="center"/>
          </w:tcPr>
          <w:p w14:paraId="1E5860E7">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06CA31A7">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0A112F48">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5" w:type="dxa"/>
            <w:tcBorders>
              <w:right w:val="single" w:color="auto" w:sz="4" w:space="0"/>
            </w:tcBorders>
            <w:noWrap w:val="0"/>
            <w:vAlign w:val="center"/>
          </w:tcPr>
          <w:p w14:paraId="5B97DB4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bl>
    <w:p w14:paraId="3B558A39">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5DB3B4A">
      <w:pPr>
        <w:spacing w:line="360" w:lineRule="auto"/>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1. 说明：应对照谈判文件“第三章 采购需求”中的技术要求逐条实质性响应，并作出偏离说明。</w:t>
      </w:r>
    </w:p>
    <w:p w14:paraId="7EEC55BC">
      <w:pPr>
        <w:spacing w:line="360" w:lineRule="auto"/>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2.供应商应根据竞标设备的性能指标，对照谈判文件要求，在“偏离说明”中注明“正偏离”、“负偏离”或者“无偏离”。既不属于“正偏离”也不属于“负偏离”即为“无偏离”。</w:t>
      </w:r>
    </w:p>
    <w:p w14:paraId="7A060AD1">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3.供应商认为其竞标响应有正偏离的，请在技术要求偏离表中列明，且在响应文件中提供竞标产品的彩页或</w:t>
      </w:r>
      <w:r>
        <w:rPr>
          <w:rFonts w:ascii="宋体" w:hAnsi="宋体"/>
          <w:color w:val="auto"/>
          <w:kern w:val="0"/>
          <w:sz w:val="24"/>
          <w:highlight w:val="none"/>
        </w:rPr>
        <w:t>国家认可有资质的第三方检测机构出具的检测报告复印件</w:t>
      </w:r>
      <w:r>
        <w:rPr>
          <w:rFonts w:hint="eastAsia" w:ascii="宋体" w:hAnsi="宋体"/>
          <w:color w:val="auto"/>
          <w:kern w:val="0"/>
          <w:sz w:val="24"/>
          <w:highlight w:val="none"/>
        </w:rPr>
        <w:t>或产品生产厂家出具的技术参数说明证明作为佐证，以上佐证材料均需加盖生产厂家或代理商（附生产厂家授权资料）公章。</w:t>
      </w:r>
    </w:p>
    <w:p w14:paraId="3B24CADE">
      <w:pPr>
        <w:spacing w:line="360" w:lineRule="auto"/>
        <w:contextualSpacing/>
        <w:rPr>
          <w:rFonts w:hint="eastAsia"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w:t>
      </w:r>
      <w:r>
        <w:rPr>
          <w:rFonts w:hint="eastAsia" w:ascii="宋体" w:hAnsi="宋体"/>
          <w:color w:val="auto"/>
          <w:kern w:val="0"/>
          <w:sz w:val="24"/>
          <w:highlight w:val="none"/>
        </w:rPr>
        <w:t xml:space="preserve"> 如技术要求偏离表中的竞标响应与佐证材料不一致的，以佐证材料为准。</w:t>
      </w:r>
    </w:p>
    <w:p w14:paraId="1B7FE64C">
      <w:pPr>
        <w:pStyle w:val="10"/>
        <w:spacing w:line="360" w:lineRule="auto"/>
        <w:ind w:firstLine="0" w:firstLineChars="0"/>
        <w:contextualSpacing/>
        <w:rPr>
          <w:rFonts w:hint="eastAsia" w:ascii="宋体" w:hAnsi="宋体" w:eastAsia="宋体" w:cs="仿宋_GB2312"/>
          <w:color w:val="auto"/>
          <w:sz w:val="24"/>
          <w:szCs w:val="24"/>
          <w:highlight w:val="none"/>
        </w:rPr>
      </w:pPr>
    </w:p>
    <w:p w14:paraId="31D98DF9">
      <w:pPr>
        <w:spacing w:line="360" w:lineRule="auto"/>
        <w:ind w:right="-817" w:rightChars="-389"/>
        <w:contextualSpacing/>
        <w:rPr>
          <w:rFonts w:hint="eastAsia" w:ascii="宋体" w:hAnsi="宋体" w:cs="仿宋_GB2312"/>
          <w:color w:val="auto"/>
          <w:sz w:val="24"/>
          <w:highlight w:val="none"/>
        </w:rPr>
      </w:pPr>
    </w:p>
    <w:p w14:paraId="42557E02">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0BA2044F">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4E7068A">
      <w:pPr>
        <w:spacing w:line="360" w:lineRule="auto"/>
        <w:ind w:right="-817" w:rightChars="-389" w:firstLine="2880" w:firstLineChars="1200"/>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2A1C0836">
      <w:pPr>
        <w:pStyle w:val="12"/>
        <w:ind w:firstLine="472" w:firstLineChars="147"/>
        <w:jc w:val="center"/>
        <w:outlineLvl w:val="4"/>
        <w:rPr>
          <w:rFonts w:ascii="Times New Roman" w:hAnsi="Times New Roman"/>
          <w:b/>
          <w:bCs/>
          <w:sz w:val="32"/>
          <w:szCs w:val="32"/>
        </w:rPr>
      </w:pPr>
    </w:p>
    <w:p w14:paraId="52CA40B8">
      <w:pPr>
        <w:pStyle w:val="12"/>
        <w:ind w:firstLine="472" w:firstLineChars="147"/>
        <w:jc w:val="center"/>
        <w:outlineLvl w:val="4"/>
        <w:rPr>
          <w:rFonts w:ascii="Times New Roman" w:hAnsi="Times New Roman"/>
          <w:b/>
          <w:bCs/>
          <w:sz w:val="32"/>
          <w:szCs w:val="32"/>
        </w:rPr>
      </w:pPr>
    </w:p>
    <w:p w14:paraId="6694B17F">
      <w:pPr>
        <w:pStyle w:val="12"/>
        <w:ind w:firstLine="472" w:firstLineChars="147"/>
        <w:jc w:val="center"/>
        <w:outlineLvl w:val="4"/>
        <w:rPr>
          <w:rFonts w:ascii="Times New Roman" w:hAnsi="Times New Roman"/>
          <w:b/>
          <w:bCs/>
          <w:sz w:val="32"/>
          <w:szCs w:val="32"/>
        </w:rPr>
      </w:pPr>
    </w:p>
    <w:p w14:paraId="7FF9534C">
      <w:pPr>
        <w:pStyle w:val="12"/>
        <w:ind w:firstLine="472" w:firstLineChars="147"/>
        <w:jc w:val="center"/>
        <w:outlineLvl w:val="4"/>
        <w:rPr>
          <w:rFonts w:ascii="Times New Roman" w:hAnsi="Times New Roman"/>
          <w:b/>
          <w:bCs/>
          <w:sz w:val="32"/>
          <w:szCs w:val="32"/>
        </w:rPr>
      </w:pPr>
      <w:r>
        <w:rPr>
          <w:rFonts w:ascii="Times New Roman" w:hAnsi="Times New Roman"/>
          <w:b/>
          <w:bCs/>
          <w:sz w:val="32"/>
          <w:szCs w:val="32"/>
        </w:rPr>
        <w:t>项目实施人员一览表（格式）</w:t>
      </w:r>
    </w:p>
    <w:tbl>
      <w:tblPr>
        <w:tblStyle w:val="18"/>
        <w:tblW w:w="84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912"/>
        <w:gridCol w:w="2789"/>
        <w:gridCol w:w="1303"/>
        <w:gridCol w:w="1382"/>
        <w:gridCol w:w="994"/>
      </w:tblGrid>
      <w:tr w14:paraId="6F50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17" w:type="dxa"/>
            <w:shd w:val="clear" w:color="auto" w:fill="8DB3E2"/>
            <w:noWrap w:val="0"/>
            <w:vAlign w:val="center"/>
          </w:tcPr>
          <w:p w14:paraId="0B6B9820">
            <w:pPr>
              <w:spacing w:line="400" w:lineRule="exact"/>
              <w:jc w:val="center"/>
              <w:rPr>
                <w:rFonts w:ascii="宋体" w:hAnsi="宋体" w:cs="宋体"/>
                <w:b/>
                <w:bCs/>
                <w:szCs w:val="21"/>
              </w:rPr>
            </w:pPr>
            <w:r>
              <w:rPr>
                <w:rFonts w:hint="eastAsia" w:ascii="宋体" w:hAnsi="宋体" w:cs="宋体"/>
                <w:b/>
                <w:bCs/>
                <w:szCs w:val="21"/>
              </w:rPr>
              <w:t>姓 名</w:t>
            </w:r>
          </w:p>
        </w:tc>
        <w:tc>
          <w:tcPr>
            <w:tcW w:w="912" w:type="dxa"/>
            <w:shd w:val="clear" w:color="auto" w:fill="8DB3E2"/>
            <w:noWrap w:val="0"/>
            <w:vAlign w:val="center"/>
          </w:tcPr>
          <w:p w14:paraId="1219B4E5">
            <w:pPr>
              <w:spacing w:line="400" w:lineRule="exact"/>
              <w:jc w:val="center"/>
              <w:rPr>
                <w:rFonts w:ascii="宋体" w:hAnsi="宋体" w:cs="宋体"/>
                <w:b/>
                <w:bCs/>
                <w:szCs w:val="21"/>
              </w:rPr>
            </w:pPr>
            <w:r>
              <w:rPr>
                <w:rFonts w:hint="eastAsia" w:ascii="宋体" w:hAnsi="宋体" w:cs="宋体"/>
                <w:b/>
                <w:bCs/>
                <w:szCs w:val="21"/>
              </w:rPr>
              <w:t>职务</w:t>
            </w:r>
          </w:p>
        </w:tc>
        <w:tc>
          <w:tcPr>
            <w:tcW w:w="2789" w:type="dxa"/>
            <w:shd w:val="clear" w:color="auto" w:fill="8DB3E2"/>
            <w:noWrap w:val="0"/>
            <w:vAlign w:val="center"/>
          </w:tcPr>
          <w:p w14:paraId="4A93C790">
            <w:pPr>
              <w:spacing w:line="400" w:lineRule="exact"/>
              <w:jc w:val="center"/>
              <w:rPr>
                <w:rFonts w:hint="default" w:ascii="宋体" w:hAnsi="宋体" w:eastAsia="宋体" w:cs="宋体"/>
                <w:b/>
                <w:bCs/>
                <w:szCs w:val="21"/>
                <w:lang w:val="en-US" w:eastAsia="zh-CN"/>
              </w:rPr>
            </w:pPr>
            <w:r>
              <w:rPr>
                <w:rFonts w:hint="eastAsia" w:ascii="宋体" w:hAnsi="宋体" w:cs="宋体"/>
                <w:b/>
                <w:bCs/>
                <w:szCs w:val="21"/>
              </w:rPr>
              <w:t>专业技术资格</w:t>
            </w:r>
            <w:r>
              <w:rPr>
                <w:rFonts w:hint="eastAsia" w:ascii="宋体" w:hAnsi="宋体" w:cs="宋体"/>
                <w:b/>
                <w:bCs/>
                <w:szCs w:val="21"/>
                <w:lang w:val="en-US" w:eastAsia="zh-CN"/>
              </w:rPr>
              <w:t>证名称</w:t>
            </w:r>
          </w:p>
        </w:tc>
        <w:tc>
          <w:tcPr>
            <w:tcW w:w="1303" w:type="dxa"/>
            <w:shd w:val="clear" w:color="auto" w:fill="8DB3E2"/>
            <w:noWrap w:val="0"/>
            <w:vAlign w:val="center"/>
          </w:tcPr>
          <w:p w14:paraId="0DD37A7F">
            <w:pPr>
              <w:spacing w:line="400" w:lineRule="exact"/>
              <w:jc w:val="center"/>
              <w:rPr>
                <w:rFonts w:ascii="宋体" w:hAnsi="宋体" w:cs="宋体"/>
                <w:b/>
                <w:bCs/>
                <w:szCs w:val="21"/>
              </w:rPr>
            </w:pPr>
            <w:r>
              <w:rPr>
                <w:rFonts w:hint="eastAsia" w:ascii="宋体" w:hAnsi="宋体" w:cs="宋体"/>
                <w:b/>
                <w:bCs/>
                <w:szCs w:val="21"/>
              </w:rPr>
              <w:t>证书编号</w:t>
            </w:r>
          </w:p>
        </w:tc>
        <w:tc>
          <w:tcPr>
            <w:tcW w:w="1382" w:type="dxa"/>
            <w:shd w:val="clear" w:color="auto" w:fill="8DB3E2"/>
            <w:noWrap w:val="0"/>
            <w:vAlign w:val="center"/>
          </w:tcPr>
          <w:p w14:paraId="48BE6883">
            <w:pPr>
              <w:spacing w:line="400" w:lineRule="exact"/>
              <w:jc w:val="center"/>
              <w:rPr>
                <w:rFonts w:ascii="宋体" w:hAnsi="宋体" w:cs="宋体"/>
                <w:b/>
                <w:bCs/>
                <w:szCs w:val="21"/>
              </w:rPr>
            </w:pPr>
            <w:r>
              <w:rPr>
                <w:rFonts w:hint="eastAsia" w:ascii="宋体" w:hAnsi="宋体" w:cs="宋体"/>
                <w:b/>
                <w:bCs/>
                <w:szCs w:val="21"/>
              </w:rPr>
              <w:t>参加工作时间</w:t>
            </w:r>
          </w:p>
        </w:tc>
        <w:tc>
          <w:tcPr>
            <w:tcW w:w="994" w:type="dxa"/>
            <w:shd w:val="clear" w:color="auto" w:fill="8DB3E2"/>
            <w:noWrap w:val="0"/>
            <w:vAlign w:val="center"/>
          </w:tcPr>
          <w:p w14:paraId="2B3F0077">
            <w:pPr>
              <w:spacing w:line="400" w:lineRule="exact"/>
              <w:jc w:val="center"/>
              <w:rPr>
                <w:rFonts w:ascii="宋体" w:hAnsi="宋体" w:cs="宋体"/>
                <w:b/>
                <w:bCs/>
                <w:szCs w:val="21"/>
              </w:rPr>
            </w:pPr>
            <w:r>
              <w:rPr>
                <w:rFonts w:hint="eastAsia" w:ascii="宋体" w:hAnsi="宋体" w:cs="宋体"/>
                <w:b/>
                <w:bCs/>
                <w:szCs w:val="21"/>
              </w:rPr>
              <w:t>备注</w:t>
            </w:r>
          </w:p>
        </w:tc>
      </w:tr>
      <w:tr w14:paraId="61BE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7" w:type="dxa"/>
            <w:noWrap w:val="0"/>
            <w:vAlign w:val="top"/>
          </w:tcPr>
          <w:p w14:paraId="20C8AD30">
            <w:pPr>
              <w:spacing w:line="400" w:lineRule="exact"/>
              <w:rPr>
                <w:rFonts w:ascii="宋体" w:hAnsi="宋体" w:cs="宋体"/>
                <w:szCs w:val="21"/>
              </w:rPr>
            </w:pPr>
          </w:p>
        </w:tc>
        <w:tc>
          <w:tcPr>
            <w:tcW w:w="912" w:type="dxa"/>
            <w:noWrap w:val="0"/>
            <w:vAlign w:val="top"/>
          </w:tcPr>
          <w:p w14:paraId="3C411DAE">
            <w:pPr>
              <w:spacing w:line="400" w:lineRule="exact"/>
              <w:rPr>
                <w:rFonts w:ascii="宋体" w:hAnsi="宋体" w:cs="宋体"/>
                <w:szCs w:val="21"/>
              </w:rPr>
            </w:pPr>
          </w:p>
        </w:tc>
        <w:tc>
          <w:tcPr>
            <w:tcW w:w="2789" w:type="dxa"/>
            <w:noWrap w:val="0"/>
            <w:vAlign w:val="top"/>
          </w:tcPr>
          <w:p w14:paraId="4383BE72">
            <w:pPr>
              <w:spacing w:line="400" w:lineRule="exact"/>
              <w:rPr>
                <w:rFonts w:ascii="宋体" w:hAnsi="宋体" w:cs="宋体"/>
                <w:szCs w:val="21"/>
              </w:rPr>
            </w:pPr>
          </w:p>
        </w:tc>
        <w:tc>
          <w:tcPr>
            <w:tcW w:w="1303" w:type="dxa"/>
            <w:noWrap w:val="0"/>
            <w:vAlign w:val="top"/>
          </w:tcPr>
          <w:p w14:paraId="58F9A716">
            <w:pPr>
              <w:spacing w:line="400" w:lineRule="exact"/>
              <w:rPr>
                <w:rFonts w:ascii="宋体" w:hAnsi="宋体" w:cs="宋体"/>
                <w:szCs w:val="21"/>
              </w:rPr>
            </w:pPr>
          </w:p>
        </w:tc>
        <w:tc>
          <w:tcPr>
            <w:tcW w:w="1382" w:type="dxa"/>
            <w:noWrap w:val="0"/>
            <w:vAlign w:val="top"/>
          </w:tcPr>
          <w:p w14:paraId="2A248084">
            <w:pPr>
              <w:spacing w:line="400" w:lineRule="exact"/>
              <w:rPr>
                <w:rFonts w:ascii="宋体" w:hAnsi="宋体" w:cs="宋体"/>
                <w:szCs w:val="21"/>
              </w:rPr>
            </w:pPr>
          </w:p>
        </w:tc>
        <w:tc>
          <w:tcPr>
            <w:tcW w:w="994" w:type="dxa"/>
            <w:noWrap w:val="0"/>
            <w:vAlign w:val="top"/>
          </w:tcPr>
          <w:p w14:paraId="3C33CCD7">
            <w:pPr>
              <w:spacing w:line="400" w:lineRule="exact"/>
              <w:rPr>
                <w:rFonts w:ascii="宋体" w:hAnsi="宋体" w:cs="宋体"/>
                <w:szCs w:val="21"/>
              </w:rPr>
            </w:pPr>
          </w:p>
        </w:tc>
      </w:tr>
      <w:tr w14:paraId="573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7" w:type="dxa"/>
            <w:noWrap w:val="0"/>
            <w:vAlign w:val="top"/>
          </w:tcPr>
          <w:p w14:paraId="4DE374D1">
            <w:pPr>
              <w:spacing w:line="400" w:lineRule="exact"/>
              <w:rPr>
                <w:rFonts w:ascii="宋体" w:hAnsi="宋体" w:cs="宋体"/>
                <w:szCs w:val="21"/>
              </w:rPr>
            </w:pPr>
          </w:p>
        </w:tc>
        <w:tc>
          <w:tcPr>
            <w:tcW w:w="912" w:type="dxa"/>
            <w:noWrap w:val="0"/>
            <w:vAlign w:val="top"/>
          </w:tcPr>
          <w:p w14:paraId="1959EA89">
            <w:pPr>
              <w:spacing w:line="400" w:lineRule="exact"/>
              <w:rPr>
                <w:rFonts w:ascii="宋体" w:hAnsi="宋体" w:cs="宋体"/>
                <w:szCs w:val="21"/>
              </w:rPr>
            </w:pPr>
          </w:p>
        </w:tc>
        <w:tc>
          <w:tcPr>
            <w:tcW w:w="2789" w:type="dxa"/>
            <w:noWrap w:val="0"/>
            <w:vAlign w:val="top"/>
          </w:tcPr>
          <w:p w14:paraId="404113CB">
            <w:pPr>
              <w:spacing w:line="400" w:lineRule="exact"/>
              <w:rPr>
                <w:rFonts w:ascii="宋体" w:hAnsi="宋体" w:cs="宋体"/>
                <w:szCs w:val="21"/>
              </w:rPr>
            </w:pPr>
          </w:p>
        </w:tc>
        <w:tc>
          <w:tcPr>
            <w:tcW w:w="1303" w:type="dxa"/>
            <w:noWrap w:val="0"/>
            <w:vAlign w:val="top"/>
          </w:tcPr>
          <w:p w14:paraId="5E2B17F3">
            <w:pPr>
              <w:spacing w:line="400" w:lineRule="exact"/>
              <w:rPr>
                <w:rFonts w:ascii="宋体" w:hAnsi="宋体" w:cs="宋体"/>
                <w:szCs w:val="21"/>
              </w:rPr>
            </w:pPr>
          </w:p>
        </w:tc>
        <w:tc>
          <w:tcPr>
            <w:tcW w:w="1382" w:type="dxa"/>
            <w:noWrap w:val="0"/>
            <w:vAlign w:val="top"/>
          </w:tcPr>
          <w:p w14:paraId="7E420E46">
            <w:pPr>
              <w:spacing w:line="400" w:lineRule="exact"/>
              <w:rPr>
                <w:rFonts w:ascii="宋体" w:hAnsi="宋体" w:cs="宋体"/>
                <w:szCs w:val="21"/>
              </w:rPr>
            </w:pPr>
          </w:p>
        </w:tc>
        <w:tc>
          <w:tcPr>
            <w:tcW w:w="994" w:type="dxa"/>
            <w:noWrap w:val="0"/>
            <w:vAlign w:val="top"/>
          </w:tcPr>
          <w:p w14:paraId="141420D6">
            <w:pPr>
              <w:spacing w:line="400" w:lineRule="exact"/>
              <w:rPr>
                <w:rFonts w:ascii="宋体" w:hAnsi="宋体" w:cs="宋体"/>
                <w:szCs w:val="21"/>
              </w:rPr>
            </w:pPr>
          </w:p>
        </w:tc>
      </w:tr>
      <w:tr w14:paraId="4262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7" w:type="dxa"/>
            <w:noWrap w:val="0"/>
            <w:vAlign w:val="top"/>
          </w:tcPr>
          <w:p w14:paraId="0ED4A104">
            <w:pPr>
              <w:spacing w:line="400" w:lineRule="exact"/>
              <w:rPr>
                <w:rFonts w:ascii="宋体" w:hAnsi="宋体" w:cs="宋体"/>
                <w:szCs w:val="21"/>
              </w:rPr>
            </w:pPr>
          </w:p>
        </w:tc>
        <w:tc>
          <w:tcPr>
            <w:tcW w:w="912" w:type="dxa"/>
            <w:noWrap w:val="0"/>
            <w:vAlign w:val="top"/>
          </w:tcPr>
          <w:p w14:paraId="2E98E121">
            <w:pPr>
              <w:spacing w:line="400" w:lineRule="exact"/>
              <w:rPr>
                <w:rFonts w:ascii="宋体" w:hAnsi="宋体" w:cs="宋体"/>
                <w:szCs w:val="21"/>
              </w:rPr>
            </w:pPr>
          </w:p>
        </w:tc>
        <w:tc>
          <w:tcPr>
            <w:tcW w:w="2789" w:type="dxa"/>
            <w:noWrap w:val="0"/>
            <w:vAlign w:val="top"/>
          </w:tcPr>
          <w:p w14:paraId="7178A86A">
            <w:pPr>
              <w:spacing w:line="400" w:lineRule="exact"/>
              <w:rPr>
                <w:rFonts w:ascii="宋体" w:hAnsi="宋体" w:cs="宋体"/>
                <w:szCs w:val="21"/>
              </w:rPr>
            </w:pPr>
          </w:p>
        </w:tc>
        <w:tc>
          <w:tcPr>
            <w:tcW w:w="1303" w:type="dxa"/>
            <w:noWrap w:val="0"/>
            <w:vAlign w:val="top"/>
          </w:tcPr>
          <w:p w14:paraId="3A720FB4">
            <w:pPr>
              <w:spacing w:line="400" w:lineRule="exact"/>
              <w:rPr>
                <w:rFonts w:ascii="宋体" w:hAnsi="宋体" w:cs="宋体"/>
                <w:szCs w:val="21"/>
              </w:rPr>
            </w:pPr>
          </w:p>
        </w:tc>
        <w:tc>
          <w:tcPr>
            <w:tcW w:w="1382" w:type="dxa"/>
            <w:noWrap w:val="0"/>
            <w:vAlign w:val="top"/>
          </w:tcPr>
          <w:p w14:paraId="55954913">
            <w:pPr>
              <w:spacing w:line="400" w:lineRule="exact"/>
              <w:rPr>
                <w:rFonts w:ascii="宋体" w:hAnsi="宋体" w:cs="宋体"/>
                <w:szCs w:val="21"/>
              </w:rPr>
            </w:pPr>
          </w:p>
        </w:tc>
        <w:tc>
          <w:tcPr>
            <w:tcW w:w="994" w:type="dxa"/>
            <w:noWrap w:val="0"/>
            <w:vAlign w:val="top"/>
          </w:tcPr>
          <w:p w14:paraId="04376E2B">
            <w:pPr>
              <w:spacing w:line="400" w:lineRule="exact"/>
              <w:rPr>
                <w:rFonts w:ascii="宋体" w:hAnsi="宋体" w:cs="宋体"/>
                <w:szCs w:val="21"/>
              </w:rPr>
            </w:pPr>
          </w:p>
        </w:tc>
      </w:tr>
      <w:tr w14:paraId="724C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7" w:type="dxa"/>
            <w:noWrap w:val="0"/>
            <w:vAlign w:val="top"/>
          </w:tcPr>
          <w:p w14:paraId="70D384EE">
            <w:pPr>
              <w:spacing w:line="400" w:lineRule="exact"/>
              <w:rPr>
                <w:rFonts w:ascii="宋体" w:hAnsi="宋体" w:cs="宋体"/>
                <w:szCs w:val="21"/>
              </w:rPr>
            </w:pPr>
          </w:p>
        </w:tc>
        <w:tc>
          <w:tcPr>
            <w:tcW w:w="912" w:type="dxa"/>
            <w:noWrap w:val="0"/>
            <w:vAlign w:val="top"/>
          </w:tcPr>
          <w:p w14:paraId="177F9B13">
            <w:pPr>
              <w:spacing w:line="400" w:lineRule="exact"/>
              <w:rPr>
                <w:rFonts w:ascii="宋体" w:hAnsi="宋体" w:cs="宋体"/>
                <w:szCs w:val="21"/>
              </w:rPr>
            </w:pPr>
          </w:p>
        </w:tc>
        <w:tc>
          <w:tcPr>
            <w:tcW w:w="2789" w:type="dxa"/>
            <w:noWrap w:val="0"/>
            <w:vAlign w:val="top"/>
          </w:tcPr>
          <w:p w14:paraId="523BE1AD">
            <w:pPr>
              <w:spacing w:line="400" w:lineRule="exact"/>
              <w:rPr>
                <w:rFonts w:ascii="宋体" w:hAnsi="宋体" w:cs="宋体"/>
                <w:szCs w:val="21"/>
              </w:rPr>
            </w:pPr>
          </w:p>
        </w:tc>
        <w:tc>
          <w:tcPr>
            <w:tcW w:w="1303" w:type="dxa"/>
            <w:noWrap w:val="0"/>
            <w:vAlign w:val="top"/>
          </w:tcPr>
          <w:p w14:paraId="2E73FD04">
            <w:pPr>
              <w:spacing w:line="400" w:lineRule="exact"/>
              <w:rPr>
                <w:rFonts w:ascii="宋体" w:hAnsi="宋体" w:cs="宋体"/>
                <w:szCs w:val="21"/>
              </w:rPr>
            </w:pPr>
          </w:p>
        </w:tc>
        <w:tc>
          <w:tcPr>
            <w:tcW w:w="1382" w:type="dxa"/>
            <w:noWrap w:val="0"/>
            <w:vAlign w:val="top"/>
          </w:tcPr>
          <w:p w14:paraId="18315218">
            <w:pPr>
              <w:spacing w:line="400" w:lineRule="exact"/>
              <w:rPr>
                <w:rFonts w:ascii="宋体" w:hAnsi="宋体" w:cs="宋体"/>
                <w:szCs w:val="21"/>
              </w:rPr>
            </w:pPr>
          </w:p>
        </w:tc>
        <w:tc>
          <w:tcPr>
            <w:tcW w:w="994" w:type="dxa"/>
            <w:noWrap w:val="0"/>
            <w:vAlign w:val="top"/>
          </w:tcPr>
          <w:p w14:paraId="3AD8F48E">
            <w:pPr>
              <w:spacing w:line="400" w:lineRule="exact"/>
              <w:rPr>
                <w:rFonts w:ascii="宋体" w:hAnsi="宋体" w:cs="宋体"/>
                <w:szCs w:val="21"/>
              </w:rPr>
            </w:pPr>
          </w:p>
        </w:tc>
      </w:tr>
      <w:tr w14:paraId="1B5F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7" w:type="dxa"/>
            <w:noWrap w:val="0"/>
            <w:vAlign w:val="top"/>
          </w:tcPr>
          <w:p w14:paraId="5A7AE0C4">
            <w:pPr>
              <w:spacing w:line="400" w:lineRule="exact"/>
              <w:rPr>
                <w:rFonts w:ascii="宋体" w:hAnsi="宋体" w:cs="宋体"/>
                <w:szCs w:val="21"/>
              </w:rPr>
            </w:pPr>
          </w:p>
        </w:tc>
        <w:tc>
          <w:tcPr>
            <w:tcW w:w="912" w:type="dxa"/>
            <w:noWrap w:val="0"/>
            <w:vAlign w:val="top"/>
          </w:tcPr>
          <w:p w14:paraId="2B0FC105">
            <w:pPr>
              <w:spacing w:line="400" w:lineRule="exact"/>
              <w:rPr>
                <w:rFonts w:ascii="宋体" w:hAnsi="宋体" w:cs="宋体"/>
                <w:szCs w:val="21"/>
              </w:rPr>
            </w:pPr>
          </w:p>
        </w:tc>
        <w:tc>
          <w:tcPr>
            <w:tcW w:w="2789" w:type="dxa"/>
            <w:noWrap w:val="0"/>
            <w:vAlign w:val="top"/>
          </w:tcPr>
          <w:p w14:paraId="4B13162D">
            <w:pPr>
              <w:spacing w:line="400" w:lineRule="exact"/>
              <w:rPr>
                <w:rFonts w:ascii="宋体" w:hAnsi="宋体" w:cs="宋体"/>
                <w:szCs w:val="21"/>
              </w:rPr>
            </w:pPr>
          </w:p>
        </w:tc>
        <w:tc>
          <w:tcPr>
            <w:tcW w:w="1303" w:type="dxa"/>
            <w:noWrap w:val="0"/>
            <w:vAlign w:val="top"/>
          </w:tcPr>
          <w:p w14:paraId="3F25DD89">
            <w:pPr>
              <w:spacing w:line="400" w:lineRule="exact"/>
              <w:rPr>
                <w:rFonts w:ascii="宋体" w:hAnsi="宋体" w:cs="宋体"/>
                <w:szCs w:val="21"/>
              </w:rPr>
            </w:pPr>
          </w:p>
        </w:tc>
        <w:tc>
          <w:tcPr>
            <w:tcW w:w="1382" w:type="dxa"/>
            <w:noWrap w:val="0"/>
            <w:vAlign w:val="top"/>
          </w:tcPr>
          <w:p w14:paraId="2A03AAB0">
            <w:pPr>
              <w:spacing w:line="400" w:lineRule="exact"/>
              <w:rPr>
                <w:rFonts w:ascii="宋体" w:hAnsi="宋体" w:cs="宋体"/>
                <w:szCs w:val="21"/>
              </w:rPr>
            </w:pPr>
          </w:p>
        </w:tc>
        <w:tc>
          <w:tcPr>
            <w:tcW w:w="994" w:type="dxa"/>
            <w:noWrap w:val="0"/>
            <w:vAlign w:val="top"/>
          </w:tcPr>
          <w:p w14:paraId="07033909">
            <w:pPr>
              <w:spacing w:line="400" w:lineRule="exact"/>
              <w:rPr>
                <w:rFonts w:ascii="宋体" w:hAnsi="宋体" w:cs="宋体"/>
                <w:szCs w:val="21"/>
              </w:rPr>
            </w:pPr>
          </w:p>
        </w:tc>
      </w:tr>
      <w:tr w14:paraId="505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17" w:type="dxa"/>
            <w:noWrap w:val="0"/>
            <w:vAlign w:val="top"/>
          </w:tcPr>
          <w:p w14:paraId="2145BD40">
            <w:pPr>
              <w:spacing w:line="400" w:lineRule="exact"/>
              <w:rPr>
                <w:rFonts w:ascii="宋体" w:hAnsi="宋体" w:cs="宋体"/>
                <w:szCs w:val="21"/>
              </w:rPr>
            </w:pPr>
          </w:p>
        </w:tc>
        <w:tc>
          <w:tcPr>
            <w:tcW w:w="912" w:type="dxa"/>
            <w:noWrap w:val="0"/>
            <w:vAlign w:val="top"/>
          </w:tcPr>
          <w:p w14:paraId="0C71F497">
            <w:pPr>
              <w:spacing w:line="400" w:lineRule="exact"/>
              <w:rPr>
                <w:rFonts w:ascii="宋体" w:hAnsi="宋体" w:cs="宋体"/>
                <w:szCs w:val="21"/>
              </w:rPr>
            </w:pPr>
          </w:p>
        </w:tc>
        <w:tc>
          <w:tcPr>
            <w:tcW w:w="2789" w:type="dxa"/>
            <w:noWrap w:val="0"/>
            <w:vAlign w:val="top"/>
          </w:tcPr>
          <w:p w14:paraId="0BE0857D">
            <w:pPr>
              <w:spacing w:line="400" w:lineRule="exact"/>
              <w:rPr>
                <w:rFonts w:ascii="宋体" w:hAnsi="宋体" w:cs="宋体"/>
                <w:szCs w:val="21"/>
              </w:rPr>
            </w:pPr>
          </w:p>
        </w:tc>
        <w:tc>
          <w:tcPr>
            <w:tcW w:w="1303" w:type="dxa"/>
            <w:noWrap w:val="0"/>
            <w:vAlign w:val="top"/>
          </w:tcPr>
          <w:p w14:paraId="32FED9BB">
            <w:pPr>
              <w:spacing w:line="400" w:lineRule="exact"/>
              <w:rPr>
                <w:rFonts w:ascii="宋体" w:hAnsi="宋体" w:cs="宋体"/>
                <w:szCs w:val="21"/>
              </w:rPr>
            </w:pPr>
          </w:p>
        </w:tc>
        <w:tc>
          <w:tcPr>
            <w:tcW w:w="1382" w:type="dxa"/>
            <w:noWrap w:val="0"/>
            <w:vAlign w:val="top"/>
          </w:tcPr>
          <w:p w14:paraId="742C5567">
            <w:pPr>
              <w:spacing w:line="400" w:lineRule="exact"/>
              <w:rPr>
                <w:rFonts w:ascii="宋体" w:hAnsi="宋体" w:cs="宋体"/>
                <w:szCs w:val="21"/>
              </w:rPr>
            </w:pPr>
          </w:p>
        </w:tc>
        <w:tc>
          <w:tcPr>
            <w:tcW w:w="994" w:type="dxa"/>
            <w:noWrap w:val="0"/>
            <w:vAlign w:val="top"/>
          </w:tcPr>
          <w:p w14:paraId="251B84D2">
            <w:pPr>
              <w:spacing w:line="400" w:lineRule="exact"/>
              <w:rPr>
                <w:rFonts w:ascii="宋体" w:hAnsi="宋体" w:cs="宋体"/>
                <w:szCs w:val="21"/>
              </w:rPr>
            </w:pPr>
          </w:p>
        </w:tc>
      </w:tr>
    </w:tbl>
    <w:p w14:paraId="0064B062">
      <w:pPr>
        <w:spacing w:line="400" w:lineRule="exact"/>
        <w:rPr>
          <w:szCs w:val="21"/>
        </w:rPr>
      </w:pPr>
      <w:r>
        <w:rPr>
          <w:szCs w:val="21"/>
        </w:rPr>
        <w:t>注：1.在填写时，如本表格不适合供应商的实际情况，可根据本表格式自行制表填写。</w:t>
      </w:r>
    </w:p>
    <w:p w14:paraId="11FF18EA">
      <w:pPr>
        <w:spacing w:line="400" w:lineRule="exact"/>
        <w:ind w:left="420" w:leftChars="200"/>
        <w:rPr>
          <w:szCs w:val="21"/>
        </w:rPr>
      </w:pPr>
      <w:r>
        <w:rPr>
          <w:szCs w:val="21"/>
        </w:rPr>
        <w:t>2.项目实施人员一览表须由法定代表人、负责人、自然人或相应的委托代理人签字</w:t>
      </w:r>
      <w:r>
        <w:t>（属自然人的应在签名处加盖大拇指指印）</w:t>
      </w:r>
      <w:r>
        <w:rPr>
          <w:szCs w:val="21"/>
        </w:rPr>
        <w:t>并加盖供应商公章</w:t>
      </w:r>
      <w:r>
        <w:t>（自然人除外）</w:t>
      </w:r>
      <w:r>
        <w:rPr>
          <w:szCs w:val="21"/>
        </w:rPr>
        <w:t>。</w:t>
      </w:r>
    </w:p>
    <w:p w14:paraId="187EB32D">
      <w:pPr>
        <w:pStyle w:val="12"/>
        <w:spacing w:line="400" w:lineRule="exact"/>
        <w:rPr>
          <w:rFonts w:ascii="Times New Roman" w:hAnsi="Times New Roman"/>
        </w:rPr>
      </w:pPr>
    </w:p>
    <w:p w14:paraId="1205C0D2">
      <w:pPr>
        <w:snapToGrid w:val="0"/>
        <w:spacing w:line="400" w:lineRule="exact"/>
        <w:ind w:firstLine="3570" w:firstLineChars="1700"/>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14:paraId="715DFE38">
      <w:pPr>
        <w:pStyle w:val="12"/>
        <w:ind w:firstLine="3400" w:firstLineChars="1700"/>
        <w:rPr>
          <w:rFonts w:ascii="Times New Roman" w:hAnsi="Times New Roman"/>
        </w:rPr>
      </w:pPr>
    </w:p>
    <w:p w14:paraId="0BBD9E3D">
      <w:pPr>
        <w:pStyle w:val="12"/>
        <w:ind w:firstLine="3400" w:firstLineChars="1700"/>
        <w:rPr>
          <w:rFonts w:hint="eastAsia" w:cs="宋体"/>
          <w:sz w:val="30"/>
          <w:szCs w:val="30"/>
        </w:rPr>
      </w:pPr>
      <w:r>
        <w:rPr>
          <w:rFonts w:ascii="Times New Roman" w:hAnsi="Times New Roman"/>
        </w:rPr>
        <w:t>日          期：</w:t>
      </w:r>
      <w:r>
        <w:rPr>
          <w:rFonts w:ascii="Times New Roman" w:hAnsi="Times New Roman"/>
          <w:u w:val="single"/>
        </w:rPr>
        <w:t xml:space="preserve">                             </w:t>
      </w:r>
    </w:p>
    <w:p w14:paraId="22D419C3">
      <w:pPr>
        <w:spacing w:line="360" w:lineRule="auto"/>
        <w:rPr>
          <w:rFonts w:hint="eastAsia" w:ascii="宋体" w:cs="宋体"/>
          <w:b/>
          <w:bCs/>
          <w:sz w:val="28"/>
          <w:szCs w:val="28"/>
        </w:rPr>
      </w:pPr>
      <w:r>
        <w:rPr>
          <w:rFonts w:hint="eastAsia" w:ascii="宋体" w:cs="宋体"/>
          <w:b/>
          <w:bCs/>
          <w:sz w:val="28"/>
          <w:szCs w:val="28"/>
        </w:rPr>
        <w:t>注：供应商根据自身情况结合本项目自行制定</w:t>
      </w:r>
    </w:p>
    <w:p w14:paraId="2385ED8A">
      <w:pPr>
        <w:spacing w:line="300" w:lineRule="auto"/>
        <w:rPr>
          <w:rFonts w:hint="eastAsia" w:ascii="方正小标宋简体" w:hAnsi="方正小标宋简体" w:eastAsia="方正小标宋简体" w:cs="方正小标宋简体"/>
          <w:color w:val="auto"/>
          <w:sz w:val="44"/>
          <w:szCs w:val="44"/>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6B678A4B">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2"/>
          <w:szCs w:val="32"/>
          <w:highlight w:val="none"/>
        </w:rPr>
        <w:t>质疑函（格式）</w:t>
      </w:r>
    </w:p>
    <w:p w14:paraId="5086E08C">
      <w:pPr>
        <w:spacing w:line="360" w:lineRule="auto"/>
        <w:jc w:val="center"/>
        <w:rPr>
          <w:rFonts w:hint="eastAsia" w:ascii="宋体" w:hAnsi="宋体"/>
          <w:b/>
          <w:bCs/>
          <w:color w:val="auto"/>
          <w:sz w:val="32"/>
          <w:szCs w:val="32"/>
          <w:highlight w:val="none"/>
        </w:rPr>
      </w:pPr>
    </w:p>
    <w:p w14:paraId="087D7BB0">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12D3E2AC">
      <w:pPr>
        <w:pStyle w:val="1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BB15F8">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92950C">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9EB0614">
      <w:pPr>
        <w:pStyle w:val="1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3F8490E">
      <w:pPr>
        <w:pStyle w:val="1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5B7FD7F">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083869E">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8D1B962">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EE6389C">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959C68E">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A0A9456">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6E33DFDF">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5122728">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3BEE7590">
      <w:pPr>
        <w:pStyle w:val="1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132FEB6">
      <w:pPr>
        <w:pStyle w:val="1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0939F976">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C371B2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C2CEF2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ABA9B4A">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2A2505EF">
      <w:pPr>
        <w:pStyle w:val="1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6988CEC8">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28CFA68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FA4B595">
      <w:pPr>
        <w:pStyle w:val="12"/>
        <w:spacing w:line="360" w:lineRule="auto"/>
        <w:ind w:left="25" w:leftChars="12" w:firstLine="352" w:firstLineChars="147"/>
        <w:contextualSpacing/>
        <w:rPr>
          <w:rFonts w:hint="eastAsia" w:hAnsi="宋体"/>
          <w:color w:val="auto"/>
          <w:sz w:val="24"/>
          <w:szCs w:val="24"/>
          <w:highlight w:val="none"/>
        </w:rPr>
      </w:pPr>
    </w:p>
    <w:p w14:paraId="66C0355D">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6FC61201">
      <w:pPr>
        <w:pStyle w:val="12"/>
        <w:spacing w:line="360" w:lineRule="auto"/>
        <w:ind w:left="25" w:leftChars="12" w:firstLine="352" w:firstLineChars="147"/>
        <w:contextualSpacing/>
        <w:rPr>
          <w:rFonts w:hint="eastAsia" w:hAnsi="宋体"/>
          <w:color w:val="auto"/>
          <w:sz w:val="24"/>
          <w:szCs w:val="24"/>
          <w:highlight w:val="none"/>
        </w:rPr>
      </w:pPr>
    </w:p>
    <w:p w14:paraId="5359E2C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21CE5669">
      <w:pPr>
        <w:pStyle w:val="12"/>
        <w:spacing w:line="360" w:lineRule="auto"/>
        <w:contextualSpacing/>
        <w:rPr>
          <w:rFonts w:hint="eastAsia" w:hAnsi="宋体"/>
          <w:b/>
          <w:color w:val="auto"/>
          <w:sz w:val="24"/>
          <w:szCs w:val="24"/>
          <w:highlight w:val="none"/>
        </w:rPr>
      </w:pPr>
    </w:p>
    <w:p w14:paraId="5189AD34">
      <w:pPr>
        <w:pStyle w:val="1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692A6BB5">
      <w:pPr>
        <w:pStyle w:val="1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18E92D1">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AF5781">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1B52573">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8CC0A02">
      <w:pPr>
        <w:pStyle w:val="1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AFDA915">
      <w:pPr>
        <w:pStyle w:val="12"/>
        <w:snapToGrid w:val="0"/>
        <w:rPr>
          <w:rFonts w:hint="eastAsia"/>
          <w:b/>
          <w:color w:val="auto"/>
          <w:sz w:val="24"/>
          <w:szCs w:val="24"/>
          <w:highlight w:val="none"/>
        </w:rPr>
      </w:pPr>
    </w:p>
    <w:p w14:paraId="16EC3C11">
      <w:pPr>
        <w:rPr>
          <w:rFonts w:hint="eastAsia"/>
          <w:color w:val="auto"/>
          <w:highlight w:val="none"/>
        </w:rPr>
      </w:pPr>
      <w:r>
        <w:rPr>
          <w:color w:val="auto"/>
          <w:highlight w:val="none"/>
        </w:rPr>
        <w:br w:type="page"/>
      </w:r>
    </w:p>
    <w:p w14:paraId="249F7CD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Theme="minorEastAsia" w:hAnsiTheme="minorEastAsia" w:eastAsiaTheme="minorEastAsia" w:cstheme="minorEastAsia"/>
          <w:color w:val="auto"/>
          <w:sz w:val="32"/>
          <w:szCs w:val="32"/>
          <w:highlight w:val="none"/>
        </w:rPr>
        <w:t>投诉书（格式）</w:t>
      </w:r>
    </w:p>
    <w:p w14:paraId="4B8CC7C4">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1DF8E52">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FB675BB">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38374B">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DB63595">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60EA978">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95206BE">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8CD9BA4">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AC5839">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D51652A">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C091023">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04B623">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1F26A79">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09BF8C0A">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513A5EC8">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3380DAE">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8192407">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467555">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9E15BA5">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F4AEEA9">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1C4D0C8">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1C9EA63">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82D7B78">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7C3672F">
      <w:pPr>
        <w:pStyle w:val="1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051370D">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76B2864B">
      <w:pPr>
        <w:pStyle w:val="12"/>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00CB3FB">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5F7685B">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9747B6F">
      <w:pPr>
        <w:pStyle w:val="12"/>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5E85258">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78D2989">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EBFDA4B">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D66A0DC">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9A1A794">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E41E81B">
      <w:pPr>
        <w:pStyle w:val="12"/>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C63784C">
      <w:pPr>
        <w:pStyle w:val="1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AD274A6">
      <w:pPr>
        <w:pStyle w:val="1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1A1C6ED">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EEBED75">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7501E0">
      <w:pPr>
        <w:pStyle w:val="12"/>
        <w:spacing w:line="360" w:lineRule="auto"/>
        <w:ind w:left="25" w:leftChars="12" w:firstLine="352" w:firstLineChars="147"/>
        <w:rPr>
          <w:rFonts w:hint="eastAsia" w:hAnsi="宋体"/>
          <w:color w:val="auto"/>
          <w:sz w:val="24"/>
          <w:szCs w:val="24"/>
          <w:highlight w:val="none"/>
        </w:rPr>
      </w:pPr>
    </w:p>
    <w:p w14:paraId="7D144BB3">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0C8F069">
      <w:pPr>
        <w:pStyle w:val="12"/>
        <w:spacing w:line="360" w:lineRule="auto"/>
        <w:ind w:left="25" w:leftChars="12" w:firstLine="352" w:firstLineChars="147"/>
        <w:rPr>
          <w:rFonts w:hint="eastAsia" w:hAnsi="宋体"/>
          <w:color w:val="auto"/>
          <w:sz w:val="24"/>
          <w:szCs w:val="24"/>
          <w:highlight w:val="none"/>
        </w:rPr>
      </w:pPr>
    </w:p>
    <w:p w14:paraId="040F155D">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627E3D5A">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53AAB4C0">
      <w:pPr>
        <w:pStyle w:val="12"/>
        <w:snapToGrid w:val="0"/>
        <w:spacing w:line="360" w:lineRule="auto"/>
        <w:rPr>
          <w:rFonts w:hint="eastAsia" w:hAnsi="宋体"/>
          <w:b/>
          <w:color w:val="auto"/>
          <w:sz w:val="24"/>
          <w:szCs w:val="24"/>
          <w:highlight w:val="none"/>
        </w:rPr>
      </w:pPr>
    </w:p>
    <w:p w14:paraId="7C3B1E9D">
      <w:pPr>
        <w:pStyle w:val="1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88E80A8">
      <w:pPr>
        <w:pStyle w:val="1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B561F02">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71C953">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9DA463F">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8DEE20D">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23BAAC6">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7CF4F91">
      <w:pPr>
        <w:pStyle w:val="2"/>
        <w:spacing w:line="440" w:lineRule="exact"/>
        <w:jc w:val="center"/>
        <w:rPr>
          <w:color w:val="auto"/>
          <w:highlight w:val="none"/>
        </w:rPr>
      </w:pPr>
      <w:r>
        <w:rPr>
          <w:color w:val="auto"/>
          <w:highlight w:val="none"/>
        </w:rPr>
        <w:br w:type="page"/>
      </w:r>
    </w:p>
    <w:p w14:paraId="260DEB44">
      <w:pPr>
        <w:pStyle w:val="2"/>
        <w:numPr>
          <w:ilvl w:val="0"/>
          <w:numId w:val="6"/>
        </w:numPr>
        <w:spacing w:before="0" w:after="0" w:line="240" w:lineRule="auto"/>
        <w:jc w:val="center"/>
        <w:rPr>
          <w:rFonts w:hint="eastAsia" w:ascii="宋体" w:hAnsi="宋体"/>
          <w:b/>
          <w:bCs/>
          <w:color w:val="auto"/>
          <w:sz w:val="32"/>
          <w:szCs w:val="32"/>
          <w:highlight w:val="none"/>
        </w:rPr>
      </w:pPr>
      <w:bookmarkStart w:id="71" w:name="_Toc168674250"/>
      <w:r>
        <w:rPr>
          <w:rFonts w:hint="eastAsia" w:asciiTheme="majorEastAsia" w:hAnsiTheme="majorEastAsia" w:eastAsiaTheme="majorEastAsia" w:cstheme="majorEastAsia"/>
          <w:color w:val="auto"/>
          <w:highlight w:val="none"/>
        </w:rPr>
        <w:t>拟签订的合同文本</w:t>
      </w:r>
      <w:bookmarkEnd w:id="71"/>
    </w:p>
    <w:p w14:paraId="3351E4A8">
      <w:pPr>
        <w:pStyle w:val="2"/>
        <w:numPr>
          <w:ilvl w:val="0"/>
          <w:numId w:val="0"/>
        </w:numPr>
        <w:spacing w:before="0" w:after="0" w:line="240" w:lineRule="auto"/>
        <w:jc w:val="center"/>
        <w:rPr>
          <w:rFonts w:hint="eastAsia" w:ascii="宋体" w:hAnsi="宋体"/>
          <w:b/>
          <w:bCs/>
          <w:color w:val="auto"/>
          <w:sz w:val="32"/>
          <w:szCs w:val="32"/>
          <w:highlight w:val="none"/>
        </w:rPr>
      </w:pPr>
    </w:p>
    <w:p w14:paraId="07B45ECF">
      <w:pPr>
        <w:pStyle w:val="2"/>
        <w:numPr>
          <w:ilvl w:val="0"/>
          <w:numId w:val="0"/>
        </w:numPr>
        <w:spacing w:before="0" w:after="0" w:line="24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政府采购合同</w:t>
      </w:r>
    </w:p>
    <w:p w14:paraId="22C255DE">
      <w:pPr>
        <w:snapToGrid w:val="0"/>
        <w:spacing w:line="400" w:lineRule="exact"/>
        <w:ind w:right="480" w:firstLine="5250" w:firstLineChars="2500"/>
        <w:rPr>
          <w:rFonts w:ascii="宋体" w:hAnsi="宋体" w:cs="宋体"/>
          <w:bCs/>
          <w:color w:val="auto"/>
          <w:szCs w:val="21"/>
          <w:highlight w:val="none"/>
          <w:u w:val="single"/>
        </w:rPr>
      </w:pPr>
      <w:r>
        <w:rPr>
          <w:rFonts w:hint="eastAsia" w:ascii="宋体" w:hAnsi="宋体" w:cs="宋体"/>
          <w:bCs/>
          <w:color w:val="auto"/>
          <w:szCs w:val="21"/>
          <w:highlight w:val="none"/>
        </w:rPr>
        <w:t>合同编号：</w:t>
      </w:r>
    </w:p>
    <w:p w14:paraId="7AACB518">
      <w:pPr>
        <w:snapToGrid w:val="0"/>
        <w:spacing w:line="400" w:lineRule="exact"/>
        <w:rPr>
          <w:rFonts w:ascii="宋体" w:hAnsi="宋体" w:cs="宋体"/>
          <w:color w:val="auto"/>
          <w:szCs w:val="21"/>
          <w:highlight w:val="none"/>
        </w:rPr>
      </w:pPr>
    </w:p>
    <w:p w14:paraId="1D51DC27">
      <w:pPr>
        <w:snapToGrid w:val="0"/>
        <w:spacing w:line="360" w:lineRule="auto"/>
        <w:rPr>
          <w:rFonts w:ascii="宋体" w:hAnsi="宋体" w:cs="宋体"/>
          <w:color w:val="auto"/>
          <w:sz w:val="24"/>
          <w:szCs w:val="22"/>
          <w:highlight w:val="none"/>
          <w:u w:val="single"/>
        </w:rPr>
      </w:pPr>
      <w:r>
        <w:rPr>
          <w:rFonts w:hint="eastAsia" w:ascii="宋体" w:hAnsi="宋体" w:cs="宋体"/>
          <w:color w:val="auto"/>
          <w:sz w:val="24"/>
          <w:szCs w:val="22"/>
          <w:highlight w:val="none"/>
        </w:rPr>
        <w:t>采购人（甲方）：</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 xml:space="preserve">         </w:t>
      </w:r>
    </w:p>
    <w:p w14:paraId="274A8E63">
      <w:pPr>
        <w:snapToGrid w:val="0"/>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供应商（乙方）：</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 xml:space="preserve">  </w:t>
      </w:r>
    </w:p>
    <w:p w14:paraId="205AA243">
      <w:pPr>
        <w:snapToGrid w:val="0"/>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项目名称：</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 xml:space="preserve"> </w:t>
      </w:r>
    </w:p>
    <w:p w14:paraId="798EA611">
      <w:pPr>
        <w:snapToGrid w:val="0"/>
        <w:spacing w:line="360" w:lineRule="auto"/>
        <w:rPr>
          <w:rFonts w:ascii="宋体" w:hAnsi="宋体" w:cs="宋体"/>
          <w:color w:val="auto"/>
          <w:sz w:val="24"/>
          <w:szCs w:val="22"/>
          <w:highlight w:val="none"/>
          <w:u w:val="single"/>
        </w:rPr>
      </w:pPr>
      <w:r>
        <w:rPr>
          <w:rFonts w:hint="eastAsia" w:ascii="宋体" w:hAnsi="宋体" w:cs="宋体"/>
          <w:color w:val="auto"/>
          <w:sz w:val="24"/>
          <w:szCs w:val="22"/>
          <w:highlight w:val="none"/>
        </w:rPr>
        <w:t>项目编号：</w:t>
      </w:r>
      <w:r>
        <w:rPr>
          <w:rFonts w:hint="eastAsia" w:ascii="宋体" w:hAnsi="宋体" w:cs="宋体"/>
          <w:color w:val="auto"/>
          <w:sz w:val="24"/>
          <w:szCs w:val="22"/>
          <w:highlight w:val="none"/>
          <w:u w:val="single"/>
        </w:rPr>
        <w:t xml:space="preserve">                                </w:t>
      </w:r>
    </w:p>
    <w:p w14:paraId="06FAF8A7">
      <w:pPr>
        <w:snapToGrid w:val="0"/>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签订地点：</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 xml:space="preserve">  </w:t>
      </w:r>
    </w:p>
    <w:p w14:paraId="703DF1A2">
      <w:pPr>
        <w:snapToGrid w:val="0"/>
        <w:spacing w:line="360" w:lineRule="auto"/>
        <w:rPr>
          <w:rFonts w:ascii="宋体" w:hAnsi="宋体" w:cs="宋体"/>
          <w:color w:val="auto"/>
          <w:sz w:val="24"/>
          <w:szCs w:val="22"/>
          <w:highlight w:val="none"/>
          <w:u w:val="single"/>
        </w:rPr>
      </w:pPr>
      <w:r>
        <w:rPr>
          <w:rFonts w:hint="eastAsia" w:ascii="宋体" w:hAnsi="宋体" w:cs="宋体"/>
          <w:color w:val="auto"/>
          <w:sz w:val="24"/>
          <w:szCs w:val="22"/>
          <w:highlight w:val="none"/>
        </w:rPr>
        <w:t>签订时间：</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 xml:space="preserve">              </w:t>
      </w:r>
    </w:p>
    <w:p w14:paraId="08C642ED">
      <w:pPr>
        <w:snapToGrid w:val="0"/>
        <w:spacing w:line="360" w:lineRule="auto"/>
        <w:ind w:firstLine="480" w:firstLineChars="200"/>
        <w:rPr>
          <w:rFonts w:ascii="宋体" w:hAnsi="宋体" w:cs="宋体"/>
          <w:color w:val="auto"/>
          <w:sz w:val="24"/>
          <w:szCs w:val="22"/>
          <w:highlight w:val="none"/>
        </w:rPr>
      </w:pPr>
    </w:p>
    <w:p w14:paraId="07548BF5">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根据《中华人民共和国政府采购法》、《中华人民共和国民法典》等法律、法规规定，按照竞争性谈判文件规定条款和成交供应商承诺，甲乙双方签订本合同。</w:t>
      </w:r>
    </w:p>
    <w:p w14:paraId="3B384972">
      <w:pPr>
        <w:snapToGrid w:val="0"/>
        <w:spacing w:line="360" w:lineRule="auto"/>
        <w:ind w:firstLine="482" w:firstLineChars="200"/>
        <w:rPr>
          <w:rFonts w:ascii="宋体" w:hAnsi="宋体" w:cs="宋体"/>
          <w:b/>
          <w:color w:val="auto"/>
          <w:sz w:val="24"/>
          <w:szCs w:val="22"/>
          <w:highlight w:val="none"/>
        </w:rPr>
      </w:pPr>
      <w:r>
        <w:rPr>
          <w:rFonts w:hint="eastAsia" w:ascii="宋体" w:hAnsi="宋体" w:cs="宋体"/>
          <w:b/>
          <w:color w:val="auto"/>
          <w:sz w:val="24"/>
          <w:szCs w:val="22"/>
          <w:highlight w:val="none"/>
        </w:rPr>
        <w:t>第一条　合同标的</w:t>
      </w:r>
    </w:p>
    <w:p w14:paraId="4C0B69DF">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1.合同总金额：</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p>
    <w:p w14:paraId="208F2435">
      <w:pPr>
        <w:snapToGrid w:val="0"/>
        <w:spacing w:line="360" w:lineRule="auto"/>
        <w:ind w:right="42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2.供货一览表，具体详见竞标报价表。</w:t>
      </w:r>
    </w:p>
    <w:p w14:paraId="44275332">
      <w:pPr>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3.合同总金额包括货款、标准附件、备品备件、专用工具、包装、运输、装卸、保险、税金、货到就位以及安装、调试、培训、质保等一切税金和费用。</w:t>
      </w:r>
    </w:p>
    <w:p w14:paraId="62BB3D02">
      <w:pPr>
        <w:snapToGrid w:val="0"/>
        <w:spacing w:line="360" w:lineRule="auto"/>
        <w:ind w:firstLine="482" w:firstLineChars="200"/>
        <w:rPr>
          <w:rFonts w:ascii="宋体" w:hAnsi="宋体" w:cs="宋体"/>
          <w:color w:val="auto"/>
          <w:sz w:val="24"/>
          <w:szCs w:val="22"/>
          <w:highlight w:val="none"/>
        </w:rPr>
      </w:pPr>
      <w:r>
        <w:rPr>
          <w:rFonts w:hint="eastAsia" w:ascii="宋体" w:hAnsi="宋体" w:cs="宋体"/>
          <w:b/>
          <w:color w:val="auto"/>
          <w:sz w:val="24"/>
          <w:szCs w:val="22"/>
          <w:highlight w:val="none"/>
        </w:rPr>
        <w:t>第二条　质量要求</w:t>
      </w:r>
    </w:p>
    <w:p w14:paraId="1E50FDDE">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1.乙方所提供的产品名称、商标品牌、生产厂家、规格型号、技术参数等质量必须与竞争性谈判文件规定及响应文件承诺相一致。乙方提供的节能和环保产品必须是列入政府采购品目清单的产品。</w:t>
      </w:r>
    </w:p>
    <w:p w14:paraId="68B19E08">
      <w:pPr>
        <w:snapToGrid w:val="0"/>
        <w:spacing w:line="360" w:lineRule="auto"/>
        <w:ind w:firstLine="480" w:firstLineChars="200"/>
        <w:rPr>
          <w:rFonts w:ascii="宋体" w:hAnsi="宋体" w:cs="宋体"/>
          <w:color w:val="auto"/>
          <w:sz w:val="24"/>
          <w:szCs w:val="22"/>
          <w:highlight w:val="none"/>
          <w:u w:val="single"/>
        </w:rPr>
      </w:pPr>
      <w:r>
        <w:rPr>
          <w:rFonts w:hint="eastAsia" w:ascii="宋体" w:hAnsi="宋体" w:cs="宋体"/>
          <w:color w:val="auto"/>
          <w:sz w:val="24"/>
          <w:szCs w:val="22"/>
          <w:highlight w:val="none"/>
        </w:rPr>
        <w:t>2.乙方所提供的货物必须是全新、未使用的原装产品，且在正常安装、使用和保养条件下，其使用寿命期内各项指标均达到竞争性谈判文件规定或者响应文件承诺的质量要求。</w:t>
      </w:r>
    </w:p>
    <w:p w14:paraId="3CD9504E">
      <w:pPr>
        <w:snapToGrid w:val="0"/>
        <w:spacing w:line="360" w:lineRule="auto"/>
        <w:ind w:firstLine="482" w:firstLineChars="200"/>
        <w:rPr>
          <w:rFonts w:ascii="宋体" w:hAnsi="宋体" w:cs="宋体"/>
          <w:color w:val="auto"/>
          <w:sz w:val="24"/>
          <w:szCs w:val="22"/>
          <w:highlight w:val="none"/>
        </w:rPr>
      </w:pPr>
      <w:r>
        <w:rPr>
          <w:rFonts w:hint="eastAsia" w:ascii="宋体" w:hAnsi="宋体" w:cs="宋体"/>
          <w:b/>
          <w:color w:val="auto"/>
          <w:sz w:val="24"/>
          <w:szCs w:val="22"/>
          <w:highlight w:val="none"/>
        </w:rPr>
        <w:t>第三条　权利保证</w:t>
      </w:r>
    </w:p>
    <w:p w14:paraId="3025E2F1">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乙方应保证所提供货物在使用时不会侵犯任何第三方的专利权、商标权、工业设计权或者其他权利。如乙方违反上述规定，则乙方应负责消除甲方拥有并使用乙方交付的货物、软件、技术资料等所存在的全部法律障碍，并赔偿甲方的损失。如甲方因使用乙方交付的货物构成侵权的，则由乙方承担全部责任。</w:t>
      </w:r>
    </w:p>
    <w:p w14:paraId="1EF70F08">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2.乙方应按竞争性谈判文件规定或者响应文件承诺的时间向甲方提供使用货物的有关技术资料。</w:t>
      </w:r>
    </w:p>
    <w:p w14:paraId="346ABF77">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8302132">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4.乙方保证将要交付的货物的所有权完全属于乙方且无任何抵押、质押、查封等产权瑕疵。</w:t>
      </w:r>
    </w:p>
    <w:p w14:paraId="5D444996">
      <w:pPr>
        <w:snapToGrid w:val="0"/>
        <w:spacing w:line="360" w:lineRule="auto"/>
        <w:ind w:firstLine="482" w:firstLineChars="200"/>
        <w:rPr>
          <w:rFonts w:ascii="宋体" w:hAnsi="宋体" w:cs="宋体"/>
          <w:b/>
          <w:color w:val="auto"/>
          <w:sz w:val="24"/>
          <w:szCs w:val="22"/>
          <w:highlight w:val="none"/>
        </w:rPr>
      </w:pPr>
      <w:r>
        <w:rPr>
          <w:rFonts w:hint="eastAsia" w:ascii="宋体" w:hAnsi="宋体" w:cs="宋体"/>
          <w:b/>
          <w:color w:val="auto"/>
          <w:sz w:val="24"/>
          <w:szCs w:val="22"/>
          <w:highlight w:val="none"/>
        </w:rPr>
        <w:t>第四条　包装和运输</w:t>
      </w:r>
    </w:p>
    <w:p w14:paraId="0655E2F3">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1.乙方提供的货物均应按竞争性谈判文件规定或者响应文件承诺的要求的包装材料、包装标准、包装方式进行包装，每一包装单元内应附详细的装箱单和质量合格证。</w:t>
      </w:r>
    </w:p>
    <w:p w14:paraId="5072985E">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2.货物的运输方式：</w:t>
      </w:r>
      <w:r>
        <w:rPr>
          <w:rFonts w:hint="eastAsia" w:ascii="宋体" w:hAnsi="宋体" w:cs="宋体"/>
          <w:color w:val="auto"/>
          <w:sz w:val="24"/>
          <w:szCs w:val="22"/>
          <w:highlight w:val="none"/>
          <w:u w:val="single"/>
        </w:rPr>
        <w:t xml:space="preserve"> 陆运等 </w:t>
      </w:r>
      <w:r>
        <w:rPr>
          <w:rFonts w:hint="eastAsia" w:ascii="宋体" w:hAnsi="宋体" w:cs="宋体"/>
          <w:color w:val="auto"/>
          <w:sz w:val="24"/>
          <w:szCs w:val="22"/>
          <w:highlight w:val="none"/>
        </w:rPr>
        <w:t>。</w:t>
      </w:r>
    </w:p>
    <w:p w14:paraId="79BA67CD">
      <w:pPr>
        <w:snapToGrid w:val="0"/>
        <w:spacing w:line="360" w:lineRule="auto"/>
        <w:ind w:firstLine="480" w:firstLineChars="200"/>
        <w:rPr>
          <w:rFonts w:ascii="宋体" w:hAnsi="宋体" w:cs="宋体"/>
          <w:color w:val="auto"/>
          <w:sz w:val="24"/>
          <w:szCs w:val="22"/>
          <w:highlight w:val="none"/>
          <w:u w:val="single"/>
        </w:rPr>
      </w:pPr>
      <w:r>
        <w:rPr>
          <w:rFonts w:hint="eastAsia" w:ascii="宋体" w:hAnsi="宋体" w:cs="宋体"/>
          <w:color w:val="auto"/>
          <w:sz w:val="24"/>
          <w:szCs w:val="22"/>
          <w:highlight w:val="none"/>
        </w:rPr>
        <w:t>3.乙方负责货物运输，货物运输合理损耗及计算方法：</w:t>
      </w:r>
      <w:r>
        <w:rPr>
          <w:rFonts w:hint="eastAsia" w:ascii="宋体" w:hAnsi="宋体" w:cs="宋体"/>
          <w:color w:val="auto"/>
          <w:sz w:val="24"/>
          <w:szCs w:val="22"/>
          <w:highlight w:val="none"/>
          <w:u w:val="single"/>
        </w:rPr>
        <w:t xml:space="preserve"> 本项目不接受损耗 </w:t>
      </w:r>
      <w:r>
        <w:rPr>
          <w:rFonts w:hint="eastAsia" w:ascii="宋体" w:hAnsi="宋体" w:cs="宋体"/>
          <w:color w:val="auto"/>
          <w:sz w:val="24"/>
          <w:szCs w:val="22"/>
          <w:highlight w:val="none"/>
        </w:rPr>
        <w:t>。</w:t>
      </w:r>
    </w:p>
    <w:p w14:paraId="6C15342F">
      <w:pPr>
        <w:snapToGrid w:val="0"/>
        <w:spacing w:line="360" w:lineRule="auto"/>
        <w:ind w:firstLine="482" w:firstLineChars="200"/>
        <w:rPr>
          <w:rFonts w:ascii="宋体" w:hAnsi="宋体" w:cs="宋体"/>
          <w:color w:val="auto"/>
          <w:sz w:val="24"/>
          <w:szCs w:val="22"/>
          <w:highlight w:val="none"/>
        </w:rPr>
      </w:pPr>
      <w:r>
        <w:rPr>
          <w:rFonts w:hint="eastAsia" w:ascii="宋体" w:hAnsi="宋体" w:cs="宋体"/>
          <w:b/>
          <w:color w:val="auto"/>
          <w:sz w:val="24"/>
          <w:szCs w:val="22"/>
          <w:highlight w:val="none"/>
        </w:rPr>
        <w:t>第五条　设备进场</w:t>
      </w:r>
    </w:p>
    <w:p w14:paraId="1CA09F5A">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1.交付使用期为：</w:t>
      </w:r>
      <w:r>
        <w:rPr>
          <w:rFonts w:hint="eastAsia" w:ascii="宋体" w:hAnsi="宋体" w:cs="宋体"/>
          <w:bCs/>
          <w:color w:val="auto"/>
          <w:sz w:val="24"/>
          <w:szCs w:val="22"/>
          <w:highlight w:val="none"/>
          <w:u w:val="single"/>
        </w:rPr>
        <w:t>自签订合同之日起   日(日历日)内，通过验收并交付使用</w:t>
      </w:r>
      <w:r>
        <w:rPr>
          <w:rFonts w:hint="eastAsia" w:ascii="宋体" w:hAnsi="宋体" w:cs="宋体"/>
          <w:color w:val="auto"/>
          <w:sz w:val="24"/>
          <w:szCs w:val="22"/>
          <w:highlight w:val="none"/>
        </w:rPr>
        <w:t>，交付地点为</w:t>
      </w:r>
      <w:r>
        <w:rPr>
          <w:rFonts w:hint="eastAsia" w:ascii="宋体" w:hAnsi="宋体" w:cs="宋体"/>
          <w:color w:val="auto"/>
          <w:sz w:val="24"/>
          <w:szCs w:val="22"/>
          <w:highlight w:val="none"/>
          <w:u w:val="single"/>
        </w:rPr>
        <w:t xml:space="preserve">防城港市内甲方指定地点 </w:t>
      </w:r>
      <w:r>
        <w:rPr>
          <w:rFonts w:hint="eastAsia" w:ascii="宋体" w:hAnsi="宋体" w:cs="宋体"/>
          <w:color w:val="auto"/>
          <w:sz w:val="24"/>
          <w:szCs w:val="22"/>
          <w:highlight w:val="none"/>
        </w:rPr>
        <w:t>。</w:t>
      </w:r>
    </w:p>
    <w:p w14:paraId="32FEC63E">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2.乙方提供不符合竞争性谈判文件规定或者响应文件承诺的和本合同规定的货物，甲方有权拒绝接受。</w:t>
      </w:r>
    </w:p>
    <w:p w14:paraId="66D128E9">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E2479FB">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4.设备进场安装调试合格前，由乙方负责保管。</w:t>
      </w:r>
    </w:p>
    <w:p w14:paraId="5234089A">
      <w:pPr>
        <w:snapToGrid w:val="0"/>
        <w:spacing w:line="360" w:lineRule="auto"/>
        <w:ind w:firstLine="482" w:firstLineChars="200"/>
        <w:rPr>
          <w:rFonts w:ascii="宋体" w:hAnsi="宋体" w:cs="宋体"/>
          <w:b/>
          <w:color w:val="auto"/>
          <w:sz w:val="24"/>
          <w:szCs w:val="22"/>
          <w:highlight w:val="none"/>
        </w:rPr>
      </w:pPr>
      <w:r>
        <w:rPr>
          <w:rFonts w:hint="eastAsia" w:ascii="宋体" w:hAnsi="宋体" w:cs="宋体"/>
          <w:b/>
          <w:color w:val="auto"/>
          <w:sz w:val="24"/>
          <w:szCs w:val="22"/>
          <w:highlight w:val="none"/>
        </w:rPr>
        <w:t>第六条　安装和培训</w:t>
      </w:r>
    </w:p>
    <w:p w14:paraId="38C6D369">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1.甲方应提供必要安装条件（如场地、电源、水源等）。</w:t>
      </w:r>
    </w:p>
    <w:p w14:paraId="152D6AD1">
      <w:pPr>
        <w:snapToGrid w:val="0"/>
        <w:spacing w:line="360" w:lineRule="auto"/>
        <w:ind w:left="120" w:leftChars="57" w:firstLine="360" w:firstLineChars="150"/>
        <w:rPr>
          <w:rFonts w:ascii="宋体" w:hAnsi="宋体" w:cs="宋体"/>
          <w:color w:val="auto"/>
          <w:sz w:val="24"/>
          <w:szCs w:val="22"/>
          <w:highlight w:val="none"/>
          <w:u w:val="single"/>
        </w:rPr>
      </w:pPr>
      <w:r>
        <w:rPr>
          <w:rFonts w:hint="eastAsia" w:ascii="宋体" w:hAnsi="宋体" w:cs="宋体"/>
          <w:color w:val="auto"/>
          <w:sz w:val="24"/>
          <w:szCs w:val="22"/>
          <w:highlight w:val="none"/>
        </w:rPr>
        <w:t>2.乙方响应文件承诺负责甲方有关人员的培训。培训时间：</w:t>
      </w:r>
      <w:r>
        <w:rPr>
          <w:rFonts w:hint="eastAsia" w:ascii="宋体" w:hAnsi="宋体" w:cs="宋体"/>
          <w:color w:val="auto"/>
          <w:sz w:val="24"/>
          <w:szCs w:val="22"/>
          <w:highlight w:val="none"/>
          <w:u w:val="single"/>
        </w:rPr>
        <w:t>设备调试完成后   【】天内开始培训</w:t>
      </w:r>
      <w:r>
        <w:rPr>
          <w:rFonts w:hint="eastAsia" w:ascii="宋体" w:hAnsi="宋体" w:cs="宋体"/>
          <w:color w:val="auto"/>
          <w:sz w:val="24"/>
          <w:szCs w:val="22"/>
          <w:highlight w:val="none"/>
        </w:rPr>
        <w:t>、培训地点：</w:t>
      </w:r>
      <w:r>
        <w:rPr>
          <w:rFonts w:hint="eastAsia" w:ascii="宋体" w:hAnsi="宋体" w:cs="宋体"/>
          <w:color w:val="auto"/>
          <w:sz w:val="24"/>
          <w:szCs w:val="22"/>
          <w:highlight w:val="none"/>
          <w:u w:val="single"/>
        </w:rPr>
        <w:t xml:space="preserve">甲方指定地点 </w:t>
      </w:r>
      <w:r>
        <w:rPr>
          <w:rFonts w:hint="eastAsia" w:ascii="宋体" w:hAnsi="宋体" w:cs="宋体"/>
          <w:color w:val="auto"/>
          <w:sz w:val="24"/>
          <w:szCs w:val="22"/>
          <w:highlight w:val="none"/>
        </w:rPr>
        <w:t>。</w:t>
      </w:r>
    </w:p>
    <w:p w14:paraId="672AE751">
      <w:pPr>
        <w:snapToGrid w:val="0"/>
        <w:spacing w:line="360" w:lineRule="auto"/>
        <w:ind w:firstLine="482" w:firstLineChars="200"/>
        <w:rPr>
          <w:rFonts w:ascii="宋体" w:hAnsi="宋体" w:cs="宋体"/>
          <w:color w:val="auto"/>
          <w:sz w:val="24"/>
          <w:szCs w:val="22"/>
          <w:highlight w:val="none"/>
        </w:rPr>
      </w:pPr>
      <w:r>
        <w:rPr>
          <w:rFonts w:hint="eastAsia" w:ascii="宋体" w:hAnsi="宋体" w:cs="宋体"/>
          <w:b/>
          <w:color w:val="auto"/>
          <w:sz w:val="24"/>
          <w:szCs w:val="22"/>
          <w:highlight w:val="none"/>
        </w:rPr>
        <w:t>第七条  付款方式</w:t>
      </w:r>
    </w:p>
    <w:p w14:paraId="458EB57D">
      <w:pPr>
        <w:snapToGrid w:val="0"/>
        <w:spacing w:line="360" w:lineRule="auto"/>
        <w:ind w:firstLine="480" w:firstLineChars="200"/>
        <w:rPr>
          <w:rFonts w:hint="eastAsia" w:ascii="宋体" w:hAnsi="宋体" w:cs="宋体"/>
          <w:b w:val="0"/>
          <w:bCs/>
          <w:color w:val="auto"/>
          <w:sz w:val="24"/>
          <w:szCs w:val="22"/>
          <w:highlight w:val="none"/>
        </w:rPr>
      </w:pPr>
      <w:r>
        <w:rPr>
          <w:rFonts w:hint="eastAsia" w:ascii="宋体" w:hAnsi="宋体" w:cs="宋体"/>
          <w:b w:val="0"/>
          <w:bCs/>
          <w:color w:val="FF0000"/>
          <w:sz w:val="24"/>
          <w:szCs w:val="22"/>
          <w:highlight w:val="none"/>
        </w:rPr>
        <w:t>合同签订生效后且甲方完成内部付款审批手续，乙方向甲方开具等额有效发票，甲方在同时满足上述条件后7个工作日内预付</w:t>
      </w:r>
      <w:r>
        <w:rPr>
          <w:rFonts w:hint="eastAsia" w:ascii="宋体" w:hAnsi="宋体" w:cs="宋体"/>
          <w:b w:val="0"/>
          <w:bCs/>
          <w:color w:val="FF0000"/>
          <w:sz w:val="24"/>
          <w:szCs w:val="22"/>
          <w:highlight w:val="none"/>
          <w:lang w:eastAsia="zh-CN"/>
        </w:rPr>
        <w:t>合同总</w:t>
      </w:r>
      <w:r>
        <w:rPr>
          <w:rFonts w:hint="eastAsia" w:ascii="宋体" w:hAnsi="宋体" w:cs="宋体"/>
          <w:b w:val="0"/>
          <w:bCs/>
          <w:color w:val="FF0000"/>
          <w:sz w:val="24"/>
          <w:szCs w:val="22"/>
          <w:highlight w:val="none"/>
          <w:lang w:val="en-US" w:eastAsia="zh-CN"/>
        </w:rPr>
        <w:t>价</w:t>
      </w:r>
      <w:r>
        <w:rPr>
          <w:rFonts w:hint="eastAsia" w:ascii="宋体" w:hAnsi="宋体" w:cs="宋体"/>
          <w:b w:val="0"/>
          <w:bCs/>
          <w:color w:val="FF0000"/>
          <w:sz w:val="24"/>
          <w:szCs w:val="22"/>
          <w:highlight w:val="none"/>
          <w:lang w:eastAsia="zh-CN"/>
        </w:rPr>
        <w:t>的</w:t>
      </w:r>
      <w:r>
        <w:rPr>
          <w:rFonts w:hint="eastAsia" w:ascii="宋体" w:hAnsi="宋体" w:cs="宋体"/>
          <w:b w:val="0"/>
          <w:bCs/>
          <w:color w:val="FF0000"/>
          <w:sz w:val="24"/>
          <w:szCs w:val="22"/>
          <w:highlight w:val="none"/>
        </w:rPr>
        <w:t>30%；电梯</w:t>
      </w:r>
      <w:r>
        <w:rPr>
          <w:rFonts w:hint="eastAsia" w:ascii="宋体" w:hAnsi="宋体" w:cs="宋体"/>
          <w:b w:val="0"/>
          <w:bCs/>
          <w:color w:val="FF0000"/>
          <w:sz w:val="24"/>
          <w:szCs w:val="22"/>
          <w:highlight w:val="none"/>
          <w:lang w:eastAsia="zh-CN"/>
        </w:rPr>
        <w:t>、</w:t>
      </w:r>
      <w:r>
        <w:rPr>
          <w:rFonts w:hint="eastAsia" w:ascii="宋体" w:hAnsi="宋体" w:cs="宋体"/>
          <w:b w:val="0"/>
          <w:bCs/>
          <w:color w:val="FF0000"/>
          <w:sz w:val="24"/>
          <w:szCs w:val="22"/>
          <w:highlight w:val="none"/>
          <w:lang w:val="en-US" w:eastAsia="zh-CN"/>
        </w:rPr>
        <w:t>钢结构主体、</w:t>
      </w:r>
      <w:r>
        <w:rPr>
          <w:rFonts w:hint="eastAsia" w:ascii="宋体" w:hAnsi="宋体" w:cs="宋体"/>
          <w:b w:val="0"/>
          <w:bCs/>
          <w:color w:val="FF0000"/>
          <w:sz w:val="24"/>
          <w:szCs w:val="22"/>
          <w:highlight w:val="none"/>
        </w:rPr>
        <w:t>门洞封堵</w:t>
      </w:r>
      <w:r>
        <w:rPr>
          <w:rFonts w:hint="eastAsia" w:ascii="宋体" w:hAnsi="宋体" w:cs="宋体"/>
          <w:b w:val="0"/>
          <w:bCs/>
          <w:color w:val="FF0000"/>
          <w:sz w:val="24"/>
          <w:szCs w:val="22"/>
          <w:highlight w:val="none"/>
          <w:lang w:eastAsia="zh-CN"/>
        </w:rPr>
        <w:t>、</w:t>
      </w:r>
      <w:r>
        <w:rPr>
          <w:rFonts w:hint="eastAsia" w:ascii="宋体" w:hAnsi="宋体" w:cs="宋体"/>
          <w:b w:val="0"/>
          <w:bCs/>
          <w:color w:val="FF0000"/>
          <w:sz w:val="24"/>
          <w:szCs w:val="22"/>
          <w:highlight w:val="none"/>
        </w:rPr>
        <w:t>机房孔洞、机座</w:t>
      </w:r>
      <w:r>
        <w:rPr>
          <w:rFonts w:hint="eastAsia" w:ascii="宋体" w:hAnsi="宋体" w:cs="宋体"/>
          <w:b w:val="0"/>
          <w:bCs/>
          <w:color w:val="FF0000"/>
          <w:sz w:val="24"/>
          <w:szCs w:val="22"/>
          <w:highlight w:val="none"/>
          <w:lang w:val="en-US" w:eastAsia="zh-CN"/>
        </w:rPr>
        <w:t>封堵、</w:t>
      </w:r>
      <w:r>
        <w:rPr>
          <w:rFonts w:hint="eastAsia" w:ascii="宋体" w:hAnsi="宋体" w:cs="宋体"/>
          <w:b w:val="0"/>
          <w:bCs/>
          <w:color w:val="FF0000"/>
          <w:sz w:val="24"/>
          <w:szCs w:val="22"/>
          <w:highlight w:val="none"/>
        </w:rPr>
        <w:t>机房钢丝绳孔洞</w:t>
      </w:r>
      <w:r>
        <w:rPr>
          <w:rFonts w:hint="eastAsia" w:ascii="宋体" w:hAnsi="宋体" w:cs="宋体"/>
          <w:b w:val="0"/>
          <w:bCs/>
          <w:color w:val="FF0000"/>
          <w:sz w:val="24"/>
          <w:szCs w:val="22"/>
          <w:highlight w:val="none"/>
          <w:lang w:val="en-US" w:eastAsia="zh-CN"/>
        </w:rPr>
        <w:t>等施工安装调试完毕7个工作日内，甲方向乙方支付合同总价的60%</w:t>
      </w:r>
      <w:r>
        <w:rPr>
          <w:rFonts w:hint="eastAsia" w:ascii="宋体" w:hAnsi="宋体" w:cs="宋体"/>
          <w:b w:val="0"/>
          <w:bCs/>
          <w:color w:val="FF0000"/>
          <w:sz w:val="24"/>
          <w:szCs w:val="22"/>
          <w:highlight w:val="none"/>
          <w:lang w:eastAsia="zh-CN"/>
        </w:rPr>
        <w:t>；</w:t>
      </w:r>
      <w:r>
        <w:rPr>
          <w:rFonts w:hint="eastAsia" w:ascii="宋体" w:hAnsi="宋体" w:cs="宋体"/>
          <w:b w:val="0"/>
          <w:bCs/>
          <w:color w:val="FF0000"/>
          <w:sz w:val="24"/>
          <w:szCs w:val="22"/>
          <w:highlight w:val="none"/>
        </w:rPr>
        <w:t>取得使用合格证</w:t>
      </w:r>
      <w:r>
        <w:rPr>
          <w:rFonts w:hint="eastAsia" w:ascii="宋体" w:hAnsi="宋体" w:cs="宋体"/>
          <w:b w:val="0"/>
          <w:bCs/>
          <w:color w:val="FF0000"/>
          <w:sz w:val="24"/>
          <w:szCs w:val="22"/>
          <w:highlight w:val="none"/>
          <w:lang w:val="en-US" w:eastAsia="zh-CN"/>
        </w:rPr>
        <w:t>且乙方协助甲方向市大数据行政审批局办理注册登记后，</w:t>
      </w:r>
      <w:r>
        <w:rPr>
          <w:rFonts w:hint="eastAsia" w:ascii="宋体" w:hAnsi="宋体" w:cs="宋体"/>
          <w:b w:val="0"/>
          <w:bCs/>
          <w:color w:val="FF0000"/>
          <w:sz w:val="24"/>
          <w:szCs w:val="22"/>
          <w:highlight w:val="none"/>
        </w:rPr>
        <w:t>甲方支付合同总价款的7%；剩下合同总价款的3%作为质量保证金，质量保证金自取得电梯使用合格证之日起满一年后，若无质量问题，由甲方免息支付给乙方。乙方在移交电梯使用合格证及电梯资料时将发票全额开具给甲方。</w:t>
      </w:r>
    </w:p>
    <w:p w14:paraId="39F25963">
      <w:pPr>
        <w:snapToGrid w:val="0"/>
        <w:spacing w:line="360" w:lineRule="auto"/>
        <w:ind w:firstLine="482" w:firstLineChars="200"/>
        <w:rPr>
          <w:rFonts w:hint="eastAsia" w:ascii="宋体" w:hAnsi="宋体" w:cs="宋体"/>
          <w:b/>
          <w:color w:val="auto"/>
          <w:sz w:val="24"/>
          <w:szCs w:val="22"/>
          <w:highlight w:val="none"/>
        </w:rPr>
      </w:pPr>
      <w:r>
        <w:rPr>
          <w:rFonts w:hint="eastAsia" w:ascii="宋体" w:hAnsi="宋体" w:cs="宋体"/>
          <w:b/>
          <w:color w:val="auto"/>
          <w:sz w:val="24"/>
          <w:szCs w:val="22"/>
          <w:highlight w:val="none"/>
        </w:rPr>
        <w:t>第八条　税费</w:t>
      </w:r>
    </w:p>
    <w:p w14:paraId="4D09D921">
      <w:pPr>
        <w:snapToGrid w:val="0"/>
        <w:spacing w:line="360" w:lineRule="auto"/>
        <w:ind w:left="-61" w:firstLine="514"/>
        <w:rPr>
          <w:rFonts w:ascii="宋体" w:hAnsi="宋体" w:cs="宋体"/>
          <w:color w:val="auto"/>
          <w:sz w:val="24"/>
          <w:szCs w:val="22"/>
          <w:highlight w:val="none"/>
        </w:rPr>
      </w:pPr>
      <w:r>
        <w:rPr>
          <w:rFonts w:hint="eastAsia" w:ascii="宋体" w:hAnsi="宋体" w:cs="宋体"/>
          <w:color w:val="auto"/>
          <w:sz w:val="24"/>
          <w:szCs w:val="22"/>
          <w:highlight w:val="none"/>
        </w:rPr>
        <w:t>本合同执行中相关的一切税费均由乙方负担，合同另有约定的除外。</w:t>
      </w:r>
    </w:p>
    <w:p w14:paraId="107B6D51">
      <w:pPr>
        <w:snapToGrid w:val="0"/>
        <w:spacing w:line="360" w:lineRule="auto"/>
        <w:ind w:left="453"/>
        <w:rPr>
          <w:rFonts w:ascii="宋体" w:hAnsi="宋体" w:cs="宋体"/>
          <w:b/>
          <w:color w:val="auto"/>
          <w:sz w:val="24"/>
          <w:szCs w:val="22"/>
          <w:highlight w:val="none"/>
        </w:rPr>
      </w:pPr>
      <w:r>
        <w:rPr>
          <w:rFonts w:hint="eastAsia" w:ascii="宋体" w:hAnsi="宋体" w:cs="宋体"/>
          <w:b/>
          <w:color w:val="auto"/>
          <w:sz w:val="24"/>
          <w:szCs w:val="22"/>
          <w:highlight w:val="none"/>
        </w:rPr>
        <w:t>第九条  质量保证及售后服务</w:t>
      </w:r>
    </w:p>
    <w:p w14:paraId="291F375F">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1.乙方应按照国家有关法律法规和“三包”规定以及本合同所附的《服务承诺》，为甲方提供售后服务。</w:t>
      </w:r>
    </w:p>
    <w:p w14:paraId="15EE882B">
      <w:pPr>
        <w:snapToGrid w:val="0"/>
        <w:spacing w:line="360" w:lineRule="auto"/>
        <w:ind w:firstLine="480" w:firstLineChars="200"/>
        <w:rPr>
          <w:rFonts w:ascii="Calibri" w:hAnsi="Calibri"/>
          <w:color w:val="auto"/>
          <w:szCs w:val="22"/>
          <w:highlight w:val="none"/>
        </w:rPr>
      </w:pPr>
      <w:r>
        <w:rPr>
          <w:rFonts w:hint="eastAsia" w:ascii="宋体" w:hAnsi="宋体" w:cs="宋体"/>
          <w:color w:val="auto"/>
          <w:sz w:val="24"/>
          <w:szCs w:val="22"/>
          <w:highlight w:val="none"/>
        </w:rPr>
        <w:t>2.乙方提供的服务承诺和售后服务及质保期责任等其他具体约定事项。（见合同附件）</w:t>
      </w:r>
    </w:p>
    <w:p w14:paraId="7CBEC916">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bCs/>
          <w:color w:val="auto"/>
          <w:kern w:val="0"/>
          <w:sz w:val="24"/>
          <w:highlight w:val="none"/>
        </w:rPr>
        <w:t>3</w:t>
      </w:r>
      <w:r>
        <w:rPr>
          <w:rFonts w:hint="eastAsia" w:ascii="宋体" w:hAnsi="宋体" w:cs="宋体"/>
          <w:bCs/>
          <w:color w:val="auto"/>
          <w:kern w:val="0"/>
          <w:sz w:val="24"/>
          <w:highlight w:val="none"/>
          <w:lang w:val="zh-CN"/>
        </w:rPr>
        <w:t>.</w:t>
      </w:r>
      <w:r>
        <w:rPr>
          <w:rFonts w:hint="eastAsia" w:ascii="宋体" w:hAnsi="宋体" w:cs="宋体"/>
          <w:color w:val="auto"/>
          <w:kern w:val="0"/>
          <w:sz w:val="24"/>
          <w:highlight w:val="none"/>
          <w:lang w:val="zh-CN"/>
        </w:rPr>
        <w:t>乙方应按</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文件</w:t>
      </w:r>
      <w:r>
        <w:rPr>
          <w:rFonts w:hint="eastAsia" w:ascii="宋体" w:hAnsi="宋体" w:cs="宋体"/>
          <w:color w:val="auto"/>
          <w:kern w:val="0"/>
          <w:sz w:val="24"/>
          <w:highlight w:val="none"/>
        </w:rPr>
        <w:t>承诺</w:t>
      </w:r>
      <w:r>
        <w:rPr>
          <w:rFonts w:hint="eastAsia" w:ascii="宋体" w:hAnsi="宋体" w:cs="宋体"/>
          <w:color w:val="auto"/>
          <w:kern w:val="0"/>
          <w:sz w:val="24"/>
          <w:highlight w:val="none"/>
          <w:lang w:val="zh-CN"/>
        </w:rPr>
        <w:t>的产品名称、商标品牌、生产厂家、规格型号、技术参数、质量标准向甲方提供未经使用的全新产品。不符合要求的，根据实际情况，经双方协商，可按以下办法处理：</w:t>
      </w:r>
    </w:p>
    <w:p w14:paraId="044EE732">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⑴更换：由乙方承担所发生的全部费用。</w:t>
      </w:r>
    </w:p>
    <w:p w14:paraId="272D60DA">
      <w:pPr>
        <w:snapToGrid w:val="0"/>
        <w:spacing w:line="360" w:lineRule="auto"/>
        <w:ind w:firstLine="42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⑵贬值处理：由甲乙双方合议定价。</w:t>
      </w:r>
    </w:p>
    <w:p w14:paraId="415C47DF">
      <w:pPr>
        <w:snapToGrid w:val="0"/>
        <w:spacing w:line="360" w:lineRule="auto"/>
        <w:ind w:firstLine="42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⑶退货处理：乙方应退还甲方支付的合同款，同时应承担该货物的直接费用（运输、保险、检验、货款利息及银行手续费等）。</w:t>
      </w:r>
    </w:p>
    <w:p w14:paraId="27E32ED6">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zh-CN"/>
        </w:rPr>
        <w:t>.如在使用过程中发生质量问题，乙方在接到甲方通知后</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小时内到达甲方现场处理。</w:t>
      </w:r>
    </w:p>
    <w:p w14:paraId="0462678C">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5</w:t>
      </w:r>
      <w:r>
        <w:rPr>
          <w:rFonts w:hint="eastAsia" w:ascii="宋体" w:hAnsi="宋体" w:cs="宋体"/>
          <w:color w:val="auto"/>
          <w:kern w:val="0"/>
          <w:sz w:val="24"/>
          <w:highlight w:val="none"/>
          <w:lang w:val="zh-CN"/>
        </w:rPr>
        <w:t>.在质保期内，乙方应对货物出现的质量及安全问题负责处理解决并承担一切费用。</w:t>
      </w:r>
    </w:p>
    <w:p w14:paraId="6218497C">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6.上述的货物质保期：</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年,自货物验收合格之日起</w:t>
      </w:r>
      <w:r>
        <w:rPr>
          <w:rFonts w:hint="eastAsia" w:ascii="宋体" w:hAnsi="宋体" w:cs="宋体"/>
          <w:color w:val="auto"/>
          <w:sz w:val="24"/>
          <w:szCs w:val="22"/>
          <w:highlight w:val="none"/>
        </w:rPr>
        <w:t>，因人为因素出现的故障不属于质保范围内。超过指标期的机器设备，终身维修，维修时只收部件成本费。</w:t>
      </w:r>
    </w:p>
    <w:p w14:paraId="4E7BF915">
      <w:pPr>
        <w:snapToGrid w:val="0"/>
        <w:spacing w:line="360" w:lineRule="auto"/>
        <w:ind w:left="-61" w:firstLine="514"/>
        <w:rPr>
          <w:rFonts w:ascii="宋体" w:hAnsi="宋体" w:cs="宋体"/>
          <w:color w:val="auto"/>
          <w:sz w:val="24"/>
          <w:szCs w:val="22"/>
          <w:highlight w:val="none"/>
        </w:rPr>
      </w:pPr>
      <w:r>
        <w:rPr>
          <w:rFonts w:hint="eastAsia" w:ascii="宋体" w:hAnsi="宋体" w:cs="宋体"/>
          <w:b/>
          <w:color w:val="auto"/>
          <w:sz w:val="24"/>
          <w:szCs w:val="22"/>
          <w:highlight w:val="none"/>
        </w:rPr>
        <w:t>第十条  设备安装调试和验收</w:t>
      </w:r>
    </w:p>
    <w:p w14:paraId="30CFFC1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1.甲方对乙方提交的货物依据</w:t>
      </w:r>
      <w:r>
        <w:rPr>
          <w:rFonts w:hint="eastAsia" w:ascii="宋体" w:hAnsi="宋体" w:cs="宋体"/>
          <w:color w:val="auto"/>
          <w:kern w:val="0"/>
          <w:sz w:val="24"/>
          <w:highlight w:val="none"/>
        </w:rPr>
        <w:t>响应文件承诺</w:t>
      </w:r>
      <w:r>
        <w:rPr>
          <w:rFonts w:hint="eastAsia" w:ascii="宋体" w:hAnsi="宋体" w:cs="宋体"/>
          <w:color w:val="auto"/>
          <w:kern w:val="0"/>
          <w:sz w:val="24"/>
          <w:highlight w:val="none"/>
          <w:lang w:val="zh-CN"/>
        </w:rPr>
        <w:t>的技术规格要求和国家有关质量标准进行现场初步验收，外观、说明书符合竞争性谈判文件技术要求的，给予签收，初步验收不合格的不予签收。货到后，甲方应当在到货（安装、调试完）后五个工作日内进行验收。</w:t>
      </w:r>
    </w:p>
    <w:p w14:paraId="70EF2FFC">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2.乙方交货前应对产品作出全面检查和对验收文件进行整理，并列出清单，作为甲方收货验收和使用的技术条件依据，检验的结果应随货物交甲方。</w:t>
      </w:r>
    </w:p>
    <w:p w14:paraId="44E7EB3C">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3.甲方对乙方提供的货物在使用前进行调试时，乙方需负责安装并培训甲方的使用操作人员，并协助甲方一起调试，直到符合技术要求，甲方才做最终验收。</w:t>
      </w:r>
    </w:p>
    <w:p w14:paraId="4FA23FFD">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4.对技术复杂的货物，甲方应请国家认可的专业检测机构参与初步验收及最终验收，并由其出具质量检测报告。</w:t>
      </w:r>
    </w:p>
    <w:p w14:paraId="11BE3D10">
      <w:pPr>
        <w:snapToGrid w:val="0"/>
        <w:spacing w:line="360" w:lineRule="auto"/>
        <w:ind w:left="-61" w:firstLine="514"/>
        <w:rPr>
          <w:rFonts w:hint="eastAsia" w:ascii="宋体" w:hAnsi="宋体" w:cs="宋体"/>
          <w:color w:val="auto"/>
          <w:sz w:val="24"/>
          <w:szCs w:val="22"/>
          <w:highlight w:val="none"/>
        </w:rPr>
      </w:pPr>
      <w:r>
        <w:rPr>
          <w:rFonts w:hint="eastAsia" w:ascii="宋体" w:hAnsi="宋体" w:cs="宋体"/>
          <w:color w:val="auto"/>
          <w:sz w:val="24"/>
          <w:szCs w:val="22"/>
          <w:highlight w:val="none"/>
        </w:rPr>
        <w:t>5.验收时乙方必须在现场，验收完毕后作出验收结果报告；验收费用按竞争性谈判文件约定承担方负责。</w:t>
      </w:r>
    </w:p>
    <w:p w14:paraId="0D90CB31">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color w:val="auto"/>
          <w:sz w:val="24"/>
          <w:szCs w:val="22"/>
          <w:highlight w:val="none"/>
        </w:rPr>
        <w:t>6.</w:t>
      </w:r>
      <w:r>
        <w:rPr>
          <w:rFonts w:hint="eastAsia" w:ascii="宋体" w:hAnsi="宋体" w:cs="宋体"/>
          <w:bCs/>
          <w:color w:val="auto"/>
          <w:szCs w:val="21"/>
          <w:highlight w:val="none"/>
        </w:rPr>
        <w:t xml:space="preserve"> </w:t>
      </w:r>
      <w:r>
        <w:rPr>
          <w:rFonts w:hint="eastAsia" w:ascii="宋体" w:hAnsi="宋体" w:cs="宋体"/>
          <w:bCs/>
          <w:color w:val="auto"/>
          <w:sz w:val="24"/>
          <w:szCs w:val="22"/>
          <w:highlight w:val="none"/>
        </w:rPr>
        <w:t>验收程序及方法：</w:t>
      </w:r>
    </w:p>
    <w:p w14:paraId="2A1CBD8B">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（1）乙方履行完合同义务后，书面向甲方提交验收申请。</w:t>
      </w:r>
    </w:p>
    <w:p w14:paraId="0E5DB408">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（2）甲方收到乙方验收申请之日起5个工作日内组织验收，并提出验收意见，逾期不验收的，视同验收合格。甲方委托第三方机构组织项目验收的，其验收时间以该项目验收方案确定的验收时间为准。</w:t>
      </w:r>
    </w:p>
    <w:p w14:paraId="43D75D65">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（3）负责本项目验收的单位按下列</w:t>
      </w:r>
      <w:r>
        <w:rPr>
          <w:rFonts w:hint="eastAsia" w:ascii="宋体" w:hAnsi="宋体" w:cs="宋体"/>
          <w:bCs/>
          <w:color w:val="auto"/>
          <w:sz w:val="24"/>
          <w:szCs w:val="22"/>
          <w:highlight w:val="none"/>
          <w:u w:val="single"/>
        </w:rPr>
        <w:t xml:space="preserve">   </w:t>
      </w:r>
      <w:r>
        <w:rPr>
          <w:rFonts w:hint="eastAsia" w:ascii="宋体" w:hAnsi="宋体" w:cs="宋体"/>
          <w:bCs/>
          <w:color w:val="auto"/>
          <w:sz w:val="24"/>
          <w:szCs w:val="22"/>
          <w:highlight w:val="none"/>
        </w:rPr>
        <w:t>方式确定：</w:t>
      </w:r>
    </w:p>
    <w:p w14:paraId="72189AF4">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①甲方自行组织；</w:t>
      </w:r>
    </w:p>
    <w:p w14:paraId="0C21ED1D">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②甲方委托的第三方机构组织；</w:t>
      </w:r>
    </w:p>
    <w:p w14:paraId="3A45DE03">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（4）本项目验收由验收小组按照采购合同约定对每一项技术和商务要求的履约情况进行确认。</w:t>
      </w:r>
    </w:p>
    <w:p w14:paraId="112C6C13">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587C32B5">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（6）验收过程中所产生的一切费用均由乙方承担。</w:t>
      </w:r>
    </w:p>
    <w:p w14:paraId="19AA531F">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 xml:space="preserve">（7）验收书一式三份，甲乙双方各执一份、受托第三方机构一份（如有）。 </w:t>
      </w:r>
    </w:p>
    <w:p w14:paraId="59515CF6">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（8）验收结论不合格的，乙方应自收到验收书后 7日内及时予以解决。经乙方对验收结论不合格的货物进行整改后，仍然达不到要求的，经双方协商，可按以下办法处理：</w:t>
      </w:r>
    </w:p>
    <w:p w14:paraId="1C2EE4A3">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①更换：由乙方承担所发生的全部费用。</w:t>
      </w:r>
    </w:p>
    <w:p w14:paraId="7925BAF4">
      <w:p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②贬值处理：由甲乙双方合议定价。</w:t>
      </w:r>
    </w:p>
    <w:p w14:paraId="49364E00">
      <w:pPr>
        <w:numPr>
          <w:ilvl w:val="0"/>
          <w:numId w:val="7"/>
        </w:numPr>
        <w:snapToGrid w:val="0"/>
        <w:spacing w:line="360" w:lineRule="auto"/>
        <w:ind w:left="-61" w:firstLine="514"/>
        <w:rPr>
          <w:rFonts w:hint="eastAsia" w:ascii="宋体" w:hAnsi="宋体" w:cs="宋体"/>
          <w:bCs/>
          <w:color w:val="auto"/>
          <w:sz w:val="24"/>
          <w:szCs w:val="22"/>
          <w:highlight w:val="none"/>
        </w:rPr>
      </w:pPr>
      <w:r>
        <w:rPr>
          <w:rFonts w:hint="eastAsia" w:ascii="宋体" w:hAnsi="宋体" w:cs="宋体"/>
          <w:bCs/>
          <w:color w:val="auto"/>
          <w:sz w:val="24"/>
          <w:szCs w:val="22"/>
          <w:highlight w:val="none"/>
        </w:rPr>
        <w:t>验收费用由</w:t>
      </w:r>
      <w:r>
        <w:rPr>
          <w:rFonts w:hint="eastAsia" w:ascii="宋体" w:hAnsi="宋体" w:cs="宋体"/>
          <w:bCs/>
          <w:color w:val="auto"/>
          <w:sz w:val="24"/>
          <w:szCs w:val="22"/>
          <w:highlight w:val="none"/>
          <w:u w:val="single"/>
        </w:rPr>
        <w:t>乙方</w:t>
      </w:r>
      <w:r>
        <w:rPr>
          <w:rFonts w:hint="eastAsia" w:ascii="宋体" w:hAnsi="宋体" w:cs="宋体"/>
          <w:bCs/>
          <w:color w:val="auto"/>
          <w:sz w:val="24"/>
          <w:szCs w:val="22"/>
          <w:highlight w:val="none"/>
        </w:rPr>
        <w:t>承担。</w:t>
      </w:r>
    </w:p>
    <w:p w14:paraId="0EABBE04">
      <w:pPr>
        <w:snapToGrid w:val="0"/>
        <w:spacing w:line="360" w:lineRule="auto"/>
        <w:rPr>
          <w:rFonts w:hint="eastAsia" w:ascii="宋体" w:hAnsi="宋体" w:cs="宋体"/>
          <w:bCs/>
          <w:color w:val="auto"/>
          <w:sz w:val="24"/>
          <w:szCs w:val="22"/>
          <w:highlight w:val="none"/>
        </w:rPr>
      </w:pPr>
      <w:r>
        <w:rPr>
          <w:rFonts w:hint="eastAsia" w:ascii="宋体" w:hAnsi="宋体"/>
          <w:b/>
          <w:color w:val="auto"/>
          <w:sz w:val="24"/>
          <w:highlight w:val="none"/>
        </w:rPr>
        <w:t>第十一条　履约保证金</w:t>
      </w:r>
    </w:p>
    <w:p w14:paraId="67A32D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rPr>
      </w:pPr>
      <w:r>
        <w:rPr>
          <w:rFonts w:hint="eastAsia" w:ascii="宋体" w:hAnsi="宋体" w:cs="宋体"/>
          <w:bCs/>
          <w:color w:val="auto"/>
          <w:sz w:val="24"/>
          <w:szCs w:val="22"/>
          <w:highlight w:val="none"/>
        </w:rPr>
        <w:t>1.履约保证金金额：成交金额的</w:t>
      </w:r>
      <w:r>
        <w:rPr>
          <w:rFonts w:hint="eastAsia" w:ascii="宋体" w:hAnsi="宋体" w:cs="宋体"/>
          <w:bCs/>
          <w:color w:val="auto"/>
          <w:sz w:val="24"/>
          <w:szCs w:val="22"/>
          <w:highlight w:val="none"/>
          <w:lang w:val="en-US" w:eastAsia="zh-CN"/>
        </w:rPr>
        <w:t>2</w:t>
      </w:r>
      <w:r>
        <w:rPr>
          <w:rFonts w:hint="eastAsia" w:ascii="宋体" w:hAnsi="宋体" w:cs="宋体"/>
          <w:bCs/>
          <w:color w:val="auto"/>
          <w:sz w:val="24"/>
          <w:szCs w:val="22"/>
          <w:highlight w:val="none"/>
        </w:rPr>
        <w:t>%【根据《防城港市人民政府办公室关于印发防城港市保障中小企业款项支付工作方案的通知》（防政办发[2021]1号）文件精神，如乙方为小微企业的，免收履约保证金。根据《防城港市财政局关于进一步发挥政府采购政策功能促进企业发展的通知》（防财采〔2022〕12号）文件精神，如乙方为中型企业的，履约保证金金额为成交金额的2%】。</w:t>
      </w:r>
    </w:p>
    <w:p w14:paraId="20664F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rPr>
      </w:pPr>
      <w:r>
        <w:rPr>
          <w:rFonts w:hint="eastAsia" w:ascii="宋体" w:hAnsi="宋体" w:cs="宋体"/>
          <w:bCs/>
          <w:color w:val="auto"/>
          <w:sz w:val="24"/>
          <w:szCs w:val="22"/>
          <w:highlight w:val="none"/>
        </w:rPr>
        <w:t>2.履约保证金递交方式：乙方在合同签订前以银行转账、支票、汇票、本票或者银行、保险机构出具的保函等非现金方式递交。</w:t>
      </w:r>
    </w:p>
    <w:p w14:paraId="740367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rPr>
      </w:pPr>
      <w:r>
        <w:rPr>
          <w:rFonts w:hint="eastAsia" w:ascii="宋体" w:hAnsi="宋体" w:cs="宋体"/>
          <w:bCs/>
          <w:color w:val="auto"/>
          <w:sz w:val="24"/>
          <w:szCs w:val="22"/>
          <w:highlight w:val="none"/>
        </w:rPr>
        <w:t>3.履约保证金退付的方式、时间及条件：履约验收合格完毕，由乙方向履约保证金收取单位提供《政府采购项目合同验收书》及《政府采购项目履约保证金退付意见书》，保证金收取单位在收到合格材料后5个工作日内办理退还手续（不计利息）</w:t>
      </w:r>
    </w:p>
    <w:p w14:paraId="61D27D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rPr>
      </w:pPr>
      <w:r>
        <w:rPr>
          <w:rFonts w:hint="eastAsia" w:ascii="宋体" w:hAnsi="宋体" w:cs="宋体"/>
          <w:bCs/>
          <w:color w:val="auto"/>
          <w:sz w:val="24"/>
          <w:szCs w:val="22"/>
          <w:highlight w:val="none"/>
        </w:rPr>
        <w:t>甲方收取履约保证金的指定账户如下：</w:t>
      </w:r>
    </w:p>
    <w:p w14:paraId="233656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rPr>
      </w:pPr>
      <w:r>
        <w:rPr>
          <w:rFonts w:hint="eastAsia" w:ascii="宋体" w:hAnsi="宋体" w:cs="宋体"/>
          <w:bCs/>
          <w:color w:val="auto"/>
          <w:sz w:val="24"/>
          <w:szCs w:val="22"/>
          <w:highlight w:val="none"/>
        </w:rPr>
        <w:t>账户名称：</w:t>
      </w:r>
      <w:r>
        <w:rPr>
          <w:rFonts w:hint="eastAsia" w:ascii="宋体" w:hAnsi="宋体" w:cs="宋体"/>
          <w:bCs/>
          <w:color w:val="auto"/>
          <w:sz w:val="24"/>
          <w:szCs w:val="22"/>
          <w:highlight w:val="none"/>
          <w:lang w:val="en-US" w:eastAsia="zh-CN"/>
        </w:rPr>
        <w:t xml:space="preserve"> </w:t>
      </w:r>
    </w:p>
    <w:p w14:paraId="31174F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rPr>
      </w:pPr>
      <w:r>
        <w:rPr>
          <w:rFonts w:hint="eastAsia" w:ascii="宋体" w:hAnsi="宋体" w:cs="宋体"/>
          <w:bCs/>
          <w:color w:val="auto"/>
          <w:sz w:val="24"/>
          <w:szCs w:val="22"/>
          <w:highlight w:val="none"/>
        </w:rPr>
        <w:t>开户行：</w:t>
      </w:r>
      <w:r>
        <w:rPr>
          <w:rFonts w:hint="eastAsia" w:ascii="宋体" w:hAnsi="宋体" w:cs="宋体"/>
          <w:bCs/>
          <w:color w:val="auto"/>
          <w:sz w:val="24"/>
          <w:szCs w:val="22"/>
          <w:highlight w:val="none"/>
          <w:lang w:val="en-US" w:eastAsia="zh-CN"/>
        </w:rPr>
        <w:t xml:space="preserve"> </w:t>
      </w:r>
      <w:r>
        <w:rPr>
          <w:rFonts w:hint="eastAsia" w:ascii="宋体" w:hAnsi="宋体" w:cs="宋体"/>
          <w:bCs/>
          <w:color w:val="auto"/>
          <w:sz w:val="24"/>
          <w:szCs w:val="22"/>
          <w:highlight w:val="none"/>
        </w:rPr>
        <w:t xml:space="preserve"> </w:t>
      </w:r>
    </w:p>
    <w:p w14:paraId="4DA35E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rPr>
        <w:t>银行账号：</w:t>
      </w:r>
      <w:r>
        <w:rPr>
          <w:rFonts w:hint="eastAsia" w:ascii="宋体" w:hAnsi="宋体" w:cs="宋体"/>
          <w:bCs/>
          <w:color w:val="auto"/>
          <w:sz w:val="24"/>
          <w:szCs w:val="22"/>
          <w:highlight w:val="none"/>
          <w:lang w:val="en-US" w:eastAsia="zh-CN"/>
        </w:rPr>
        <w:t xml:space="preserve"> </w:t>
      </w:r>
    </w:p>
    <w:p w14:paraId="52B6C6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szCs w:val="22"/>
          <w:highlight w:val="none"/>
        </w:rPr>
      </w:pPr>
      <w:r>
        <w:rPr>
          <w:rFonts w:hint="eastAsia" w:ascii="宋体" w:hAnsi="宋体" w:cs="宋体"/>
          <w:bCs/>
          <w:color w:val="auto"/>
          <w:sz w:val="24"/>
          <w:szCs w:val="22"/>
          <w:highlight w:val="none"/>
        </w:rPr>
        <w:t>4.不予退还的情形：签订合同后，如乙方不按双方签订的合同规定履约，则其全部履约保证金不予退还。</w:t>
      </w:r>
    </w:p>
    <w:p w14:paraId="6EDCB95B">
      <w:pPr>
        <w:snapToGrid w:val="0"/>
        <w:spacing w:line="360" w:lineRule="auto"/>
        <w:ind w:firstLine="472" w:firstLineChars="196"/>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第十</w:t>
      </w:r>
      <w:r>
        <w:rPr>
          <w:rFonts w:hint="eastAsia" w:ascii="宋体" w:hAnsi="宋体" w:cs="宋体"/>
          <w:b/>
          <w:color w:val="auto"/>
          <w:kern w:val="0"/>
          <w:sz w:val="24"/>
          <w:highlight w:val="none"/>
        </w:rPr>
        <w:t>二</w:t>
      </w:r>
      <w:r>
        <w:rPr>
          <w:rFonts w:hint="eastAsia" w:ascii="宋体" w:hAnsi="宋体" w:cs="宋体"/>
          <w:b/>
          <w:color w:val="auto"/>
          <w:kern w:val="0"/>
          <w:sz w:val="24"/>
          <w:highlight w:val="none"/>
          <w:lang w:val="zh-CN"/>
        </w:rPr>
        <w:t>条  货物包装、发运及运输</w:t>
      </w:r>
    </w:p>
    <w:p w14:paraId="6A37F9DE">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1.乙方应在货物发运前对其进行满足运输距离、防潮、防震、防锈和防破损装卸等要求包装，以保证货物安全运达甲方指定地点。</w:t>
      </w:r>
    </w:p>
    <w:p w14:paraId="1D9BB0F5">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2.使用说明书（货物属于进口产品的，供货时应同时附上中文使用说明书）、质量检验证明书、随配附件和工具以及清单一并附于货物内。</w:t>
      </w:r>
    </w:p>
    <w:p w14:paraId="4A820CB0">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3.乙方在货物发运手续办理完毕后二十四小时内或者货到甲方四十八小时前通知甲方，以准备接货。</w:t>
      </w:r>
    </w:p>
    <w:p w14:paraId="69F9D6A9">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4.货物在交付甲方前发生的风险均由乙方负责。</w:t>
      </w:r>
    </w:p>
    <w:p w14:paraId="2A6C2203">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5.货物在规定的交付期限内由乙方送达甲方指定的地点视为交付，乙方同时需通知甲方货物已送达。</w:t>
      </w:r>
    </w:p>
    <w:p w14:paraId="514DF7C8">
      <w:pPr>
        <w:snapToGrid w:val="0"/>
        <w:spacing w:line="360" w:lineRule="auto"/>
        <w:ind w:firstLine="482" w:firstLineChars="200"/>
        <w:rPr>
          <w:rFonts w:ascii="宋体" w:hAnsi="宋体" w:cs="宋体"/>
          <w:b/>
          <w:color w:val="auto"/>
          <w:sz w:val="24"/>
          <w:szCs w:val="22"/>
          <w:highlight w:val="none"/>
        </w:rPr>
      </w:pPr>
      <w:r>
        <w:rPr>
          <w:rFonts w:hint="eastAsia" w:ascii="宋体" w:hAnsi="宋体" w:cs="宋体"/>
          <w:b/>
          <w:color w:val="auto"/>
          <w:sz w:val="24"/>
          <w:szCs w:val="22"/>
          <w:highlight w:val="none"/>
        </w:rPr>
        <w:t>第十三条　违约责任</w:t>
      </w:r>
    </w:p>
    <w:p w14:paraId="2D86BF0C">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22DF982C">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2.乙方提供的货物如侵犯了第三方合法权益而引发的任何纠纷或者诉讼，均由乙方负责交涉并承担全部责任。</w:t>
      </w:r>
    </w:p>
    <w:p w14:paraId="5191E266">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3.因包装、运输引起的货物损坏，按质量不合格处罚。</w:t>
      </w:r>
    </w:p>
    <w:p w14:paraId="0D4FC842">
      <w:pPr>
        <w:snapToGrid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4.甲方无故延期接收货物、乙方逾期交货的，每天向对方偿付违约货款额</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违约金，但违约金累计不得超过违约货款额</w:t>
      </w:r>
      <w:r>
        <w:rPr>
          <w:rFonts w:hint="eastAsia" w:ascii="宋体" w:hAnsi="宋体" w:cs="宋体"/>
          <w:color w:val="auto"/>
          <w:kern w:val="0"/>
          <w:sz w:val="24"/>
          <w:highlight w:val="none"/>
        </w:rPr>
        <w:t>10</w:t>
      </w:r>
      <w:r>
        <w:rPr>
          <w:rFonts w:hint="eastAsia" w:ascii="宋体" w:hAnsi="宋体" w:cs="宋体"/>
          <w:color w:val="auto"/>
          <w:kern w:val="0"/>
          <w:sz w:val="24"/>
          <w:highlight w:val="none"/>
          <w:lang w:val="zh-CN"/>
        </w:rPr>
        <w:t>%，超过</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天对方有权解除合同，违约方承担因此给对方造成经济损失；甲方延期支付货款的，每天向乙方偿付延期货款额</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滞纳金，但滞纳金累计不得超过延期货款额</w:t>
      </w:r>
      <w:r>
        <w:rPr>
          <w:rFonts w:hint="eastAsia" w:ascii="宋体" w:hAnsi="宋体" w:cs="宋体"/>
          <w:color w:val="auto"/>
          <w:kern w:val="0"/>
          <w:sz w:val="24"/>
          <w:highlight w:val="none"/>
        </w:rPr>
        <w:t>10</w:t>
      </w:r>
      <w:r>
        <w:rPr>
          <w:rFonts w:hint="eastAsia" w:ascii="宋体" w:hAnsi="宋体" w:cs="宋体"/>
          <w:color w:val="auto"/>
          <w:kern w:val="0"/>
          <w:sz w:val="24"/>
          <w:highlight w:val="none"/>
          <w:lang w:val="zh-CN"/>
        </w:rPr>
        <w:t>%。</w:t>
      </w:r>
    </w:p>
    <w:p w14:paraId="36701501">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5</w:t>
      </w:r>
      <w:r>
        <w:rPr>
          <w:rFonts w:hint="eastAsia" w:ascii="宋体" w:hAnsi="宋体" w:cs="宋体"/>
          <w:color w:val="auto"/>
          <w:kern w:val="0"/>
          <w:sz w:val="24"/>
          <w:highlight w:val="none"/>
          <w:lang w:val="zh-CN"/>
        </w:rPr>
        <w:t>.乙方未按本合同和响应文件中规定的服务承诺提供售后服务的，乙方应按本合同总金额 5%向甲方支付违约金。</w:t>
      </w:r>
    </w:p>
    <w:p w14:paraId="76B7E0C3">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zh-CN"/>
        </w:rPr>
        <w:t>.乙方提供的货物在质量保证期内，因设计、工艺或者材料的缺陷和其他质量原因造成的问题，由乙方负责，费用从余款中扣除，不足另补。</w:t>
      </w:r>
    </w:p>
    <w:p w14:paraId="6BFE348B">
      <w:pPr>
        <w:snapToGrid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7</w:t>
      </w:r>
      <w:r>
        <w:rPr>
          <w:rFonts w:hint="eastAsia" w:ascii="宋体" w:hAnsi="宋体" w:cs="宋体"/>
          <w:color w:val="auto"/>
          <w:kern w:val="0"/>
          <w:sz w:val="24"/>
          <w:highlight w:val="none"/>
          <w:lang w:val="zh-CN"/>
        </w:rPr>
        <w:t>.甲乙双方有其他违约行为的，由违约方向对方支付违约内容涉及货款金额的5%，违约内容涉及货款金额的5%不足以赔偿经济损失的按实际赔偿。</w:t>
      </w:r>
    </w:p>
    <w:p w14:paraId="4651616B">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本合同所称的损失、违约责任，除明确约定以外，还包括但不限于守约方因维权而支出的诉讼费、保全费、保函费、鉴定费、差旅费、律师费等。前述律师费可以仅凭《委托代理合同》并结合《律师服务收费管理实施办法》所确定的标准向违约方主张。</w:t>
      </w:r>
    </w:p>
    <w:p w14:paraId="085164A7">
      <w:pPr>
        <w:snapToGrid w:val="0"/>
        <w:spacing w:line="360" w:lineRule="auto"/>
        <w:ind w:firstLine="472" w:firstLineChars="196"/>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第十</w:t>
      </w:r>
      <w:r>
        <w:rPr>
          <w:rFonts w:hint="eastAsia" w:ascii="宋体" w:hAnsi="宋体" w:cs="宋体"/>
          <w:b/>
          <w:color w:val="auto"/>
          <w:kern w:val="0"/>
          <w:sz w:val="24"/>
          <w:highlight w:val="none"/>
        </w:rPr>
        <w:t>四</w:t>
      </w:r>
      <w:r>
        <w:rPr>
          <w:rFonts w:hint="eastAsia" w:ascii="宋体" w:hAnsi="宋体" w:cs="宋体"/>
          <w:b/>
          <w:color w:val="auto"/>
          <w:kern w:val="0"/>
          <w:sz w:val="24"/>
          <w:highlight w:val="none"/>
          <w:lang w:val="zh-CN"/>
        </w:rPr>
        <w:t>条  不可抗力事件处理</w:t>
      </w:r>
    </w:p>
    <w:p w14:paraId="0DC41913">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1.在合同有效期内，任何一方因不可抗力事件导致不能履行合同，则合同履行期可延长，其延长期与不可抗力影响期相同。</w:t>
      </w:r>
    </w:p>
    <w:p w14:paraId="72E16AB1">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2.不可抗力事件发生后，应立即通知对方，并在</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val="zh-CN"/>
        </w:rPr>
        <w:t>天内寄送有关权威机构出具的证明。</w:t>
      </w:r>
    </w:p>
    <w:p w14:paraId="6FEA6805">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3.不可抗力事件延续一百二十天以上，双方应通过友好协商，确定是否继续履行合同。如不可抗力无法消除，致使合同目的无法实现的，双方均有权解除合同，无需向对方承担违约责任。因合同一方迟延履行本合同义务，在迟延履行期间遭遇不可抗力的，不免除其违约责任。</w:t>
      </w:r>
    </w:p>
    <w:p w14:paraId="30D80B57">
      <w:pPr>
        <w:snapToGrid w:val="0"/>
        <w:spacing w:line="360" w:lineRule="auto"/>
        <w:ind w:firstLine="482" w:firstLineChars="200"/>
        <w:rPr>
          <w:rFonts w:ascii="宋体" w:hAnsi="宋体" w:cs="宋体"/>
          <w:color w:val="auto"/>
          <w:sz w:val="24"/>
          <w:szCs w:val="22"/>
          <w:highlight w:val="none"/>
        </w:rPr>
      </w:pPr>
      <w:r>
        <w:rPr>
          <w:rFonts w:hint="eastAsia" w:ascii="宋体" w:hAnsi="宋体" w:cs="宋体"/>
          <w:b/>
          <w:color w:val="auto"/>
          <w:sz w:val="24"/>
          <w:szCs w:val="22"/>
          <w:highlight w:val="none"/>
        </w:rPr>
        <w:t>第十五条  合同争议解决</w:t>
      </w:r>
    </w:p>
    <w:p w14:paraId="112347D0">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因货物质量问题发生争议的，应邀请国家认可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w:t>
      </w:r>
    </w:p>
    <w:p w14:paraId="4D6ECC46">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2.因履行本合同引起的或者与本合同有关的争议，甲乙双方应首先通过友好协商解决，如果协商不能解决，可向甲方所在地人民法院提起诉讼。</w:t>
      </w:r>
    </w:p>
    <w:p w14:paraId="3072AA42">
      <w:pPr>
        <w:snapToGrid w:val="0"/>
        <w:spacing w:line="360" w:lineRule="auto"/>
        <w:ind w:left="-61" w:firstLine="514"/>
        <w:rPr>
          <w:rFonts w:ascii="宋体" w:hAnsi="宋体" w:cs="宋体"/>
          <w:color w:val="auto"/>
          <w:sz w:val="24"/>
          <w:szCs w:val="22"/>
          <w:highlight w:val="none"/>
        </w:rPr>
      </w:pPr>
      <w:r>
        <w:rPr>
          <w:rFonts w:hint="eastAsia" w:ascii="宋体" w:hAnsi="宋体" w:cs="宋体"/>
          <w:color w:val="auto"/>
          <w:sz w:val="24"/>
          <w:szCs w:val="22"/>
          <w:highlight w:val="none"/>
        </w:rPr>
        <w:t>3.诉讼期间，本合同继续履行。</w:t>
      </w:r>
    </w:p>
    <w:p w14:paraId="75F36C96">
      <w:pPr>
        <w:snapToGrid w:val="0"/>
        <w:spacing w:line="360" w:lineRule="auto"/>
        <w:ind w:firstLine="472" w:firstLineChars="196"/>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第十</w:t>
      </w:r>
      <w:r>
        <w:rPr>
          <w:rFonts w:hint="eastAsia" w:ascii="宋体" w:hAnsi="宋体" w:cs="宋体"/>
          <w:b/>
          <w:color w:val="auto"/>
          <w:kern w:val="0"/>
          <w:sz w:val="24"/>
          <w:highlight w:val="none"/>
        </w:rPr>
        <w:t>五</w:t>
      </w:r>
      <w:r>
        <w:rPr>
          <w:rFonts w:hint="eastAsia" w:ascii="宋体" w:hAnsi="宋体" w:cs="宋体"/>
          <w:b/>
          <w:color w:val="auto"/>
          <w:kern w:val="0"/>
          <w:sz w:val="24"/>
          <w:highlight w:val="none"/>
          <w:lang w:val="zh-CN"/>
        </w:rPr>
        <w:t>条  合同生效及其他</w:t>
      </w:r>
    </w:p>
    <w:p w14:paraId="5CFAD14D">
      <w:pPr>
        <w:snapToGrid w:val="0"/>
        <w:spacing w:line="360" w:lineRule="auto"/>
        <w:ind w:firstLine="480" w:firstLineChars="200"/>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1.合同经双方法定代表人或者其委托代理人签字并加盖单位公章后生效（委托代理人签字的需后附法定代表人授权委托书，格式自拟）。</w:t>
      </w:r>
    </w:p>
    <w:p w14:paraId="1BE9BEC3">
      <w:pPr>
        <w:snapToGrid w:val="0"/>
        <w:spacing w:line="360" w:lineRule="auto"/>
        <w:ind w:firstLine="480" w:firstLineChars="200"/>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2.</w:t>
      </w:r>
      <w:r>
        <w:rPr>
          <w:rFonts w:hint="eastAsia"/>
          <w:color w:val="auto"/>
          <w:highlight w:val="none"/>
        </w:rPr>
        <w:t xml:space="preserve"> </w:t>
      </w:r>
      <w:r>
        <w:rPr>
          <w:rFonts w:hint="eastAsia" w:ascii="宋体" w:hAnsi="宋体" w:cs="宋体"/>
          <w:bCs/>
          <w:color w:val="auto"/>
          <w:kern w:val="0"/>
          <w:sz w:val="24"/>
          <w:highlight w:val="none"/>
          <w:lang w:val="zh-CN"/>
        </w:rPr>
        <w:t>通知、文件等材料通过本合同所列明地址发送的，双方均确认本合同所列明地址为有效送达地址，一方拒签或他人代签不影响送达的生效。以当面交付文件方式送达的，交付之时视为送达；以电子邮件方式送达的，发出电子邮件时视为送达；以邮寄方式交付的，寄出、发出或者投邮后即视为送达。若任何一方变更本合同中约定联系方式的，应在变更之日起三个工作日内通知对方，对方当事人在收到变更通知前的送达仍为有效送达。</w:t>
      </w:r>
    </w:p>
    <w:p w14:paraId="6C674869">
      <w:pPr>
        <w:snapToGrid w:val="0"/>
        <w:spacing w:line="360" w:lineRule="auto"/>
        <w:ind w:firstLine="482" w:firstLineChars="200"/>
        <w:rPr>
          <w:rFonts w:ascii="宋体" w:hAnsi="宋体" w:cs="宋体"/>
          <w:b/>
          <w:color w:val="auto"/>
          <w:sz w:val="24"/>
          <w:szCs w:val="22"/>
          <w:highlight w:val="none"/>
        </w:rPr>
      </w:pPr>
      <w:r>
        <w:rPr>
          <w:rFonts w:hint="eastAsia" w:ascii="宋体" w:hAnsi="宋体" w:cs="宋体"/>
          <w:b/>
          <w:color w:val="auto"/>
          <w:sz w:val="24"/>
          <w:szCs w:val="22"/>
          <w:highlight w:val="none"/>
        </w:rPr>
        <w:t>第十六条　合同的变更、终止与转让</w:t>
      </w:r>
    </w:p>
    <w:p w14:paraId="024FE2A1">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1.除《中华人民共和国政府采购法》第五十条规定的情形外，本合同一经签订，甲乙双方不得擅自变更、中止或者终止。</w:t>
      </w:r>
    </w:p>
    <w:p w14:paraId="4B3B2AD5">
      <w:pPr>
        <w:snapToGrid w:val="0"/>
        <w:spacing w:line="360" w:lineRule="auto"/>
        <w:ind w:left="-61" w:firstLine="514"/>
        <w:rPr>
          <w:rFonts w:ascii="宋体" w:hAnsi="宋体" w:cs="宋体"/>
          <w:color w:val="auto"/>
          <w:sz w:val="24"/>
          <w:szCs w:val="22"/>
          <w:highlight w:val="none"/>
        </w:rPr>
      </w:pPr>
      <w:r>
        <w:rPr>
          <w:rFonts w:hint="eastAsia" w:ascii="宋体" w:hAnsi="宋体" w:cs="宋体"/>
          <w:color w:val="auto"/>
          <w:sz w:val="24"/>
          <w:szCs w:val="22"/>
          <w:highlight w:val="none"/>
        </w:rPr>
        <w:t>2.未经甲方书面同意，乙方不得擅自转让（无进口资格的供应商委托进口货物除外）其应履行的合同义务。</w:t>
      </w:r>
    </w:p>
    <w:p w14:paraId="5699B361">
      <w:pPr>
        <w:snapToGrid w:val="0"/>
        <w:spacing w:line="360" w:lineRule="auto"/>
        <w:ind w:firstLine="482" w:firstLineChars="200"/>
        <w:rPr>
          <w:rFonts w:ascii="宋体" w:hAnsi="宋体" w:cs="宋体"/>
          <w:b/>
          <w:color w:val="auto"/>
          <w:sz w:val="24"/>
          <w:szCs w:val="22"/>
          <w:highlight w:val="none"/>
        </w:rPr>
      </w:pPr>
      <w:r>
        <w:rPr>
          <w:rFonts w:hint="eastAsia" w:ascii="宋体" w:hAnsi="宋体" w:cs="宋体"/>
          <w:b/>
          <w:color w:val="auto"/>
          <w:sz w:val="24"/>
          <w:szCs w:val="22"/>
          <w:highlight w:val="none"/>
        </w:rPr>
        <w:t>第十七条　</w:t>
      </w:r>
      <w:r>
        <w:rPr>
          <w:rFonts w:hint="eastAsia" w:ascii="宋体" w:hAnsi="宋体" w:cs="宋体"/>
          <w:b/>
          <w:bCs/>
          <w:color w:val="auto"/>
          <w:kern w:val="0"/>
          <w:sz w:val="24"/>
          <w:szCs w:val="22"/>
          <w:highlight w:val="none"/>
        </w:rPr>
        <w:t>本合同书与下列文件一起构成合同文件</w:t>
      </w:r>
    </w:p>
    <w:p w14:paraId="37D3BACC">
      <w:pPr>
        <w:snapToGrid w:val="0"/>
        <w:spacing w:line="360" w:lineRule="auto"/>
        <w:ind w:left="420" w:left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1.成交通知书；</w:t>
      </w:r>
    </w:p>
    <w:p w14:paraId="3AF15499">
      <w:pPr>
        <w:snapToGrid w:val="0"/>
        <w:spacing w:line="360" w:lineRule="auto"/>
        <w:ind w:left="420" w:left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2.竞标声明书；</w:t>
      </w:r>
    </w:p>
    <w:p w14:paraId="3429B0C7">
      <w:pPr>
        <w:snapToGrid w:val="0"/>
        <w:spacing w:line="360" w:lineRule="auto"/>
        <w:ind w:left="420" w:left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3.商务条款偏离表和技术需求偏离表；</w:t>
      </w:r>
    </w:p>
    <w:p w14:paraId="70C7800D">
      <w:pPr>
        <w:snapToGrid w:val="0"/>
        <w:spacing w:line="360" w:lineRule="auto"/>
        <w:ind w:left="420" w:left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4.采购需求；</w:t>
      </w:r>
    </w:p>
    <w:p w14:paraId="123EFE89">
      <w:pPr>
        <w:snapToGrid w:val="0"/>
        <w:spacing w:line="360" w:lineRule="auto"/>
        <w:ind w:left="420" w:left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5.竞标报价表；</w:t>
      </w:r>
    </w:p>
    <w:p w14:paraId="374A12DB">
      <w:pPr>
        <w:snapToGrid w:val="0"/>
        <w:spacing w:line="360" w:lineRule="auto"/>
        <w:ind w:left="420" w:left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6.其他合同文件。</w:t>
      </w:r>
    </w:p>
    <w:p w14:paraId="1C49CFDA">
      <w:pPr>
        <w:snapToGrid w:val="0"/>
        <w:spacing w:line="360" w:lineRule="auto"/>
        <w:ind w:firstLine="424" w:firstLineChars="177"/>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7.上述合同文</w:t>
      </w:r>
      <w:r>
        <w:rPr>
          <w:rFonts w:hint="eastAsia" w:ascii="宋体" w:hAnsi="宋体" w:cs="宋体"/>
          <w:color w:val="auto"/>
          <w:sz w:val="24"/>
          <w:highlight w:val="none"/>
        </w:rPr>
        <w:t>件互相补充和解释。如果合同文件之间存在矛盾或者不一致之处，以上述文件的排</w:t>
      </w:r>
      <w:r>
        <w:rPr>
          <w:rFonts w:hint="eastAsia" w:ascii="宋体" w:hAnsi="宋体" w:cs="宋体"/>
          <w:color w:val="auto"/>
          <w:kern w:val="0"/>
          <w:sz w:val="24"/>
          <w:highlight w:val="none"/>
          <w:lang w:val="zh-CN"/>
        </w:rPr>
        <w:t>列顺序在先者为准。</w:t>
      </w:r>
    </w:p>
    <w:p w14:paraId="1E9E7767">
      <w:pPr>
        <w:snapToGrid w:val="0"/>
        <w:spacing w:line="360" w:lineRule="auto"/>
        <w:ind w:firstLine="482" w:firstLineChars="200"/>
        <w:rPr>
          <w:rFonts w:ascii="宋体" w:hAnsi="宋体" w:cs="宋体"/>
          <w:color w:val="auto"/>
          <w:sz w:val="24"/>
          <w:szCs w:val="22"/>
          <w:highlight w:val="none"/>
        </w:rPr>
      </w:pPr>
      <w:r>
        <w:rPr>
          <w:rFonts w:hint="eastAsia" w:ascii="宋体" w:hAnsi="宋体" w:cs="宋体"/>
          <w:b/>
          <w:color w:val="auto"/>
          <w:sz w:val="24"/>
          <w:szCs w:val="22"/>
          <w:highlight w:val="none"/>
        </w:rPr>
        <w:t>第十八条　</w:t>
      </w:r>
      <w:r>
        <w:rPr>
          <w:rFonts w:hint="eastAsia" w:ascii="宋体" w:hAnsi="宋体" w:cs="宋体"/>
          <w:color w:val="auto"/>
          <w:sz w:val="24"/>
          <w:szCs w:val="22"/>
          <w:highlight w:val="none"/>
        </w:rPr>
        <w:t>本合同一式肆份，具有同等法律效力，甲方执叁份，乙方执壹份（可根据需要另增加）。</w:t>
      </w:r>
    </w:p>
    <w:p w14:paraId="39D97BA7">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本合同甲乙双方法定代表人或委托代理人签字并加盖公章后生效。</w:t>
      </w:r>
    </w:p>
    <w:p w14:paraId="55C584DF">
      <w:pPr>
        <w:snapToGrid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本合同自签订之日起2个工作日内，甲方应当将采购合同在广西壮族自治区财政厅指定的媒体上公告。</w:t>
      </w:r>
    </w:p>
    <w:p w14:paraId="44154AD1">
      <w:pPr>
        <w:snapToGrid w:val="0"/>
        <w:spacing w:line="360" w:lineRule="auto"/>
        <w:rPr>
          <w:rFonts w:ascii="宋体" w:hAnsi="宋体" w:cs="宋体"/>
          <w:color w:val="auto"/>
          <w:sz w:val="24"/>
          <w:szCs w:val="22"/>
          <w:highlight w:val="none"/>
        </w:rPr>
      </w:pPr>
    </w:p>
    <w:p w14:paraId="3BF74CC3">
      <w:pPr>
        <w:snapToGrid w:val="0"/>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rPr>
        <w:t>（以下无正文）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239"/>
      </w:tblGrid>
      <w:tr w14:paraId="3A72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trPr>
        <w:tc>
          <w:tcPr>
            <w:tcW w:w="4780" w:type="dxa"/>
            <w:noWrap w:val="0"/>
            <w:vAlign w:val="center"/>
          </w:tcPr>
          <w:p w14:paraId="1BA68C66">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 xml:space="preserve">甲方（章）           </w:t>
            </w:r>
          </w:p>
          <w:p w14:paraId="7682602A">
            <w:pPr>
              <w:snapToGrid w:val="0"/>
              <w:spacing w:line="360" w:lineRule="auto"/>
              <w:ind w:firstLine="1080" w:firstLineChars="450"/>
              <w:jc w:val="right"/>
              <w:rPr>
                <w:rFonts w:ascii="宋体" w:hAnsi="宋体"/>
                <w:color w:val="auto"/>
                <w:sz w:val="24"/>
                <w:szCs w:val="22"/>
                <w:highlight w:val="none"/>
              </w:rPr>
            </w:pPr>
            <w:r>
              <w:rPr>
                <w:rFonts w:hint="eastAsia" w:ascii="宋体" w:hAnsi="宋体"/>
                <w:color w:val="auto"/>
                <w:sz w:val="24"/>
                <w:szCs w:val="22"/>
                <w:highlight w:val="none"/>
              </w:rPr>
              <w:t>年   月   日</w:t>
            </w:r>
          </w:p>
        </w:tc>
        <w:tc>
          <w:tcPr>
            <w:tcW w:w="4239" w:type="dxa"/>
            <w:noWrap w:val="0"/>
            <w:vAlign w:val="center"/>
          </w:tcPr>
          <w:p w14:paraId="000600FE">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 xml:space="preserve">乙方（章）              </w:t>
            </w:r>
          </w:p>
          <w:p w14:paraId="76879CCD">
            <w:pPr>
              <w:snapToGrid w:val="0"/>
              <w:spacing w:line="360" w:lineRule="auto"/>
              <w:rPr>
                <w:rFonts w:ascii="宋体" w:hAnsi="宋体"/>
                <w:color w:val="auto"/>
                <w:sz w:val="24"/>
                <w:szCs w:val="22"/>
                <w:highlight w:val="none"/>
              </w:rPr>
            </w:pPr>
          </w:p>
          <w:p w14:paraId="2AF2A7E1">
            <w:pPr>
              <w:snapToGrid w:val="0"/>
              <w:spacing w:line="360" w:lineRule="auto"/>
              <w:jc w:val="right"/>
              <w:rPr>
                <w:rFonts w:ascii="宋体" w:hAnsi="宋体"/>
                <w:color w:val="auto"/>
                <w:sz w:val="24"/>
                <w:szCs w:val="22"/>
                <w:highlight w:val="none"/>
              </w:rPr>
            </w:pPr>
            <w:r>
              <w:rPr>
                <w:rFonts w:hint="eastAsia" w:ascii="宋体" w:hAnsi="宋体"/>
                <w:color w:val="auto"/>
                <w:sz w:val="24"/>
                <w:szCs w:val="22"/>
                <w:highlight w:val="none"/>
              </w:rPr>
              <w:t xml:space="preserve"> 年   月   日</w:t>
            </w:r>
          </w:p>
        </w:tc>
      </w:tr>
      <w:tr w14:paraId="08D3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4780" w:type="dxa"/>
            <w:noWrap w:val="0"/>
            <w:vAlign w:val="center"/>
          </w:tcPr>
          <w:p w14:paraId="1CB89217">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单位地址：</w:t>
            </w:r>
          </w:p>
        </w:tc>
        <w:tc>
          <w:tcPr>
            <w:tcW w:w="4239" w:type="dxa"/>
            <w:noWrap w:val="0"/>
            <w:vAlign w:val="center"/>
          </w:tcPr>
          <w:p w14:paraId="6CEB441E">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单位地址：</w:t>
            </w:r>
          </w:p>
        </w:tc>
      </w:tr>
      <w:tr w14:paraId="715D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4780" w:type="dxa"/>
            <w:noWrap w:val="0"/>
            <w:vAlign w:val="top"/>
          </w:tcPr>
          <w:p w14:paraId="7F6839F3">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法定代表人或者其委托代理人：</w:t>
            </w:r>
          </w:p>
        </w:tc>
        <w:tc>
          <w:tcPr>
            <w:tcW w:w="4239" w:type="dxa"/>
            <w:noWrap w:val="0"/>
            <w:vAlign w:val="top"/>
          </w:tcPr>
          <w:p w14:paraId="655C3594">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法定代表人或者其委托代理人：</w:t>
            </w:r>
          </w:p>
        </w:tc>
      </w:tr>
      <w:tr w14:paraId="4621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780" w:type="dxa"/>
            <w:noWrap w:val="0"/>
            <w:vAlign w:val="center"/>
          </w:tcPr>
          <w:p w14:paraId="6E13DA40">
            <w:pPr>
              <w:snapToGrid w:val="0"/>
              <w:spacing w:line="360" w:lineRule="auto"/>
              <w:rPr>
                <w:rFonts w:ascii="Calibri" w:hAnsi="Calibri"/>
                <w:color w:val="auto"/>
                <w:szCs w:val="22"/>
                <w:highlight w:val="none"/>
              </w:rPr>
            </w:pPr>
            <w:r>
              <w:rPr>
                <w:rFonts w:hint="eastAsia" w:ascii="Calibri" w:hAnsi="Calibri"/>
                <w:color w:val="auto"/>
                <w:szCs w:val="22"/>
                <w:highlight w:val="none"/>
              </w:rPr>
              <w:t>电话：</w:t>
            </w:r>
          </w:p>
        </w:tc>
        <w:tc>
          <w:tcPr>
            <w:tcW w:w="4239" w:type="dxa"/>
            <w:noWrap w:val="0"/>
            <w:vAlign w:val="center"/>
          </w:tcPr>
          <w:p w14:paraId="1F3A22BE">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电话：</w:t>
            </w:r>
          </w:p>
        </w:tc>
      </w:tr>
      <w:tr w14:paraId="29C7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780" w:type="dxa"/>
            <w:noWrap w:val="0"/>
            <w:vAlign w:val="center"/>
          </w:tcPr>
          <w:p w14:paraId="25A9CEC2">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电子邮箱：</w:t>
            </w:r>
          </w:p>
        </w:tc>
        <w:tc>
          <w:tcPr>
            <w:tcW w:w="4239" w:type="dxa"/>
            <w:noWrap w:val="0"/>
            <w:vAlign w:val="center"/>
          </w:tcPr>
          <w:p w14:paraId="3A0A7A50">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电子邮箱：</w:t>
            </w:r>
          </w:p>
        </w:tc>
      </w:tr>
      <w:tr w14:paraId="60A6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780" w:type="dxa"/>
            <w:noWrap w:val="0"/>
            <w:vAlign w:val="center"/>
          </w:tcPr>
          <w:p w14:paraId="67CD2342">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开户银行：</w:t>
            </w:r>
          </w:p>
        </w:tc>
        <w:tc>
          <w:tcPr>
            <w:tcW w:w="4239" w:type="dxa"/>
            <w:noWrap w:val="0"/>
            <w:vAlign w:val="center"/>
          </w:tcPr>
          <w:p w14:paraId="00D18C05">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开户银行：</w:t>
            </w:r>
          </w:p>
        </w:tc>
      </w:tr>
      <w:tr w14:paraId="3CA7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780" w:type="dxa"/>
            <w:noWrap w:val="0"/>
            <w:vAlign w:val="center"/>
          </w:tcPr>
          <w:p w14:paraId="22097DD0">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账号：</w:t>
            </w:r>
          </w:p>
        </w:tc>
        <w:tc>
          <w:tcPr>
            <w:tcW w:w="4239" w:type="dxa"/>
            <w:noWrap w:val="0"/>
            <w:vAlign w:val="center"/>
          </w:tcPr>
          <w:p w14:paraId="7F69CA28">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账号：</w:t>
            </w:r>
          </w:p>
        </w:tc>
      </w:tr>
      <w:tr w14:paraId="780D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4780" w:type="dxa"/>
            <w:noWrap w:val="0"/>
            <w:vAlign w:val="center"/>
          </w:tcPr>
          <w:p w14:paraId="1A2EBDEF">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邮政编码：538001</w:t>
            </w:r>
          </w:p>
        </w:tc>
        <w:tc>
          <w:tcPr>
            <w:tcW w:w="4239" w:type="dxa"/>
            <w:noWrap w:val="0"/>
            <w:vAlign w:val="center"/>
          </w:tcPr>
          <w:p w14:paraId="22026708">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邮政编码：</w:t>
            </w:r>
          </w:p>
        </w:tc>
      </w:tr>
    </w:tbl>
    <w:p w14:paraId="0680C201">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br w:type="page"/>
      </w:r>
      <w:r>
        <w:rPr>
          <w:rFonts w:hint="eastAsia" w:ascii="宋体" w:hAnsi="宋体"/>
          <w:b/>
          <w:color w:val="auto"/>
          <w:sz w:val="24"/>
          <w:szCs w:val="22"/>
          <w:highlight w:val="none"/>
        </w:rPr>
        <w:t>合 同 附 件</w:t>
      </w:r>
    </w:p>
    <w:p w14:paraId="13405B97">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一般货物类</w:t>
      </w:r>
    </w:p>
    <w:tbl>
      <w:tblPr>
        <w:tblStyle w:val="18"/>
        <w:tblW w:w="0" w:type="auto"/>
        <w:jc w:val="center"/>
        <w:tblLayout w:type="fixed"/>
        <w:tblCellMar>
          <w:top w:w="0" w:type="dxa"/>
          <w:left w:w="108" w:type="dxa"/>
          <w:bottom w:w="0" w:type="dxa"/>
          <w:right w:w="108" w:type="dxa"/>
        </w:tblCellMar>
      </w:tblPr>
      <w:tblGrid>
        <w:gridCol w:w="4263"/>
        <w:gridCol w:w="4259"/>
      </w:tblGrid>
      <w:tr w14:paraId="131BFE3F">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val="0"/>
            <w:vAlign w:val="top"/>
          </w:tcPr>
          <w:p w14:paraId="13515C29">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1. 供应商承诺具体事项：</w:t>
            </w:r>
          </w:p>
        </w:tc>
      </w:tr>
      <w:tr w14:paraId="2B7A3CF2">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val="0"/>
            <w:vAlign w:val="top"/>
          </w:tcPr>
          <w:p w14:paraId="269A37A5">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2. 售后服务具体事项：</w:t>
            </w:r>
          </w:p>
        </w:tc>
      </w:tr>
      <w:tr w14:paraId="3CA86A69">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noWrap w:val="0"/>
            <w:vAlign w:val="top"/>
          </w:tcPr>
          <w:p w14:paraId="27B1F1A4">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3. 质保期责任：</w:t>
            </w:r>
          </w:p>
        </w:tc>
      </w:tr>
      <w:tr w14:paraId="2D3F6123">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val="0"/>
            <w:vAlign w:val="top"/>
          </w:tcPr>
          <w:p w14:paraId="29E04A40">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4. 其他具体事项：</w:t>
            </w:r>
          </w:p>
        </w:tc>
      </w:tr>
      <w:tr w14:paraId="59657ABB">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14:paraId="20E8294B">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甲方（章）</w:t>
            </w:r>
          </w:p>
          <w:p w14:paraId="7A2C33A2">
            <w:pPr>
              <w:snapToGrid w:val="0"/>
              <w:spacing w:line="360" w:lineRule="auto"/>
              <w:ind w:firstLine="482" w:firstLineChars="200"/>
              <w:rPr>
                <w:rFonts w:ascii="宋体" w:hAnsi="宋体"/>
                <w:b/>
                <w:color w:val="auto"/>
                <w:sz w:val="24"/>
                <w:szCs w:val="22"/>
                <w:highlight w:val="none"/>
              </w:rPr>
            </w:pPr>
          </w:p>
          <w:p w14:paraId="69267C0F">
            <w:pPr>
              <w:snapToGrid w:val="0"/>
              <w:spacing w:line="360" w:lineRule="auto"/>
              <w:rPr>
                <w:rFonts w:ascii="宋体" w:hAnsi="宋体"/>
                <w:b/>
                <w:color w:val="auto"/>
                <w:sz w:val="24"/>
                <w:szCs w:val="22"/>
                <w:highlight w:val="none"/>
              </w:rPr>
            </w:pPr>
          </w:p>
          <w:p w14:paraId="42A2C363">
            <w:pPr>
              <w:snapToGrid w:val="0"/>
              <w:spacing w:line="360" w:lineRule="auto"/>
              <w:ind w:firstLine="482" w:firstLineChars="200"/>
              <w:rPr>
                <w:rFonts w:ascii="宋体" w:hAnsi="宋体"/>
                <w:b/>
                <w:color w:val="auto"/>
                <w:sz w:val="24"/>
                <w:szCs w:val="22"/>
                <w:highlight w:val="none"/>
              </w:rPr>
            </w:pPr>
            <w:r>
              <w:rPr>
                <w:rFonts w:hint="eastAsia" w:ascii="宋体" w:hAnsi="宋体"/>
                <w:b/>
                <w:color w:val="auto"/>
                <w:sz w:val="24"/>
                <w:szCs w:val="22"/>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1E3E9F6">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乙方（章）</w:t>
            </w:r>
          </w:p>
          <w:p w14:paraId="3369A5A2">
            <w:pPr>
              <w:snapToGrid w:val="0"/>
              <w:spacing w:line="360" w:lineRule="auto"/>
              <w:ind w:firstLine="482" w:firstLineChars="200"/>
              <w:rPr>
                <w:rFonts w:ascii="宋体" w:hAnsi="宋体"/>
                <w:b/>
                <w:color w:val="auto"/>
                <w:sz w:val="24"/>
                <w:szCs w:val="22"/>
                <w:highlight w:val="none"/>
              </w:rPr>
            </w:pPr>
          </w:p>
          <w:p w14:paraId="1613AAA0">
            <w:pPr>
              <w:snapToGrid w:val="0"/>
              <w:spacing w:line="360" w:lineRule="auto"/>
              <w:rPr>
                <w:rFonts w:ascii="宋体" w:hAnsi="宋体"/>
                <w:b/>
                <w:color w:val="auto"/>
                <w:sz w:val="24"/>
                <w:szCs w:val="22"/>
                <w:highlight w:val="none"/>
              </w:rPr>
            </w:pPr>
          </w:p>
          <w:p w14:paraId="169B42F3">
            <w:pPr>
              <w:snapToGrid w:val="0"/>
              <w:spacing w:line="360" w:lineRule="auto"/>
              <w:ind w:firstLine="482" w:firstLineChars="200"/>
              <w:rPr>
                <w:rFonts w:ascii="宋体" w:hAnsi="宋体"/>
                <w:b/>
                <w:color w:val="auto"/>
                <w:sz w:val="24"/>
                <w:szCs w:val="22"/>
                <w:highlight w:val="none"/>
              </w:rPr>
            </w:pPr>
            <w:r>
              <w:rPr>
                <w:rFonts w:hint="eastAsia" w:ascii="宋体" w:hAnsi="宋体"/>
                <w:b/>
                <w:color w:val="auto"/>
                <w:sz w:val="24"/>
                <w:szCs w:val="22"/>
                <w:highlight w:val="none"/>
              </w:rPr>
              <w:t xml:space="preserve">                 年   月   日</w:t>
            </w:r>
          </w:p>
        </w:tc>
      </w:tr>
    </w:tbl>
    <w:p w14:paraId="7666E327">
      <w:pPr>
        <w:snapToGrid w:val="0"/>
        <w:spacing w:line="360" w:lineRule="auto"/>
        <w:jc w:val="left"/>
        <w:rPr>
          <w:rFonts w:hint="eastAsia" w:ascii="宋体" w:hAnsi="宋体"/>
          <w:color w:val="auto"/>
          <w:sz w:val="24"/>
          <w:szCs w:val="22"/>
          <w:highlight w:val="none"/>
        </w:rPr>
      </w:pPr>
      <w:r>
        <w:rPr>
          <w:rFonts w:hint="eastAsia" w:ascii="宋体" w:hAnsi="宋体"/>
          <w:color w:val="auto"/>
          <w:sz w:val="24"/>
          <w:szCs w:val="22"/>
          <w:highlight w:val="none"/>
        </w:rPr>
        <w:t xml:space="preserve">   注：售后服务事项填不下时可另加附页</w:t>
      </w:r>
    </w:p>
    <w:p w14:paraId="33743F15">
      <w:pPr>
        <w:snapToGrid w:val="0"/>
        <w:spacing w:line="360" w:lineRule="auto"/>
        <w:jc w:val="left"/>
        <w:rPr>
          <w:rFonts w:hint="eastAsia" w:ascii="宋体" w:hAnsi="宋体"/>
          <w:color w:val="auto"/>
          <w:sz w:val="24"/>
          <w:szCs w:val="22"/>
          <w:highlight w:val="none"/>
        </w:rPr>
      </w:pPr>
    </w:p>
    <w:p w14:paraId="5463E0C5">
      <w:pPr>
        <w:snapToGrid w:val="0"/>
        <w:spacing w:line="360" w:lineRule="auto"/>
        <w:jc w:val="left"/>
        <w:rPr>
          <w:rFonts w:hint="eastAsia" w:ascii="宋体" w:hAnsi="宋体"/>
          <w:color w:val="auto"/>
          <w:sz w:val="24"/>
          <w:szCs w:val="22"/>
          <w:highlight w:val="none"/>
        </w:rPr>
      </w:pPr>
    </w:p>
    <w:p w14:paraId="487B5CBE">
      <w:pPr>
        <w:snapToGrid w:val="0"/>
        <w:spacing w:line="360" w:lineRule="auto"/>
        <w:jc w:val="left"/>
        <w:rPr>
          <w:rFonts w:hint="eastAsia" w:ascii="宋体" w:hAnsi="宋体"/>
          <w:color w:val="auto"/>
          <w:sz w:val="24"/>
          <w:szCs w:val="22"/>
          <w:highlight w:val="none"/>
        </w:rPr>
      </w:pPr>
    </w:p>
    <w:p w14:paraId="6E1944C8">
      <w:pPr>
        <w:snapToGrid w:val="0"/>
        <w:spacing w:line="360" w:lineRule="auto"/>
        <w:jc w:val="left"/>
        <w:rPr>
          <w:rFonts w:hint="eastAsia" w:ascii="宋体" w:hAnsi="宋体"/>
          <w:color w:val="auto"/>
          <w:sz w:val="24"/>
          <w:szCs w:val="22"/>
          <w:highlight w:val="none"/>
        </w:rPr>
      </w:pPr>
    </w:p>
    <w:p w14:paraId="70857182">
      <w:pPr>
        <w:snapToGrid w:val="0"/>
        <w:spacing w:line="360" w:lineRule="auto"/>
        <w:jc w:val="left"/>
        <w:rPr>
          <w:rFonts w:hint="eastAsia" w:ascii="宋体" w:hAnsi="宋体"/>
          <w:color w:val="auto"/>
          <w:sz w:val="24"/>
          <w:szCs w:val="22"/>
          <w:highlight w:val="none"/>
        </w:rPr>
      </w:pPr>
    </w:p>
    <w:p w14:paraId="65F13A9F">
      <w:pPr>
        <w:snapToGrid w:val="0"/>
        <w:spacing w:line="360" w:lineRule="auto"/>
        <w:jc w:val="left"/>
        <w:rPr>
          <w:rFonts w:hint="eastAsia" w:ascii="宋体" w:hAnsi="宋体"/>
          <w:color w:val="auto"/>
          <w:sz w:val="24"/>
          <w:szCs w:val="22"/>
          <w:highlight w:val="none"/>
        </w:rPr>
      </w:pPr>
    </w:p>
    <w:p w14:paraId="4BE06BFC">
      <w:pPr>
        <w:snapToGrid w:val="0"/>
        <w:spacing w:line="360" w:lineRule="auto"/>
        <w:jc w:val="left"/>
        <w:rPr>
          <w:rFonts w:hint="eastAsia" w:ascii="宋体" w:hAnsi="宋体"/>
          <w:color w:val="auto"/>
          <w:sz w:val="24"/>
          <w:szCs w:val="22"/>
          <w:highlight w:val="none"/>
        </w:rPr>
      </w:pPr>
    </w:p>
    <w:p w14:paraId="3B61D2C8">
      <w:pPr>
        <w:snapToGrid w:val="0"/>
        <w:spacing w:line="360" w:lineRule="auto"/>
        <w:jc w:val="left"/>
        <w:rPr>
          <w:rFonts w:hint="eastAsia" w:ascii="宋体" w:hAnsi="宋体"/>
          <w:color w:val="auto"/>
          <w:sz w:val="24"/>
          <w:szCs w:val="22"/>
          <w:highlight w:val="none"/>
        </w:rPr>
      </w:pPr>
    </w:p>
    <w:p w14:paraId="0DC5E664">
      <w:pPr>
        <w:snapToGrid w:val="0"/>
        <w:spacing w:line="360" w:lineRule="auto"/>
        <w:jc w:val="left"/>
        <w:rPr>
          <w:rFonts w:hint="eastAsia" w:ascii="宋体" w:hAnsi="宋体"/>
          <w:color w:val="auto"/>
          <w:sz w:val="24"/>
          <w:szCs w:val="22"/>
          <w:highlight w:val="none"/>
        </w:rPr>
      </w:pPr>
    </w:p>
    <w:p w14:paraId="50783EE3">
      <w:pPr>
        <w:snapToGrid w:val="0"/>
        <w:spacing w:line="360" w:lineRule="auto"/>
        <w:jc w:val="left"/>
        <w:rPr>
          <w:rFonts w:hint="eastAsia" w:ascii="宋体" w:hAnsi="宋体"/>
          <w:color w:val="auto"/>
          <w:sz w:val="24"/>
          <w:szCs w:val="22"/>
          <w:highlight w:val="none"/>
        </w:rPr>
      </w:pPr>
    </w:p>
    <w:p w14:paraId="1F002114">
      <w:pPr>
        <w:snapToGrid w:val="0"/>
        <w:spacing w:line="360" w:lineRule="auto"/>
        <w:jc w:val="left"/>
        <w:rPr>
          <w:rFonts w:hint="eastAsia" w:ascii="宋体" w:hAnsi="宋体"/>
          <w:color w:val="auto"/>
          <w:sz w:val="24"/>
          <w:szCs w:val="22"/>
          <w:highlight w:val="none"/>
        </w:rPr>
      </w:pPr>
    </w:p>
    <w:p w14:paraId="3341C75B">
      <w:pPr>
        <w:snapToGrid w:val="0"/>
        <w:spacing w:line="360" w:lineRule="auto"/>
        <w:jc w:val="left"/>
        <w:rPr>
          <w:rFonts w:hint="eastAsia" w:ascii="宋体" w:hAnsi="宋体"/>
          <w:color w:val="auto"/>
          <w:sz w:val="24"/>
          <w:szCs w:val="22"/>
          <w:highlight w:val="none"/>
        </w:rPr>
      </w:pPr>
    </w:p>
    <w:p w14:paraId="03D899AA"/>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5340">
    <w:pPr>
      <w:pStyle w:val="13"/>
      <w:jc w:val="center"/>
    </w:pPr>
    <w:r>
      <w:fldChar w:fldCharType="begin"/>
    </w:r>
    <w:r>
      <w:instrText xml:space="preserve"> PAGE   \* MERGEFORMAT </w:instrText>
    </w:r>
    <w:r>
      <w:fldChar w:fldCharType="separate"/>
    </w:r>
    <w:r>
      <w:rPr>
        <w:lang w:val="zh-CN"/>
      </w:rPr>
      <w:t>77</w:t>
    </w:r>
    <w:r>
      <w:fldChar w:fldCharType="end"/>
    </w:r>
  </w:p>
  <w:p w14:paraId="2A9020C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AC5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92D92D">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92D92D">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2535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31338"/>
    <w:multiLevelType w:val="singleLevel"/>
    <w:tmpl w:val="84631338"/>
    <w:lvl w:ilvl="0" w:tentative="0">
      <w:start w:val="14"/>
      <w:numFmt w:val="decimal"/>
      <w:lvlText w:val="%1."/>
      <w:lvlJc w:val="left"/>
      <w:pPr>
        <w:tabs>
          <w:tab w:val="left" w:pos="312"/>
        </w:tabs>
      </w:pPr>
    </w:lvl>
  </w:abstractNum>
  <w:abstractNum w:abstractNumId="1">
    <w:nsid w:val="93A0A8A1"/>
    <w:multiLevelType w:val="singleLevel"/>
    <w:tmpl w:val="93A0A8A1"/>
    <w:lvl w:ilvl="0" w:tentative="0">
      <w:start w:val="6"/>
      <w:numFmt w:val="chineseCounting"/>
      <w:suff w:val="space"/>
      <w:lvlText w:val="第%1章"/>
      <w:lvlJc w:val="left"/>
      <w:rPr>
        <w:rFonts w:hint="eastAsia"/>
      </w:rPr>
    </w:lvl>
  </w:abstractNum>
  <w:abstractNum w:abstractNumId="2">
    <w:nsid w:val="D2F47E52"/>
    <w:multiLevelType w:val="singleLevel"/>
    <w:tmpl w:val="D2F47E52"/>
    <w:lvl w:ilvl="0" w:tentative="0">
      <w:start w:val="1"/>
      <w:numFmt w:val="decimal"/>
      <w:lvlText w:val="%1."/>
      <w:lvlJc w:val="left"/>
      <w:pPr>
        <w:tabs>
          <w:tab w:val="left" w:pos="312"/>
        </w:tabs>
      </w:pPr>
    </w:lvl>
  </w:abstractNum>
  <w:abstractNum w:abstractNumId="3">
    <w:nsid w:val="DFF666D3"/>
    <w:multiLevelType w:val="singleLevel"/>
    <w:tmpl w:val="DFF666D3"/>
    <w:lvl w:ilvl="0" w:tentative="0">
      <w:start w:val="14"/>
      <w:numFmt w:val="decimal"/>
      <w:lvlText w:val="%1."/>
      <w:lvlJc w:val="left"/>
      <w:pPr>
        <w:tabs>
          <w:tab w:val="left" w:pos="312"/>
        </w:tabs>
      </w:pPr>
    </w:lvl>
  </w:abstractNum>
  <w:abstractNum w:abstractNumId="4">
    <w:nsid w:val="1627905E"/>
    <w:multiLevelType w:val="singleLevel"/>
    <w:tmpl w:val="1627905E"/>
    <w:lvl w:ilvl="0" w:tentative="0">
      <w:start w:val="1"/>
      <w:numFmt w:val="decimal"/>
      <w:pStyle w:val="5"/>
      <w:lvlText w:val="%1."/>
      <w:lvlJc w:val="left"/>
      <w:pPr>
        <w:tabs>
          <w:tab w:val="left" w:pos="360"/>
        </w:tabs>
        <w:ind w:left="360" w:hanging="360"/>
      </w:pPr>
    </w:lvl>
  </w:abstractNum>
  <w:abstractNum w:abstractNumId="5">
    <w:nsid w:val="3329F5A7"/>
    <w:multiLevelType w:val="singleLevel"/>
    <w:tmpl w:val="3329F5A7"/>
    <w:lvl w:ilvl="0" w:tentative="0">
      <w:start w:val="9"/>
      <w:numFmt w:val="decimal"/>
      <w:suff w:val="nothing"/>
      <w:lvlText w:val="（%1）"/>
      <w:lvlJc w:val="left"/>
    </w:lvl>
  </w:abstractNum>
  <w:abstractNum w:abstractNumId="6">
    <w:nsid w:val="36FB44E6"/>
    <w:multiLevelType w:val="singleLevel"/>
    <w:tmpl w:val="36FB44E6"/>
    <w:lvl w:ilvl="0" w:tentative="0">
      <w:start w:val="14"/>
      <w:numFmt w:val="decimal"/>
      <w:lvlText w:val="%1."/>
      <w:lvlJc w:val="left"/>
      <w:pPr>
        <w:tabs>
          <w:tab w:val="left" w:pos="312"/>
        </w:tabs>
      </w:p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F447A"/>
    <w:rsid w:val="0160440D"/>
    <w:rsid w:val="03771778"/>
    <w:rsid w:val="03AA4430"/>
    <w:rsid w:val="072916E2"/>
    <w:rsid w:val="08E51800"/>
    <w:rsid w:val="090B72F2"/>
    <w:rsid w:val="09224EEF"/>
    <w:rsid w:val="0B3D5CF1"/>
    <w:rsid w:val="0F1E7653"/>
    <w:rsid w:val="13433B2C"/>
    <w:rsid w:val="13901E1C"/>
    <w:rsid w:val="14543108"/>
    <w:rsid w:val="176756C6"/>
    <w:rsid w:val="1B9D0CF3"/>
    <w:rsid w:val="1BDF5D75"/>
    <w:rsid w:val="1E7A2273"/>
    <w:rsid w:val="221768AF"/>
    <w:rsid w:val="23861BBA"/>
    <w:rsid w:val="25FD0549"/>
    <w:rsid w:val="27F21567"/>
    <w:rsid w:val="2C031628"/>
    <w:rsid w:val="2E041ABD"/>
    <w:rsid w:val="2F1C3757"/>
    <w:rsid w:val="2F835584"/>
    <w:rsid w:val="31812575"/>
    <w:rsid w:val="3183186B"/>
    <w:rsid w:val="35944CD3"/>
    <w:rsid w:val="38241431"/>
    <w:rsid w:val="39240CE7"/>
    <w:rsid w:val="3BA75DAA"/>
    <w:rsid w:val="3C810284"/>
    <w:rsid w:val="3DEB2C72"/>
    <w:rsid w:val="3E3D12DB"/>
    <w:rsid w:val="3E7F4D3E"/>
    <w:rsid w:val="3F5E7773"/>
    <w:rsid w:val="415E3305"/>
    <w:rsid w:val="416F2887"/>
    <w:rsid w:val="451553B3"/>
    <w:rsid w:val="481F33CC"/>
    <w:rsid w:val="4A9F0749"/>
    <w:rsid w:val="4C820C46"/>
    <w:rsid w:val="4EBC1BA5"/>
    <w:rsid w:val="4F5323D8"/>
    <w:rsid w:val="4FB94379"/>
    <w:rsid w:val="503938CE"/>
    <w:rsid w:val="50A05B3E"/>
    <w:rsid w:val="527E757D"/>
    <w:rsid w:val="54CF254E"/>
    <w:rsid w:val="55546EF7"/>
    <w:rsid w:val="55FD133D"/>
    <w:rsid w:val="5CC130C4"/>
    <w:rsid w:val="5D910567"/>
    <w:rsid w:val="5FB05672"/>
    <w:rsid w:val="63065CD5"/>
    <w:rsid w:val="662C73D8"/>
    <w:rsid w:val="68921DB9"/>
    <w:rsid w:val="6A2E5B11"/>
    <w:rsid w:val="6AC02C0D"/>
    <w:rsid w:val="6DCA367E"/>
    <w:rsid w:val="7201428D"/>
    <w:rsid w:val="75E23BA7"/>
    <w:rsid w:val="762F5365"/>
    <w:rsid w:val="76884989"/>
    <w:rsid w:val="774D3A7A"/>
    <w:rsid w:val="7A770E0E"/>
    <w:rsid w:val="7B0C0B51"/>
    <w:rsid w:val="7F800765"/>
    <w:rsid w:val="FEB7A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4"/>
    <w:qFormat/>
    <w:uiPriority w:val="9"/>
    <w:pPr>
      <w:keepNext/>
      <w:keepLines/>
      <w:spacing w:before="280" w:after="290" w:line="376" w:lineRule="auto"/>
      <w:outlineLvl w:val="4"/>
    </w:pPr>
    <w:rPr>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List Number"/>
    <w:basedOn w:val="1"/>
    <w:qFormat/>
    <w:uiPriority w:val="0"/>
    <w:pPr>
      <w:numPr>
        <w:ilvl w:val="0"/>
        <w:numId w:val="1"/>
      </w:numPr>
    </w:pPr>
  </w:style>
  <w:style w:type="paragraph" w:styleId="6">
    <w:name w:val="annotation text"/>
    <w:basedOn w:val="1"/>
    <w:qFormat/>
    <w:uiPriority w:val="0"/>
    <w:pPr>
      <w:jc w:val="left"/>
    </w:pPr>
  </w:style>
  <w:style w:type="paragraph" w:styleId="7">
    <w:name w:val="Body Text 3"/>
    <w:basedOn w:val="1"/>
    <w:unhideWhenUsed/>
    <w:qFormat/>
    <w:uiPriority w:val="0"/>
    <w:pPr>
      <w:spacing w:after="120"/>
    </w:pPr>
    <w:rPr>
      <w:sz w:val="16"/>
      <w:szCs w:val="16"/>
    </w:rPr>
  </w:style>
  <w:style w:type="paragraph" w:styleId="8">
    <w:name w:val="Body Text"/>
    <w:basedOn w:val="1"/>
    <w:next w:val="9"/>
    <w:unhideWhenUsed/>
    <w:qFormat/>
    <w:uiPriority w:val="0"/>
    <w:pPr>
      <w:spacing w:after="12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qFormat/>
    <w:uiPriority w:val="0"/>
    <w:rPr>
      <w:rFonts w:ascii="宋体" w:hAnsi="Courier New"/>
      <w:kern w:val="0"/>
      <w:sz w:val="20"/>
      <w:szCs w:val="21"/>
    </w:rPr>
  </w:style>
  <w:style w:type="paragraph" w:styleId="13">
    <w:name w:val="footer"/>
    <w:basedOn w:val="1"/>
    <w:next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20">
    <w:name w:val="Strong"/>
    <w:basedOn w:val="19"/>
    <w:qFormat/>
    <w:uiPriority w:val="22"/>
    <w:rPr>
      <w:b/>
    </w:rPr>
  </w:style>
  <w:style w:type="character" w:styleId="21">
    <w:name w:val="Emphasis"/>
    <w:basedOn w:val="19"/>
    <w:qFormat/>
    <w:uiPriority w:val="20"/>
    <w:rPr>
      <w:i/>
    </w:rPr>
  </w:style>
  <w:style w:type="character" w:styleId="22">
    <w:name w:val="Hyperlink"/>
    <w:unhideWhenUsed/>
    <w:qFormat/>
    <w:uiPriority w:val="99"/>
    <w:rPr>
      <w:color w:val="0000FF"/>
      <w:u w:val="single"/>
    </w:rPr>
  </w:style>
  <w:style w:type="paragraph" w:customStyle="1" w:styleId="23">
    <w:name w:val="样式 0正文 + 首行缩进:  2 字符1"/>
    <w:basedOn w:val="1"/>
    <w:qFormat/>
    <w:uiPriority w:val="99"/>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4524</Words>
  <Characters>5086</Characters>
  <Lines>0</Lines>
  <Paragraphs>0</Paragraphs>
  <TotalTime>96</TotalTime>
  <ScaleCrop>false</ScaleCrop>
  <LinksUpToDate>false</LinksUpToDate>
  <CharactersWithSpaces>5143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2026-01-08T22:44:00Z</dcterms:created>
  <dc:creator>YYY</dc:creator>
  <cp:lastModifiedBy>嚴ˇ</cp:lastModifiedBy>
  <dcterms:modified xsi:type="dcterms:W3CDTF">2026-03-26T03:39:14Z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eyJoZGlkIjoiYmY2OWQ5YTcxZWQ4MjEwZDFhMDU1ODM0MzQxMTI5YzIiLCJ1c2VySWQiOiI2MjI0NTcxNTIifQ==</vt:lpwstr>
  </property>
  <property fmtid="{D5CDD505-2E9C-101B-9397-08002B2CF9AE}" pid="4" name="ICV">
    <vt:lpwstr>F7B91D231BEC4E1BA8D0BD57C3112BDA_12</vt:lpwstr>
  </property>
</Properties>
</file>