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23A39C">
      <w:pPr>
        <w:jc w:val="center"/>
        <w:rPr>
          <w:rFonts w:ascii="宋体" w:hAnsi="宋体" w:eastAsia="宋体"/>
          <w:b/>
          <w:bCs/>
          <w:color w:val="000000" w:themeColor="text1"/>
          <w:sz w:val="48"/>
          <w:szCs w:val="48"/>
          <w:highlight w:val="none"/>
          <w:lang w:eastAsia="zh-CN"/>
          <w14:textFill>
            <w14:solidFill>
              <w14:schemeClr w14:val="tx1"/>
            </w14:solidFill>
          </w14:textFill>
        </w:rPr>
      </w:pPr>
      <w:bookmarkStart w:id="0" w:name="_Toc20229_WPSOffice_Type1"/>
      <w:r>
        <w:rPr>
          <w:rFonts w:hint="eastAsia" w:ascii="宋体" w:hAnsi="宋体"/>
          <w:b/>
          <w:bCs/>
          <w:color w:val="000000" w:themeColor="text1"/>
          <w:sz w:val="72"/>
          <w:szCs w:val="72"/>
          <w:highlight w:val="none"/>
          <w:lang w:eastAsia="zh-CN"/>
          <w14:shadow w14:blurRad="50800" w14:dist="38100" w14:dir="2700000" w14:sx="100000" w14:sy="100000" w14:kx="0" w14:ky="0" w14:algn="tl">
            <w14:srgbClr w14:val="000000">
              <w14:alpha w14:val="60000"/>
            </w14:srgbClr>
          </w14:shadow>
          <w14:textFill>
            <w14:solidFill>
              <w14:schemeClr w14:val="tx1"/>
            </w14:solidFill>
          </w14:textFill>
        </w:rPr>
        <w:drawing>
          <wp:inline distT="0" distB="0" distL="114300" distR="114300">
            <wp:extent cx="6292215" cy="8897620"/>
            <wp:effectExtent l="0" t="0" r="13335" b="17780"/>
            <wp:docPr id="13" name="图片 13" descr="202603050232-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2603050232-1_01"/>
                    <pic:cNvPicPr>
                      <a:picLocks noChangeAspect="1"/>
                    </pic:cNvPicPr>
                  </pic:nvPicPr>
                  <pic:blipFill>
                    <a:blip r:embed="rId17"/>
                    <a:stretch>
                      <a:fillRect/>
                    </a:stretch>
                  </pic:blipFill>
                  <pic:spPr>
                    <a:xfrm>
                      <a:off x="0" y="0"/>
                      <a:ext cx="6292215" cy="8897620"/>
                    </a:xfrm>
                    <a:prstGeom prst="rect">
                      <a:avLst/>
                    </a:prstGeom>
                  </pic:spPr>
                </pic:pic>
              </a:graphicData>
            </a:graphic>
          </wp:inline>
        </w:drawing>
      </w:r>
      <w:r>
        <w:rPr>
          <w:rFonts w:ascii="宋体" w:hAnsi="宋体" w:eastAsia="宋体"/>
          <w:b/>
          <w:bCs/>
          <w:color w:val="000000" w:themeColor="text1"/>
          <w:sz w:val="48"/>
          <w:szCs w:val="48"/>
          <w:highlight w:val="none"/>
          <w:lang w:eastAsia="zh-CN"/>
          <w14:textFill>
            <w14:solidFill>
              <w14:schemeClr w14:val="tx1"/>
            </w14:solidFill>
          </w14:textFill>
        </w:rPr>
        <w:t>目</w:t>
      </w:r>
      <w:r>
        <w:rPr>
          <w:rFonts w:hint="eastAsia" w:ascii="宋体" w:hAnsi="宋体" w:eastAsia="宋体"/>
          <w:b/>
          <w:bCs/>
          <w:color w:val="000000" w:themeColor="text1"/>
          <w:sz w:val="48"/>
          <w:szCs w:val="48"/>
          <w:highlight w:val="none"/>
          <w:lang w:eastAsia="zh-CN"/>
          <w14:textFill>
            <w14:solidFill>
              <w14:schemeClr w14:val="tx1"/>
            </w14:solidFill>
          </w14:textFill>
        </w:rPr>
        <w:t xml:space="preserve">  </w:t>
      </w:r>
      <w:r>
        <w:rPr>
          <w:rFonts w:ascii="宋体" w:hAnsi="宋体" w:eastAsia="宋体"/>
          <w:b/>
          <w:bCs/>
          <w:color w:val="000000" w:themeColor="text1"/>
          <w:sz w:val="48"/>
          <w:szCs w:val="48"/>
          <w:highlight w:val="none"/>
          <w:lang w:eastAsia="zh-CN"/>
          <w14:textFill>
            <w14:solidFill>
              <w14:schemeClr w14:val="tx1"/>
            </w14:solidFill>
          </w14:textFill>
        </w:rPr>
        <w:t>录</w:t>
      </w:r>
      <w:bookmarkStart w:id="321" w:name="_GoBack"/>
      <w:bookmarkEnd w:id="321"/>
    </w:p>
    <w:p w14:paraId="480A9712">
      <w:pPr>
        <w:rPr>
          <w:color w:val="000000" w:themeColor="text1"/>
          <w:highlight w:val="none"/>
          <w:lang w:eastAsia="zh-CN"/>
          <w14:textFill>
            <w14:solidFill>
              <w14:schemeClr w14:val="tx1"/>
            </w14:solidFill>
          </w14:textFill>
        </w:rPr>
      </w:pPr>
    </w:p>
    <w:bookmarkEnd w:id="0"/>
    <w:sdt>
      <w:sdtPr>
        <w:rPr>
          <w:rFonts w:ascii="宋体" w:hAnsi="宋体" w:eastAsia="宋体" w:cs="宋体"/>
          <w:color w:val="000000" w:themeColor="text1"/>
          <w:sz w:val="21"/>
          <w:highlight w:val="none"/>
          <w:lang w:val="en-US" w:eastAsia="en-US" w:bidi="ar-SA"/>
          <w14:textFill>
            <w14:solidFill>
              <w14:schemeClr w14:val="tx1"/>
            </w14:solidFill>
          </w14:textFill>
        </w:rPr>
        <w:id w:val="147472318"/>
        <w15:color w:val="DBDBDB"/>
        <w:docPartObj>
          <w:docPartGallery w:val="Table of Contents"/>
          <w:docPartUnique/>
        </w:docPartObj>
      </w:sdtPr>
      <w:sdtEndPr>
        <w:rPr>
          <w:rFonts w:ascii="宋体" w:hAnsi="宋体" w:eastAsia="宋体" w:cs="宋体"/>
          <w:color w:val="000000" w:themeColor="text1"/>
          <w:sz w:val="21"/>
          <w:szCs w:val="21"/>
          <w:highlight w:val="none"/>
          <w:lang w:val="en-US" w:eastAsia="en-US" w:bidi="ar-SA"/>
          <w14:textFill>
            <w14:solidFill>
              <w14:schemeClr w14:val="tx1"/>
            </w14:solidFill>
          </w14:textFill>
        </w:rPr>
      </w:sdtEndPr>
      <w:sdtContent>
        <w:p w14:paraId="17243CB8">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1726C990">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TOC \o "1-1" \h \u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_Toc20298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第一章 招标公告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_Toc20298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7B4F9DCA">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_Toc2397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第二章 投标人须知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_Toc2397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1096DEF">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_Toc26360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第三章 货物需求一览表</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_Toc26360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20</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4D5ECEF2">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_Toc16429 </w:instrText>
          </w:r>
          <w:r>
            <w:rPr>
              <w:color w:val="000000" w:themeColor="text1"/>
              <w:sz w:val="28"/>
              <w:szCs w:val="28"/>
              <w:highlight w:val="none"/>
              <w14:textFill>
                <w14:solidFill>
                  <w14:schemeClr w14:val="tx1"/>
                </w14:solidFill>
              </w14:textFill>
            </w:rPr>
            <w:fldChar w:fldCharType="separate"/>
          </w:r>
          <w:r>
            <w:rPr>
              <w:rFonts w:hint="eastAsia" w:hAnsi="宋体" w:cs="宋体"/>
              <w:color w:val="000000" w:themeColor="text1"/>
              <w:sz w:val="28"/>
              <w:szCs w:val="28"/>
              <w:highlight w:val="none"/>
              <w14:textFill>
                <w14:solidFill>
                  <w14:schemeClr w14:val="tx1"/>
                </w14:solidFill>
              </w14:textFill>
            </w:rPr>
            <w:t>第四章 合同</w:t>
          </w:r>
          <w:r>
            <w:rPr>
              <w:rFonts w:hint="eastAsia" w:hAnsi="宋体" w:cs="宋体"/>
              <w:color w:val="000000" w:themeColor="text1"/>
              <w:sz w:val="28"/>
              <w:szCs w:val="28"/>
              <w:highlight w:val="none"/>
              <w:lang w:eastAsia="zh-CN"/>
              <w14:textFill>
                <w14:solidFill>
                  <w14:schemeClr w14:val="tx1"/>
                </w14:solidFill>
              </w14:textFill>
            </w:rPr>
            <w:t>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_Toc16429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39</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7F71F872">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_Toc20317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 xml:space="preserve">第五章 </w:t>
          </w:r>
          <w:r>
            <w:rPr>
              <w:rFonts w:hint="eastAsia" w:ascii="宋体" w:hAnsi="宋体" w:eastAsia="宋体" w:cs="宋体"/>
              <w:color w:val="000000" w:themeColor="text1"/>
              <w:sz w:val="28"/>
              <w:szCs w:val="20"/>
              <w:highlight w:val="none"/>
              <w14:textFill>
                <w14:solidFill>
                  <w14:schemeClr w14:val="tx1"/>
                </w14:solidFill>
              </w14:textFill>
            </w:rPr>
            <w:t>评标方法及评分标准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_Toc20317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47</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132D2F5">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_Toc7695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36"/>
              <w:highlight w:val="none"/>
              <w14:textFill>
                <w14:solidFill>
                  <w14:schemeClr w14:val="tx1"/>
                </w14:solidFill>
              </w14:textFill>
            </w:rPr>
            <w:t>第六章 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_Toc7695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57</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1F6C2478">
          <w:pPr>
            <w:pStyle w:val="27"/>
            <w:tabs>
              <w:tab w:val="right" w:leader="dot" w:pos="8504"/>
              <w:tab w:val="clear" w:pos="9072"/>
            </w:tabs>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_Toc16023 </w:instrText>
          </w:r>
          <w:r>
            <w:rPr>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1"/>
              <w:highlight w:val="none"/>
              <w14:textFill>
                <w14:solidFill>
                  <w14:schemeClr w14:val="tx1"/>
                </w14:solidFill>
              </w14:textFill>
            </w:rPr>
            <w:t>第七章 质疑、投诉证明材料格式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_Toc16023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75</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57F188B5">
          <w:pPr>
            <w:spacing w:line="36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end"/>
          </w:r>
        </w:p>
      </w:sdtContent>
    </w:sdt>
    <w:p w14:paraId="0B07E30E">
      <w:pPr>
        <w:rPr>
          <w:color w:val="000000" w:themeColor="text1"/>
          <w:highlight w:val="none"/>
          <w14:textFill>
            <w14:solidFill>
              <w14:schemeClr w14:val="tx1"/>
            </w14:solidFill>
          </w14:textFill>
        </w:rPr>
      </w:pPr>
    </w:p>
    <w:p w14:paraId="32D40437">
      <w:pPr>
        <w:pStyle w:val="21"/>
        <w:spacing w:line="480" w:lineRule="auto"/>
        <w:jc w:val="left"/>
        <w:rPr>
          <w:rFonts w:ascii="宋体" w:hAnsi="宋体" w:eastAsia="宋体" w:cs="Times New Roman"/>
          <w:bCs/>
          <w:color w:val="000000" w:themeColor="text1"/>
          <w:spacing w:val="-2"/>
          <w:kern w:val="2"/>
          <w:sz w:val="21"/>
          <w:szCs w:val="32"/>
          <w:highlight w:val="none"/>
          <w:lang w:val="en-US" w:eastAsia="zh-CN" w:bidi="ar-SA"/>
          <w14:textFill>
            <w14:solidFill>
              <w14:schemeClr w14:val="tx1"/>
            </w14:solidFill>
          </w14:textFill>
        </w:rPr>
      </w:pPr>
    </w:p>
    <w:p w14:paraId="44B930E8">
      <w:pPr>
        <w:pStyle w:val="21"/>
        <w:spacing w:line="360" w:lineRule="auto"/>
        <w:jc w:val="left"/>
        <w:rPr>
          <w:rFonts w:hAnsi="宋体"/>
          <w:bCs/>
          <w:color w:val="000000" w:themeColor="text1"/>
          <w:spacing w:val="-2"/>
          <w:szCs w:val="32"/>
          <w:highlight w:val="none"/>
          <w14:textFill>
            <w14:solidFill>
              <w14:schemeClr w14:val="tx1"/>
            </w14:solidFill>
          </w14:textFill>
        </w:rPr>
      </w:pPr>
    </w:p>
    <w:p w14:paraId="21D13131">
      <w:pPr>
        <w:pStyle w:val="21"/>
        <w:spacing w:line="360" w:lineRule="auto"/>
        <w:jc w:val="left"/>
        <w:rPr>
          <w:rFonts w:hAnsi="宋体"/>
          <w:bCs/>
          <w:color w:val="000000" w:themeColor="text1"/>
          <w:spacing w:val="-2"/>
          <w:szCs w:val="32"/>
          <w:highlight w:val="none"/>
          <w14:textFill>
            <w14:solidFill>
              <w14:schemeClr w14:val="tx1"/>
            </w14:solidFill>
          </w14:textFill>
        </w:rPr>
      </w:pPr>
    </w:p>
    <w:p w14:paraId="18B0D8FC">
      <w:pPr>
        <w:pStyle w:val="21"/>
        <w:spacing w:line="360" w:lineRule="auto"/>
        <w:jc w:val="left"/>
        <w:rPr>
          <w:rFonts w:hAnsi="宋体"/>
          <w:bCs/>
          <w:color w:val="000000" w:themeColor="text1"/>
          <w:spacing w:val="-2"/>
          <w:szCs w:val="32"/>
          <w:highlight w:val="none"/>
          <w14:textFill>
            <w14:solidFill>
              <w14:schemeClr w14:val="tx1"/>
            </w14:solidFill>
          </w14:textFill>
        </w:rPr>
      </w:pPr>
    </w:p>
    <w:p w14:paraId="2CAAD529">
      <w:pPr>
        <w:pStyle w:val="21"/>
        <w:spacing w:line="360" w:lineRule="auto"/>
        <w:jc w:val="left"/>
        <w:rPr>
          <w:rFonts w:hAnsi="宋体"/>
          <w:bCs/>
          <w:color w:val="000000" w:themeColor="text1"/>
          <w:spacing w:val="-2"/>
          <w:szCs w:val="32"/>
          <w:highlight w:val="none"/>
          <w14:textFill>
            <w14:solidFill>
              <w14:schemeClr w14:val="tx1"/>
            </w14:solidFill>
          </w14:textFill>
        </w:rPr>
      </w:pPr>
    </w:p>
    <w:p w14:paraId="4B1BAA19">
      <w:pPr>
        <w:pStyle w:val="21"/>
        <w:spacing w:line="360" w:lineRule="auto"/>
        <w:jc w:val="left"/>
        <w:rPr>
          <w:rFonts w:hAnsi="宋体"/>
          <w:bCs/>
          <w:color w:val="000000" w:themeColor="text1"/>
          <w:spacing w:val="-2"/>
          <w:szCs w:val="32"/>
          <w:highlight w:val="none"/>
          <w14:textFill>
            <w14:solidFill>
              <w14:schemeClr w14:val="tx1"/>
            </w14:solidFill>
          </w14:textFill>
        </w:rPr>
      </w:pPr>
    </w:p>
    <w:p w14:paraId="06E5B36F">
      <w:pPr>
        <w:pStyle w:val="21"/>
        <w:spacing w:line="360" w:lineRule="auto"/>
        <w:jc w:val="left"/>
        <w:rPr>
          <w:rFonts w:hAnsi="宋体"/>
          <w:bCs/>
          <w:color w:val="000000" w:themeColor="text1"/>
          <w:spacing w:val="-2"/>
          <w:szCs w:val="32"/>
          <w:highlight w:val="none"/>
          <w14:textFill>
            <w14:solidFill>
              <w14:schemeClr w14:val="tx1"/>
            </w14:solidFill>
          </w14:textFill>
        </w:rPr>
      </w:pPr>
    </w:p>
    <w:p w14:paraId="03280883">
      <w:pPr>
        <w:pStyle w:val="21"/>
        <w:spacing w:line="360" w:lineRule="auto"/>
        <w:jc w:val="left"/>
        <w:rPr>
          <w:rFonts w:hAnsi="宋体"/>
          <w:bCs/>
          <w:color w:val="000000" w:themeColor="text1"/>
          <w:spacing w:val="-2"/>
          <w:szCs w:val="32"/>
          <w:highlight w:val="none"/>
          <w14:textFill>
            <w14:solidFill>
              <w14:schemeClr w14:val="tx1"/>
            </w14:solidFill>
          </w14:textFill>
        </w:rPr>
      </w:pPr>
    </w:p>
    <w:p w14:paraId="698A7256">
      <w:pPr>
        <w:pStyle w:val="21"/>
        <w:spacing w:line="360" w:lineRule="auto"/>
        <w:jc w:val="left"/>
        <w:rPr>
          <w:rFonts w:hAnsi="宋体"/>
          <w:bCs/>
          <w:color w:val="000000" w:themeColor="text1"/>
          <w:spacing w:val="-2"/>
          <w:szCs w:val="32"/>
          <w:highlight w:val="none"/>
          <w14:textFill>
            <w14:solidFill>
              <w14:schemeClr w14:val="tx1"/>
            </w14:solidFill>
          </w14:textFill>
        </w:rPr>
      </w:pPr>
    </w:p>
    <w:p w14:paraId="2C5B2C99">
      <w:pPr>
        <w:pStyle w:val="21"/>
        <w:spacing w:line="360" w:lineRule="auto"/>
        <w:jc w:val="left"/>
        <w:rPr>
          <w:rFonts w:hAnsi="宋体"/>
          <w:bCs/>
          <w:color w:val="000000" w:themeColor="text1"/>
          <w:spacing w:val="-2"/>
          <w:szCs w:val="32"/>
          <w:highlight w:val="none"/>
          <w14:textFill>
            <w14:solidFill>
              <w14:schemeClr w14:val="tx1"/>
            </w14:solidFill>
          </w14:textFill>
        </w:rPr>
      </w:pPr>
    </w:p>
    <w:p w14:paraId="22407538">
      <w:pPr>
        <w:pStyle w:val="21"/>
        <w:spacing w:line="360" w:lineRule="auto"/>
        <w:jc w:val="left"/>
        <w:rPr>
          <w:rFonts w:hAnsi="宋体"/>
          <w:bCs/>
          <w:color w:val="000000" w:themeColor="text1"/>
          <w:spacing w:val="-2"/>
          <w:szCs w:val="32"/>
          <w:highlight w:val="none"/>
          <w14:textFill>
            <w14:solidFill>
              <w14:schemeClr w14:val="tx1"/>
            </w14:solidFill>
          </w14:textFill>
        </w:rPr>
      </w:pPr>
    </w:p>
    <w:p w14:paraId="4B052A55">
      <w:pPr>
        <w:pStyle w:val="21"/>
        <w:spacing w:line="360" w:lineRule="auto"/>
        <w:jc w:val="left"/>
        <w:rPr>
          <w:rFonts w:hAnsi="宋体"/>
          <w:bCs/>
          <w:color w:val="000000" w:themeColor="text1"/>
          <w:spacing w:val="-2"/>
          <w:szCs w:val="32"/>
          <w:highlight w:val="none"/>
          <w14:textFill>
            <w14:solidFill>
              <w14:schemeClr w14:val="tx1"/>
            </w14:solidFill>
          </w14:textFill>
        </w:rPr>
      </w:pPr>
    </w:p>
    <w:p w14:paraId="2092F560">
      <w:pPr>
        <w:pStyle w:val="21"/>
        <w:spacing w:line="360" w:lineRule="auto"/>
        <w:jc w:val="left"/>
        <w:rPr>
          <w:rFonts w:hAnsi="宋体"/>
          <w:bCs/>
          <w:color w:val="000000" w:themeColor="text1"/>
          <w:spacing w:val="-2"/>
          <w:szCs w:val="32"/>
          <w:highlight w:val="none"/>
          <w14:textFill>
            <w14:solidFill>
              <w14:schemeClr w14:val="tx1"/>
            </w14:solidFill>
          </w14:textFill>
        </w:rPr>
      </w:pPr>
    </w:p>
    <w:p w14:paraId="3A9AFBA9">
      <w:pPr>
        <w:pStyle w:val="21"/>
        <w:spacing w:line="360" w:lineRule="auto"/>
        <w:jc w:val="left"/>
        <w:rPr>
          <w:rFonts w:hAnsi="宋体"/>
          <w:bCs/>
          <w:color w:val="000000" w:themeColor="text1"/>
          <w:spacing w:val="-2"/>
          <w:szCs w:val="32"/>
          <w:highlight w:val="none"/>
          <w14:textFill>
            <w14:solidFill>
              <w14:schemeClr w14:val="tx1"/>
            </w14:solidFill>
          </w14:textFill>
        </w:rPr>
      </w:pPr>
    </w:p>
    <w:p w14:paraId="2A341F3E">
      <w:pPr>
        <w:pStyle w:val="21"/>
        <w:spacing w:line="360" w:lineRule="auto"/>
        <w:jc w:val="center"/>
        <w:rPr>
          <w:rStyle w:val="62"/>
          <w:color w:val="000000" w:themeColor="text1"/>
          <w:sz w:val="32"/>
          <w:szCs w:val="32"/>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680" w:footer="680" w:gutter="0"/>
          <w:pgNumType w:fmt="decimal" w:start="1"/>
          <w:cols w:space="720" w:num="1"/>
          <w:titlePg/>
          <w:docGrid w:linePitch="331" w:charSpace="0"/>
        </w:sectPr>
      </w:pPr>
      <w:bookmarkStart w:id="1" w:name="OLE_LINK31"/>
      <w:bookmarkStart w:id="2" w:name="OLE_LINK2"/>
    </w:p>
    <w:bookmarkEnd w:id="1"/>
    <w:bookmarkEnd w:id="2"/>
    <w:p w14:paraId="53D77982">
      <w:pPr>
        <w:pStyle w:val="21"/>
        <w:spacing w:line="360" w:lineRule="auto"/>
        <w:jc w:val="center"/>
        <w:outlineLvl w:val="0"/>
        <w:rPr>
          <w:rStyle w:val="62"/>
          <w:color w:val="000000" w:themeColor="text1"/>
          <w:sz w:val="32"/>
          <w:szCs w:val="32"/>
          <w:highlight w:val="none"/>
          <w14:textFill>
            <w14:solidFill>
              <w14:schemeClr w14:val="tx1"/>
            </w14:solidFill>
          </w14:textFill>
        </w:rPr>
      </w:pPr>
      <w:bookmarkStart w:id="3" w:name="_Toc29827_WPSOffice_Level1"/>
      <w:bookmarkStart w:id="4" w:name="_Toc32211"/>
      <w:bookmarkStart w:id="5" w:name="_Toc1018"/>
      <w:r>
        <w:rPr>
          <w:rStyle w:val="62"/>
          <w:rFonts w:hint="eastAsia"/>
          <w:color w:val="000000" w:themeColor="text1"/>
          <w:sz w:val="32"/>
          <w:szCs w:val="32"/>
          <w:highlight w:val="none"/>
          <w14:textFill>
            <w14:solidFill>
              <w14:schemeClr w14:val="tx1"/>
            </w14:solidFill>
          </w14:textFill>
        </w:rPr>
        <w:t xml:space="preserve"> </w:t>
      </w:r>
      <w:bookmarkStart w:id="6" w:name="_Toc20298"/>
      <w:bookmarkStart w:id="7" w:name="_Toc14722"/>
      <w:bookmarkStart w:id="8" w:name="_Toc10904_WPSOffice_Level1"/>
      <w:bookmarkStart w:id="9" w:name="_Toc10877"/>
      <w:bookmarkStart w:id="10" w:name="_Toc27444"/>
      <w:r>
        <w:rPr>
          <w:rStyle w:val="62"/>
          <w:rFonts w:hint="eastAsia"/>
          <w:color w:val="000000" w:themeColor="text1"/>
          <w:sz w:val="32"/>
          <w:szCs w:val="32"/>
          <w:highlight w:val="none"/>
          <w14:textFill>
            <w14:solidFill>
              <w14:schemeClr w14:val="tx1"/>
            </w14:solidFill>
          </w14:textFill>
        </w:rPr>
        <w:t>第一章 招标公告</w:t>
      </w:r>
      <w:bookmarkEnd w:id="6"/>
      <w:bookmarkEnd w:id="7"/>
      <w:bookmarkEnd w:id="8"/>
      <w:bookmarkEnd w:id="9"/>
      <w:bookmarkEnd w:id="10"/>
    </w:p>
    <w:p w14:paraId="0FE22505">
      <w:pPr>
        <w:pStyle w:val="2"/>
        <w:tabs>
          <w:tab w:val="left" w:pos="0"/>
          <w:tab w:val="left" w:pos="3165"/>
          <w:tab w:val="center" w:pos="4153"/>
        </w:tabs>
        <w:autoSpaceDE w:val="0"/>
        <w:autoSpaceDN w:val="0"/>
        <w:adjustRightInd w:val="0"/>
        <w:spacing w:before="0" w:after="0" w:line="240" w:lineRule="auto"/>
        <w:jc w:val="cente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bookmarkStart w:id="11" w:name="_Toc26446"/>
      <w:bookmarkStart w:id="12" w:name="_Toc22987"/>
      <w:bookmarkStart w:id="13" w:name="_Toc27912"/>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广西龙建工程管理有限公司关于钦州市妇幼保健院高清腹腔镜系统等医疗设备采购（QZZC2026-G1-990061-GXLJ）公开招标公告</w:t>
      </w:r>
      <w:bookmarkEnd w:id="11"/>
      <w:bookmarkEnd w:id="12"/>
      <w:bookmarkEnd w:id="13"/>
    </w:p>
    <w:p w14:paraId="6F68FA76">
      <w:pPr>
        <w:rPr>
          <w:color w:val="000000" w:themeColor="text1"/>
          <w:highlight w:val="none"/>
          <w:lang w:eastAsia="zh-CN"/>
          <w14:textFill>
            <w14:solidFill>
              <w14:schemeClr w14:val="tx1"/>
            </w14:solidFill>
          </w14:textFill>
        </w:rPr>
      </w:pPr>
    </w:p>
    <w:p w14:paraId="57529302">
      <w:pPr>
        <w:pBdr>
          <w:top w:val="single" w:color="auto" w:sz="4" w:space="1"/>
          <w:left w:val="single" w:color="auto" w:sz="4" w:space="4"/>
          <w:bottom w:val="single" w:color="auto" w:sz="4" w:space="1"/>
          <w:right w:val="single" w:color="auto" w:sz="4" w:space="4"/>
        </w:pBdr>
        <w:spacing w:line="32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项目概况</w:t>
      </w:r>
    </w:p>
    <w:p w14:paraId="0BDBF0E0">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u w:val="single"/>
          <w:lang w:eastAsia="zh-CN"/>
          <w14:textFill>
            <w14:solidFill>
              <w14:schemeClr w14:val="tx1"/>
            </w14:solidFill>
          </w14:textFill>
        </w:rPr>
        <w:t>钦州市妇幼保健院高清腹腔镜系统等医疗设备采购</w:t>
      </w:r>
      <w:r>
        <w:rPr>
          <w:rFonts w:hint="eastAsia" w:ascii="宋体" w:hAnsi="宋体" w:eastAsia="宋体"/>
          <w:color w:val="000000" w:themeColor="text1"/>
          <w:sz w:val="21"/>
          <w:szCs w:val="21"/>
          <w:highlight w:val="none"/>
          <w:lang w:eastAsia="zh-CN"/>
          <w14:textFill>
            <w14:solidFill>
              <w14:schemeClr w14:val="tx1"/>
            </w14:solidFill>
          </w14:textFill>
        </w:rPr>
        <w:t>招标项目的潜在投标人应在</w:t>
      </w:r>
      <w:r>
        <w:rPr>
          <w:rFonts w:hint="eastAsia" w:ascii="宋体" w:hAnsi="宋体" w:eastAsia="宋体"/>
          <w:color w:val="000000" w:themeColor="text1"/>
          <w:sz w:val="21"/>
          <w:szCs w:val="21"/>
          <w:highlight w:val="none"/>
          <w:u w:val="single"/>
          <w:lang w:eastAsia="zh-CN"/>
          <w14:textFill>
            <w14:solidFill>
              <w14:schemeClr w14:val="tx1"/>
            </w14:solidFill>
          </w14:textFill>
        </w:rPr>
        <w:t>广西政府采购云平台（https://www.gcy.zfcg.gxzf.gov.cn/）</w:t>
      </w:r>
      <w:r>
        <w:rPr>
          <w:rFonts w:hint="eastAsia" w:ascii="宋体" w:hAnsi="宋体" w:eastAsia="宋体"/>
          <w:color w:val="000000" w:themeColor="text1"/>
          <w:sz w:val="21"/>
          <w:szCs w:val="21"/>
          <w:highlight w:val="none"/>
          <w:lang w:eastAsia="zh-CN"/>
          <w14:textFill>
            <w14:solidFill>
              <w14:schemeClr w14:val="tx1"/>
            </w14:solidFill>
          </w14:textFill>
        </w:rPr>
        <w:t>获取招标文件，并于</w:t>
      </w:r>
      <w:r>
        <w:rPr>
          <w:rFonts w:hint="eastAsia" w:ascii="宋体" w:hAnsi="宋体" w:eastAsia="宋体"/>
          <w:color w:val="000000" w:themeColor="text1"/>
          <w:sz w:val="21"/>
          <w:szCs w:val="21"/>
          <w:highlight w:val="none"/>
          <w:u w:val="single"/>
          <w:lang w:eastAsia="zh-CN"/>
          <w14:textFill>
            <w14:solidFill>
              <w14:schemeClr w14:val="tx1"/>
            </w14:solidFill>
          </w14:textFill>
        </w:rPr>
        <w:t>2026</w:t>
      </w:r>
      <w:r>
        <w:rPr>
          <w:rFonts w:hint="eastAsia" w:ascii="宋体" w:hAnsi="宋体" w:eastAsia="宋体"/>
          <w:bCs/>
          <w:color w:val="000000" w:themeColor="text1"/>
          <w:sz w:val="21"/>
          <w:szCs w:val="21"/>
          <w:highlight w:val="none"/>
          <w:u w:val="single"/>
          <w:lang w:eastAsia="zh-CN"/>
          <w14:textFill>
            <w14:solidFill>
              <w14:schemeClr w14:val="tx1"/>
            </w14:solidFill>
          </w14:textFill>
        </w:rPr>
        <w:t>年</w:t>
      </w:r>
      <w:r>
        <w:rPr>
          <w:rFonts w:hint="eastAsia" w:ascii="宋体" w:hAnsi="宋体" w:eastAsia="宋体"/>
          <w:bCs/>
          <w:color w:val="000000" w:themeColor="text1"/>
          <w:sz w:val="21"/>
          <w:szCs w:val="21"/>
          <w:highlight w:val="none"/>
          <w:u w:val="single"/>
          <w:lang w:val="en-US" w:eastAsia="zh-CN"/>
          <w14:textFill>
            <w14:solidFill>
              <w14:schemeClr w14:val="tx1"/>
            </w14:solidFill>
          </w14:textFill>
        </w:rPr>
        <w:t>03</w:t>
      </w:r>
      <w:r>
        <w:rPr>
          <w:rFonts w:hint="eastAsia" w:ascii="宋体" w:hAnsi="宋体" w:eastAsia="宋体"/>
          <w:bCs/>
          <w:color w:val="000000" w:themeColor="text1"/>
          <w:sz w:val="21"/>
          <w:szCs w:val="21"/>
          <w:highlight w:val="none"/>
          <w:u w:val="single"/>
          <w:lang w:eastAsia="zh-CN"/>
          <w14:textFill>
            <w14:solidFill>
              <w14:schemeClr w14:val="tx1"/>
            </w14:solidFill>
          </w14:textFill>
        </w:rPr>
        <w:t>月</w:t>
      </w:r>
      <w:r>
        <w:rPr>
          <w:rFonts w:hint="eastAsia" w:ascii="宋体" w:hAnsi="宋体" w:eastAsia="宋体"/>
          <w:bCs/>
          <w:color w:val="000000" w:themeColor="text1"/>
          <w:sz w:val="21"/>
          <w:szCs w:val="21"/>
          <w:highlight w:val="none"/>
          <w:u w:val="single"/>
          <w:lang w:val="en-US" w:eastAsia="zh-CN"/>
          <w14:textFill>
            <w14:solidFill>
              <w14:schemeClr w14:val="tx1"/>
            </w14:solidFill>
          </w14:textFill>
        </w:rPr>
        <w:t>27</w:t>
      </w:r>
      <w:r>
        <w:rPr>
          <w:rFonts w:hint="eastAsia" w:ascii="宋体" w:hAnsi="宋体" w:eastAsia="宋体"/>
          <w:bCs/>
          <w:color w:val="000000" w:themeColor="text1"/>
          <w:sz w:val="21"/>
          <w:szCs w:val="21"/>
          <w:highlight w:val="none"/>
          <w:u w:val="single"/>
          <w:lang w:eastAsia="zh-CN"/>
          <w14:textFill>
            <w14:solidFill>
              <w14:schemeClr w14:val="tx1"/>
            </w14:solidFill>
          </w14:textFill>
        </w:rPr>
        <w:t>日</w:t>
      </w:r>
      <w:r>
        <w:rPr>
          <w:rFonts w:hint="eastAsia" w:ascii="宋体" w:hAnsi="宋体" w:eastAsia="宋体"/>
          <w:color w:val="000000" w:themeColor="text1"/>
          <w:sz w:val="21"/>
          <w:szCs w:val="21"/>
          <w:highlight w:val="none"/>
          <w:u w:val="single"/>
          <w:lang w:eastAsia="zh-CN"/>
          <w14:textFill>
            <w14:solidFill>
              <w14:schemeClr w14:val="tx1"/>
            </w14:solidFill>
          </w14:textFill>
        </w:rPr>
        <w:t>09:30</w:t>
      </w:r>
      <w:r>
        <w:rPr>
          <w:rFonts w:hint="eastAsia" w:ascii="宋体" w:hAnsi="宋体" w:eastAsia="宋体"/>
          <w:bCs/>
          <w:color w:val="000000" w:themeColor="text1"/>
          <w:sz w:val="21"/>
          <w:szCs w:val="21"/>
          <w:highlight w:val="none"/>
          <w:u w:val="single"/>
          <w:lang w:eastAsia="zh-CN"/>
          <w14:textFill>
            <w14:solidFill>
              <w14:schemeClr w14:val="tx1"/>
            </w14:solidFill>
          </w14:textFill>
        </w:rPr>
        <w:t>（</w:t>
      </w:r>
      <w:r>
        <w:rPr>
          <w:rFonts w:hint="eastAsia" w:ascii="宋体" w:hAnsi="宋体" w:eastAsia="宋体"/>
          <w:bCs/>
          <w:color w:val="000000" w:themeColor="text1"/>
          <w:sz w:val="21"/>
          <w:szCs w:val="21"/>
          <w:highlight w:val="none"/>
          <w:lang w:eastAsia="zh-CN"/>
          <w14:textFill>
            <w14:solidFill>
              <w14:schemeClr w14:val="tx1"/>
            </w14:solidFill>
          </w14:textFill>
        </w:rPr>
        <w:t>北京时间）前递交投标文件</w:t>
      </w:r>
      <w:r>
        <w:rPr>
          <w:rFonts w:hint="eastAsia" w:ascii="宋体" w:hAnsi="宋体" w:eastAsia="宋体"/>
          <w:color w:val="000000" w:themeColor="text1"/>
          <w:sz w:val="21"/>
          <w:szCs w:val="21"/>
          <w:highlight w:val="none"/>
          <w:lang w:eastAsia="zh-CN"/>
          <w14:textFill>
            <w14:solidFill>
              <w14:schemeClr w14:val="tx1"/>
            </w14:solidFill>
          </w14:textFill>
        </w:rPr>
        <w:t>。</w:t>
      </w:r>
    </w:p>
    <w:tbl>
      <w:tblPr>
        <w:tblStyle w:val="38"/>
        <w:tblW w:w="9953" w:type="dxa"/>
        <w:jc w:val="center"/>
        <w:tblLayout w:type="fixed"/>
        <w:tblCellMar>
          <w:top w:w="15" w:type="dxa"/>
          <w:left w:w="15" w:type="dxa"/>
          <w:bottom w:w="15" w:type="dxa"/>
          <w:right w:w="15" w:type="dxa"/>
        </w:tblCellMar>
      </w:tblPr>
      <w:tblGrid>
        <w:gridCol w:w="9953"/>
      </w:tblGrid>
      <w:tr w14:paraId="2D0FF8EB">
        <w:tblPrEx>
          <w:tblCellMar>
            <w:top w:w="15" w:type="dxa"/>
            <w:left w:w="15" w:type="dxa"/>
            <w:bottom w:w="15" w:type="dxa"/>
            <w:right w:w="15" w:type="dxa"/>
          </w:tblCellMar>
        </w:tblPrEx>
        <w:trPr>
          <w:trHeight w:val="90" w:hRule="atLeast"/>
          <w:jc w:val="center"/>
        </w:trPr>
        <w:tc>
          <w:tcPr>
            <w:tcW w:w="9953" w:type="dxa"/>
            <w:tcBorders>
              <w:top w:val="nil"/>
              <w:left w:val="nil"/>
              <w:bottom w:val="nil"/>
              <w:right w:val="nil"/>
            </w:tcBorders>
            <w:shd w:val="clear" w:color="auto" w:fill="auto"/>
          </w:tcPr>
          <w:p w14:paraId="25EF21FF">
            <w:pPr>
              <w:pStyle w:val="33"/>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一、项目基本情况</w:t>
            </w:r>
          </w:p>
          <w:p w14:paraId="0B380E0F">
            <w:pPr>
              <w:pStyle w:val="33"/>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项目编号：QZZC2026-G1-990061-GXLJ</w:t>
            </w:r>
          </w:p>
          <w:p w14:paraId="43454692">
            <w:pPr>
              <w:pStyle w:val="33"/>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项目名称：钦州市妇幼保健院高清腹腔镜系统等医疗设备采购</w:t>
            </w:r>
          </w:p>
          <w:p w14:paraId="6BEBF027">
            <w:pPr>
              <w:pStyle w:val="33"/>
              <w:spacing w:before="0" w:beforeAutospacing="0" w:after="0" w:afterAutospacing="0"/>
              <w:ind w:firstLine="420"/>
              <w:jc w:val="both"/>
              <w:rPr>
                <w:rFonts w:hint="default" w:hAnsi="Times New Roman" w:cs="Times New Roman"/>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预算总金额（元）：</w:t>
            </w:r>
            <w:r>
              <w:rPr>
                <w:rFonts w:hint="eastAsia" w:ascii="宋体" w:eastAsia="宋体"/>
                <w:color w:val="000000" w:themeColor="text1"/>
                <w:sz w:val="21"/>
                <w:szCs w:val="21"/>
                <w:highlight w:val="none"/>
                <w:lang w:val="en-US" w:eastAsia="zh-CN"/>
                <w14:textFill>
                  <w14:solidFill>
                    <w14:schemeClr w14:val="tx1"/>
                  </w14:solidFill>
                </w14:textFill>
              </w:rPr>
              <w:t>9100000</w:t>
            </w:r>
          </w:p>
          <w:p w14:paraId="542D575E">
            <w:pPr>
              <w:pStyle w:val="33"/>
              <w:spacing w:before="0" w:beforeAutospacing="0" w:after="0" w:afterAutospacing="0"/>
              <w:ind w:firstLine="420"/>
              <w:jc w:val="both"/>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采购需求：</w:t>
            </w:r>
          </w:p>
          <w:p w14:paraId="77D9ADE0">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标项一名称：高清腹腔镜系统</w:t>
            </w:r>
          </w:p>
          <w:p w14:paraId="7FB7B969">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数量:</w:t>
            </w:r>
            <w:r>
              <w:rPr>
                <w:rFonts w:hint="eastAsia" w:ascii="宋体" w:eastAsia="宋体"/>
                <w:color w:val="000000" w:themeColor="text1"/>
                <w:sz w:val="21"/>
                <w:szCs w:val="21"/>
                <w:highlight w:val="none"/>
                <w:lang w:val="en-US" w:eastAsia="zh-CN"/>
                <w14:textFill>
                  <w14:solidFill>
                    <w14:schemeClr w14:val="tx1"/>
                  </w14:solidFill>
                </w14:textFill>
              </w:rPr>
              <w:t>1</w:t>
            </w:r>
          </w:p>
          <w:p w14:paraId="4BE7197F">
            <w:pPr>
              <w:pStyle w:val="33"/>
              <w:spacing w:before="0" w:beforeAutospacing="0" w:after="0" w:afterAutospacing="0"/>
              <w:ind w:left="416" w:leftChars="208" w:firstLine="18" w:firstLineChars="9"/>
              <w:jc w:val="both"/>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预算金额（元）：</w:t>
            </w:r>
            <w:r>
              <w:rPr>
                <w:rFonts w:hint="eastAsia" w:ascii="宋体" w:eastAsia="宋体"/>
                <w:color w:val="000000" w:themeColor="text1"/>
                <w:sz w:val="21"/>
                <w:szCs w:val="21"/>
                <w:highlight w:val="none"/>
                <w:lang w:val="en-US" w:eastAsia="zh-CN"/>
                <w14:textFill>
                  <w14:solidFill>
                    <w14:schemeClr w14:val="tx1"/>
                  </w14:solidFill>
                </w14:textFill>
              </w:rPr>
              <w:t>3000000</w:t>
            </w:r>
          </w:p>
          <w:p w14:paraId="16F23DC4">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简要规格描述或项目基本概况介绍、</w:t>
            </w:r>
            <w:r>
              <w:rPr>
                <w:rFonts w:hint="eastAsia" w:ascii="宋体" w:hAnsi="宋体" w:eastAsia="宋体" w:cs="宋体"/>
                <w:color w:val="000000" w:themeColor="text1"/>
                <w:sz w:val="21"/>
                <w:szCs w:val="21"/>
                <w:highlight w:val="none"/>
                <w:lang w:eastAsia="zh-CN"/>
                <w14:textFill>
                  <w14:solidFill>
                    <w14:schemeClr w14:val="tx1"/>
                  </w14:solidFill>
                </w14:textFill>
              </w:rPr>
              <w:t>用途：</w:t>
            </w:r>
            <w:r>
              <w:rPr>
                <w:rFonts w:hint="eastAsia" w:ascii="宋体" w:eastAsia="宋体"/>
                <w:color w:val="000000" w:themeColor="text1"/>
                <w:sz w:val="21"/>
                <w:szCs w:val="21"/>
                <w:highlight w:val="none"/>
                <w:lang w:eastAsia="zh-CN"/>
                <w14:textFill>
                  <w14:solidFill>
                    <w14:schemeClr w14:val="tx1"/>
                  </w14:solidFill>
                </w14:textFill>
              </w:rPr>
              <w:t>高清腹腔镜系统</w:t>
            </w:r>
            <w:r>
              <w:rPr>
                <w:rFonts w:hint="eastAsia" w:ascii="宋体" w:eastAsia="宋体"/>
                <w:color w:val="000000" w:themeColor="text1"/>
                <w:sz w:val="21"/>
                <w:szCs w:val="21"/>
                <w:highlight w:val="none"/>
                <w:lang w:val="en-US" w:eastAsia="zh-CN"/>
                <w14:textFill>
                  <w14:solidFill>
                    <w14:schemeClr w14:val="tx1"/>
                  </w14:solidFill>
                </w14:textFill>
              </w:rPr>
              <w:t>1套</w:t>
            </w:r>
            <w:r>
              <w:rPr>
                <w:rFonts w:hint="eastAsia" w:ascii="宋体" w:hAnsi="宋体" w:eastAsia="宋体" w:cs="宋体"/>
                <w:color w:val="000000" w:themeColor="text1"/>
                <w:sz w:val="21"/>
                <w:szCs w:val="21"/>
                <w:highlight w:val="none"/>
                <w:lang w:eastAsia="zh-CN"/>
                <w14:textFill>
                  <w14:solidFill>
                    <w14:schemeClr w14:val="tx1"/>
                  </w14:solidFill>
                </w14:textFill>
              </w:rPr>
              <w:t>，如需进</w:t>
            </w:r>
            <w:r>
              <w:rPr>
                <w:rFonts w:hint="eastAsia" w:ascii="宋体" w:eastAsia="宋体"/>
                <w:color w:val="000000" w:themeColor="text1"/>
                <w:sz w:val="21"/>
                <w:szCs w:val="21"/>
                <w:highlight w:val="none"/>
                <w:lang w:eastAsia="zh-CN"/>
                <w14:textFill>
                  <w14:solidFill>
                    <w14:schemeClr w14:val="tx1"/>
                  </w14:solidFill>
                </w14:textFill>
              </w:rPr>
              <w:t>一步了解采购内容，详见采购文件。</w:t>
            </w:r>
          </w:p>
          <w:p w14:paraId="6DFC7602">
            <w:pPr>
              <w:pStyle w:val="33"/>
              <w:spacing w:before="0" w:beforeAutospacing="0" w:after="0" w:afterAutospacing="0"/>
              <w:ind w:firstLine="420"/>
              <w:jc w:val="both"/>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最高限价（如有）：</w:t>
            </w:r>
            <w:r>
              <w:rPr>
                <w:rFonts w:hint="eastAsia" w:ascii="宋体" w:eastAsia="宋体"/>
                <w:color w:val="000000" w:themeColor="text1"/>
                <w:sz w:val="21"/>
                <w:szCs w:val="21"/>
                <w:highlight w:val="none"/>
                <w:lang w:val="en-US" w:eastAsia="zh-CN"/>
                <w14:textFill>
                  <w14:solidFill>
                    <w14:schemeClr w14:val="tx1"/>
                  </w14:solidFill>
                </w14:textFill>
              </w:rPr>
              <w:t>2776000</w:t>
            </w:r>
          </w:p>
          <w:p w14:paraId="412D6AE0">
            <w:pPr>
              <w:pStyle w:val="33"/>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合同履约期限：</w:t>
            </w:r>
            <w:r>
              <w:rPr>
                <w:rFonts w:hint="eastAsia" w:ascii="宋体" w:hAnsi="宋体"/>
                <w:color w:val="000000" w:themeColor="text1"/>
                <w:sz w:val="21"/>
                <w:szCs w:val="21"/>
                <w:highlight w:val="none"/>
                <w14:textFill>
                  <w14:solidFill>
                    <w14:schemeClr w14:val="tx1"/>
                  </w14:solidFill>
                </w14:textFill>
              </w:rPr>
              <w:t>自签订合同之日起</w:t>
            </w:r>
            <w:r>
              <w:rPr>
                <w:rFonts w:hint="eastAsia" w:ascii="宋体" w:eastAsia="宋体"/>
                <w:color w:val="000000" w:themeColor="text1"/>
                <w:sz w:val="21"/>
                <w:szCs w:val="21"/>
                <w:highlight w:val="none"/>
                <w:lang w:val="en-US" w:eastAsia="zh-CN"/>
                <w14:textFill>
                  <w14:solidFill>
                    <w14:schemeClr w14:val="tx1"/>
                  </w14:solidFill>
                </w14:textFill>
              </w:rPr>
              <w:t>60天</w:t>
            </w:r>
            <w:r>
              <w:rPr>
                <w:rFonts w:hint="eastAsia" w:ascii="宋体" w:hAnsi="宋体"/>
                <w:color w:val="000000" w:themeColor="text1"/>
                <w:sz w:val="21"/>
                <w:szCs w:val="21"/>
                <w:highlight w:val="none"/>
                <w14:textFill>
                  <w14:solidFill>
                    <w14:schemeClr w14:val="tx1"/>
                  </w14:solidFill>
                </w14:textFill>
              </w:rPr>
              <w:t>内必须到货并安装调试合格</w:t>
            </w:r>
            <w:r>
              <w:rPr>
                <w:rFonts w:hint="eastAsia" w:ascii="宋体" w:eastAsia="宋体"/>
                <w:color w:val="000000" w:themeColor="text1"/>
                <w:sz w:val="21"/>
                <w:szCs w:val="21"/>
                <w:highlight w:val="none"/>
                <w:lang w:eastAsia="zh-CN"/>
                <w14:textFill>
                  <w14:solidFill>
                    <w14:schemeClr w14:val="tx1"/>
                  </w14:solidFill>
                </w14:textFill>
              </w:rPr>
              <w:t>。</w:t>
            </w:r>
          </w:p>
          <w:p w14:paraId="4B21A9A2">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本标项（否）接受联合体投标</w:t>
            </w:r>
          </w:p>
          <w:p w14:paraId="70B5E225">
            <w:pPr>
              <w:pStyle w:val="33"/>
              <w:spacing w:before="0" w:beforeAutospacing="0" w:after="0" w:afterAutospacing="0"/>
              <w:ind w:left="416" w:leftChars="208" w:firstLine="18" w:firstLineChars="9"/>
              <w:jc w:val="both"/>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备注：无</w:t>
            </w:r>
          </w:p>
          <w:p w14:paraId="75B5FA64">
            <w:pPr>
              <w:pStyle w:val="33"/>
              <w:spacing w:before="0" w:beforeAutospacing="0" w:after="0" w:afterAutospacing="0"/>
              <w:ind w:firstLine="420"/>
              <w:jc w:val="both"/>
              <w:rPr>
                <w:rFonts w:hint="eastAsia" w:ascii="宋体" w:eastAsia="宋体"/>
                <w:color w:val="000000" w:themeColor="text1"/>
                <w:sz w:val="21"/>
                <w:szCs w:val="21"/>
                <w:highlight w:val="none"/>
                <w:lang w:eastAsia="zh-CN"/>
                <w14:textFill>
                  <w14:solidFill>
                    <w14:schemeClr w14:val="tx1"/>
                  </w14:solidFill>
                </w14:textFill>
              </w:rPr>
            </w:pPr>
          </w:p>
          <w:p w14:paraId="5822F75F">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标项</w:t>
            </w:r>
            <w:r>
              <w:rPr>
                <w:rFonts w:hint="eastAsia" w:ascii="宋体" w:eastAsia="宋体"/>
                <w:color w:val="000000" w:themeColor="text1"/>
                <w:sz w:val="21"/>
                <w:szCs w:val="21"/>
                <w:highlight w:val="none"/>
                <w:lang w:val="en-US" w:eastAsia="zh-CN"/>
                <w14:textFill>
                  <w14:solidFill>
                    <w14:schemeClr w14:val="tx1"/>
                  </w14:solidFill>
                </w14:textFill>
              </w:rPr>
              <w:t>二</w:t>
            </w:r>
            <w:r>
              <w:rPr>
                <w:rFonts w:hint="eastAsia" w:ascii="宋体" w:eastAsia="宋体"/>
                <w:color w:val="000000" w:themeColor="text1"/>
                <w:sz w:val="21"/>
                <w:szCs w:val="21"/>
                <w:highlight w:val="none"/>
                <w:lang w:eastAsia="zh-CN"/>
                <w14:textFill>
                  <w14:solidFill>
                    <w14:schemeClr w14:val="tx1"/>
                  </w14:solidFill>
                </w14:textFill>
              </w:rPr>
              <w:t>名称：高清电子胃肠镜</w:t>
            </w:r>
          </w:p>
          <w:p w14:paraId="2100E6B2">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数量:</w:t>
            </w:r>
            <w:r>
              <w:rPr>
                <w:rFonts w:hint="eastAsia" w:ascii="宋体" w:eastAsia="宋体"/>
                <w:color w:val="000000" w:themeColor="text1"/>
                <w:sz w:val="21"/>
                <w:szCs w:val="21"/>
                <w:highlight w:val="none"/>
                <w:lang w:val="en-US" w:eastAsia="zh-CN"/>
                <w14:textFill>
                  <w14:solidFill>
                    <w14:schemeClr w14:val="tx1"/>
                  </w14:solidFill>
                </w14:textFill>
              </w:rPr>
              <w:t>1</w:t>
            </w:r>
          </w:p>
          <w:p w14:paraId="3A994D28">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预算金额（元）：</w:t>
            </w:r>
            <w:r>
              <w:rPr>
                <w:rFonts w:hint="eastAsia" w:ascii="宋体" w:eastAsia="宋体"/>
                <w:color w:val="000000" w:themeColor="text1"/>
                <w:sz w:val="21"/>
                <w:szCs w:val="21"/>
                <w:highlight w:val="none"/>
                <w:lang w:val="en-US" w:eastAsia="zh-CN"/>
                <w14:textFill>
                  <w14:solidFill>
                    <w14:schemeClr w14:val="tx1"/>
                  </w14:solidFill>
                </w14:textFill>
              </w:rPr>
              <w:t>380</w:t>
            </w:r>
            <w:r>
              <w:rPr>
                <w:rFonts w:hint="eastAsia" w:ascii="宋体" w:eastAsia="宋体"/>
                <w:color w:val="000000" w:themeColor="text1"/>
                <w:sz w:val="21"/>
                <w:szCs w:val="21"/>
                <w:highlight w:val="none"/>
                <w:lang w:eastAsia="zh-CN"/>
                <w14:textFill>
                  <w14:solidFill>
                    <w14:schemeClr w14:val="tx1"/>
                  </w14:solidFill>
                </w14:textFill>
              </w:rPr>
              <w:t>0000</w:t>
            </w:r>
          </w:p>
          <w:p w14:paraId="794DC864">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简要规格描述或项目基本概况介绍、</w:t>
            </w:r>
            <w:r>
              <w:rPr>
                <w:rFonts w:hint="eastAsia" w:ascii="宋体" w:hAnsi="宋体" w:eastAsia="宋体" w:cs="宋体"/>
                <w:color w:val="000000" w:themeColor="text1"/>
                <w:sz w:val="21"/>
                <w:szCs w:val="21"/>
                <w:highlight w:val="none"/>
                <w:lang w:eastAsia="zh-CN"/>
                <w14:textFill>
                  <w14:solidFill>
                    <w14:schemeClr w14:val="tx1"/>
                  </w14:solidFill>
                </w14:textFill>
              </w:rPr>
              <w:t>用途：</w:t>
            </w:r>
            <w:r>
              <w:rPr>
                <w:rFonts w:hint="eastAsia" w:ascii="宋体" w:eastAsia="宋体"/>
                <w:color w:val="000000" w:themeColor="text1"/>
                <w:sz w:val="21"/>
                <w:szCs w:val="21"/>
                <w:highlight w:val="none"/>
                <w:lang w:eastAsia="zh-CN"/>
                <w14:textFill>
                  <w14:solidFill>
                    <w14:schemeClr w14:val="tx1"/>
                  </w14:solidFill>
                </w14:textFill>
              </w:rPr>
              <w:t>高清电子胃肠镜</w:t>
            </w:r>
            <w:r>
              <w:rPr>
                <w:rFonts w:hint="eastAsia" w:ascii="宋体" w:eastAsia="宋体"/>
                <w:color w:val="000000" w:themeColor="text1"/>
                <w:sz w:val="21"/>
                <w:szCs w:val="21"/>
                <w:highlight w:val="none"/>
                <w:lang w:val="en-US" w:eastAsia="zh-CN"/>
                <w14:textFill>
                  <w14:solidFill>
                    <w14:schemeClr w14:val="tx1"/>
                  </w14:solidFill>
                </w14:textFill>
              </w:rPr>
              <w:t>1套</w:t>
            </w:r>
            <w:r>
              <w:rPr>
                <w:rFonts w:hint="eastAsia" w:ascii="宋体" w:hAnsi="宋体" w:eastAsia="宋体" w:cs="宋体"/>
                <w:color w:val="000000" w:themeColor="text1"/>
                <w:sz w:val="21"/>
                <w:szCs w:val="21"/>
                <w:highlight w:val="none"/>
                <w:lang w:eastAsia="zh-CN"/>
                <w14:textFill>
                  <w14:solidFill>
                    <w14:schemeClr w14:val="tx1"/>
                  </w14:solidFill>
                </w14:textFill>
              </w:rPr>
              <w:t>，如需进</w:t>
            </w:r>
            <w:r>
              <w:rPr>
                <w:rFonts w:hint="eastAsia" w:ascii="宋体" w:eastAsia="宋体"/>
                <w:color w:val="000000" w:themeColor="text1"/>
                <w:sz w:val="21"/>
                <w:szCs w:val="21"/>
                <w:highlight w:val="none"/>
                <w:lang w:eastAsia="zh-CN"/>
                <w14:textFill>
                  <w14:solidFill>
                    <w14:schemeClr w14:val="tx1"/>
                  </w14:solidFill>
                </w14:textFill>
              </w:rPr>
              <w:t>一步了解采购内容，详见采购文件。</w:t>
            </w:r>
          </w:p>
          <w:p w14:paraId="32CB91A5">
            <w:pPr>
              <w:pStyle w:val="33"/>
              <w:spacing w:before="0" w:beforeAutospacing="0" w:after="0" w:afterAutospacing="0"/>
              <w:ind w:firstLine="420"/>
              <w:jc w:val="both"/>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最高限价（如有）：</w:t>
            </w:r>
            <w:r>
              <w:rPr>
                <w:rFonts w:hint="eastAsia" w:ascii="宋体" w:eastAsia="宋体"/>
                <w:color w:val="000000" w:themeColor="text1"/>
                <w:sz w:val="21"/>
                <w:szCs w:val="21"/>
                <w:highlight w:val="none"/>
                <w:lang w:val="en-US" w:eastAsia="zh-CN"/>
                <w14:textFill>
                  <w14:solidFill>
                    <w14:schemeClr w14:val="tx1"/>
                  </w14:solidFill>
                </w14:textFill>
              </w:rPr>
              <w:t>3500000</w:t>
            </w:r>
          </w:p>
          <w:p w14:paraId="33D7151B">
            <w:pPr>
              <w:pStyle w:val="33"/>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合同履约期限：</w:t>
            </w:r>
            <w:r>
              <w:rPr>
                <w:rFonts w:hint="eastAsia" w:ascii="宋体" w:hAnsi="宋体"/>
                <w:color w:val="000000" w:themeColor="text1"/>
                <w:sz w:val="21"/>
                <w:szCs w:val="21"/>
                <w:highlight w:val="none"/>
                <w14:textFill>
                  <w14:solidFill>
                    <w14:schemeClr w14:val="tx1"/>
                  </w14:solidFill>
                </w14:textFill>
              </w:rPr>
              <w:t>自签订合同之日起</w:t>
            </w:r>
            <w:r>
              <w:rPr>
                <w:rFonts w:hint="eastAsia" w:ascii="宋体" w:eastAsia="宋体"/>
                <w:color w:val="000000" w:themeColor="text1"/>
                <w:sz w:val="21"/>
                <w:szCs w:val="21"/>
                <w:highlight w:val="none"/>
                <w:lang w:val="en-US" w:eastAsia="zh-CN"/>
                <w14:textFill>
                  <w14:solidFill>
                    <w14:schemeClr w14:val="tx1"/>
                  </w14:solidFill>
                </w14:textFill>
              </w:rPr>
              <w:t>60天</w:t>
            </w:r>
            <w:r>
              <w:rPr>
                <w:rFonts w:hint="eastAsia" w:ascii="宋体" w:hAnsi="宋体"/>
                <w:color w:val="000000" w:themeColor="text1"/>
                <w:sz w:val="21"/>
                <w:szCs w:val="21"/>
                <w:highlight w:val="none"/>
                <w14:textFill>
                  <w14:solidFill>
                    <w14:schemeClr w14:val="tx1"/>
                  </w14:solidFill>
                </w14:textFill>
              </w:rPr>
              <w:t>内必须到货并安装调试合格</w:t>
            </w:r>
            <w:r>
              <w:rPr>
                <w:rFonts w:hint="eastAsia" w:ascii="宋体" w:eastAsia="宋体"/>
                <w:color w:val="000000" w:themeColor="text1"/>
                <w:sz w:val="21"/>
                <w:szCs w:val="21"/>
                <w:highlight w:val="none"/>
                <w:lang w:eastAsia="zh-CN"/>
                <w14:textFill>
                  <w14:solidFill>
                    <w14:schemeClr w14:val="tx1"/>
                  </w14:solidFill>
                </w14:textFill>
              </w:rPr>
              <w:t>。</w:t>
            </w:r>
          </w:p>
          <w:p w14:paraId="29A3A12C">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本标项（否）接受联合体投标</w:t>
            </w:r>
          </w:p>
          <w:p w14:paraId="3B2E1FFF">
            <w:pPr>
              <w:pStyle w:val="33"/>
              <w:spacing w:before="0" w:beforeAutospacing="0" w:after="0" w:afterAutospacing="0"/>
              <w:ind w:left="416" w:leftChars="208" w:firstLine="18" w:firstLineChars="9"/>
              <w:jc w:val="both"/>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备注：无</w:t>
            </w:r>
          </w:p>
          <w:p w14:paraId="41D865A3">
            <w:pPr>
              <w:pStyle w:val="33"/>
              <w:spacing w:before="0" w:beforeAutospacing="0" w:after="0" w:afterAutospacing="0"/>
              <w:ind w:left="416" w:leftChars="208" w:firstLine="18" w:firstLineChars="9"/>
              <w:jc w:val="both"/>
              <w:rPr>
                <w:rFonts w:hint="eastAsia" w:ascii="宋体" w:eastAsia="宋体"/>
                <w:color w:val="000000" w:themeColor="text1"/>
                <w:sz w:val="21"/>
                <w:szCs w:val="21"/>
                <w:highlight w:val="none"/>
                <w:lang w:eastAsia="zh-CN"/>
                <w14:textFill>
                  <w14:solidFill>
                    <w14:schemeClr w14:val="tx1"/>
                  </w14:solidFill>
                </w14:textFill>
              </w:rPr>
            </w:pPr>
          </w:p>
          <w:p w14:paraId="31DC689F">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标项</w:t>
            </w:r>
            <w:r>
              <w:rPr>
                <w:rFonts w:hint="eastAsia" w:ascii="宋体" w:eastAsia="宋体"/>
                <w:color w:val="000000" w:themeColor="text1"/>
                <w:sz w:val="21"/>
                <w:szCs w:val="21"/>
                <w:highlight w:val="none"/>
                <w:lang w:val="en-US" w:eastAsia="zh-CN"/>
                <w14:textFill>
                  <w14:solidFill>
                    <w14:schemeClr w14:val="tx1"/>
                  </w14:solidFill>
                </w14:textFill>
              </w:rPr>
              <w:t>三</w:t>
            </w:r>
            <w:r>
              <w:rPr>
                <w:rFonts w:hint="eastAsia" w:ascii="宋体" w:eastAsia="宋体"/>
                <w:color w:val="000000" w:themeColor="text1"/>
                <w:sz w:val="21"/>
                <w:szCs w:val="21"/>
                <w:highlight w:val="none"/>
                <w:lang w:eastAsia="zh-CN"/>
                <w14:textFill>
                  <w14:solidFill>
                    <w14:schemeClr w14:val="tx1"/>
                  </w14:solidFill>
                </w14:textFill>
              </w:rPr>
              <w:t>名称：基因测序仪</w:t>
            </w:r>
          </w:p>
          <w:p w14:paraId="2156E784">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数量:1</w:t>
            </w:r>
          </w:p>
          <w:p w14:paraId="38713C0E">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预算金额（元）：</w:t>
            </w:r>
            <w:r>
              <w:rPr>
                <w:rFonts w:hint="eastAsia" w:ascii="宋体" w:eastAsia="宋体"/>
                <w:color w:val="000000" w:themeColor="text1"/>
                <w:sz w:val="21"/>
                <w:szCs w:val="21"/>
                <w:highlight w:val="none"/>
                <w:lang w:val="en-US" w:eastAsia="zh-CN"/>
                <w14:textFill>
                  <w14:solidFill>
                    <w14:schemeClr w14:val="tx1"/>
                  </w14:solidFill>
                </w14:textFill>
              </w:rPr>
              <w:t>230</w:t>
            </w:r>
            <w:r>
              <w:rPr>
                <w:rFonts w:hint="eastAsia" w:ascii="宋体" w:eastAsia="宋体"/>
                <w:color w:val="000000" w:themeColor="text1"/>
                <w:sz w:val="21"/>
                <w:szCs w:val="21"/>
                <w:highlight w:val="none"/>
                <w:lang w:eastAsia="zh-CN"/>
                <w14:textFill>
                  <w14:solidFill>
                    <w14:schemeClr w14:val="tx1"/>
                  </w14:solidFill>
                </w14:textFill>
              </w:rPr>
              <w:t>0000</w:t>
            </w:r>
          </w:p>
          <w:p w14:paraId="234FEB83">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简要规格描述或项目基本概况介绍、</w:t>
            </w:r>
            <w:r>
              <w:rPr>
                <w:rFonts w:hint="eastAsia" w:ascii="宋体" w:hAnsi="宋体" w:eastAsia="宋体" w:cs="宋体"/>
                <w:color w:val="000000" w:themeColor="text1"/>
                <w:sz w:val="21"/>
                <w:szCs w:val="21"/>
                <w:highlight w:val="none"/>
                <w:lang w:eastAsia="zh-CN"/>
                <w14:textFill>
                  <w14:solidFill>
                    <w14:schemeClr w14:val="tx1"/>
                  </w14:solidFill>
                </w14:textFill>
              </w:rPr>
              <w:t>用途：</w:t>
            </w:r>
            <w:r>
              <w:rPr>
                <w:rFonts w:hint="eastAsia" w:ascii="宋体" w:eastAsia="宋体"/>
                <w:color w:val="000000" w:themeColor="text1"/>
                <w:sz w:val="21"/>
                <w:szCs w:val="21"/>
                <w:highlight w:val="none"/>
                <w:lang w:eastAsia="zh-CN"/>
                <w14:textFill>
                  <w14:solidFill>
                    <w14:schemeClr w14:val="tx1"/>
                  </w14:solidFill>
                </w14:textFill>
              </w:rPr>
              <w:t>基因测序仪</w:t>
            </w:r>
            <w:r>
              <w:rPr>
                <w:rFonts w:hint="eastAsia" w:ascii="宋体" w:hAnsi="宋体" w:eastAsia="宋体" w:cs="宋体"/>
                <w:color w:val="000000" w:themeColor="text1"/>
                <w:sz w:val="21"/>
                <w:szCs w:val="21"/>
                <w:highlight w:val="none"/>
                <w:lang w:eastAsia="zh-CN"/>
                <w14:textFill>
                  <w14:solidFill>
                    <w14:schemeClr w14:val="tx1"/>
                  </w14:solidFill>
                </w14:textFill>
              </w:rPr>
              <w:t>1套，如需进</w:t>
            </w:r>
            <w:r>
              <w:rPr>
                <w:rFonts w:hint="eastAsia" w:ascii="宋体" w:eastAsia="宋体"/>
                <w:color w:val="000000" w:themeColor="text1"/>
                <w:sz w:val="21"/>
                <w:szCs w:val="21"/>
                <w:highlight w:val="none"/>
                <w:lang w:eastAsia="zh-CN"/>
                <w14:textFill>
                  <w14:solidFill>
                    <w14:schemeClr w14:val="tx1"/>
                  </w14:solidFill>
                </w14:textFill>
              </w:rPr>
              <w:t>一步了解采购内容，详见采购文件。</w:t>
            </w:r>
          </w:p>
          <w:p w14:paraId="0340F484">
            <w:pPr>
              <w:pStyle w:val="33"/>
              <w:spacing w:before="0" w:beforeAutospacing="0" w:after="0" w:afterAutospacing="0"/>
              <w:ind w:firstLine="420"/>
              <w:jc w:val="both"/>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最高限价（如有）：</w:t>
            </w:r>
            <w:r>
              <w:rPr>
                <w:rFonts w:hint="eastAsia" w:ascii="宋体" w:eastAsia="宋体"/>
                <w:color w:val="000000" w:themeColor="text1"/>
                <w:sz w:val="21"/>
                <w:szCs w:val="21"/>
                <w:highlight w:val="none"/>
                <w:lang w:val="en-US" w:eastAsia="zh-CN"/>
                <w14:textFill>
                  <w14:solidFill>
                    <w14:schemeClr w14:val="tx1"/>
                  </w14:solidFill>
                </w14:textFill>
              </w:rPr>
              <w:t>2100000</w:t>
            </w:r>
          </w:p>
          <w:p w14:paraId="432B31B2">
            <w:pPr>
              <w:pStyle w:val="33"/>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合同履约期限：</w:t>
            </w:r>
            <w:r>
              <w:rPr>
                <w:rFonts w:hint="eastAsia" w:ascii="宋体" w:hAnsi="宋体"/>
                <w:color w:val="000000" w:themeColor="text1"/>
                <w:sz w:val="21"/>
                <w:szCs w:val="21"/>
                <w:highlight w:val="none"/>
                <w14:textFill>
                  <w14:solidFill>
                    <w14:schemeClr w14:val="tx1"/>
                  </w14:solidFill>
                </w14:textFill>
              </w:rPr>
              <w:t>自签订合同之日起</w:t>
            </w:r>
            <w:r>
              <w:rPr>
                <w:rFonts w:hint="eastAsia" w:ascii="宋体" w:eastAsia="宋体"/>
                <w:color w:val="000000" w:themeColor="text1"/>
                <w:sz w:val="21"/>
                <w:szCs w:val="21"/>
                <w:highlight w:val="none"/>
                <w:lang w:val="en-US" w:eastAsia="zh-CN"/>
                <w14:textFill>
                  <w14:solidFill>
                    <w14:schemeClr w14:val="tx1"/>
                  </w14:solidFill>
                </w14:textFill>
              </w:rPr>
              <w:t>60天</w:t>
            </w:r>
            <w:r>
              <w:rPr>
                <w:rFonts w:hint="eastAsia" w:ascii="宋体" w:hAnsi="宋体"/>
                <w:color w:val="000000" w:themeColor="text1"/>
                <w:sz w:val="21"/>
                <w:szCs w:val="21"/>
                <w:highlight w:val="none"/>
                <w14:textFill>
                  <w14:solidFill>
                    <w14:schemeClr w14:val="tx1"/>
                  </w14:solidFill>
                </w14:textFill>
              </w:rPr>
              <w:t>内必须到货并安装调试合格</w:t>
            </w:r>
            <w:r>
              <w:rPr>
                <w:rFonts w:hint="eastAsia" w:ascii="宋体" w:eastAsia="宋体"/>
                <w:color w:val="000000" w:themeColor="text1"/>
                <w:sz w:val="21"/>
                <w:szCs w:val="21"/>
                <w:highlight w:val="none"/>
                <w:lang w:eastAsia="zh-CN"/>
                <w14:textFill>
                  <w14:solidFill>
                    <w14:schemeClr w14:val="tx1"/>
                  </w14:solidFill>
                </w14:textFill>
              </w:rPr>
              <w:t>。</w:t>
            </w:r>
          </w:p>
          <w:p w14:paraId="7B316F2D">
            <w:pPr>
              <w:pStyle w:val="33"/>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本标项（否）接受联合体投标</w:t>
            </w:r>
          </w:p>
          <w:p w14:paraId="5873B498">
            <w:pPr>
              <w:pStyle w:val="33"/>
              <w:spacing w:before="0" w:beforeAutospacing="0" w:after="0" w:afterAutospacing="0"/>
              <w:ind w:left="416" w:leftChars="208" w:firstLine="18" w:firstLineChars="9"/>
              <w:jc w:val="both"/>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备注：无</w:t>
            </w:r>
          </w:p>
          <w:p w14:paraId="62B31FC6">
            <w:pPr>
              <w:pStyle w:val="33"/>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二、申请人的资格要求：</w:t>
            </w:r>
          </w:p>
          <w:p w14:paraId="536C50D2">
            <w:pPr>
              <w:ind w:left="416" w:leftChars="208"/>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1.满足《中华人民共和国政府采购法》第二十二条规定；</w:t>
            </w:r>
          </w:p>
          <w:p w14:paraId="2CBE9C37">
            <w:pPr>
              <w:ind w:left="416" w:leftChars="208"/>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2.落实政府采购政策需满足的资格要求：分标</w:t>
            </w:r>
            <w:r>
              <w:rPr>
                <w:rFonts w:hint="eastAsia" w:ascii="宋体" w:hAnsi="宋体" w:eastAsia="宋体"/>
                <w:color w:val="000000" w:themeColor="text1"/>
                <w:sz w:val="21"/>
                <w:szCs w:val="21"/>
                <w:highlight w:val="none"/>
                <w:lang w:val="en-US" w:eastAsia="zh-CN"/>
                <w14:textFill>
                  <w14:solidFill>
                    <w14:schemeClr w14:val="tx1"/>
                  </w14:solidFill>
                </w14:textFill>
              </w:rPr>
              <w:t>1、2、3：</w:t>
            </w:r>
            <w:r>
              <w:rPr>
                <w:rFonts w:hint="eastAsia" w:ascii="宋体" w:hAnsi="宋体" w:eastAsia="宋体"/>
                <w:color w:val="000000" w:themeColor="text1"/>
                <w:sz w:val="21"/>
                <w:szCs w:val="21"/>
                <w:highlight w:val="none"/>
                <w:lang w:eastAsia="zh-CN"/>
                <w14:textFill>
                  <w14:solidFill>
                    <w14:schemeClr w14:val="tx1"/>
                  </w14:solidFill>
                </w14:textFill>
              </w:rPr>
              <w:t>非专门面向中小企业采购的项目；</w:t>
            </w:r>
          </w:p>
          <w:p w14:paraId="5F8969F9">
            <w:pPr>
              <w:pStyle w:val="33"/>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3.本项目的特定资格要求：</w:t>
            </w:r>
            <w:r>
              <w:rPr>
                <w:rFonts w:hint="eastAsia" w:ascii="宋体" w:hAnsi="宋体" w:eastAsia="宋体"/>
                <w:color w:val="000000" w:themeColor="text1"/>
                <w:sz w:val="21"/>
                <w:szCs w:val="21"/>
                <w:highlight w:val="none"/>
                <w:lang w:eastAsia="zh-CN"/>
                <w14:textFill>
                  <w14:solidFill>
                    <w14:schemeClr w14:val="tx1"/>
                  </w14:solidFill>
                </w14:textFill>
              </w:rPr>
              <w:t>分标</w:t>
            </w:r>
            <w:r>
              <w:rPr>
                <w:rFonts w:hint="eastAsia" w:ascii="宋体" w:hAnsi="宋体" w:eastAsia="宋体"/>
                <w:color w:val="000000" w:themeColor="text1"/>
                <w:sz w:val="21"/>
                <w:szCs w:val="21"/>
                <w:highlight w:val="none"/>
                <w:lang w:val="en-US" w:eastAsia="zh-CN"/>
                <w14:textFill>
                  <w14:solidFill>
                    <w14:schemeClr w14:val="tx1"/>
                  </w14:solidFill>
                </w14:textFill>
              </w:rPr>
              <w:t>1、2</w:t>
            </w:r>
            <w:r>
              <w:rPr>
                <w:rFonts w:hint="eastAsia" w:ascii="宋体" w:eastAsia="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lang w:val="en-US" w:eastAsia="zh-CN"/>
                <w14:textFill>
                  <w14:solidFill>
                    <w14:schemeClr w14:val="tx1"/>
                  </w14:solidFill>
                </w14:textFill>
              </w:rPr>
              <w:t>：</w:t>
            </w:r>
            <w:r>
              <w:rPr>
                <w:rFonts w:hint="eastAsia" w:ascii="宋体" w:eastAsia="宋体"/>
                <w:color w:val="000000" w:themeColor="text1"/>
                <w:sz w:val="21"/>
                <w:szCs w:val="21"/>
                <w:highlight w:val="none"/>
                <w:lang w:eastAsia="zh-CN"/>
                <w14:textFill>
                  <w14:solidFill>
                    <w14:schemeClr w14:val="tx1"/>
                  </w14:solidFill>
                </w14:textFill>
              </w:rPr>
              <w:t>具备行业主管部门颁发的有效医疗器械生产或经营许可证（生产企业：生产第二、三类医疗器械须提供《医疗器械生产许可证》；经营企业：经营第二类医疗器械的须提供《第二类医疗器械经营备案凭证》，经营第三类医疗器械的须提供《医疗器械经营许可证》）。</w:t>
            </w:r>
          </w:p>
          <w:p w14:paraId="1270E696">
            <w:pPr>
              <w:pStyle w:val="33"/>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三、获取招标文件</w:t>
            </w:r>
          </w:p>
          <w:p w14:paraId="52185D0E">
            <w:pPr>
              <w:pStyle w:val="33"/>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时</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间：2026年</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03</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月</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日至2026年</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03</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月</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13</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日，每天上午08:00至12:00，下午15:00至18:00（北京时间，法定节假日除外）</w:t>
            </w:r>
          </w:p>
          <w:p w14:paraId="46B97229">
            <w:pPr>
              <w:ind w:firstLine="420" w:firstLineChars="200"/>
              <w:rPr>
                <w:rFonts w:ascii="宋体" w:hAnsi="宋体" w:eastAsia="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olor w:val="000000" w:themeColor="text1"/>
                <w:sz w:val="21"/>
                <w:szCs w:val="21"/>
                <w:highlight w:val="none"/>
                <w:shd w:val="clear" w:color="auto" w:fill="FFFFFF"/>
                <w14:textFill>
                  <w14:solidFill>
                    <w14:schemeClr w14:val="tx1"/>
                  </w14:solidFill>
                </w14:textFill>
              </w:rPr>
              <w:t>地点（网址）：</w:t>
            </w:r>
            <w:r>
              <w:rPr>
                <w:rFonts w:hint="eastAsia" w:ascii="宋体" w:hAnsi="宋体" w:eastAsia="宋体"/>
                <w:color w:val="000000" w:themeColor="text1"/>
                <w:sz w:val="21"/>
                <w:szCs w:val="21"/>
                <w:highlight w:val="none"/>
                <w:shd w:val="clear" w:color="auto" w:fill="FFFFFF"/>
                <w:lang w:eastAsia="zh-CN"/>
                <w14:textFill>
                  <w14:solidFill>
                    <w14:schemeClr w14:val="tx1"/>
                  </w14:solidFill>
                </w14:textFill>
              </w:rPr>
              <w:t>广西政府采购云平台（https://www.gcy.zfcg.gxzf.gov.cn/）。 </w:t>
            </w:r>
          </w:p>
          <w:p w14:paraId="68FC1C76">
            <w:pPr>
              <w:ind w:firstLine="420" w:firstLineChars="200"/>
              <w:rPr>
                <w:rFonts w:ascii="宋体" w:hAnsi="宋体" w:eastAsia="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olor w:val="000000" w:themeColor="text1"/>
                <w:sz w:val="21"/>
                <w:szCs w:val="21"/>
                <w:highlight w:val="none"/>
                <w:shd w:val="clear" w:color="auto" w:fill="FFFFFF"/>
                <w:lang w:eastAsia="zh-CN"/>
                <w14:textFill>
                  <w14:solidFill>
                    <w14:schemeClr w14:val="tx1"/>
                  </w14:solidFill>
                </w14:textFill>
              </w:rPr>
              <w:t>方式：本项目不发放纸质招标文件，由潜在供应商自行注册账号密码或企业CA锁登录广西政府采购云平台免费下载，通过其他方式获取招标文件的，将有可能导致供应商无法在广西政府采购云平台编制及上传投标文件。 </w:t>
            </w:r>
          </w:p>
          <w:p w14:paraId="07661E16">
            <w:pPr>
              <w:pStyle w:val="33"/>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售价（元）：0</w:t>
            </w:r>
          </w:p>
          <w:p w14:paraId="41BA77C7">
            <w:pPr>
              <w:pStyle w:val="33"/>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四、提交投标文件截止时间、开标时间和地点</w:t>
            </w:r>
          </w:p>
          <w:p w14:paraId="4AD05832">
            <w:pPr>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提交投标文件截止时间：2026年</w:t>
            </w:r>
            <w:r>
              <w:rPr>
                <w:rFonts w:hint="eastAsia" w:ascii="宋体" w:hAnsi="宋体" w:eastAsia="宋体"/>
                <w:color w:val="000000" w:themeColor="text1"/>
                <w:sz w:val="21"/>
                <w:szCs w:val="21"/>
                <w:highlight w:val="none"/>
                <w:lang w:val="en-US" w:eastAsia="zh-CN"/>
                <w14:textFill>
                  <w14:solidFill>
                    <w14:schemeClr w14:val="tx1"/>
                  </w14:solidFill>
                </w14:textFill>
              </w:rPr>
              <w:t>03</w:t>
            </w:r>
            <w:r>
              <w:rPr>
                <w:rFonts w:hint="eastAsia" w:ascii="宋体" w:hAnsi="宋体" w:eastAsia="宋体"/>
                <w:color w:val="000000" w:themeColor="text1"/>
                <w:sz w:val="21"/>
                <w:szCs w:val="21"/>
                <w:highlight w:val="none"/>
                <w:lang w:eastAsia="zh-CN"/>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27</w:t>
            </w:r>
            <w:r>
              <w:rPr>
                <w:rFonts w:hint="eastAsia" w:ascii="宋体" w:hAnsi="宋体" w:eastAsia="宋体"/>
                <w:color w:val="000000" w:themeColor="text1"/>
                <w:sz w:val="21"/>
                <w:szCs w:val="21"/>
                <w:highlight w:val="none"/>
                <w:lang w:eastAsia="zh-CN"/>
                <w14:textFill>
                  <w14:solidFill>
                    <w14:schemeClr w14:val="tx1"/>
                  </w14:solidFill>
                </w14:textFill>
              </w:rPr>
              <w:t>日 09:30（北京时间）</w:t>
            </w:r>
          </w:p>
          <w:p w14:paraId="1566DA72">
            <w:pPr>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投标地点（网址）：通过广西政府采购云平台（https://www.gcy.zfcg.gxzf.gov.cn/）上传加密投标文件。</w:t>
            </w:r>
            <w:r>
              <w:rPr>
                <w:rFonts w:hint="eastAsia" w:ascii="宋体" w:eastAsia="宋体"/>
                <w:color w:val="000000" w:themeColor="text1"/>
                <w:sz w:val="21"/>
                <w:szCs w:val="21"/>
                <w:highlight w:val="none"/>
                <w:lang w:eastAsia="zh-CN"/>
                <w14:textFill>
                  <w14:solidFill>
                    <w14:schemeClr w14:val="tx1"/>
                  </w14:solidFill>
                </w14:textFill>
              </w:rPr>
              <w:t>本项目不要求投标供应商到达开标现场，但供应商应派法定代表人或委托代理人准时在线出席电子开评标会议，在投标文件开启时，供应商须使用制作加密电子投标文件的CA证书登录广西政府采购云平台”电子开标大厅按规定时间进行解密，如在开评标过程中有电子询标，应在规定的时间内对电子询标函进行澄清回复。</w:t>
            </w:r>
          </w:p>
          <w:p w14:paraId="692556C1">
            <w:pPr>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开标时间：2026年</w:t>
            </w:r>
            <w:r>
              <w:rPr>
                <w:rFonts w:hint="eastAsia" w:ascii="宋体" w:hAnsi="宋体" w:eastAsia="宋体"/>
                <w:color w:val="000000" w:themeColor="text1"/>
                <w:sz w:val="21"/>
                <w:szCs w:val="21"/>
                <w:highlight w:val="none"/>
                <w:lang w:val="en-US" w:eastAsia="zh-CN"/>
                <w14:textFill>
                  <w14:solidFill>
                    <w14:schemeClr w14:val="tx1"/>
                  </w14:solidFill>
                </w14:textFill>
              </w:rPr>
              <w:t>03</w:t>
            </w:r>
            <w:r>
              <w:rPr>
                <w:rFonts w:hint="eastAsia" w:ascii="宋体" w:hAnsi="宋体" w:eastAsia="宋体"/>
                <w:color w:val="000000" w:themeColor="text1"/>
                <w:sz w:val="21"/>
                <w:szCs w:val="21"/>
                <w:highlight w:val="none"/>
                <w:lang w:eastAsia="zh-CN"/>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27</w:t>
            </w:r>
            <w:r>
              <w:rPr>
                <w:rFonts w:hint="eastAsia" w:ascii="宋体" w:hAnsi="宋体" w:eastAsia="宋体"/>
                <w:color w:val="000000" w:themeColor="text1"/>
                <w:sz w:val="21"/>
                <w:szCs w:val="21"/>
                <w:highlight w:val="none"/>
                <w:lang w:eastAsia="zh-CN"/>
                <w14:textFill>
                  <w14:solidFill>
                    <w14:schemeClr w14:val="tx1"/>
                  </w14:solidFill>
                </w14:textFill>
              </w:rPr>
              <w:t>日09:30（北京时间） </w:t>
            </w:r>
          </w:p>
          <w:p w14:paraId="39605BDD">
            <w:pPr>
              <w:pStyle w:val="33"/>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开标地点：广西壮族自治区钦州市钦南区金海湾东大街8号市政务服务中心三楼。</w:t>
            </w:r>
          </w:p>
          <w:p w14:paraId="6253A653">
            <w:pPr>
              <w:pStyle w:val="33"/>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五、公告期限</w:t>
            </w:r>
          </w:p>
          <w:p w14:paraId="24590A61">
            <w:pPr>
              <w:pStyle w:val="33"/>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自本公告发布之日起5个工作日。</w:t>
            </w:r>
          </w:p>
          <w:p w14:paraId="40D49B48">
            <w:pPr>
              <w:pStyle w:val="3"/>
              <w:spacing w:before="0" w:after="0" w:line="240" w:lineRule="auto"/>
              <w:rPr>
                <w:rFonts w:ascii="宋体" w:hAnsi="宋体" w:eastAsia="宋体"/>
                <w:bCs w:val="0"/>
                <w:color w:val="000000" w:themeColor="text1"/>
                <w:sz w:val="21"/>
                <w:szCs w:val="21"/>
                <w:highlight w:val="none"/>
                <w:lang w:eastAsia="zh-CN"/>
                <w14:textFill>
                  <w14:solidFill>
                    <w14:schemeClr w14:val="tx1"/>
                  </w14:solidFill>
                </w14:textFill>
              </w:rPr>
            </w:pPr>
            <w:bookmarkStart w:id="14" w:name="_Toc35393626"/>
            <w:bookmarkStart w:id="15" w:name="_Toc35393795"/>
            <w:r>
              <w:rPr>
                <w:rFonts w:hint="eastAsia" w:ascii="宋体" w:hAnsi="宋体" w:eastAsia="宋体"/>
                <w:bCs w:val="0"/>
                <w:color w:val="000000" w:themeColor="text1"/>
                <w:sz w:val="21"/>
                <w:szCs w:val="21"/>
                <w:highlight w:val="none"/>
                <w:lang w:eastAsia="zh-CN"/>
                <w14:textFill>
                  <w14:solidFill>
                    <w14:schemeClr w14:val="tx1"/>
                  </w14:solidFill>
                </w14:textFill>
              </w:rPr>
              <w:t>六、其他补充事宜</w:t>
            </w:r>
            <w:bookmarkEnd w:id="14"/>
            <w:bookmarkEnd w:id="15"/>
          </w:p>
          <w:p w14:paraId="7742D724">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1.本项目要求缴纳投标保证金，具体要求详见招标文件。</w:t>
            </w:r>
          </w:p>
          <w:p w14:paraId="46D11B2C">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2.</w:t>
            </w:r>
            <w:r>
              <w:rPr>
                <w:rFonts w:hint="eastAsia" w:ascii="宋体" w:eastAsia="宋体"/>
                <w:color w:val="000000" w:themeColor="text1"/>
                <w:sz w:val="21"/>
                <w:szCs w:val="21"/>
                <w:highlight w:val="none"/>
                <w:lang w:eastAsia="zh-CN"/>
                <w14:textFill>
                  <w14:solidFill>
                    <w14:schemeClr w14:val="tx1"/>
                  </w14:solidFill>
                </w14:textFill>
              </w:rPr>
              <w:t>本项目为全流程电子化政府采购项目，供应商应按照本项目招标文件和</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的要求编制、加密并提交电子投标文件。未完成</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供应商注册入驻并办理数字证书（CA认证）的供应商将无法参与本项目政府采购活动。供应商在使用</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参与投标过程中遇到涉及平台使用的任何问题，可致电平台技术支持热线咨询</w:t>
            </w:r>
            <w:r>
              <w:rPr>
                <w:rFonts w:hint="eastAsia" w:ascii="宋体" w:hAnsi="Times New Roman" w:eastAsia="宋体"/>
                <w:color w:val="000000" w:themeColor="text1"/>
                <w:sz w:val="21"/>
                <w:szCs w:val="21"/>
                <w:highlight w:val="none"/>
                <w:lang w:eastAsia="zh-CN"/>
                <w14:textFill>
                  <w14:solidFill>
                    <w14:schemeClr w14:val="tx1"/>
                  </w14:solidFill>
                </w14:textFill>
              </w:rPr>
              <w:t>：95763</w:t>
            </w:r>
            <w:r>
              <w:rPr>
                <w:rFonts w:hint="eastAsia" w:ascii="宋体" w:eastAsia="宋体"/>
                <w:color w:val="000000" w:themeColor="text1"/>
                <w:sz w:val="21"/>
                <w:szCs w:val="21"/>
                <w:highlight w:val="none"/>
                <w:lang w:eastAsia="zh-CN"/>
                <w14:textFill>
                  <w14:solidFill>
                    <w14:schemeClr w14:val="tx1"/>
                  </w14:solidFill>
                </w14:textFill>
              </w:rPr>
              <w:t>。</w:t>
            </w:r>
          </w:p>
          <w:p w14:paraId="0146CA6B">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供应商应及时熟悉掌握电子标系统操作指南（见</w:t>
            </w:r>
            <w:r>
              <w:rPr>
                <w:rFonts w:hint="eastAsia" w:ascii="宋体"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电子卖场首页右上角—服务中心—帮助文档—项目采购）；并及时完成CA申领和绑定（见广西壮族自治区政府采购网—办事服务—下载专区-政采云CA证书办理操作指南）</w:t>
            </w:r>
            <w:r>
              <w:rPr>
                <w:rFonts w:hint="eastAsia" w:ascii="宋体" w:eastAsia="宋体"/>
                <w:color w:val="000000" w:themeColor="text1"/>
                <w:sz w:val="21"/>
                <w:szCs w:val="21"/>
                <w:highlight w:val="none"/>
                <w:lang w:eastAsia="zh-CN"/>
                <w14:textFill>
                  <w14:solidFill>
                    <w14:schemeClr w14:val="tx1"/>
                  </w14:solidFill>
                </w14:textFill>
              </w:rPr>
              <w:t>。</w:t>
            </w:r>
          </w:p>
          <w:p w14:paraId="1EEB93A4">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（2）供应商须通过</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制作电子投标文件，请供应商自行前往下载并安装（见广西壮族自治区政府采购网—办事服务—下载专区-广西政府采购云平台新版客户端）。</w:t>
            </w:r>
          </w:p>
          <w:p w14:paraId="268408C8">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（3）因未通过“广西政府采购云平台”获取招标文件、未注册入库、未办理CA数字证书、CA证书故障、操作不当等原因造成无法投标或投标失败等后果由供应商自行承担。</w:t>
            </w:r>
          </w:p>
          <w:p w14:paraId="16DDFFE5">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3</w:t>
            </w:r>
            <w:r>
              <w:rPr>
                <w:rFonts w:hint="eastAsia" w:ascii="宋体" w:eastAsia="宋体"/>
                <w:color w:val="000000" w:themeColor="text1"/>
                <w:sz w:val="21"/>
                <w:szCs w:val="21"/>
                <w:highlight w:val="none"/>
                <w:lang w:eastAsia="zh-CN"/>
                <w14:textFill>
                  <w14:solidFill>
                    <w14:schemeClr w14:val="tx1"/>
                  </w14:solidFill>
                </w14:textFill>
              </w:rPr>
              <w:t>.本项目需要落实的政府采购政策</w:t>
            </w:r>
          </w:p>
          <w:p w14:paraId="2775C699">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（1）政府采购促进中小企业发展。</w:t>
            </w:r>
          </w:p>
          <w:p w14:paraId="20A73D26">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（2）政府采购支持采用本国产品的政策。</w:t>
            </w:r>
          </w:p>
          <w:p w14:paraId="49DF129D">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（3）强制采购节能产品；优先采购节能产品、环境标志产品。</w:t>
            </w:r>
          </w:p>
          <w:p w14:paraId="58B2574D">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（4）政府采购促进残疾人就业政策。</w:t>
            </w:r>
          </w:p>
          <w:p w14:paraId="13583F53">
            <w:pPr>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（5）政府采购支持监狱企业发展。</w:t>
            </w:r>
          </w:p>
          <w:p w14:paraId="6BD9CB14">
            <w:pPr>
              <w:spacing w:line="240" w:lineRule="auto"/>
              <w:ind w:firstLine="420" w:firstLineChars="200"/>
              <w:rPr>
                <w:rFonts w:hint="eastAsia" w:ascii="宋体" w:hAnsi="Times New Roman" w:eastAsia="宋体" w:cs="宋体"/>
                <w:color w:val="000000" w:themeColor="text1"/>
                <w:sz w:val="21"/>
                <w:szCs w:val="21"/>
                <w:highlight w:val="none"/>
                <w:lang w:eastAsia="zh-CN"/>
                <w14:textFill>
                  <w14:solidFill>
                    <w14:schemeClr w14:val="tx1"/>
                  </w14:solidFill>
                </w14:textFill>
              </w:rPr>
            </w:pPr>
            <w:r>
              <w:rPr>
                <w:rFonts w:hint="eastAsia" w:ascii="宋体" w:hAnsi="Times New Roman" w:eastAsia="宋体" w:cs="宋体"/>
                <w:color w:val="000000" w:themeColor="text1"/>
                <w:sz w:val="21"/>
                <w:szCs w:val="21"/>
                <w:highlight w:val="none"/>
                <w:lang w:eastAsia="zh-CN"/>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ED20CB">
            <w:pPr>
              <w:ind w:firstLine="420" w:firstLineChars="200"/>
              <w:rPr>
                <w:rFonts w:hint="eastAsia" w:ascii="宋体" w:hAnsi="Times New Roman" w:eastAsia="宋体" w:cs="宋体"/>
                <w:color w:val="000000" w:themeColor="text1"/>
                <w:sz w:val="21"/>
                <w:szCs w:val="21"/>
                <w:highlight w:val="none"/>
                <w:lang w:eastAsia="zh-CN"/>
                <w14:textFill>
                  <w14:solidFill>
                    <w14:schemeClr w14:val="tx1"/>
                  </w14:solidFill>
                </w14:textFill>
              </w:rPr>
            </w:pPr>
            <w:r>
              <w:rPr>
                <w:rFonts w:hint="eastAsia" w:ascii="宋体" w:hAnsi="Times New Roman" w:eastAsia="宋体" w:cs="宋体"/>
                <w:color w:val="000000" w:themeColor="text1"/>
                <w:sz w:val="21"/>
                <w:szCs w:val="21"/>
                <w:highlight w:val="none"/>
                <w:lang w:eastAsia="zh-CN"/>
                <w14:textFill>
                  <w14:solidFill>
                    <w14:schemeClr w14:val="tx1"/>
                  </w14:solidFill>
                </w14:textFill>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93DE654">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6</w:t>
            </w:r>
            <w:r>
              <w:rPr>
                <w:rFonts w:hint="eastAsia" w:ascii="宋体" w:eastAsia="宋体"/>
                <w:color w:val="000000" w:themeColor="text1"/>
                <w:sz w:val="21"/>
                <w:szCs w:val="21"/>
                <w:highlight w:val="none"/>
                <w:lang w:eastAsia="zh-CN"/>
                <w14:textFill>
                  <w14:solidFill>
                    <w14:schemeClr w14:val="tx1"/>
                  </w14:solidFill>
                </w14:textFill>
              </w:rPr>
              <w:t>.网上公告媒体查询：中国政府采购网（www.ccgp.gov.cn）、广西壮族自治区政府采购网（zfcg.gxzf.gov.cn）、钦州市公共资源交易中心（http://ggzyjy.qinzhou.gov.cn）、龙建公司网。</w:t>
            </w:r>
          </w:p>
          <w:p w14:paraId="4DBF670A">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7</w:t>
            </w:r>
            <w:r>
              <w:rPr>
                <w:rFonts w:hint="eastAsia" w:ascii="宋体" w:eastAsia="宋体"/>
                <w:color w:val="000000" w:themeColor="text1"/>
                <w:sz w:val="21"/>
                <w:szCs w:val="21"/>
                <w:highlight w:val="none"/>
                <w:lang w:eastAsia="zh-CN"/>
                <w14:textFill>
                  <w14:solidFill>
                    <w14:schemeClr w14:val="tx1"/>
                  </w14:solidFill>
                </w14:textFill>
              </w:rPr>
              <w:t>.交易服务单位：钦州市公共资源交易中心；联系电话：0777-2558900。</w:t>
            </w:r>
          </w:p>
          <w:p w14:paraId="67916A42">
            <w:pPr>
              <w:pStyle w:val="33"/>
              <w:spacing w:before="0" w:beforeAutospacing="0" w:after="0" w:afterAutospacing="0"/>
              <w:ind w:firstLine="420"/>
              <w:jc w:val="both"/>
              <w:rPr>
                <w:rFonts w:hint="eastAsia" w:ascii="宋体" w:hAnsi="Times New Roman" w:eastAsia="宋体"/>
                <w:color w:val="000000" w:themeColor="text1"/>
                <w:sz w:val="21"/>
                <w:szCs w:val="21"/>
                <w:highlight w:val="none"/>
                <w:lang w:eastAsia="zh-CN"/>
                <w14:textFill>
                  <w14:solidFill>
                    <w14:schemeClr w14:val="tx1"/>
                  </w14:solidFill>
                </w14:textFill>
              </w:rPr>
            </w:pPr>
            <w:r>
              <w:rPr>
                <w:rFonts w:hint="eastAsia" w:ascii="宋体" w:hAnsi="Times New Roman" w:eastAsia="宋体"/>
                <w:color w:val="000000" w:themeColor="text1"/>
                <w:sz w:val="21"/>
                <w:szCs w:val="21"/>
                <w:highlight w:val="none"/>
                <w:lang w:val="en-US" w:eastAsia="zh-CN"/>
                <w14:textFill>
                  <w14:solidFill>
                    <w14:schemeClr w14:val="tx1"/>
                  </w14:solidFill>
                </w14:textFill>
              </w:rPr>
              <w:t>8</w:t>
            </w:r>
            <w:r>
              <w:rPr>
                <w:rFonts w:hint="eastAsia" w:ascii="宋体" w:hAnsi="Times New Roman" w:eastAsia="宋体"/>
                <w:color w:val="000000" w:themeColor="text1"/>
                <w:sz w:val="21"/>
                <w:szCs w:val="21"/>
                <w:highlight w:val="none"/>
                <w:lang w:eastAsia="zh-CN"/>
                <w14:textFill>
                  <w14:solidFill>
                    <w14:schemeClr w14:val="tx1"/>
                  </w14:solidFill>
                </w14:textFill>
              </w:rPr>
              <w:t>.监督部门：钦州市财政局政府采购监督管理科；联系电话：0777-2895258。</w:t>
            </w:r>
          </w:p>
          <w:p w14:paraId="4C45D268">
            <w:pPr>
              <w:pStyle w:val="3"/>
              <w:spacing w:before="0" w:after="0" w:line="240" w:lineRule="auto"/>
              <w:rPr>
                <w:rFonts w:ascii="宋体" w:hAnsi="宋体" w:eastAsia="宋体"/>
                <w:bCs w:val="0"/>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lang w:eastAsia="zh-CN"/>
                <w14:textFill>
                  <w14:solidFill>
                    <w14:schemeClr w14:val="tx1"/>
                  </w14:solidFill>
                </w14:textFill>
              </w:rPr>
              <w:t>七、对本次招标提出询问，请按以下方式联系。</w:t>
            </w:r>
          </w:p>
          <w:p w14:paraId="62DE6410">
            <w:pPr>
              <w:widowControl/>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1.采购人信息</w:t>
            </w:r>
          </w:p>
          <w:p w14:paraId="34E4FCEC">
            <w:pPr>
              <w:ind w:left="1004" w:leftChars="371" w:hanging="262" w:hangingChars="125"/>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名 称：钦州市妇幼保健院　</w:t>
            </w:r>
          </w:p>
          <w:p w14:paraId="55315562">
            <w:pPr>
              <w:ind w:left="1004" w:leftChars="371" w:hanging="262" w:hangingChars="125"/>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地址：钦州市安州大道</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lang w:eastAsia="zh-CN"/>
                <w14:textFill>
                  <w14:solidFill>
                    <w14:schemeClr w14:val="tx1"/>
                  </w14:solidFill>
                </w14:textFill>
              </w:rPr>
              <w:t>号　</w:t>
            </w:r>
          </w:p>
          <w:p w14:paraId="3D6C4B6A">
            <w:pPr>
              <w:ind w:left="1004" w:leftChars="371" w:hanging="262" w:hangingChars="125"/>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联系方式：林桂先</w:t>
            </w:r>
            <w:r>
              <w:rPr>
                <w:rFonts w:hint="eastAsia" w:ascii="宋体" w:hAnsi="宋体" w:eastAsia="宋体"/>
                <w:bCs/>
                <w:color w:val="000000" w:themeColor="text1"/>
                <w:spacing w:val="-8"/>
                <w:sz w:val="21"/>
                <w:szCs w:val="21"/>
                <w:highlight w:val="none"/>
                <w:lang w:eastAsia="zh-CN"/>
                <w14:textFill>
                  <w14:solidFill>
                    <w14:schemeClr w14:val="tx1"/>
                  </w14:solidFill>
                </w14:textFill>
              </w:rPr>
              <w:t xml:space="preserve"> </w:t>
            </w:r>
            <w:r>
              <w:rPr>
                <w:rFonts w:hint="eastAsia" w:ascii="宋体" w:hAnsi="宋体" w:eastAsia="宋体" w:cs="宋体"/>
                <w:bCs/>
                <w:color w:val="000000" w:themeColor="text1"/>
                <w:spacing w:val="-8"/>
                <w:sz w:val="21"/>
                <w:szCs w:val="21"/>
                <w:highlight w:val="none"/>
                <w:lang w:eastAsia="zh-CN"/>
                <w14:textFill>
                  <w14:solidFill>
                    <w14:schemeClr w14:val="tx1"/>
                  </w14:solidFill>
                </w14:textFill>
              </w:rPr>
              <w:t>0777-2399083</w:t>
            </w:r>
            <w:r>
              <w:rPr>
                <w:rFonts w:hint="eastAsia" w:ascii="宋体" w:hAnsi="宋体" w:eastAsia="宋体"/>
                <w:bCs/>
                <w:color w:val="000000" w:themeColor="text1"/>
                <w:spacing w:val="-8"/>
                <w:sz w:val="21"/>
                <w:szCs w:val="21"/>
                <w:highlight w:val="none"/>
                <w:lang w:eastAsia="zh-CN"/>
                <w14:textFill>
                  <w14:solidFill>
                    <w14:schemeClr w14:val="tx1"/>
                  </w14:solidFill>
                </w14:textFill>
              </w:rPr>
              <w:t>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bookmarkStart w:id="16" w:name="_Toc28359009"/>
            <w:bookmarkStart w:id="17" w:name="_Toc28359086"/>
          </w:p>
          <w:p w14:paraId="0EB78554">
            <w:pPr>
              <w:ind w:left="1004" w:leftChars="371" w:hanging="262" w:hangingChars="125"/>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2.采购代理机构信息</w:t>
            </w:r>
            <w:bookmarkEnd w:id="16"/>
            <w:bookmarkEnd w:id="17"/>
          </w:p>
          <w:p w14:paraId="4721B507">
            <w:pPr>
              <w:ind w:firstLine="630" w:firstLineChars="300"/>
              <w:rPr>
                <w:rFonts w:ascii="宋体" w:hAnsi="宋体" w:eastAsia="宋体"/>
                <w:color w:val="000000" w:themeColor="text1"/>
                <w:sz w:val="21"/>
                <w:szCs w:val="21"/>
                <w:highlight w:val="none"/>
                <w:lang w:eastAsia="zh-CN"/>
                <w14:textFill>
                  <w14:solidFill>
                    <w14:schemeClr w14:val="tx1"/>
                  </w14:solidFill>
                </w14:textFill>
              </w:rPr>
            </w:pPr>
            <w:bookmarkStart w:id="18" w:name="_Toc28359087"/>
            <w:bookmarkStart w:id="19" w:name="_Toc28359010"/>
            <w:r>
              <w:rPr>
                <w:rFonts w:hint="eastAsia" w:ascii="宋体" w:hAnsi="宋体" w:eastAsia="宋体"/>
                <w:color w:val="000000" w:themeColor="text1"/>
                <w:sz w:val="21"/>
                <w:szCs w:val="21"/>
                <w:highlight w:val="none"/>
                <w:lang w:eastAsia="zh-CN"/>
                <w14:textFill>
                  <w14:solidFill>
                    <w14:schemeClr w14:val="tx1"/>
                  </w14:solidFill>
                </w14:textFill>
              </w:rPr>
              <w:t>名    称：广西龙建工程管理有限公司　</w:t>
            </w:r>
          </w:p>
          <w:p w14:paraId="6DEA34A8">
            <w:pPr>
              <w:ind w:firstLine="630" w:firstLineChars="3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地　　址：钦州市钦南区子材东大街8号奥林财富1号楼11层1105房　</w:t>
            </w:r>
          </w:p>
          <w:p w14:paraId="5F51E61F">
            <w:pPr>
              <w:ind w:firstLine="630" w:firstLineChars="3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联系方式：龙</w:t>
            </w:r>
            <w:r>
              <w:rPr>
                <w:rFonts w:hint="eastAsia" w:hAnsi="宋体"/>
                <w:color w:val="000000" w:themeColor="text1"/>
                <w:sz w:val="21"/>
                <w:szCs w:val="21"/>
                <w:highlight w:val="none"/>
                <w:lang w:eastAsia="zh-CN"/>
                <w14:textFill>
                  <w14:solidFill>
                    <w14:schemeClr w14:val="tx1"/>
                  </w14:solidFill>
                </w14:textFill>
              </w:rPr>
              <w:t>秋娴</w:t>
            </w:r>
            <w:r>
              <w:rPr>
                <w:rFonts w:hint="eastAsia" w:ascii="宋体" w:hAnsi="宋体" w:eastAsia="宋体"/>
                <w:color w:val="000000" w:themeColor="text1"/>
                <w:sz w:val="21"/>
                <w:szCs w:val="21"/>
                <w:highlight w:val="none"/>
                <w:lang w:eastAsia="zh-CN"/>
                <w14:textFill>
                  <w14:solidFill>
                    <w14:schemeClr w14:val="tx1"/>
                  </w14:solidFill>
                </w14:textFill>
              </w:rPr>
              <w:t>0777-3617888　</w:t>
            </w:r>
          </w:p>
          <w:p w14:paraId="35EA5155">
            <w:pPr>
              <w:ind w:firstLine="630" w:firstLineChars="3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3.项目联系方式</w:t>
            </w:r>
            <w:bookmarkEnd w:id="18"/>
            <w:bookmarkEnd w:id="19"/>
          </w:p>
          <w:p w14:paraId="54C69FB9">
            <w:pPr>
              <w:pStyle w:val="21"/>
              <w:ind w:firstLine="630" w:firstLineChars="3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项目联系人：龙秋娴</w:t>
            </w:r>
          </w:p>
          <w:p w14:paraId="22D0B5B4">
            <w:pPr>
              <w:pStyle w:val="18"/>
              <w:ind w:firstLine="582" w:firstLineChars="300"/>
              <w:rPr>
                <w:rFonts w:ascii="宋体" w:hAnsi="宋体" w:eastAsia="宋体"/>
                <w:b w:val="0"/>
                <w:bCs/>
                <w:color w:val="000000" w:themeColor="text1"/>
                <w:sz w:val="21"/>
                <w:szCs w:val="21"/>
                <w:highlight w:val="none"/>
                <w:lang w:eastAsia="zh-CN"/>
                <w14:textFill>
                  <w14:solidFill>
                    <w14:schemeClr w14:val="tx1"/>
                  </w14:solidFill>
                </w14:textFill>
              </w:rPr>
            </w:pPr>
            <w:r>
              <w:rPr>
                <w:rFonts w:hint="eastAsia" w:ascii="宋体" w:hAnsi="宋体" w:eastAsia="宋体"/>
                <w:b w:val="0"/>
                <w:bCs/>
                <w:color w:val="000000" w:themeColor="text1"/>
                <w:sz w:val="21"/>
                <w:szCs w:val="21"/>
                <w:highlight w:val="none"/>
                <w:lang w:eastAsia="zh-CN"/>
                <w14:textFill>
                  <w14:solidFill>
                    <w14:schemeClr w14:val="tx1"/>
                  </w14:solidFill>
                </w14:textFill>
              </w:rPr>
              <w:t xml:space="preserve">电　　 话：0777-3617888 </w:t>
            </w:r>
          </w:p>
          <w:p w14:paraId="7984BCF0">
            <w:pPr>
              <w:pStyle w:val="33"/>
              <w:snapToGrid w:val="0"/>
              <w:spacing w:before="0" w:beforeAutospacing="0" w:after="0" w:afterAutospacing="0"/>
              <w:ind w:left="238"/>
              <w:jc w:val="right"/>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广西龙建工程管理有限公司</w:t>
            </w:r>
          </w:p>
          <w:p w14:paraId="235A4FF3">
            <w:pPr>
              <w:pStyle w:val="33"/>
              <w:spacing w:before="0" w:beforeAutospacing="0" w:after="0" w:afterAutospacing="0"/>
              <w:jc w:val="right"/>
              <w:rPr>
                <w:rFonts w:hAnsi="Times New Roman" w:cs="Times New Roman"/>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2026</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lang w:val="en-US" w:eastAsia="zh-CN"/>
                <w14:textFill>
                  <w14:solidFill>
                    <w14:schemeClr w14:val="tx1"/>
                  </w14:solidFill>
                </w14:textFill>
              </w:rPr>
              <w:t>03</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lang w:val="en-US" w:eastAsia="zh-CN"/>
                <w14:textFill>
                  <w14:solidFill>
                    <w14:schemeClr w14:val="tx1"/>
                  </w14:solidFill>
                </w14:textFill>
              </w:rPr>
              <w:t>06</w:t>
            </w:r>
            <w:r>
              <w:rPr>
                <w:rFonts w:hint="eastAsia" w:ascii="宋体" w:eastAsia="宋体"/>
                <w:color w:val="000000" w:themeColor="text1"/>
                <w:sz w:val="21"/>
                <w:szCs w:val="21"/>
                <w:highlight w:val="none"/>
                <w14:textFill>
                  <w14:solidFill>
                    <w14:schemeClr w14:val="tx1"/>
                  </w14:solidFill>
                </w14:textFill>
              </w:rPr>
              <w:t>日</w:t>
            </w:r>
          </w:p>
        </w:tc>
      </w:tr>
    </w:tbl>
    <w:p w14:paraId="790D8998">
      <w:pPr>
        <w:pStyle w:val="55"/>
        <w:rPr>
          <w:color w:val="000000" w:themeColor="text1"/>
          <w:highlight w:val="none"/>
          <w14:textFill>
            <w14:solidFill>
              <w14:schemeClr w14:val="tx1"/>
            </w14:solidFill>
          </w14:textFill>
        </w:rPr>
      </w:pPr>
    </w:p>
    <w:p w14:paraId="5CC5D8DA">
      <w:pPr>
        <w:pStyle w:val="55"/>
        <w:rPr>
          <w:color w:val="000000" w:themeColor="text1"/>
          <w:highlight w:val="none"/>
          <w14:textFill>
            <w14:solidFill>
              <w14:schemeClr w14:val="tx1"/>
            </w14:solidFill>
          </w14:textFill>
        </w:rPr>
      </w:pPr>
    </w:p>
    <w:p w14:paraId="08B32A45">
      <w:pPr>
        <w:pStyle w:val="55"/>
        <w:rPr>
          <w:color w:val="000000" w:themeColor="text1"/>
          <w:highlight w:val="none"/>
          <w14:textFill>
            <w14:solidFill>
              <w14:schemeClr w14:val="tx1"/>
            </w14:solidFill>
          </w14:textFill>
        </w:rPr>
      </w:pPr>
    </w:p>
    <w:p w14:paraId="317439A0">
      <w:pPr>
        <w:pStyle w:val="55"/>
        <w:rPr>
          <w:color w:val="000000" w:themeColor="text1"/>
          <w:highlight w:val="none"/>
          <w14:textFill>
            <w14:solidFill>
              <w14:schemeClr w14:val="tx1"/>
            </w14:solidFill>
          </w14:textFill>
        </w:rPr>
      </w:pPr>
    </w:p>
    <w:p w14:paraId="3B717708">
      <w:pPr>
        <w:pStyle w:val="55"/>
        <w:rPr>
          <w:color w:val="000000" w:themeColor="text1"/>
          <w:highlight w:val="none"/>
          <w14:textFill>
            <w14:solidFill>
              <w14:schemeClr w14:val="tx1"/>
            </w14:solidFill>
          </w14:textFill>
        </w:rPr>
      </w:pPr>
    </w:p>
    <w:p w14:paraId="60F065A3">
      <w:pPr>
        <w:pStyle w:val="55"/>
        <w:rPr>
          <w:color w:val="000000" w:themeColor="text1"/>
          <w:highlight w:val="none"/>
          <w14:textFill>
            <w14:solidFill>
              <w14:schemeClr w14:val="tx1"/>
            </w14:solidFill>
          </w14:textFill>
        </w:rPr>
      </w:pPr>
    </w:p>
    <w:p w14:paraId="7BF25263">
      <w:pPr>
        <w:pStyle w:val="55"/>
        <w:rPr>
          <w:color w:val="000000" w:themeColor="text1"/>
          <w:highlight w:val="none"/>
          <w14:textFill>
            <w14:solidFill>
              <w14:schemeClr w14:val="tx1"/>
            </w14:solidFill>
          </w14:textFill>
        </w:rPr>
      </w:pPr>
    </w:p>
    <w:p w14:paraId="6C85067C">
      <w:pPr>
        <w:pStyle w:val="55"/>
        <w:rPr>
          <w:color w:val="000000" w:themeColor="text1"/>
          <w:highlight w:val="none"/>
          <w14:textFill>
            <w14:solidFill>
              <w14:schemeClr w14:val="tx1"/>
            </w14:solidFill>
          </w14:textFill>
        </w:rPr>
      </w:pPr>
    </w:p>
    <w:p w14:paraId="17E4FB6A">
      <w:pPr>
        <w:pStyle w:val="55"/>
        <w:rPr>
          <w:color w:val="000000" w:themeColor="text1"/>
          <w:highlight w:val="none"/>
          <w14:textFill>
            <w14:solidFill>
              <w14:schemeClr w14:val="tx1"/>
            </w14:solidFill>
          </w14:textFill>
        </w:rPr>
      </w:pPr>
    </w:p>
    <w:p w14:paraId="03331DEC">
      <w:pPr>
        <w:pStyle w:val="55"/>
        <w:rPr>
          <w:color w:val="000000" w:themeColor="text1"/>
          <w:highlight w:val="none"/>
          <w14:textFill>
            <w14:solidFill>
              <w14:schemeClr w14:val="tx1"/>
            </w14:solidFill>
          </w14:textFill>
        </w:rPr>
      </w:pPr>
    </w:p>
    <w:p w14:paraId="54C79DB4">
      <w:pPr>
        <w:pStyle w:val="55"/>
        <w:rPr>
          <w:color w:val="000000" w:themeColor="text1"/>
          <w:highlight w:val="none"/>
          <w14:textFill>
            <w14:solidFill>
              <w14:schemeClr w14:val="tx1"/>
            </w14:solidFill>
          </w14:textFill>
        </w:rPr>
      </w:pPr>
    </w:p>
    <w:p w14:paraId="16ED0497">
      <w:pPr>
        <w:pStyle w:val="55"/>
        <w:rPr>
          <w:color w:val="000000" w:themeColor="text1"/>
          <w:highlight w:val="none"/>
          <w14:textFill>
            <w14:solidFill>
              <w14:schemeClr w14:val="tx1"/>
            </w14:solidFill>
          </w14:textFill>
        </w:rPr>
      </w:pPr>
    </w:p>
    <w:p w14:paraId="157FE6AC">
      <w:pPr>
        <w:pStyle w:val="55"/>
        <w:rPr>
          <w:color w:val="000000" w:themeColor="text1"/>
          <w:highlight w:val="none"/>
          <w14:textFill>
            <w14:solidFill>
              <w14:schemeClr w14:val="tx1"/>
            </w14:solidFill>
          </w14:textFill>
        </w:rPr>
      </w:pPr>
    </w:p>
    <w:p w14:paraId="05FB139A">
      <w:pPr>
        <w:pStyle w:val="55"/>
        <w:rPr>
          <w:color w:val="000000" w:themeColor="text1"/>
          <w:highlight w:val="none"/>
          <w14:textFill>
            <w14:solidFill>
              <w14:schemeClr w14:val="tx1"/>
            </w14:solidFill>
          </w14:textFill>
        </w:rPr>
      </w:pPr>
    </w:p>
    <w:p w14:paraId="49709A5B">
      <w:pPr>
        <w:pStyle w:val="55"/>
        <w:rPr>
          <w:color w:val="000000" w:themeColor="text1"/>
          <w:highlight w:val="none"/>
          <w14:textFill>
            <w14:solidFill>
              <w14:schemeClr w14:val="tx1"/>
            </w14:solidFill>
          </w14:textFill>
        </w:rPr>
      </w:pPr>
    </w:p>
    <w:p w14:paraId="07CB1D16">
      <w:pPr>
        <w:pStyle w:val="55"/>
        <w:rPr>
          <w:color w:val="000000" w:themeColor="text1"/>
          <w:highlight w:val="none"/>
          <w14:textFill>
            <w14:solidFill>
              <w14:schemeClr w14:val="tx1"/>
            </w14:solidFill>
          </w14:textFill>
        </w:rPr>
      </w:pPr>
    </w:p>
    <w:p w14:paraId="1125624F">
      <w:pPr>
        <w:pStyle w:val="55"/>
        <w:rPr>
          <w:color w:val="000000" w:themeColor="text1"/>
          <w:highlight w:val="none"/>
          <w14:textFill>
            <w14:solidFill>
              <w14:schemeClr w14:val="tx1"/>
            </w14:solidFill>
          </w14:textFill>
        </w:rPr>
      </w:pPr>
    </w:p>
    <w:p w14:paraId="389CE034">
      <w:pPr>
        <w:pStyle w:val="55"/>
        <w:rPr>
          <w:color w:val="000000" w:themeColor="text1"/>
          <w:highlight w:val="none"/>
          <w14:textFill>
            <w14:solidFill>
              <w14:schemeClr w14:val="tx1"/>
            </w14:solidFill>
          </w14:textFill>
        </w:rPr>
      </w:pPr>
    </w:p>
    <w:p w14:paraId="76639ED8">
      <w:pPr>
        <w:pStyle w:val="55"/>
        <w:rPr>
          <w:color w:val="000000" w:themeColor="text1"/>
          <w:highlight w:val="none"/>
          <w14:textFill>
            <w14:solidFill>
              <w14:schemeClr w14:val="tx1"/>
            </w14:solidFill>
          </w14:textFill>
        </w:rPr>
      </w:pPr>
    </w:p>
    <w:p w14:paraId="435B4074">
      <w:pPr>
        <w:pStyle w:val="55"/>
        <w:rPr>
          <w:color w:val="000000" w:themeColor="text1"/>
          <w:highlight w:val="none"/>
          <w14:textFill>
            <w14:solidFill>
              <w14:schemeClr w14:val="tx1"/>
            </w14:solidFill>
          </w14:textFill>
        </w:rPr>
      </w:pPr>
    </w:p>
    <w:p w14:paraId="7F22D6F8">
      <w:pPr>
        <w:pStyle w:val="55"/>
        <w:rPr>
          <w:color w:val="000000" w:themeColor="text1"/>
          <w:highlight w:val="none"/>
          <w14:textFill>
            <w14:solidFill>
              <w14:schemeClr w14:val="tx1"/>
            </w14:solidFill>
          </w14:textFill>
        </w:rPr>
      </w:pPr>
    </w:p>
    <w:p w14:paraId="4BC54160">
      <w:pPr>
        <w:pStyle w:val="55"/>
        <w:rPr>
          <w:color w:val="000000" w:themeColor="text1"/>
          <w:highlight w:val="none"/>
          <w14:textFill>
            <w14:solidFill>
              <w14:schemeClr w14:val="tx1"/>
            </w14:solidFill>
          </w14:textFill>
        </w:rPr>
      </w:pPr>
    </w:p>
    <w:p w14:paraId="5F7EF2E8">
      <w:pPr>
        <w:pStyle w:val="55"/>
        <w:rPr>
          <w:color w:val="000000" w:themeColor="text1"/>
          <w:highlight w:val="none"/>
          <w14:textFill>
            <w14:solidFill>
              <w14:schemeClr w14:val="tx1"/>
            </w14:solidFill>
          </w14:textFill>
        </w:rPr>
      </w:pPr>
    </w:p>
    <w:p w14:paraId="41D80034">
      <w:pPr>
        <w:pStyle w:val="55"/>
        <w:rPr>
          <w:color w:val="000000" w:themeColor="text1"/>
          <w:highlight w:val="none"/>
          <w14:textFill>
            <w14:solidFill>
              <w14:schemeClr w14:val="tx1"/>
            </w14:solidFill>
          </w14:textFill>
        </w:rPr>
      </w:pPr>
    </w:p>
    <w:p w14:paraId="73EFA4AF">
      <w:pPr>
        <w:pStyle w:val="55"/>
        <w:rPr>
          <w:color w:val="000000" w:themeColor="text1"/>
          <w:highlight w:val="none"/>
          <w14:textFill>
            <w14:solidFill>
              <w14:schemeClr w14:val="tx1"/>
            </w14:solidFill>
          </w14:textFill>
        </w:rPr>
      </w:pPr>
    </w:p>
    <w:p w14:paraId="680E2FCC">
      <w:pPr>
        <w:pStyle w:val="55"/>
        <w:rPr>
          <w:color w:val="000000" w:themeColor="text1"/>
          <w:highlight w:val="none"/>
          <w14:textFill>
            <w14:solidFill>
              <w14:schemeClr w14:val="tx1"/>
            </w14:solidFill>
          </w14:textFill>
        </w:rPr>
      </w:pPr>
    </w:p>
    <w:p w14:paraId="55267229">
      <w:pPr>
        <w:pStyle w:val="55"/>
        <w:rPr>
          <w:color w:val="000000" w:themeColor="text1"/>
          <w:highlight w:val="none"/>
          <w14:textFill>
            <w14:solidFill>
              <w14:schemeClr w14:val="tx1"/>
            </w14:solidFill>
          </w14:textFill>
        </w:rPr>
      </w:pPr>
    </w:p>
    <w:p w14:paraId="20BB1E85">
      <w:pPr>
        <w:pStyle w:val="55"/>
        <w:rPr>
          <w:color w:val="000000" w:themeColor="text1"/>
          <w:highlight w:val="none"/>
          <w14:textFill>
            <w14:solidFill>
              <w14:schemeClr w14:val="tx1"/>
            </w14:solidFill>
          </w14:textFill>
        </w:rPr>
      </w:pPr>
    </w:p>
    <w:p w14:paraId="17E04BC6">
      <w:pPr>
        <w:pStyle w:val="55"/>
        <w:rPr>
          <w:color w:val="000000" w:themeColor="text1"/>
          <w:highlight w:val="none"/>
          <w14:textFill>
            <w14:solidFill>
              <w14:schemeClr w14:val="tx1"/>
            </w14:solidFill>
          </w14:textFill>
        </w:rPr>
      </w:pPr>
    </w:p>
    <w:p w14:paraId="018934E6">
      <w:pPr>
        <w:pStyle w:val="55"/>
        <w:rPr>
          <w:color w:val="000000" w:themeColor="text1"/>
          <w:highlight w:val="none"/>
          <w14:textFill>
            <w14:solidFill>
              <w14:schemeClr w14:val="tx1"/>
            </w14:solidFill>
          </w14:textFill>
        </w:rPr>
      </w:pPr>
    </w:p>
    <w:p w14:paraId="6065F49B">
      <w:pPr>
        <w:pStyle w:val="55"/>
        <w:rPr>
          <w:color w:val="000000" w:themeColor="text1"/>
          <w:highlight w:val="none"/>
          <w14:textFill>
            <w14:solidFill>
              <w14:schemeClr w14:val="tx1"/>
            </w14:solidFill>
          </w14:textFill>
        </w:rPr>
      </w:pPr>
    </w:p>
    <w:p w14:paraId="6BF49C62">
      <w:pPr>
        <w:pStyle w:val="55"/>
        <w:rPr>
          <w:color w:val="000000" w:themeColor="text1"/>
          <w:highlight w:val="none"/>
          <w14:textFill>
            <w14:solidFill>
              <w14:schemeClr w14:val="tx1"/>
            </w14:solidFill>
          </w14:textFill>
        </w:rPr>
      </w:pPr>
    </w:p>
    <w:p w14:paraId="735C5244">
      <w:pPr>
        <w:pStyle w:val="55"/>
        <w:rPr>
          <w:color w:val="000000" w:themeColor="text1"/>
          <w:highlight w:val="none"/>
          <w14:textFill>
            <w14:solidFill>
              <w14:schemeClr w14:val="tx1"/>
            </w14:solidFill>
          </w14:textFill>
        </w:rPr>
      </w:pPr>
    </w:p>
    <w:p w14:paraId="4C3B8195">
      <w:pPr>
        <w:pStyle w:val="55"/>
        <w:rPr>
          <w:color w:val="000000" w:themeColor="text1"/>
          <w:highlight w:val="none"/>
          <w14:textFill>
            <w14:solidFill>
              <w14:schemeClr w14:val="tx1"/>
            </w14:solidFill>
          </w14:textFill>
        </w:rPr>
      </w:pPr>
    </w:p>
    <w:p w14:paraId="7E265021">
      <w:pPr>
        <w:pStyle w:val="55"/>
        <w:rPr>
          <w:color w:val="000000" w:themeColor="text1"/>
          <w:highlight w:val="none"/>
          <w14:textFill>
            <w14:solidFill>
              <w14:schemeClr w14:val="tx1"/>
            </w14:solidFill>
          </w14:textFill>
        </w:rPr>
      </w:pPr>
    </w:p>
    <w:p w14:paraId="664F1A6D">
      <w:pPr>
        <w:pStyle w:val="55"/>
        <w:rPr>
          <w:color w:val="000000" w:themeColor="text1"/>
          <w:highlight w:val="none"/>
          <w14:textFill>
            <w14:solidFill>
              <w14:schemeClr w14:val="tx1"/>
            </w14:solidFill>
          </w14:textFill>
        </w:rPr>
      </w:pPr>
    </w:p>
    <w:p w14:paraId="39329BB2">
      <w:pPr>
        <w:pStyle w:val="55"/>
        <w:rPr>
          <w:color w:val="000000" w:themeColor="text1"/>
          <w:highlight w:val="none"/>
          <w14:textFill>
            <w14:solidFill>
              <w14:schemeClr w14:val="tx1"/>
            </w14:solidFill>
          </w14:textFill>
        </w:rPr>
      </w:pPr>
    </w:p>
    <w:p w14:paraId="75C483ED">
      <w:pPr>
        <w:pStyle w:val="55"/>
        <w:rPr>
          <w:color w:val="000000" w:themeColor="text1"/>
          <w:highlight w:val="none"/>
          <w14:textFill>
            <w14:solidFill>
              <w14:schemeClr w14:val="tx1"/>
            </w14:solidFill>
          </w14:textFill>
        </w:rPr>
      </w:pPr>
    </w:p>
    <w:p w14:paraId="7422AF17">
      <w:pPr>
        <w:pStyle w:val="55"/>
        <w:rPr>
          <w:color w:val="000000" w:themeColor="text1"/>
          <w:highlight w:val="none"/>
          <w14:textFill>
            <w14:solidFill>
              <w14:schemeClr w14:val="tx1"/>
            </w14:solidFill>
          </w14:textFill>
        </w:rPr>
      </w:pPr>
    </w:p>
    <w:p w14:paraId="11692369">
      <w:pPr>
        <w:pStyle w:val="55"/>
        <w:rPr>
          <w:color w:val="000000" w:themeColor="text1"/>
          <w:highlight w:val="none"/>
          <w14:textFill>
            <w14:solidFill>
              <w14:schemeClr w14:val="tx1"/>
            </w14:solidFill>
          </w14:textFill>
        </w:rPr>
      </w:pPr>
    </w:p>
    <w:p w14:paraId="4557640F">
      <w:pPr>
        <w:pStyle w:val="55"/>
        <w:rPr>
          <w:color w:val="000000" w:themeColor="text1"/>
          <w:highlight w:val="none"/>
          <w14:textFill>
            <w14:solidFill>
              <w14:schemeClr w14:val="tx1"/>
            </w14:solidFill>
          </w14:textFill>
        </w:rPr>
      </w:pPr>
    </w:p>
    <w:p w14:paraId="16604E46">
      <w:pPr>
        <w:pStyle w:val="55"/>
        <w:rPr>
          <w:color w:val="000000" w:themeColor="text1"/>
          <w:highlight w:val="none"/>
          <w14:textFill>
            <w14:solidFill>
              <w14:schemeClr w14:val="tx1"/>
            </w14:solidFill>
          </w14:textFill>
        </w:rPr>
      </w:pPr>
    </w:p>
    <w:p w14:paraId="4FB07C7A">
      <w:pPr>
        <w:pStyle w:val="21"/>
        <w:spacing w:line="360" w:lineRule="auto"/>
        <w:ind w:firstLine="3534" w:firstLineChars="1100"/>
        <w:outlineLvl w:val="0"/>
        <w:rPr>
          <w:rStyle w:val="62"/>
          <w:color w:val="000000" w:themeColor="text1"/>
          <w:sz w:val="32"/>
          <w:szCs w:val="32"/>
          <w:highlight w:val="none"/>
          <w14:textFill>
            <w14:solidFill>
              <w14:schemeClr w14:val="tx1"/>
            </w14:solidFill>
          </w14:textFill>
        </w:rPr>
      </w:pPr>
      <w:r>
        <w:rPr>
          <w:rStyle w:val="62"/>
          <w:rFonts w:hint="eastAsia"/>
          <w:color w:val="000000" w:themeColor="text1"/>
          <w:sz w:val="32"/>
          <w:szCs w:val="32"/>
          <w:highlight w:val="none"/>
          <w14:textFill>
            <w14:solidFill>
              <w14:schemeClr w14:val="tx1"/>
            </w14:solidFill>
          </w14:textFill>
        </w:rPr>
        <w:t xml:space="preserve"> </w:t>
      </w:r>
      <w:bookmarkStart w:id="20" w:name="_Toc32369"/>
      <w:bookmarkStart w:id="21" w:name="_Toc2397"/>
      <w:r>
        <w:rPr>
          <w:rStyle w:val="62"/>
          <w:rFonts w:hint="eastAsia"/>
          <w:color w:val="000000" w:themeColor="text1"/>
          <w:sz w:val="32"/>
          <w:szCs w:val="32"/>
          <w:highlight w:val="none"/>
          <w14:textFill>
            <w14:solidFill>
              <w14:schemeClr w14:val="tx1"/>
            </w14:solidFill>
          </w14:textFill>
        </w:rPr>
        <w:t>第二章 投标人须知</w:t>
      </w:r>
      <w:bookmarkEnd w:id="3"/>
      <w:bookmarkEnd w:id="20"/>
      <w:bookmarkEnd w:id="21"/>
      <w:bookmarkStart w:id="22" w:name="_Toc147250356"/>
      <w:bookmarkStart w:id="23" w:name="_Toc147250395"/>
      <w:bookmarkStart w:id="24" w:name="_Toc147250551"/>
      <w:bookmarkStart w:id="25" w:name="_Toc147250349"/>
    </w:p>
    <w:bookmarkEnd w:id="4"/>
    <w:bookmarkEnd w:id="5"/>
    <w:p w14:paraId="7F344E71">
      <w:pPr>
        <w:pStyle w:val="21"/>
        <w:spacing w:line="360" w:lineRule="auto"/>
        <w:jc w:val="center"/>
        <w:rPr>
          <w:rStyle w:val="62"/>
          <w:color w:val="000000" w:themeColor="text1"/>
          <w:sz w:val="28"/>
          <w:szCs w:val="28"/>
          <w:highlight w:val="none"/>
          <w14:textFill>
            <w14:solidFill>
              <w14:schemeClr w14:val="tx1"/>
            </w14:solidFill>
          </w14:textFill>
        </w:rPr>
      </w:pPr>
      <w:bookmarkStart w:id="26" w:name="_Toc8428"/>
      <w:bookmarkStart w:id="27" w:name="_Toc10263"/>
      <w:bookmarkStart w:id="28" w:name="_Toc164"/>
      <w:bookmarkStart w:id="29" w:name="_Toc31960"/>
      <w:bookmarkStart w:id="30" w:name="_Toc23882"/>
      <w:r>
        <w:rPr>
          <w:rStyle w:val="62"/>
          <w:rFonts w:hint="eastAsia"/>
          <w:color w:val="000000" w:themeColor="text1"/>
          <w:sz w:val="28"/>
          <w:szCs w:val="28"/>
          <w:highlight w:val="none"/>
          <w14:textFill>
            <w14:solidFill>
              <w14:schemeClr w14:val="tx1"/>
            </w14:solidFill>
          </w14:textFill>
        </w:rPr>
        <w:t>投标人须知前附表</w:t>
      </w:r>
      <w:bookmarkEnd w:id="22"/>
    </w:p>
    <w:bookmarkEnd w:id="26"/>
    <w:bookmarkEnd w:id="27"/>
    <w:bookmarkEnd w:id="28"/>
    <w:bookmarkEnd w:id="29"/>
    <w:bookmarkEnd w:id="30"/>
    <w:tbl>
      <w:tblPr>
        <w:tblStyle w:val="3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49"/>
        <w:gridCol w:w="8660"/>
      </w:tblGrid>
      <w:tr w14:paraId="3429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5" w:type="dxa"/>
            <w:vAlign w:val="center"/>
          </w:tcPr>
          <w:p w14:paraId="289B47B3">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序号</w:t>
            </w:r>
          </w:p>
        </w:tc>
        <w:tc>
          <w:tcPr>
            <w:tcW w:w="1049" w:type="dxa"/>
            <w:vAlign w:val="center"/>
          </w:tcPr>
          <w:p w14:paraId="43EE3580">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条款号</w:t>
            </w:r>
          </w:p>
        </w:tc>
        <w:tc>
          <w:tcPr>
            <w:tcW w:w="8660" w:type="dxa"/>
            <w:vAlign w:val="center"/>
          </w:tcPr>
          <w:p w14:paraId="0F091448">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内    容</w:t>
            </w:r>
          </w:p>
        </w:tc>
      </w:tr>
      <w:tr w14:paraId="0B97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vAlign w:val="center"/>
          </w:tcPr>
          <w:p w14:paraId="4BA59871">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1</w:t>
            </w:r>
          </w:p>
        </w:tc>
        <w:tc>
          <w:tcPr>
            <w:tcW w:w="1049" w:type="dxa"/>
            <w:vAlign w:val="center"/>
          </w:tcPr>
          <w:p w14:paraId="5A070ED6">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w:t>
            </w:r>
          </w:p>
        </w:tc>
        <w:tc>
          <w:tcPr>
            <w:tcW w:w="8660" w:type="dxa"/>
            <w:vAlign w:val="center"/>
          </w:tcPr>
          <w:p w14:paraId="4BBDDA06">
            <w:pPr>
              <w:pStyle w:val="21"/>
              <w:spacing w:line="340" w:lineRule="exact"/>
              <w:rPr>
                <w:rFonts w:hint="eastAsia" w:hAnsi="宋体" w:eastAsia="宋体" w:cs="宋体"/>
                <w:color w:val="000000" w:themeColor="text1"/>
                <w:kern w:val="0"/>
                <w:szCs w:val="21"/>
                <w:highlight w:val="none"/>
                <w:u w:val="single"/>
                <w:lang w:eastAsia="zh-CN"/>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项目名称：</w:t>
            </w:r>
            <w:r>
              <w:rPr>
                <w:rFonts w:hint="eastAsia" w:hAnsi="宋体" w:cs="宋体"/>
                <w:color w:val="000000" w:themeColor="text1"/>
                <w:szCs w:val="21"/>
                <w:highlight w:val="none"/>
                <w:lang w:eastAsia="zh-CN"/>
                <w14:textFill>
                  <w14:solidFill>
                    <w14:schemeClr w14:val="tx1"/>
                  </w14:solidFill>
                </w14:textFill>
              </w:rPr>
              <w:t>钦州市妇幼保健院高清腹腔镜系统等医疗设备采购</w:t>
            </w:r>
          </w:p>
          <w:p w14:paraId="0685DB95">
            <w:pPr>
              <w:pStyle w:val="21"/>
              <w:spacing w:line="340" w:lineRule="exact"/>
              <w:rPr>
                <w:rFonts w:hint="eastAsia" w:hAnsi="宋体" w:eastAsia="宋体" w:cs="宋体"/>
                <w:color w:val="000000" w:themeColor="text1"/>
                <w:kern w:val="0"/>
                <w:szCs w:val="21"/>
                <w:highlight w:val="none"/>
                <w:u w:val="single"/>
                <w:lang w:eastAsia="zh-CN"/>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项目编号：</w:t>
            </w:r>
            <w:r>
              <w:rPr>
                <w:rFonts w:hint="eastAsia" w:hAnsi="宋体" w:cs="宋体"/>
                <w:color w:val="000000" w:themeColor="text1"/>
                <w:szCs w:val="21"/>
                <w:highlight w:val="none"/>
                <w:lang w:eastAsia="zh-CN"/>
                <w14:textFill>
                  <w14:solidFill>
                    <w14:schemeClr w14:val="tx1"/>
                  </w14:solidFill>
                </w14:textFill>
              </w:rPr>
              <w:t>QZZC2026-G1-990061-GXLJ</w:t>
            </w:r>
          </w:p>
        </w:tc>
      </w:tr>
      <w:tr w14:paraId="3C95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675" w:type="dxa"/>
            <w:vAlign w:val="center"/>
          </w:tcPr>
          <w:p w14:paraId="122F8AC9">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2</w:t>
            </w:r>
          </w:p>
        </w:tc>
        <w:tc>
          <w:tcPr>
            <w:tcW w:w="1049" w:type="dxa"/>
            <w:vAlign w:val="center"/>
          </w:tcPr>
          <w:p w14:paraId="550BDD2E">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w:t>
            </w:r>
          </w:p>
        </w:tc>
        <w:tc>
          <w:tcPr>
            <w:tcW w:w="8660" w:type="dxa"/>
            <w:vAlign w:val="center"/>
          </w:tcPr>
          <w:p w14:paraId="238362D2">
            <w:pPr>
              <w:pStyle w:val="21"/>
              <w:spacing w:line="340" w:lineRule="exact"/>
              <w:rPr>
                <w:rFonts w:hint="eastAsia" w:ascii="宋体" w:hAnsi="宋体" w:eastAsia="宋体" w:cs="宋体"/>
                <w:b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color w:val="000000" w:themeColor="text1"/>
                <w:kern w:val="0"/>
                <w:sz w:val="21"/>
                <w:szCs w:val="21"/>
                <w:highlight w:val="none"/>
                <w:lang w:eastAsia="zh-CN"/>
                <w14:textFill>
                  <w14:solidFill>
                    <w14:schemeClr w14:val="tx1"/>
                  </w14:solidFill>
                </w14:textFill>
              </w:rPr>
              <w:t>申请人的资格要求：详见招标公告。</w:t>
            </w:r>
          </w:p>
          <w:p w14:paraId="5F26ADAC">
            <w:pPr>
              <w:pStyle w:val="21"/>
              <w:spacing w:line="340" w:lineRule="exac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投标人出现下列情形之一的，不得参加政府采购活动：</w:t>
            </w:r>
          </w:p>
          <w:p w14:paraId="07A3AD9B">
            <w:pPr>
              <w:pStyle w:val="21"/>
              <w:spacing w:line="340" w:lineRule="exac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85DDFD">
            <w:pPr>
              <w:pStyle w:val="33"/>
              <w:spacing w:before="0" w:beforeAutospacing="0" w:after="0" w:afterAutospacing="0" w:line="380" w:lineRule="atLeast"/>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92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14:paraId="6CD4A802">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3</w:t>
            </w:r>
          </w:p>
        </w:tc>
        <w:tc>
          <w:tcPr>
            <w:tcW w:w="1049" w:type="dxa"/>
            <w:vAlign w:val="center"/>
          </w:tcPr>
          <w:p w14:paraId="2C83BA3E">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8.1</w:t>
            </w:r>
          </w:p>
        </w:tc>
        <w:tc>
          <w:tcPr>
            <w:tcW w:w="8660" w:type="dxa"/>
            <w:vAlign w:val="center"/>
          </w:tcPr>
          <w:p w14:paraId="5AACC57C">
            <w:pPr>
              <w:pStyle w:val="21"/>
              <w:spacing w:line="340" w:lineRule="exact"/>
              <w:ind w:left="1078" w:leftChars="-11" w:hanging="1100" w:hangingChars="524"/>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投标报价：投标人须就《货物需求一览表》中的</w:t>
            </w:r>
            <w:r>
              <w:rPr>
                <w:rFonts w:hint="eastAsia" w:hAnsi="宋体" w:cs="宋体"/>
                <w:color w:val="000000" w:themeColor="text1"/>
                <w:kern w:val="0"/>
                <w:szCs w:val="21"/>
                <w:highlight w:val="none"/>
                <w:lang w:eastAsia="zh-CN"/>
                <w14:textFill>
                  <w14:solidFill>
                    <w14:schemeClr w14:val="tx1"/>
                  </w14:solidFill>
                </w14:textFill>
              </w:rPr>
              <w:t>某一个（或多个）分标</w:t>
            </w:r>
            <w:r>
              <w:rPr>
                <w:rFonts w:hint="eastAsia" w:hAnsi="宋体" w:cs="宋体"/>
                <w:color w:val="000000" w:themeColor="text1"/>
                <w:kern w:val="0"/>
                <w:szCs w:val="21"/>
                <w:highlight w:val="none"/>
                <w14:textFill>
                  <w14:solidFill>
                    <w14:schemeClr w14:val="tx1"/>
                  </w14:solidFill>
                </w14:textFill>
              </w:rPr>
              <w:t>全部货物内容作完整唯一报价。</w:t>
            </w:r>
          </w:p>
        </w:tc>
      </w:tr>
      <w:tr w14:paraId="6A9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5" w:type="dxa"/>
            <w:vAlign w:val="center"/>
          </w:tcPr>
          <w:p w14:paraId="0821F276">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4</w:t>
            </w:r>
          </w:p>
        </w:tc>
        <w:tc>
          <w:tcPr>
            <w:tcW w:w="1049" w:type="dxa"/>
            <w:vAlign w:val="center"/>
          </w:tcPr>
          <w:p w14:paraId="5C39C607">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9.1</w:t>
            </w:r>
          </w:p>
        </w:tc>
        <w:tc>
          <w:tcPr>
            <w:tcW w:w="8660" w:type="dxa"/>
            <w:vAlign w:val="center"/>
          </w:tcPr>
          <w:p w14:paraId="26CF6F24">
            <w:pPr>
              <w:pStyle w:val="21"/>
              <w:spacing w:line="340" w:lineRule="exac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投标有效期：投标截止日期后60天。</w:t>
            </w:r>
          </w:p>
        </w:tc>
      </w:tr>
      <w:tr w14:paraId="1964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5" w:type="dxa"/>
            <w:vAlign w:val="center"/>
          </w:tcPr>
          <w:p w14:paraId="37B96859">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5</w:t>
            </w:r>
          </w:p>
        </w:tc>
        <w:tc>
          <w:tcPr>
            <w:tcW w:w="1049" w:type="dxa"/>
            <w:vAlign w:val="center"/>
          </w:tcPr>
          <w:p w14:paraId="0880B1B8">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11.2</w:t>
            </w:r>
          </w:p>
        </w:tc>
        <w:tc>
          <w:tcPr>
            <w:tcW w:w="8660" w:type="dxa"/>
            <w:vAlign w:val="center"/>
          </w:tcPr>
          <w:p w14:paraId="62F1288F">
            <w:pPr>
              <w:pStyle w:val="21"/>
              <w:spacing w:line="340" w:lineRule="exact"/>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投标文件组成：由资格文件、报价文件、商务技术文件三部分组成，</w:t>
            </w:r>
            <w:r>
              <w:rPr>
                <w:rFonts w:hint="eastAsia"/>
                <w:b/>
                <w:bCs/>
                <w:color w:val="000000" w:themeColor="text1"/>
                <w:highlight w:val="none"/>
                <w14:textFill>
                  <w14:solidFill>
                    <w14:schemeClr w14:val="tx1"/>
                  </w14:solidFill>
                </w14:textFill>
              </w:rPr>
              <w:t>投标人应根据各部分要求独立编制。</w:t>
            </w:r>
          </w:p>
          <w:p w14:paraId="6C8E6782">
            <w:pPr>
              <w:pStyle w:val="21"/>
              <w:spacing w:line="3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投标文件递交份数：</w:t>
            </w:r>
          </w:p>
          <w:p w14:paraId="7D1AFB10">
            <w:pPr>
              <w:pStyle w:val="21"/>
              <w:spacing w:line="3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1.电子加密投标文件：1份</w:t>
            </w:r>
          </w:p>
          <w:p w14:paraId="32169AD4">
            <w:pPr>
              <w:pStyle w:val="21"/>
              <w:spacing w:line="3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2.电子备份投标文件：1份（以U盘或光盘存储并按要求密封）</w:t>
            </w:r>
          </w:p>
        </w:tc>
      </w:tr>
      <w:tr w14:paraId="0148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63DD2B50">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6</w:t>
            </w:r>
          </w:p>
        </w:tc>
        <w:tc>
          <w:tcPr>
            <w:tcW w:w="1049" w:type="dxa"/>
            <w:vAlign w:val="center"/>
          </w:tcPr>
          <w:p w14:paraId="2EE1CEDB">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10</w:t>
            </w:r>
          </w:p>
        </w:tc>
        <w:tc>
          <w:tcPr>
            <w:tcW w:w="8660" w:type="dxa"/>
            <w:vAlign w:val="center"/>
          </w:tcPr>
          <w:p w14:paraId="0925608A">
            <w:pPr>
              <w:pStyle w:val="21"/>
              <w:spacing w:line="288" w:lineRule="auto"/>
              <w:rPr>
                <w:rFonts w:hAnsi="宋体" w:cs="宋体"/>
                <w:b/>
                <w:bCs/>
                <w:color w:val="000000" w:themeColor="text1"/>
                <w:kern w:val="0"/>
                <w:szCs w:val="21"/>
                <w:highlight w:val="none"/>
                <w14:textFill>
                  <w14:solidFill>
                    <w14:schemeClr w14:val="tx1"/>
                  </w14:solidFill>
                </w14:textFill>
              </w:rPr>
            </w:pPr>
            <w:r>
              <w:rPr>
                <w:rFonts w:hint="eastAsia" w:hAnsi="宋体" w:cs="宋体"/>
                <w:b/>
                <w:bCs/>
                <w:color w:val="000000" w:themeColor="text1"/>
                <w:kern w:val="0"/>
                <w:szCs w:val="21"/>
                <w:highlight w:val="none"/>
                <w14:textFill>
                  <w14:solidFill>
                    <w14:schemeClr w14:val="tx1"/>
                  </w14:solidFill>
                </w14:textFill>
              </w:rPr>
              <w:t>投标保证金</w:t>
            </w:r>
            <w:bookmarkStart w:id="31" w:name="OLE_LINK18"/>
            <w:r>
              <w:rPr>
                <w:rFonts w:hint="eastAsia" w:hAnsi="宋体" w:cs="宋体"/>
                <w:b/>
                <w:bCs/>
                <w:color w:val="000000" w:themeColor="text1"/>
                <w:kern w:val="0"/>
                <w:szCs w:val="21"/>
                <w:highlight w:val="none"/>
                <w14:textFill>
                  <w14:solidFill>
                    <w14:schemeClr w14:val="tx1"/>
                  </w14:solidFill>
                </w14:textFill>
              </w:rPr>
              <w:t>：</w:t>
            </w:r>
            <w:bookmarkEnd w:id="31"/>
            <w:r>
              <w:rPr>
                <w:rFonts w:hint="eastAsia" w:hAnsi="宋体" w:cs="宋体"/>
                <w:b/>
                <w:bCs/>
                <w:color w:val="000000" w:themeColor="text1"/>
                <w:kern w:val="0"/>
                <w:szCs w:val="21"/>
                <w:highlight w:val="none"/>
                <w:lang w:eastAsia="zh-CN"/>
                <w14:textFill>
                  <w14:solidFill>
                    <w14:schemeClr w14:val="tx1"/>
                  </w14:solidFill>
                </w14:textFill>
              </w:rPr>
              <w:t>分标</w:t>
            </w:r>
            <w:r>
              <w:rPr>
                <w:rFonts w:hint="eastAsia" w:hAnsi="宋体" w:cs="宋体"/>
                <w:b/>
                <w:bCs/>
                <w:color w:val="000000" w:themeColor="text1"/>
                <w:kern w:val="0"/>
                <w:szCs w:val="21"/>
                <w:highlight w:val="none"/>
                <w:lang w:val="en-US" w:eastAsia="zh-CN"/>
                <w14:textFill>
                  <w14:solidFill>
                    <w14:schemeClr w14:val="tx1"/>
                  </w14:solidFill>
                </w14:textFill>
              </w:rPr>
              <w:t>1：25000元整；分标2：30000元整；分标3：20000元整</w:t>
            </w:r>
            <w:r>
              <w:rPr>
                <w:rFonts w:hint="eastAsia" w:hAnsi="宋体" w:cs="宋体"/>
                <w:b/>
                <w:bCs/>
                <w:color w:val="000000" w:themeColor="text1"/>
                <w:kern w:val="0"/>
                <w:szCs w:val="21"/>
                <w:highlight w:val="none"/>
                <w14:textFill>
                  <w14:solidFill>
                    <w14:schemeClr w14:val="tx1"/>
                  </w14:solidFill>
                </w14:textFill>
              </w:rPr>
              <w:t>。</w:t>
            </w:r>
          </w:p>
          <w:p w14:paraId="0D9E9E5D">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投标保证金缴纳形式：银行转账、支票、汇票、本票或者银行、保险机构出具的保函，禁止采用现钞方式。</w:t>
            </w:r>
          </w:p>
          <w:p w14:paraId="187423F2">
            <w:pPr>
              <w:pStyle w:val="21"/>
              <w:spacing w:line="288" w:lineRule="auto"/>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采用银行转账方式的，投标人将投标保证金从投标人基本账户转出交至以下指定的投标保证金专用账户，且提交到指定账户时间不得迟于投标截止时间（以到账为准）：</w:t>
            </w:r>
          </w:p>
          <w:p w14:paraId="41CD3623">
            <w:pPr>
              <w:pStyle w:val="21"/>
              <w:spacing w:line="288" w:lineRule="auto"/>
              <w:rPr>
                <w:rFonts w:hint="default" w:hAnsi="宋体" w:eastAsia="宋体" w:cs="宋体"/>
                <w:b/>
                <w:bCs/>
                <w:color w:val="000000" w:themeColor="text1"/>
                <w:kern w:val="0"/>
                <w:szCs w:val="21"/>
                <w:highlight w:val="none"/>
                <w:lang w:val="en-US" w:eastAsia="zh-CN"/>
                <w14:textFill>
                  <w14:solidFill>
                    <w14:schemeClr w14:val="tx1"/>
                  </w14:solidFill>
                </w14:textFill>
              </w:rPr>
            </w:pPr>
            <w:r>
              <w:rPr>
                <w:rFonts w:hint="eastAsia" w:hAnsi="宋体" w:cs="宋体"/>
                <w:b/>
                <w:bCs/>
                <w:color w:val="000000" w:themeColor="text1"/>
                <w:kern w:val="0"/>
                <w:szCs w:val="21"/>
                <w:highlight w:val="none"/>
                <w:lang w:eastAsia="zh-CN"/>
                <w14:textFill>
                  <w14:solidFill>
                    <w14:schemeClr w14:val="tx1"/>
                  </w14:solidFill>
                </w14:textFill>
              </w:rPr>
              <w:t>分标</w:t>
            </w:r>
            <w:r>
              <w:rPr>
                <w:rFonts w:hint="eastAsia" w:hAnsi="宋体" w:cs="宋体"/>
                <w:b/>
                <w:bCs/>
                <w:color w:val="000000" w:themeColor="text1"/>
                <w:kern w:val="0"/>
                <w:szCs w:val="21"/>
                <w:highlight w:val="none"/>
                <w:lang w:val="en-US" w:eastAsia="zh-CN"/>
                <w14:textFill>
                  <w14:solidFill>
                    <w14:schemeClr w14:val="tx1"/>
                  </w14:solidFill>
                </w14:textFill>
              </w:rPr>
              <w:t>1：</w:t>
            </w:r>
          </w:p>
          <w:p w14:paraId="76BE4B6B">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开户行：钦州市区农村信用合作联社政务服务中心分社</w:t>
            </w:r>
          </w:p>
          <w:p w14:paraId="3EB36A51">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户名：钦州市公共资源交易中心</w:t>
            </w:r>
          </w:p>
          <w:p w14:paraId="0B754466">
            <w:pPr>
              <w:pStyle w:val="21"/>
              <w:spacing w:line="288" w:lineRule="auto"/>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账号：</w:t>
            </w:r>
            <w:r>
              <w:rPr>
                <w:rFonts w:hint="eastAsia" w:ascii="宋体" w:hAnsi="宋体" w:eastAsia="宋体" w:cs="宋体"/>
                <w:color w:val="000000" w:themeColor="text1"/>
                <w:kern w:val="0"/>
                <w:sz w:val="21"/>
                <w:szCs w:val="21"/>
                <w:highlight w:val="none"/>
                <w14:textFill>
                  <w14:solidFill>
                    <w14:schemeClr w14:val="tx1"/>
                  </w14:solidFill>
                </w14:textFill>
              </w:rPr>
              <w:t>800821600000141</w:t>
            </w:r>
            <w:r>
              <w:rPr>
                <w:rFonts w:hint="eastAsia" w:hAnsi="宋体" w:cs="宋体"/>
                <w:color w:val="000000" w:themeColor="text1"/>
                <w:kern w:val="0"/>
                <w:szCs w:val="21"/>
                <w:highlight w:val="none"/>
                <w14:textFill>
                  <w14:solidFill>
                    <w14:schemeClr w14:val="tx1"/>
                  </w14:solidFill>
                </w14:textFill>
              </w:rPr>
              <w:t xml:space="preserve">  </w:t>
            </w:r>
          </w:p>
          <w:p w14:paraId="17D24514">
            <w:pPr>
              <w:pStyle w:val="21"/>
              <w:spacing w:line="288" w:lineRule="auto"/>
              <w:rPr>
                <w:rFonts w:hint="eastAsia" w:hAnsi="宋体" w:cs="宋体"/>
                <w:b/>
                <w:bCs/>
                <w:color w:val="000000" w:themeColor="text1"/>
                <w:kern w:val="0"/>
                <w:szCs w:val="21"/>
                <w:highlight w:val="none"/>
                <w:lang w:val="en-US" w:eastAsia="zh-CN"/>
                <w14:textFill>
                  <w14:solidFill>
                    <w14:schemeClr w14:val="tx1"/>
                  </w14:solidFill>
                </w14:textFill>
              </w:rPr>
            </w:pPr>
            <w:r>
              <w:rPr>
                <w:rFonts w:hint="eastAsia" w:hAnsi="宋体" w:cs="宋体"/>
                <w:b/>
                <w:bCs/>
                <w:color w:val="000000" w:themeColor="text1"/>
                <w:kern w:val="0"/>
                <w:szCs w:val="21"/>
                <w:highlight w:val="none"/>
                <w:lang w:eastAsia="zh-CN"/>
                <w14:textFill>
                  <w14:solidFill>
                    <w14:schemeClr w14:val="tx1"/>
                  </w14:solidFill>
                </w14:textFill>
              </w:rPr>
              <w:t>分标</w:t>
            </w:r>
            <w:r>
              <w:rPr>
                <w:rFonts w:hint="eastAsia" w:hAnsi="宋体" w:cs="宋体"/>
                <w:b/>
                <w:bCs/>
                <w:color w:val="000000" w:themeColor="text1"/>
                <w:kern w:val="0"/>
                <w:szCs w:val="21"/>
                <w:highlight w:val="none"/>
                <w:lang w:val="en-US" w:eastAsia="zh-CN"/>
                <w14:textFill>
                  <w14:solidFill>
                    <w14:schemeClr w14:val="tx1"/>
                  </w14:solidFill>
                </w14:textFill>
              </w:rPr>
              <w:t>2：</w:t>
            </w:r>
          </w:p>
          <w:p w14:paraId="75E08BDE">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开户行：钦州市区农村信用合作联社政务服务中心分社</w:t>
            </w:r>
          </w:p>
          <w:p w14:paraId="3CA83D33">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户名：钦州市公共资源交易中心</w:t>
            </w:r>
          </w:p>
          <w:p w14:paraId="6A897583">
            <w:pPr>
              <w:pStyle w:val="21"/>
              <w:spacing w:line="288" w:lineRule="auto"/>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账号：</w:t>
            </w:r>
            <w:r>
              <w:rPr>
                <w:rFonts w:hint="eastAsia" w:ascii="宋体" w:hAnsi="宋体" w:eastAsia="宋体" w:cs="宋体"/>
                <w:color w:val="000000" w:themeColor="text1"/>
                <w:kern w:val="0"/>
                <w:sz w:val="21"/>
                <w:szCs w:val="21"/>
                <w:highlight w:val="none"/>
                <w14:textFill>
                  <w14:solidFill>
                    <w14:schemeClr w14:val="tx1"/>
                  </w14:solidFill>
                </w14:textFill>
              </w:rPr>
              <w:t>800821600000123</w:t>
            </w:r>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 xml:space="preserve">  </w:t>
            </w:r>
          </w:p>
          <w:p w14:paraId="4F393E90">
            <w:pPr>
              <w:pStyle w:val="21"/>
              <w:spacing w:line="288" w:lineRule="auto"/>
              <w:rPr>
                <w:rFonts w:hint="eastAsia" w:hAnsi="宋体" w:cs="宋体"/>
                <w:b/>
                <w:bCs/>
                <w:color w:val="000000" w:themeColor="text1"/>
                <w:kern w:val="0"/>
                <w:szCs w:val="21"/>
                <w:highlight w:val="none"/>
                <w:lang w:val="en-US" w:eastAsia="zh-CN"/>
                <w14:textFill>
                  <w14:solidFill>
                    <w14:schemeClr w14:val="tx1"/>
                  </w14:solidFill>
                </w14:textFill>
              </w:rPr>
            </w:pPr>
            <w:r>
              <w:rPr>
                <w:rFonts w:hint="eastAsia" w:hAnsi="宋体" w:cs="宋体"/>
                <w:b/>
                <w:bCs/>
                <w:color w:val="000000" w:themeColor="text1"/>
                <w:kern w:val="0"/>
                <w:szCs w:val="21"/>
                <w:highlight w:val="none"/>
                <w:lang w:eastAsia="zh-CN"/>
                <w14:textFill>
                  <w14:solidFill>
                    <w14:schemeClr w14:val="tx1"/>
                  </w14:solidFill>
                </w14:textFill>
              </w:rPr>
              <w:t>分标</w:t>
            </w:r>
            <w:r>
              <w:rPr>
                <w:rFonts w:hint="eastAsia" w:hAnsi="宋体" w:cs="宋体"/>
                <w:b/>
                <w:bCs/>
                <w:color w:val="000000" w:themeColor="text1"/>
                <w:kern w:val="0"/>
                <w:szCs w:val="21"/>
                <w:highlight w:val="none"/>
                <w:lang w:val="en-US" w:eastAsia="zh-CN"/>
                <w14:textFill>
                  <w14:solidFill>
                    <w14:schemeClr w14:val="tx1"/>
                  </w14:solidFill>
                </w14:textFill>
              </w:rPr>
              <w:t>3：</w:t>
            </w:r>
          </w:p>
          <w:p w14:paraId="19D16224">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开户行：钦州市区农村信用合作联社政务服务中心分社</w:t>
            </w:r>
          </w:p>
          <w:p w14:paraId="3ECF4FC4">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户名：钦州市公共资源交易中心</w:t>
            </w:r>
          </w:p>
          <w:p w14:paraId="295E2E92">
            <w:pPr>
              <w:pStyle w:val="21"/>
              <w:spacing w:line="288" w:lineRule="auto"/>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账号：</w:t>
            </w:r>
            <w:r>
              <w:rPr>
                <w:rFonts w:hint="eastAsia" w:ascii="宋体" w:hAnsi="宋体" w:eastAsia="宋体" w:cs="宋体"/>
                <w:color w:val="000000" w:themeColor="text1"/>
                <w:kern w:val="0"/>
                <w:sz w:val="21"/>
                <w:szCs w:val="21"/>
                <w:highlight w:val="none"/>
                <w14:textFill>
                  <w14:solidFill>
                    <w14:schemeClr w14:val="tx1"/>
                  </w14:solidFill>
                </w14:textFill>
              </w:rPr>
              <w:t>800821600000132</w:t>
            </w:r>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 xml:space="preserve">  </w:t>
            </w:r>
          </w:p>
          <w:p w14:paraId="6277EAB6">
            <w:pPr>
              <w:pStyle w:val="21"/>
              <w:spacing w:line="288" w:lineRule="auto"/>
              <w:rPr>
                <w:rFonts w:hint="default" w:hAnsi="宋体" w:cs="宋体"/>
                <w:color w:val="000000" w:themeColor="text1"/>
                <w:kern w:val="0"/>
                <w:szCs w:val="21"/>
                <w:highlight w:val="none"/>
                <w:lang w:val="en-US" w:eastAsia="zh-CN"/>
                <w14:textFill>
                  <w14:solidFill>
                    <w14:schemeClr w14:val="tx1"/>
                  </w14:solidFill>
                </w14:textFill>
              </w:rPr>
            </w:pPr>
          </w:p>
          <w:p w14:paraId="0D87EE24">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地址：钦州市金海湾东大街8号市民服务中心三楼　</w:t>
            </w:r>
          </w:p>
          <w:p w14:paraId="2A640441">
            <w:pPr>
              <w:pStyle w:val="21"/>
              <w:spacing w:line="288" w:lineRule="auto"/>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电话：0777-2558903（财务部）</w:t>
            </w:r>
          </w:p>
          <w:p w14:paraId="028E45B8">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备注：</w:t>
            </w:r>
          </w:p>
          <w:p w14:paraId="251D3486">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 投标保证金在投标截止时间后提交的，或者不按规定交纳方式交纳的，或者未足额交纳的（包含保函额度不足的），视为无效投标保证金。</w:t>
            </w:r>
          </w:p>
          <w:p w14:paraId="3D2B010E">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2.投标人采用现钞方式或者从个人账户（自然人投标除外）转出的投标保证金，视为无效投标保证金。</w:t>
            </w:r>
          </w:p>
          <w:p w14:paraId="6956CE26">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3.支票、汇票或者本票出现无效或者背书情形的，视为无效投标保证金。</w:t>
            </w:r>
          </w:p>
          <w:p w14:paraId="6F5CE3E8">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4.保函有效期低于投标有效期的，视为无效投标保证金。</w:t>
            </w:r>
          </w:p>
          <w:p w14:paraId="4958F430">
            <w:pPr>
              <w:rPr>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5.采用金融、担保机构出具保函的，必须为无条件保函，否则视为无效投标保证金。</w:t>
            </w:r>
          </w:p>
        </w:tc>
      </w:tr>
      <w:tr w14:paraId="434F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75" w:type="dxa"/>
            <w:vAlign w:val="center"/>
          </w:tcPr>
          <w:p w14:paraId="0902BA46">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7</w:t>
            </w:r>
          </w:p>
        </w:tc>
        <w:tc>
          <w:tcPr>
            <w:tcW w:w="1049" w:type="dxa"/>
            <w:vAlign w:val="center"/>
          </w:tcPr>
          <w:p w14:paraId="3C107B28">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p>
        </w:tc>
        <w:tc>
          <w:tcPr>
            <w:tcW w:w="8660" w:type="dxa"/>
            <w:vAlign w:val="center"/>
          </w:tcPr>
          <w:p w14:paraId="5245D171">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投标文件递交形式：</w:t>
            </w:r>
          </w:p>
          <w:p w14:paraId="7BF867E2">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1.电子加密投标文件：供应商须通过</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hAnsi="宋体" w:cs="宋体"/>
                <w:color w:val="000000" w:themeColor="text1"/>
                <w:kern w:val="0"/>
                <w:szCs w:val="21"/>
                <w:highlight w:val="none"/>
                <w14:textFill>
                  <w14:solidFill>
                    <w14:schemeClr w14:val="tx1"/>
                  </w14:solidFill>
                </w14:textFill>
              </w:rPr>
              <w:t>软件制作并加密生成电子投标文件，于投标文件提交截止时间前经</w:t>
            </w:r>
            <w:r>
              <w:rPr>
                <w:rFonts w:hint="eastAsia" w:hAnsi="宋体" w:cs="宋体"/>
                <w:color w:val="000000" w:themeColor="text1"/>
                <w:kern w:val="0"/>
                <w:szCs w:val="21"/>
                <w:highlight w:val="none"/>
                <w:lang w:eastAsia="zh-CN"/>
                <w14:textFill>
                  <w14:solidFill>
                    <w14:schemeClr w14:val="tx1"/>
                  </w14:solidFill>
                </w14:textFill>
              </w:rPr>
              <w:t>广西政府采购云平台</w:t>
            </w:r>
            <w:r>
              <w:rPr>
                <w:rFonts w:hint="eastAsia" w:hAnsi="宋体" w:cs="宋体"/>
                <w:color w:val="000000" w:themeColor="text1"/>
                <w:kern w:val="0"/>
                <w:szCs w:val="21"/>
                <w:highlight w:val="none"/>
                <w14:textFill>
                  <w14:solidFill>
                    <w14:schemeClr w14:val="tx1"/>
                  </w14:solidFill>
                </w14:textFill>
              </w:rPr>
              <w:t>上传提交。</w:t>
            </w:r>
          </w:p>
          <w:p w14:paraId="39A06711">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电子备份投标文件：以U盘或光盘存储，电子备份投标文件应当在投标文件提交截止时间前按要求密封（开标当天）直接送达钦州市公共资源交易中心开标厅或提前邮寄到广西龙建工程管理有限公司（地址：钦州市钦南区子材东大街8号奥林财富1号楼11层，联系人：龙工，电话：0777-3617888），我公司拒收到付邮件，通过邮寄方式送达的，请合理安排邮寄时间，逾期送达或未按要求密封将被拒收。</w:t>
            </w:r>
          </w:p>
          <w:p w14:paraId="28EF5D84">
            <w:pPr>
              <w:pStyle w:val="21"/>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3.投标文件递交截止时间：</w:t>
            </w:r>
            <w:r>
              <w:rPr>
                <w:rFonts w:hint="eastAsia" w:hAnsi="宋体"/>
                <w:color w:val="000000" w:themeColor="text1"/>
                <w:sz w:val="21"/>
                <w:szCs w:val="21"/>
                <w:highlight w:val="none"/>
                <w:lang w:eastAsia="zh-CN"/>
                <w14:textFill>
                  <w14:solidFill>
                    <w14:schemeClr w14:val="tx1"/>
                  </w14:solidFill>
                </w14:textFill>
              </w:rPr>
              <w:t>2026</w:t>
            </w:r>
            <w:r>
              <w:rPr>
                <w:rFonts w:hint="eastAsia" w:ascii="宋体" w:hAnsi="宋体" w:eastAsia="宋体"/>
                <w:color w:val="000000" w:themeColor="text1"/>
                <w:sz w:val="21"/>
                <w:szCs w:val="21"/>
                <w:highlight w:val="none"/>
                <w:lang w:eastAsia="zh-CN"/>
                <w14:textFill>
                  <w14:solidFill>
                    <w14:schemeClr w14:val="tx1"/>
                  </w14:solidFill>
                </w14:textFill>
              </w:rPr>
              <w:t>年</w:t>
            </w:r>
            <w:r>
              <w:rPr>
                <w:rFonts w:hint="eastAsia" w:hAnsi="宋体"/>
                <w:color w:val="000000" w:themeColor="text1"/>
                <w:sz w:val="21"/>
                <w:szCs w:val="21"/>
                <w:highlight w:val="none"/>
                <w:lang w:val="en-US" w:eastAsia="zh-CN"/>
                <w14:textFill>
                  <w14:solidFill>
                    <w14:schemeClr w14:val="tx1"/>
                  </w14:solidFill>
                </w14:textFill>
              </w:rPr>
              <w:t>03</w:t>
            </w:r>
            <w:r>
              <w:rPr>
                <w:rFonts w:hint="eastAsia" w:ascii="宋体" w:hAnsi="宋体" w:eastAsia="宋体"/>
                <w:color w:val="000000" w:themeColor="text1"/>
                <w:sz w:val="21"/>
                <w:szCs w:val="21"/>
                <w:highlight w:val="none"/>
                <w:lang w:eastAsia="zh-CN"/>
                <w14:textFill>
                  <w14:solidFill>
                    <w14:schemeClr w14:val="tx1"/>
                  </w14:solidFill>
                </w14:textFill>
              </w:rPr>
              <w:t>月</w:t>
            </w:r>
            <w:r>
              <w:rPr>
                <w:rFonts w:hint="eastAsia" w:hAnsi="宋体"/>
                <w:color w:val="000000" w:themeColor="text1"/>
                <w:sz w:val="21"/>
                <w:szCs w:val="21"/>
                <w:highlight w:val="none"/>
                <w:lang w:val="en-US" w:eastAsia="zh-CN"/>
                <w14:textFill>
                  <w14:solidFill>
                    <w14:schemeClr w14:val="tx1"/>
                  </w14:solidFill>
                </w14:textFill>
              </w:rPr>
              <w:t>27</w:t>
            </w:r>
            <w:r>
              <w:rPr>
                <w:rFonts w:hint="eastAsia" w:ascii="宋体" w:hAnsi="宋体" w:eastAsia="宋体"/>
                <w:color w:val="000000" w:themeColor="text1"/>
                <w:sz w:val="21"/>
                <w:szCs w:val="21"/>
                <w:highlight w:val="none"/>
                <w:lang w:eastAsia="zh-CN"/>
                <w14:textFill>
                  <w14:solidFill>
                    <w14:schemeClr w14:val="tx1"/>
                  </w14:solidFill>
                </w14:textFill>
              </w:rPr>
              <w:t>日</w:t>
            </w:r>
            <w:r>
              <w:rPr>
                <w:rFonts w:hint="eastAsia" w:hAnsi="宋体" w:cs="宋体"/>
                <w:color w:val="000000" w:themeColor="text1"/>
                <w:kern w:val="0"/>
                <w:szCs w:val="21"/>
                <w:highlight w:val="none"/>
                <w14:textFill>
                  <w14:solidFill>
                    <w14:schemeClr w14:val="tx1"/>
                  </w14:solidFill>
                </w14:textFill>
              </w:rPr>
              <w:t>9:30</w:t>
            </w:r>
          </w:p>
          <w:p w14:paraId="047222F8">
            <w:pPr>
              <w:pStyle w:val="21"/>
              <w:spacing w:line="288" w:lineRule="auto"/>
              <w:rPr>
                <w:rFonts w:hAnsi="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备注：如通过</w:t>
            </w:r>
            <w:r>
              <w:rPr>
                <w:rFonts w:hint="eastAsia" w:hAnsi="宋体" w:cs="宋体"/>
                <w:color w:val="000000" w:themeColor="text1"/>
                <w:kern w:val="0"/>
                <w:szCs w:val="21"/>
                <w:highlight w:val="none"/>
                <w:lang w:eastAsia="zh-CN"/>
                <w14:textFill>
                  <w14:solidFill>
                    <w14:schemeClr w14:val="tx1"/>
                  </w14:solidFill>
                </w14:textFill>
              </w:rPr>
              <w:t>广西政府采购云平台</w:t>
            </w:r>
            <w:r>
              <w:rPr>
                <w:rFonts w:hint="eastAsia" w:hAnsi="宋体" w:cs="宋体"/>
                <w:color w:val="000000" w:themeColor="text1"/>
                <w:kern w:val="0"/>
                <w:szCs w:val="21"/>
                <w:highlight w:val="none"/>
                <w14:textFill>
                  <w14:solidFill>
                    <w14:schemeClr w14:val="tx1"/>
                  </w14:solidFill>
                </w14:textFill>
              </w:rPr>
              <w:t>上传递交的电子加密投标文件无法按时解密时，供应商未提交有电子备份投标文件的，视为撤回投标文件。</w:t>
            </w:r>
          </w:p>
        </w:tc>
      </w:tr>
      <w:tr w14:paraId="1A3F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2B5EFDAD">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8</w:t>
            </w:r>
          </w:p>
        </w:tc>
        <w:tc>
          <w:tcPr>
            <w:tcW w:w="1049" w:type="dxa"/>
            <w:vAlign w:val="center"/>
          </w:tcPr>
          <w:p w14:paraId="0E297A37">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p>
        </w:tc>
        <w:tc>
          <w:tcPr>
            <w:tcW w:w="8660" w:type="dxa"/>
            <w:vAlign w:val="center"/>
          </w:tcPr>
          <w:p w14:paraId="5916302F">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评标时间：2026年</w:t>
            </w:r>
            <w:r>
              <w:rPr>
                <w:rFonts w:hint="eastAsia" w:ascii="宋体" w:hAnsi="宋体" w:eastAsia="宋体"/>
                <w:color w:val="000000" w:themeColor="text1"/>
                <w:sz w:val="21"/>
                <w:szCs w:val="21"/>
                <w:highlight w:val="none"/>
                <w:lang w:val="en-US" w:eastAsia="zh-CN"/>
                <w14:textFill>
                  <w14:solidFill>
                    <w14:schemeClr w14:val="tx1"/>
                  </w14:solidFill>
                </w14:textFill>
              </w:rPr>
              <w:t>03</w:t>
            </w:r>
            <w:r>
              <w:rPr>
                <w:rFonts w:hint="eastAsia" w:ascii="宋体" w:hAnsi="宋体" w:eastAsia="宋体"/>
                <w:color w:val="000000" w:themeColor="text1"/>
                <w:sz w:val="21"/>
                <w:szCs w:val="21"/>
                <w:highlight w:val="none"/>
                <w:lang w:eastAsia="zh-CN"/>
                <w14:textFill>
                  <w14:solidFill>
                    <w14:schemeClr w14:val="tx1"/>
                  </w14:solidFill>
                </w14:textFill>
              </w:rPr>
              <w:t>月</w:t>
            </w:r>
            <w:r>
              <w:rPr>
                <w:rFonts w:hint="eastAsia" w:ascii="宋体" w:hAnsi="宋体" w:eastAsia="宋体"/>
                <w:color w:val="000000" w:themeColor="text1"/>
                <w:sz w:val="21"/>
                <w:szCs w:val="21"/>
                <w:highlight w:val="none"/>
                <w:lang w:val="en-US" w:eastAsia="zh-CN"/>
                <w14:textFill>
                  <w14:solidFill>
                    <w14:schemeClr w14:val="tx1"/>
                  </w14:solidFill>
                </w14:textFill>
              </w:rPr>
              <w:t>27</w:t>
            </w:r>
            <w:r>
              <w:rPr>
                <w:rFonts w:hint="eastAsia" w:ascii="宋体" w:hAnsi="宋体" w:eastAsia="宋体"/>
                <w:color w:val="000000" w:themeColor="text1"/>
                <w:sz w:val="21"/>
                <w:szCs w:val="21"/>
                <w:highlight w:val="none"/>
                <w:lang w:eastAsia="zh-CN"/>
                <w14:textFill>
                  <w14:solidFill>
                    <w14:schemeClr w14:val="tx1"/>
                  </w14:solidFill>
                </w14:textFill>
              </w:rPr>
              <w:t>日9:30截标后</w:t>
            </w:r>
          </w:p>
          <w:p w14:paraId="0BA3BA9F">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评标地点：</w:t>
            </w:r>
            <w:r>
              <w:rPr>
                <w:rFonts w:hint="eastAsia" w:ascii="宋体" w:hAnsi="宋体" w:eastAsia="宋体" w:cs="宋体"/>
                <w:i w:val="0"/>
                <w:iCs w:val="0"/>
                <w:caps w:val="0"/>
                <w:color w:val="000000" w:themeColor="text1"/>
                <w:spacing w:val="0"/>
                <w:sz w:val="21"/>
                <w:szCs w:val="21"/>
                <w:highlight w:val="none"/>
                <w:shd w:val="clear" w:fill="auto"/>
                <w:lang w:eastAsia="zh-CN"/>
                <w14:textFill>
                  <w14:solidFill>
                    <w14:schemeClr w14:val="tx1"/>
                  </w14:solidFill>
                </w14:textFill>
              </w:rPr>
              <w:t>【钦州市公共资源交易中心】钦南区金海湾东大街8号市政务服务中心三楼</w:t>
            </w:r>
          </w:p>
        </w:tc>
      </w:tr>
      <w:tr w14:paraId="2E27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14:paraId="0BF4E3E6">
            <w:pPr>
              <w:pStyle w:val="21"/>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9</w:t>
            </w:r>
          </w:p>
        </w:tc>
        <w:tc>
          <w:tcPr>
            <w:tcW w:w="1049" w:type="dxa"/>
            <w:vAlign w:val="center"/>
          </w:tcPr>
          <w:p w14:paraId="07212D2C">
            <w:pPr>
              <w:pStyle w:val="21"/>
              <w:spacing w:line="340" w:lineRule="exact"/>
              <w:jc w:val="center"/>
              <w:rPr>
                <w:rFonts w:hint="default" w:hAnsi="宋体" w:eastAsia="宋体" w:cs="宋体"/>
                <w:color w:val="000000" w:themeColor="text1"/>
                <w:kern w:val="0"/>
                <w:szCs w:val="21"/>
                <w:highlight w:val="none"/>
                <w:lang w:val="en-US" w:eastAsia="zh-CN"/>
                <w14:textFill>
                  <w14:solidFill>
                    <w14:schemeClr w14:val="tx1"/>
                  </w14:solidFill>
                </w14:textFill>
              </w:rPr>
            </w:pPr>
            <w:r>
              <w:rPr>
                <w:rFonts w:hint="eastAsia" w:hAnsi="宋体" w:cs="宋体"/>
                <w:color w:val="000000" w:themeColor="text1"/>
                <w:kern w:val="0"/>
                <w:szCs w:val="21"/>
                <w:highlight w:val="none"/>
                <w:lang w:val="en-US" w:eastAsia="zh-CN"/>
                <w14:textFill>
                  <w14:solidFill>
                    <w14:schemeClr w14:val="tx1"/>
                  </w14:solidFill>
                </w14:textFill>
              </w:rPr>
              <w:t>27.2</w:t>
            </w:r>
          </w:p>
        </w:tc>
        <w:tc>
          <w:tcPr>
            <w:tcW w:w="8660" w:type="dxa"/>
            <w:vAlign w:val="center"/>
          </w:tcPr>
          <w:p w14:paraId="544A7492">
            <w:pPr>
              <w:pStyle w:val="21"/>
              <w:spacing w:line="340" w:lineRule="exac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评标方法：综合评</w:t>
            </w:r>
            <w:r>
              <w:rPr>
                <w:rFonts w:hint="eastAsia" w:hAnsi="宋体" w:cs="宋体"/>
                <w:color w:val="000000" w:themeColor="text1"/>
                <w:kern w:val="0"/>
                <w:szCs w:val="21"/>
                <w:highlight w:val="none"/>
                <w:lang w:eastAsia="zh-CN"/>
                <w14:textFill>
                  <w14:solidFill>
                    <w14:schemeClr w14:val="tx1"/>
                  </w14:solidFill>
                </w14:textFill>
              </w:rPr>
              <w:t>分</w:t>
            </w:r>
            <w:r>
              <w:rPr>
                <w:rFonts w:hint="eastAsia" w:hAnsi="宋体" w:cs="宋体"/>
                <w:color w:val="000000" w:themeColor="text1"/>
                <w:kern w:val="0"/>
                <w:szCs w:val="21"/>
                <w:highlight w:val="none"/>
                <w14:textFill>
                  <w14:solidFill>
                    <w14:schemeClr w14:val="tx1"/>
                  </w14:solidFill>
                </w14:textFill>
              </w:rPr>
              <w:t>法</w:t>
            </w:r>
          </w:p>
        </w:tc>
      </w:tr>
      <w:tr w14:paraId="09B4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14:paraId="0B9A107F">
            <w:pPr>
              <w:pStyle w:val="21"/>
              <w:spacing w:line="340" w:lineRule="exact"/>
              <w:jc w:val="center"/>
              <w:rPr>
                <w:rFonts w:hint="default" w:hAnsi="宋体" w:eastAsia="宋体" w:cs="宋体"/>
                <w:color w:val="000000" w:themeColor="text1"/>
                <w:kern w:val="0"/>
                <w:szCs w:val="21"/>
                <w:highlight w:val="none"/>
                <w:lang w:val="en-US" w:eastAsia="zh-CN"/>
                <w14:textFill>
                  <w14:solidFill>
                    <w14:schemeClr w14:val="tx1"/>
                  </w14:solidFill>
                </w14:textFill>
              </w:rPr>
            </w:pPr>
            <w:r>
              <w:rPr>
                <w:rFonts w:hint="eastAsia" w:hAnsi="宋体" w:cs="宋体"/>
                <w:color w:val="000000" w:themeColor="text1"/>
                <w:kern w:val="0"/>
                <w:szCs w:val="21"/>
                <w:highlight w:val="none"/>
                <w:lang w:val="en-US" w:eastAsia="zh-CN"/>
                <w14:textFill>
                  <w14:solidFill>
                    <w14:schemeClr w14:val="tx1"/>
                  </w14:solidFill>
                </w14:textFill>
              </w:rPr>
              <w:t>10</w:t>
            </w:r>
          </w:p>
        </w:tc>
        <w:tc>
          <w:tcPr>
            <w:tcW w:w="1049" w:type="dxa"/>
            <w:vAlign w:val="center"/>
          </w:tcPr>
          <w:p w14:paraId="60B84665">
            <w:pPr>
              <w:pStyle w:val="21"/>
              <w:spacing w:line="340" w:lineRule="exact"/>
              <w:jc w:val="center"/>
              <w:rPr>
                <w:rFonts w:hint="default" w:hAnsi="宋体" w:cs="宋体"/>
                <w:color w:val="000000" w:themeColor="text1"/>
                <w:kern w:val="0"/>
                <w:szCs w:val="21"/>
                <w:highlight w:val="none"/>
                <w:lang w:val="en-US" w:eastAsia="zh-CN"/>
                <w14:textFill>
                  <w14:solidFill>
                    <w14:schemeClr w14:val="tx1"/>
                  </w14:solidFill>
                </w14:textFill>
              </w:rPr>
            </w:pPr>
            <w:r>
              <w:rPr>
                <w:rFonts w:hint="eastAsia" w:hAnsi="宋体" w:cs="宋体"/>
                <w:color w:val="000000" w:themeColor="text1"/>
                <w:kern w:val="0"/>
                <w:szCs w:val="21"/>
                <w:highlight w:val="none"/>
                <w:lang w:val="en-US" w:eastAsia="zh-CN"/>
                <w14:textFill>
                  <w14:solidFill>
                    <w14:schemeClr w14:val="tx1"/>
                  </w14:solidFill>
                </w14:textFill>
              </w:rPr>
              <w:t>36</w:t>
            </w:r>
          </w:p>
        </w:tc>
        <w:tc>
          <w:tcPr>
            <w:tcW w:w="8660" w:type="dxa"/>
            <w:vAlign w:val="center"/>
          </w:tcPr>
          <w:p w14:paraId="11AA619C">
            <w:pPr>
              <w:pStyle w:val="21"/>
              <w:spacing w:line="340" w:lineRule="exac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招标代理服务费按</w:t>
            </w:r>
            <w:r>
              <w:rPr>
                <w:rFonts w:hint="eastAsia" w:ascii="宋体" w:hAnsi="宋体" w:eastAsia="宋体" w:cs="宋体"/>
                <w:color w:val="000000" w:themeColor="text1"/>
                <w:sz w:val="21"/>
                <w:szCs w:val="21"/>
                <w:highlight w:val="none"/>
                <w14:textFill>
                  <w14:solidFill>
                    <w14:schemeClr w14:val="tx1"/>
                  </w14:solidFill>
                </w14:textFill>
              </w:rPr>
              <w:t>国家发展计划委员会文件关于印发《招标代理服务收费管理暂行办法》的通知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计价格[2002]1980号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、《国家发展改革委办公厅关于招标代理服务收费有关问题的通知》（发改办价格[2003]857号）</w:t>
            </w:r>
            <w:r>
              <w:rPr>
                <w:rFonts w:hint="eastAsia" w:ascii="宋体" w:hAnsi="宋体" w:eastAsia="宋体" w:cs="宋体"/>
                <w:color w:val="000000" w:themeColor="text1"/>
                <w:szCs w:val="21"/>
                <w:highlight w:val="none"/>
                <w14:textFill>
                  <w14:solidFill>
                    <w14:schemeClr w14:val="tx1"/>
                  </w14:solidFill>
                </w14:textFill>
              </w:rPr>
              <w:t>（货物招</w:t>
            </w:r>
            <w:r>
              <w:rPr>
                <w:rFonts w:hint="eastAsia" w:hAnsi="宋体" w:cs="宋体"/>
                <w:color w:val="000000" w:themeColor="text1"/>
                <w:szCs w:val="21"/>
                <w:highlight w:val="none"/>
                <w14:textFill>
                  <w14:solidFill>
                    <w14:schemeClr w14:val="tx1"/>
                  </w14:solidFill>
                </w14:textFill>
              </w:rPr>
              <w:t>标类型）</w:t>
            </w:r>
            <w:r>
              <w:rPr>
                <w:rFonts w:hint="eastAsia" w:hAnsi="宋体" w:cs="宋体"/>
                <w:color w:val="000000" w:themeColor="text1"/>
                <w:szCs w:val="21"/>
                <w:highlight w:val="none"/>
                <w:lang w:eastAsia="zh-CN"/>
                <w14:textFill>
                  <w14:solidFill>
                    <w14:schemeClr w14:val="tx1"/>
                  </w14:solidFill>
                </w14:textFill>
              </w:rPr>
              <w:t>下浮</w:t>
            </w:r>
            <w:r>
              <w:rPr>
                <w:rFonts w:hint="eastAsia" w:hAnsi="宋体" w:cs="宋体"/>
                <w:color w:val="000000" w:themeColor="text1"/>
                <w:szCs w:val="21"/>
                <w:highlight w:val="none"/>
                <w:lang w:val="en-US" w:eastAsia="zh-CN"/>
                <w14:textFill>
                  <w14:solidFill>
                    <w14:schemeClr w14:val="tx1"/>
                  </w14:solidFill>
                </w14:textFill>
              </w:rPr>
              <w:t>20%</w:t>
            </w:r>
            <w:r>
              <w:rPr>
                <w:rFonts w:hint="eastAsia" w:hAnsi="宋体" w:cs="宋体"/>
                <w:color w:val="000000" w:themeColor="text1"/>
                <w:szCs w:val="21"/>
                <w:highlight w:val="none"/>
                <w14:textFill>
                  <w14:solidFill>
                    <w14:schemeClr w14:val="tx1"/>
                  </w14:solidFill>
                </w14:textFill>
              </w:rPr>
              <w:t>计取，方式为中标人向采购代理机构支付。在中标通知书发出之日由中标人一次性向采购代理机构付清。</w:t>
            </w:r>
          </w:p>
          <w:p w14:paraId="62B06A6D">
            <w:pPr>
              <w:pStyle w:val="21"/>
              <w:shd w:val="clear"/>
              <w:spacing w:line="34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2.采购代理费收取银行账户：</w:t>
            </w:r>
          </w:p>
          <w:p w14:paraId="2EAFA130">
            <w:pPr>
              <w:pStyle w:val="21"/>
              <w:spacing w:line="34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开户名称：广西龙建工程管理有限公司</w:t>
            </w:r>
          </w:p>
          <w:p w14:paraId="4D6219A1">
            <w:pPr>
              <w:pStyle w:val="21"/>
              <w:spacing w:line="34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开户银行：建设银行钦州子材东大街支行</w:t>
            </w:r>
          </w:p>
          <w:p w14:paraId="0D63A208">
            <w:pPr>
              <w:pStyle w:val="21"/>
              <w:spacing w:line="340" w:lineRule="exac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银行账号：4505 0110 6312 0988 8888</w:t>
            </w:r>
          </w:p>
        </w:tc>
      </w:tr>
      <w:tr w14:paraId="010B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24" w:type="dxa"/>
            <w:gridSpan w:val="2"/>
            <w:vAlign w:val="center"/>
          </w:tcPr>
          <w:p w14:paraId="79745CF2">
            <w:pPr>
              <w:pStyle w:val="21"/>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注意事项</w:t>
            </w:r>
          </w:p>
        </w:tc>
        <w:tc>
          <w:tcPr>
            <w:tcW w:w="8660" w:type="dxa"/>
            <w:vAlign w:val="center"/>
          </w:tcPr>
          <w:p w14:paraId="38554D11">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w:t>
            </w:r>
            <w:r>
              <w:rPr>
                <w:rFonts w:hint="eastAsia" w:ascii="宋体" w:eastAsia="宋体"/>
                <w:color w:val="000000" w:themeColor="text1"/>
                <w:sz w:val="21"/>
                <w:szCs w:val="21"/>
                <w:highlight w:val="none"/>
                <w:lang w:eastAsia="zh-CN"/>
                <w14:textFill>
                  <w14:solidFill>
                    <w14:schemeClr w14:val="tx1"/>
                  </w14:solidFill>
                </w14:textFill>
              </w:rPr>
              <w:t>本项目为全流程电子化政府采购项目，供应商应按照本项目招标文件和</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的要求编制、加密并提交电子投标文件。未完成</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供应商注册入驻并办理数字证书（CA认证）的供应商将无法参与本项目政府采购活动。供应商在使用</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参与投标过程中遇到涉及平台使用的任何问题，可致电平台技术支持热线咨询</w:t>
            </w:r>
            <w:r>
              <w:rPr>
                <w:rFonts w:hint="eastAsia" w:ascii="宋体" w:hAnsi="Times New Roman" w:eastAsia="宋体"/>
                <w:color w:val="000000" w:themeColor="text1"/>
                <w:sz w:val="21"/>
                <w:szCs w:val="21"/>
                <w:highlight w:val="none"/>
                <w:lang w:eastAsia="zh-CN"/>
                <w14:textFill>
                  <w14:solidFill>
                    <w14:schemeClr w14:val="tx1"/>
                  </w14:solidFill>
                </w14:textFill>
              </w:rPr>
              <w:t>：95763</w:t>
            </w:r>
            <w:r>
              <w:rPr>
                <w:rFonts w:hint="eastAsia" w:ascii="宋体" w:eastAsia="宋体"/>
                <w:color w:val="000000" w:themeColor="text1"/>
                <w:sz w:val="21"/>
                <w:szCs w:val="21"/>
                <w:highlight w:val="none"/>
                <w:lang w:eastAsia="zh-CN"/>
                <w14:textFill>
                  <w14:solidFill>
                    <w14:schemeClr w14:val="tx1"/>
                  </w14:solidFill>
                </w14:textFill>
              </w:rPr>
              <w:t>。</w:t>
            </w:r>
          </w:p>
          <w:p w14:paraId="1642BE65">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供应商应及时熟悉掌握电子标系统操作指南（见</w:t>
            </w:r>
            <w:r>
              <w:rPr>
                <w:rFonts w:hint="eastAsia" w:ascii="宋体"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电子卖场首页右上角—服务中心—帮助文档—项目采购）；并及时完成CA申领和绑定（见广西壮族自治区政府采购网—办事服务—下载专区-政采云CA证书办理操作指南）</w:t>
            </w:r>
            <w:r>
              <w:rPr>
                <w:rFonts w:hint="eastAsia" w:ascii="宋体" w:eastAsia="宋体"/>
                <w:color w:val="000000" w:themeColor="text1"/>
                <w:sz w:val="21"/>
                <w:szCs w:val="21"/>
                <w:highlight w:val="none"/>
                <w:lang w:eastAsia="zh-CN"/>
                <w14:textFill>
                  <w14:solidFill>
                    <w14:schemeClr w14:val="tx1"/>
                  </w14:solidFill>
                </w14:textFill>
              </w:rPr>
              <w:t>。</w:t>
            </w:r>
          </w:p>
          <w:p w14:paraId="39F0B81E">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（2）供应商须通过</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制作电子投标文件，请供应商自行前往下载并安装（见广西壮族自治区政府采购网—办事服务—下载专区-广西政府采购云平台新版客户端）。</w:t>
            </w:r>
          </w:p>
          <w:p w14:paraId="56FFD593">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供应商应在投标文件提交截止时间前，通过广西政府采购云平台上完成电子投标文件的提交。投标文件需要补充或修改的应及时撤回投标文件，补充、修改后重新提交，提交投标文件截止时间前未完成提交（上传）的，视为撤回投标文件。</w:t>
            </w:r>
          </w:p>
          <w:p w14:paraId="0B98FBF5">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本项目不要求投标供应商到达开标现场，但供应商应派法定代表人或委托代理人准时在线出席电子开评标会议，在投标文件开启时，供应商须使用制作加密电子投标文件的CA证书登录“广西政府采购云平台”电子开标大厅按规定时间进行解密，如在开评标过程中有电子询标，应在规定的时间内对电子询标函进行澄清回复。</w:t>
            </w:r>
          </w:p>
          <w:p w14:paraId="44A7F66B">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（6）投标供应商可以提交经供应商客户端软件制作生成的电子备份投标文件（U盘或光盘存储），</w:t>
            </w:r>
            <w:r>
              <w:rPr>
                <w:rFonts w:hint="eastAsia" w:ascii="宋体" w:hAnsi="宋体" w:eastAsia="宋体"/>
                <w:b/>
                <w:bCs/>
                <w:color w:val="000000" w:themeColor="text1"/>
                <w:sz w:val="21"/>
                <w:szCs w:val="21"/>
                <w:highlight w:val="none"/>
                <w:lang w:eastAsia="zh-CN"/>
                <w14:textFill>
                  <w14:solidFill>
                    <w14:schemeClr w14:val="tx1"/>
                  </w14:solidFill>
                </w14:textFill>
              </w:rPr>
              <w:t>电子备份投标文件应当在投标文件提交截止时间前按要求密封（开标当天）直接送达钦州市公共资源交易中心开标厅或提前邮寄到广西龙建工程管理有限公司（地址：钦州市钦南区子材东大街8号奥林财富1号楼11层，联系人：龙工，电话：0777-3617888）</w:t>
            </w:r>
            <w:r>
              <w:rPr>
                <w:rFonts w:hint="eastAsia" w:ascii="宋体" w:hAnsi="宋体" w:eastAsia="宋体"/>
                <w:color w:val="000000" w:themeColor="text1"/>
                <w:sz w:val="21"/>
                <w:szCs w:val="21"/>
                <w:highlight w:val="none"/>
                <w:lang w:eastAsia="zh-CN"/>
                <w14:textFill>
                  <w14:solidFill>
                    <w14:schemeClr w14:val="tx1"/>
                  </w14:solidFill>
                </w14:textFill>
              </w:rPr>
              <w:t>，我公司拒收到付邮件，通过邮寄方式送达的，请合理安排邮寄时间，逾期送达或未按要求密封将被拒收。</w:t>
            </w:r>
          </w:p>
          <w:p w14:paraId="589F5FC6">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文件启用顺序和效力：投标文件的启用，按先后顺位分别为电子加密投标文件、电子备份投标文件。通过广西政府采购云平台上传递交的电子加密投标文件无法按时解密，供应商递交了电子备份投标文件的，以电子备份投标文件为依据，否则视为投标文件撤回。通过广西政府采购云平台上传递交的电子加密投标文件已按时解密的，电子备份投标文件自动失效。供应商仅递交电子备份投标文件的，其投标无效。</w:t>
            </w:r>
          </w:p>
          <w:p w14:paraId="114C4C72">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w:t>
            </w:r>
            <w:r>
              <w:rPr>
                <w:rFonts w:hint="eastAsia" w:ascii="宋体" w:eastAsia="宋体"/>
                <w:color w:val="000000" w:themeColor="text1"/>
                <w:sz w:val="21"/>
                <w:szCs w:val="21"/>
                <w:highlight w:val="none"/>
                <w:lang w:eastAsia="zh-CN"/>
                <w14:textFill>
                  <w14:solidFill>
                    <w14:schemeClr w14:val="tx1"/>
                  </w14:solidFill>
                </w14:textFill>
              </w:rPr>
              <w:t>因未通过广西政府采购云平台获取招标文件、未注册入库、未办理CA数字证书、CA证书故障、操作不当等原因造成无法投标或投标失败等后果由供应商自行承担</w:t>
            </w:r>
            <w:r>
              <w:rPr>
                <w:rFonts w:hint="eastAsia" w:ascii="宋体" w:hAnsi="宋体" w:eastAsia="宋体"/>
                <w:color w:val="000000" w:themeColor="text1"/>
                <w:sz w:val="21"/>
                <w:szCs w:val="21"/>
                <w:highlight w:val="none"/>
                <w:lang w:eastAsia="zh-CN"/>
                <w14:textFill>
                  <w14:solidFill>
                    <w14:schemeClr w14:val="tx1"/>
                  </w14:solidFill>
                </w14:textFill>
              </w:rPr>
              <w:t>。</w:t>
            </w:r>
          </w:p>
          <w:p w14:paraId="5ADDC4F3">
            <w:pPr>
              <w:pStyle w:val="55"/>
              <w:spacing w:before="0" w:after="0"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pacing w:val="0"/>
                <w:kern w:val="2"/>
                <w:sz w:val="21"/>
                <w:szCs w:val="21"/>
                <w:highlight w:val="none"/>
                <w:lang w:eastAsia="zh-CN"/>
                <w14:textFill>
                  <w14:solidFill>
                    <w14:schemeClr w14:val="tx1"/>
                  </w14:solidFill>
                </w14:textFill>
              </w:rPr>
              <w:t>（9）供应商需要在互联网网络状况良好的电脑登录使用“广西政府采购云平台”，为保证供应商在开标时进行</w:t>
            </w:r>
            <w:r>
              <w:rPr>
                <w:rFonts w:hint="eastAsia" w:hAnsi="宋体"/>
                <w:bCs w:val="0"/>
                <w:color w:val="000000" w:themeColor="text1"/>
                <w:spacing w:val="0"/>
                <w:kern w:val="2"/>
                <w:sz w:val="21"/>
                <w:szCs w:val="21"/>
                <w:highlight w:val="none"/>
                <w:lang w:eastAsia="zh-CN"/>
                <w14:textFill>
                  <w14:solidFill>
                    <w14:schemeClr w14:val="tx1"/>
                  </w14:solidFill>
                </w14:textFill>
              </w:rPr>
              <w:t>投标</w:t>
            </w:r>
            <w:r>
              <w:rPr>
                <w:rFonts w:hint="eastAsia" w:ascii="宋体" w:hAnsi="宋体" w:eastAsia="宋体"/>
                <w:bCs w:val="0"/>
                <w:color w:val="000000" w:themeColor="text1"/>
                <w:spacing w:val="0"/>
                <w:kern w:val="2"/>
                <w:sz w:val="21"/>
                <w:szCs w:val="21"/>
                <w:highlight w:val="none"/>
                <w:lang w:eastAsia="zh-CN"/>
                <w14:textFill>
                  <w14:solidFill>
                    <w14:schemeClr w14:val="tx1"/>
                  </w14:solidFill>
                </w14:textFill>
              </w:rPr>
              <w:t>文件解密的稳定性，建议供应商使用同一台电脑进行</w:t>
            </w:r>
            <w:r>
              <w:rPr>
                <w:rFonts w:hint="eastAsia" w:hAnsi="宋体"/>
                <w:bCs w:val="0"/>
                <w:color w:val="000000" w:themeColor="text1"/>
                <w:spacing w:val="0"/>
                <w:kern w:val="2"/>
                <w:sz w:val="21"/>
                <w:szCs w:val="21"/>
                <w:highlight w:val="none"/>
                <w:lang w:eastAsia="zh-CN"/>
                <w14:textFill>
                  <w14:solidFill>
                    <w14:schemeClr w14:val="tx1"/>
                  </w14:solidFill>
                </w14:textFill>
              </w:rPr>
              <w:t>投标</w:t>
            </w:r>
            <w:r>
              <w:rPr>
                <w:rFonts w:hint="eastAsia" w:ascii="宋体" w:hAnsi="宋体" w:eastAsia="宋体"/>
                <w:bCs w:val="0"/>
                <w:color w:val="000000" w:themeColor="text1"/>
                <w:spacing w:val="0"/>
                <w:kern w:val="2"/>
                <w:sz w:val="21"/>
                <w:szCs w:val="21"/>
                <w:highlight w:val="none"/>
                <w:lang w:eastAsia="zh-CN"/>
                <w14:textFill>
                  <w14:solidFill>
                    <w14:schemeClr w14:val="tx1"/>
                  </w14:solidFill>
                </w14:textFill>
              </w:rPr>
              <w:t>文件的编制、加密上传及开标解密。</w:t>
            </w:r>
          </w:p>
        </w:tc>
      </w:tr>
    </w:tbl>
    <w:p w14:paraId="0BD03320">
      <w:pPr>
        <w:pStyle w:val="21"/>
        <w:spacing w:line="360" w:lineRule="exact"/>
        <w:jc w:val="center"/>
        <w:outlineLvl w:val="0"/>
        <w:rPr>
          <w:rStyle w:val="62"/>
          <w:color w:val="000000" w:themeColor="text1"/>
          <w:sz w:val="32"/>
          <w:szCs w:val="32"/>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bookmarkStart w:id="32" w:name="_Toc29153"/>
      <w:bookmarkStart w:id="33" w:name="_Toc3459"/>
      <w:bookmarkStart w:id="34" w:name="_Toc14385"/>
      <w:bookmarkStart w:id="35" w:name="_Toc9579"/>
      <w:bookmarkStart w:id="36" w:name="_Toc26516"/>
      <w:bookmarkStart w:id="37" w:name="_Toc147250513"/>
      <w:bookmarkStart w:id="38" w:name="_Toc147250357"/>
      <w:bookmarkStart w:id="39" w:name="_Toc147250311"/>
      <w:r>
        <w:rPr>
          <w:rStyle w:val="62"/>
          <w:rFonts w:hint="eastAsia"/>
          <w:color w:val="000000" w:themeColor="text1"/>
          <w:sz w:val="32"/>
          <w:szCs w:val="32"/>
          <w:highlight w:val="none"/>
          <w14:textFill>
            <w14:solidFill>
              <w14:schemeClr w14:val="tx1"/>
            </w14:solidFill>
          </w14:textFill>
        </w:rPr>
        <w:t>投标须知正文部分</w:t>
      </w:r>
      <w:bookmarkEnd w:id="32"/>
      <w:bookmarkEnd w:id="33"/>
      <w:bookmarkEnd w:id="34"/>
      <w:bookmarkEnd w:id="35"/>
      <w:bookmarkEnd w:id="36"/>
    </w:p>
    <w:p w14:paraId="7171BA18">
      <w:pPr>
        <w:pStyle w:val="21"/>
        <w:spacing w:line="360" w:lineRule="exact"/>
        <w:jc w:val="center"/>
        <w:outlineLvl w:val="0"/>
        <w:rPr>
          <w:rFonts w:hAnsi="宋体"/>
          <w:b/>
          <w:color w:val="000000" w:themeColor="text1"/>
          <w:highlight w:val="none"/>
          <w14:textFill>
            <w14:solidFill>
              <w14:schemeClr w14:val="tx1"/>
            </w14:solidFill>
          </w14:textFill>
        </w:rPr>
      </w:pPr>
      <w:bookmarkStart w:id="40" w:name="_Toc27240"/>
      <w:bookmarkStart w:id="41" w:name="_Toc1306"/>
      <w:bookmarkStart w:id="42" w:name="_Toc28262"/>
      <w:bookmarkStart w:id="43" w:name="_Toc17015"/>
      <w:bookmarkStart w:id="44" w:name="_Toc24650"/>
      <w:r>
        <w:rPr>
          <w:rFonts w:hint="eastAsia" w:hAnsi="宋体"/>
          <w:b/>
          <w:color w:val="000000" w:themeColor="text1"/>
          <w:highlight w:val="none"/>
          <w14:textFill>
            <w14:solidFill>
              <w14:schemeClr w14:val="tx1"/>
            </w14:solidFill>
          </w14:textFill>
        </w:rPr>
        <w:t>一   总  则</w:t>
      </w:r>
      <w:bookmarkEnd w:id="37"/>
      <w:bookmarkEnd w:id="38"/>
      <w:bookmarkEnd w:id="39"/>
      <w:bookmarkEnd w:id="40"/>
      <w:bookmarkEnd w:id="41"/>
      <w:bookmarkEnd w:id="42"/>
      <w:bookmarkEnd w:id="43"/>
      <w:bookmarkEnd w:id="44"/>
    </w:p>
    <w:p w14:paraId="4E1904DF">
      <w:pPr>
        <w:pStyle w:val="21"/>
        <w:numPr>
          <w:ilvl w:val="0"/>
          <w:numId w:val="2"/>
        </w:numPr>
        <w:spacing w:line="360" w:lineRule="exact"/>
        <w:ind w:firstLine="422" w:firstLineChars="200"/>
        <w:outlineLvl w:val="1"/>
        <w:rPr>
          <w:rFonts w:hAnsi="宋体"/>
          <w:color w:val="000000" w:themeColor="text1"/>
          <w:highlight w:val="none"/>
          <w14:textFill>
            <w14:solidFill>
              <w14:schemeClr w14:val="tx1"/>
            </w14:solidFill>
          </w14:textFill>
        </w:rPr>
      </w:pPr>
      <w:bookmarkStart w:id="45" w:name="_Toc147250312"/>
      <w:bookmarkStart w:id="46" w:name="_Toc147250514"/>
      <w:bookmarkStart w:id="47" w:name="_Toc147250358"/>
      <w:r>
        <w:rPr>
          <w:rFonts w:hint="eastAsia" w:hAnsi="宋体"/>
          <w:b/>
          <w:color w:val="000000" w:themeColor="text1"/>
          <w:highlight w:val="none"/>
          <w14:textFill>
            <w14:solidFill>
              <w14:schemeClr w14:val="tx1"/>
            </w14:solidFill>
          </w14:textFill>
        </w:rPr>
        <w:t>项目名称</w:t>
      </w:r>
      <w:bookmarkEnd w:id="45"/>
      <w:bookmarkEnd w:id="46"/>
      <w:bookmarkEnd w:id="47"/>
      <w:r>
        <w:rPr>
          <w:rFonts w:hint="eastAsia" w:hAnsi="宋体"/>
          <w:b/>
          <w:color w:val="000000" w:themeColor="text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钦州市妇幼保健院高清腹腔镜系统等医疗设备采购</w:t>
      </w:r>
      <w:r>
        <w:rPr>
          <w:rFonts w:hint="eastAsia" w:hAnsi="宋体"/>
          <w:color w:val="000000" w:themeColor="text1"/>
          <w:highlight w:val="none"/>
          <w14:textFill>
            <w14:solidFill>
              <w14:schemeClr w14:val="tx1"/>
            </w14:solidFill>
          </w14:textFill>
        </w:rPr>
        <w:t>【项目编号：</w:t>
      </w:r>
      <w:bookmarkStart w:id="48" w:name="_Toc147250313"/>
      <w:bookmarkStart w:id="49" w:name="_Toc147250515"/>
      <w:bookmarkStart w:id="50" w:name="_Toc147250359"/>
      <w:r>
        <w:rPr>
          <w:rFonts w:hint="eastAsia" w:hAnsi="宋体" w:cs="宋体"/>
          <w:color w:val="000000" w:themeColor="text1"/>
          <w:szCs w:val="21"/>
          <w:highlight w:val="none"/>
          <w:lang w:eastAsia="zh-CN"/>
          <w14:textFill>
            <w14:solidFill>
              <w14:schemeClr w14:val="tx1"/>
            </w14:solidFill>
          </w14:textFill>
        </w:rPr>
        <w:t>QZZC2026-G1-990061-GXLJ</w:t>
      </w:r>
      <w:r>
        <w:rPr>
          <w:rFonts w:hint="eastAsia" w:hAnsi="宋体"/>
          <w:color w:val="000000" w:themeColor="text1"/>
          <w:highlight w:val="none"/>
          <w14:textFill>
            <w14:solidFill>
              <w14:schemeClr w14:val="tx1"/>
            </w14:solidFill>
          </w14:textFill>
        </w:rPr>
        <w:t>】</w:t>
      </w:r>
    </w:p>
    <w:p w14:paraId="3320BA70">
      <w:pPr>
        <w:pStyle w:val="21"/>
        <w:spacing w:line="360" w:lineRule="exact"/>
        <w:ind w:firstLine="422" w:firstLineChars="200"/>
        <w:outlineLvl w:val="1"/>
        <w:rPr>
          <w:rFonts w:ascii="Times New Roman" w:hAnsi="Times New Roman"/>
          <w:color w:val="000000" w:themeColor="text1"/>
          <w:szCs w:val="2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 xml:space="preserve">2. </w:t>
      </w:r>
      <w:bookmarkEnd w:id="48"/>
      <w:bookmarkEnd w:id="49"/>
      <w:bookmarkEnd w:id="50"/>
      <w:bookmarkStart w:id="51" w:name="_Toc147250314"/>
      <w:bookmarkStart w:id="52" w:name="_Toc147250360"/>
      <w:bookmarkStart w:id="53" w:name="_Toc147250516"/>
      <w:r>
        <w:rPr>
          <w:rFonts w:hint="eastAsia" w:hAnsi="宋体" w:cs="宋体"/>
          <w:b/>
          <w:color w:val="000000" w:themeColor="text1"/>
          <w:szCs w:val="21"/>
          <w:highlight w:val="none"/>
          <w14:textFill>
            <w14:solidFill>
              <w14:schemeClr w14:val="tx1"/>
            </w14:solidFill>
          </w14:textFill>
        </w:rPr>
        <w:t>申请人的资格要求：</w:t>
      </w:r>
    </w:p>
    <w:p w14:paraId="2D8E8778">
      <w:pPr>
        <w:spacing w:line="340" w:lineRule="exact"/>
        <w:ind w:left="416" w:leftChars="208"/>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2.1投标人的资格要求详见“投标人须知前附表”。</w:t>
      </w:r>
    </w:p>
    <w:p w14:paraId="29A8B65C">
      <w:pPr>
        <w:pStyle w:val="21"/>
        <w:spacing w:line="340" w:lineRule="exact"/>
        <w:ind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2.2</w:t>
      </w:r>
      <w:r>
        <w:rPr>
          <w:rFonts w:hint="eastAsia" w:ascii="宋体" w:hAnsi="宋体" w:eastAsia="宋体" w:cs="宋体"/>
          <w:color w:val="000000" w:themeColor="text1"/>
          <w:kern w:val="0"/>
          <w:szCs w:val="21"/>
          <w:highlight w:val="none"/>
          <w14:textFill>
            <w14:solidFill>
              <w14:schemeClr w14:val="tx1"/>
            </w14:solidFill>
          </w14:textFill>
        </w:rPr>
        <w:t>投标人出现下列情形之一的，不得参加政府采购活动：</w:t>
      </w:r>
    </w:p>
    <w:p w14:paraId="21B8EE0A">
      <w:pPr>
        <w:pStyle w:val="21"/>
        <w:spacing w:line="340" w:lineRule="exact"/>
        <w:ind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B97054">
      <w:pPr>
        <w:pStyle w:val="33"/>
        <w:spacing w:before="0" w:beforeAutospacing="0" w:after="0" w:afterAutospacing="0" w:line="380" w:lineRule="atLeast"/>
        <w:ind w:firstLine="420" w:firstLineChars="20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E45BF89">
      <w:pPr>
        <w:pStyle w:val="21"/>
        <w:spacing w:line="360" w:lineRule="exact"/>
        <w:ind w:firstLine="422" w:firstLineChars="200"/>
        <w:outlineLvl w:val="1"/>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3. 投标费用</w:t>
      </w:r>
      <w:bookmarkEnd w:id="51"/>
      <w:bookmarkEnd w:id="52"/>
      <w:bookmarkEnd w:id="53"/>
    </w:p>
    <w:p w14:paraId="3793B291">
      <w:pPr>
        <w:pStyle w:val="21"/>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3.1投标人应自行承担所有与本次投标有关的全部费用。</w:t>
      </w:r>
    </w:p>
    <w:p w14:paraId="1B929417">
      <w:pPr>
        <w:pStyle w:val="21"/>
        <w:tabs>
          <w:tab w:val="left" w:pos="6817"/>
        </w:tabs>
        <w:spacing w:line="288" w:lineRule="auto"/>
        <w:ind w:firstLine="3162" w:firstLineChars="1500"/>
        <w:jc w:val="left"/>
        <w:rPr>
          <w:rFonts w:hAnsi="宋体"/>
          <w:b/>
          <w:color w:val="000000" w:themeColor="text1"/>
          <w:highlight w:val="none"/>
          <w14:textFill>
            <w14:solidFill>
              <w14:schemeClr w14:val="tx1"/>
            </w14:solidFill>
          </w14:textFill>
        </w:rPr>
      </w:pPr>
      <w:bookmarkStart w:id="54" w:name="_Toc147250315"/>
      <w:bookmarkStart w:id="55" w:name="_Toc147250517"/>
      <w:bookmarkStart w:id="56" w:name="_Toc147250361"/>
    </w:p>
    <w:p w14:paraId="54B715D2">
      <w:pPr>
        <w:pStyle w:val="21"/>
        <w:tabs>
          <w:tab w:val="left" w:pos="6817"/>
        </w:tabs>
        <w:spacing w:line="288" w:lineRule="auto"/>
        <w:ind w:firstLine="3795" w:firstLineChars="1800"/>
        <w:jc w:val="left"/>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    招标文件</w:t>
      </w:r>
      <w:bookmarkEnd w:id="54"/>
      <w:bookmarkEnd w:id="55"/>
      <w:bookmarkEnd w:id="56"/>
    </w:p>
    <w:p w14:paraId="3F3CE7B7">
      <w:pPr>
        <w:pStyle w:val="21"/>
        <w:wordWrap w:val="0"/>
        <w:topLinePunct/>
        <w:spacing w:line="360" w:lineRule="exact"/>
        <w:ind w:firstLine="422" w:firstLineChars="200"/>
        <w:jc w:val="left"/>
        <w:outlineLvl w:val="1"/>
        <w:rPr>
          <w:rFonts w:hAnsi="宋体"/>
          <w:color w:val="000000" w:themeColor="text1"/>
          <w:highlight w:val="none"/>
          <w14:textFill>
            <w14:solidFill>
              <w14:schemeClr w14:val="tx1"/>
            </w14:solidFill>
          </w14:textFill>
        </w:rPr>
      </w:pPr>
      <w:bookmarkStart w:id="57" w:name="_Toc147250518"/>
      <w:bookmarkStart w:id="58" w:name="_Toc147250316"/>
      <w:bookmarkStart w:id="59" w:name="_Toc147250362"/>
      <w:r>
        <w:rPr>
          <w:rFonts w:hint="eastAsia" w:hAnsi="宋体"/>
          <w:b/>
          <w:color w:val="000000" w:themeColor="text1"/>
          <w:highlight w:val="none"/>
          <w14:textFill>
            <w14:solidFill>
              <w14:schemeClr w14:val="tx1"/>
            </w14:solidFill>
          </w14:textFill>
        </w:rPr>
        <w:t>4.招标文件构成</w:t>
      </w:r>
      <w:bookmarkEnd w:id="57"/>
      <w:bookmarkEnd w:id="58"/>
      <w:bookmarkEnd w:id="59"/>
    </w:p>
    <w:p w14:paraId="27772BF7">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4.1招标文件包括：</w:t>
      </w:r>
    </w:p>
    <w:p w14:paraId="4625F088">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⑴招标公告</w:t>
      </w:r>
    </w:p>
    <w:p w14:paraId="44389FDE">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⑵投标须知及前附表；</w:t>
      </w:r>
    </w:p>
    <w:p w14:paraId="0ED8EE21">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⑶货物需求一览表；</w:t>
      </w:r>
    </w:p>
    <w:p w14:paraId="208BFB3C">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⑷合同基本条款及合同书(格式)；</w:t>
      </w:r>
    </w:p>
    <w:p w14:paraId="6779F196">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⑸评标办法；</w:t>
      </w:r>
    </w:p>
    <w:p w14:paraId="22DBECE5">
      <w:pPr>
        <w:pStyle w:val="21"/>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⑹投标文件</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格式</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w:t>
      </w:r>
    </w:p>
    <w:p w14:paraId="3AFD0286">
      <w:pPr>
        <w:pStyle w:val="21"/>
        <w:wordWrap w:val="0"/>
        <w:topLinePunct/>
        <w:spacing w:line="360" w:lineRule="exact"/>
        <w:ind w:firstLine="422" w:firstLineChars="200"/>
        <w:rPr>
          <w:rFonts w:hAnsi="宋体"/>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5.招标文件的澄清和修改</w:t>
      </w:r>
    </w:p>
    <w:p w14:paraId="5DD8E025">
      <w:pPr>
        <w:pStyle w:val="21"/>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5.1投标人要认真审核《货物需求一览表》中的技术参数、配置及要求，如发现表中技术参数、配置有误或要求不合理的，投标人必须在投标前要求澄清，否则，由此产生的后果由投标人负责</w:t>
      </w:r>
      <w:r>
        <w:rPr>
          <w:rFonts w:hint="eastAsia" w:hAnsi="宋体"/>
          <w:b/>
          <w:bCs/>
          <w:color w:val="000000" w:themeColor="text1"/>
          <w:highlight w:val="none"/>
          <w14:textFill>
            <w14:solidFill>
              <w14:schemeClr w14:val="tx1"/>
            </w14:solidFill>
          </w14:textFill>
        </w:rPr>
        <w:t>。</w:t>
      </w:r>
    </w:p>
    <w:p w14:paraId="58BFF123">
      <w:pPr>
        <w:pStyle w:val="21"/>
        <w:wordWrap w:val="0"/>
        <w:topLinePunct/>
        <w:spacing w:line="360" w:lineRule="exact"/>
        <w:ind w:firstLine="42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5.2任何要求澄清招标文件的投标人，均应在</w:t>
      </w:r>
      <w:r>
        <w:rPr>
          <w:color w:val="000000" w:themeColor="text1"/>
          <w:szCs w:val="21"/>
          <w:highlight w:val="none"/>
          <w14:textFill>
            <w14:solidFill>
              <w14:schemeClr w14:val="tx1"/>
            </w14:solidFill>
          </w14:textFill>
        </w:rPr>
        <w:t>投标截止时间15天前</w:t>
      </w:r>
      <w:r>
        <w:rPr>
          <w:rFonts w:hint="eastAsia" w:hAnsi="宋体"/>
          <w:color w:val="000000" w:themeColor="text1"/>
          <w:highlight w:val="none"/>
          <w14:textFill>
            <w14:solidFill>
              <w14:schemeClr w14:val="tx1"/>
            </w14:solidFill>
          </w14:textFill>
        </w:rPr>
        <w:t>以传真等书面形式通知采购代理机构，同时认定其他澄清方式为无效。采购代理机构将以书面形式予以答复。</w:t>
      </w:r>
    </w:p>
    <w:p w14:paraId="7BA676E1">
      <w:pPr>
        <w:pStyle w:val="21"/>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5.3采购代理机构对已发出的招标文件进行修改的，在招标文件要求提交投标文件截止时间</w:t>
      </w:r>
      <w:r>
        <w:rPr>
          <w:rFonts w:hint="eastAsia" w:hAnsi="宋体"/>
          <w:color w:val="000000" w:themeColor="text1"/>
          <w:highlight w:val="none"/>
          <w:u w:val="single"/>
          <w14:textFill>
            <w14:solidFill>
              <w14:schemeClr w14:val="tx1"/>
            </w14:solidFill>
          </w14:textFill>
        </w:rPr>
        <w:t>15日</w:t>
      </w:r>
      <w:r>
        <w:rPr>
          <w:rFonts w:hint="eastAsia" w:hAnsi="宋体"/>
          <w:color w:val="000000" w:themeColor="text1"/>
          <w:highlight w:val="none"/>
          <w14:textFill>
            <w14:solidFill>
              <w14:schemeClr w14:val="tx1"/>
            </w14:solidFill>
          </w14:textFill>
        </w:rPr>
        <w:t>前，在</w:t>
      </w:r>
      <w:r>
        <w:rPr>
          <w:rFonts w:hint="eastAsia" w:hAnsi="Times New Roman" w:cs="宋体"/>
          <w:color w:val="000000" w:themeColor="text1"/>
          <w:szCs w:val="21"/>
          <w:highlight w:val="none"/>
          <w14:textFill>
            <w14:solidFill>
              <w14:schemeClr w14:val="tx1"/>
            </w14:solidFill>
          </w14:textFill>
        </w:rPr>
        <w:t>中国政府采购网（www.ccgp.gov.cn）、广西壮族自治区政府采购网（zfcg.gxzf.gov.cn）、钦州市公共资源交易中心（http://ggzyjy.qinzhou.gov.cn）、龙建公司网</w:t>
      </w:r>
      <w:r>
        <w:rPr>
          <w:rFonts w:hint="eastAsia" w:hAnsi="宋体"/>
          <w:color w:val="000000" w:themeColor="text1"/>
          <w:highlight w:val="none"/>
          <w14:textFill>
            <w14:solidFill>
              <w14:schemeClr w14:val="tx1"/>
            </w14:solidFill>
          </w14:textFill>
        </w:rPr>
        <w:t>上发布更正公告，并以书面形式通知所有招标文件收受人。该澄清或修改的内容为招标文件的组成部分。</w:t>
      </w:r>
    </w:p>
    <w:p w14:paraId="1AFC0AF0">
      <w:pPr>
        <w:pStyle w:val="21"/>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5.4采购代理机构可视具体情况，延长投标截止时间和开标时间，采购代理机构至少在招标文件要求提交投标文件截止时间</w:t>
      </w:r>
      <w:r>
        <w:rPr>
          <w:rFonts w:hint="eastAsia" w:hAnsi="宋体"/>
          <w:color w:val="000000" w:themeColor="text1"/>
          <w:highlight w:val="none"/>
          <w:u w:val="single"/>
          <w14:textFill>
            <w14:solidFill>
              <w14:schemeClr w14:val="tx1"/>
            </w14:solidFill>
          </w14:textFill>
        </w:rPr>
        <w:t>3日</w:t>
      </w:r>
      <w:r>
        <w:rPr>
          <w:rFonts w:hint="eastAsia" w:hAnsi="宋体"/>
          <w:color w:val="000000" w:themeColor="text1"/>
          <w:highlight w:val="none"/>
          <w14:textFill>
            <w14:solidFill>
              <w14:schemeClr w14:val="tx1"/>
            </w14:solidFill>
          </w14:textFill>
        </w:rPr>
        <w:t>前，将变更时间书面通知所有招标文件收受人，并在</w:t>
      </w:r>
      <w:r>
        <w:rPr>
          <w:rFonts w:hint="eastAsia" w:hAnsi="Times New Roman" w:cs="宋体"/>
          <w:color w:val="000000" w:themeColor="text1"/>
          <w:szCs w:val="21"/>
          <w:highlight w:val="none"/>
          <w14:textFill>
            <w14:solidFill>
              <w14:schemeClr w14:val="tx1"/>
            </w14:solidFill>
          </w14:textFill>
        </w:rPr>
        <w:t>中国政府采购网（www.ccgp.gov.cn）、广西壮族自治区政府采购网（zfcg.gxzf.gov.cn）、钦州市公共资源交易中心（http://ggzyjy.qinzhou.gov.cn）、龙建公司网</w:t>
      </w:r>
      <w:r>
        <w:rPr>
          <w:rFonts w:hint="eastAsia" w:hAnsi="宋体"/>
          <w:color w:val="000000" w:themeColor="text1"/>
          <w:highlight w:val="none"/>
          <w14:textFill>
            <w14:solidFill>
              <w14:schemeClr w14:val="tx1"/>
            </w14:solidFill>
          </w14:textFill>
        </w:rPr>
        <w:t>上发布更正公告并以书面形式通知所有招标文件收受人。该澄清或者修改的内容为招标文件的组成部分。</w:t>
      </w:r>
    </w:p>
    <w:p w14:paraId="2F9C5295">
      <w:pPr>
        <w:pStyle w:val="21"/>
        <w:tabs>
          <w:tab w:val="left" w:pos="455"/>
        </w:tabs>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5.5请投标人接到电话通知后到采购代理机构处领取以上澄清答复（或补充通知），或在网上查询，不用传真方式发出，如在电话通知后24小时内不上门领取的，则视为已在网上查询收到。该澄清或修改的内容为招标文件的组成部分。投标人在每一次收到澄清答复或补充通知后应立即以书面形式通知采购代理机构，确认已收到该澄清答复或补充通知。否则，由此造成的一切后果由投标人承担。</w:t>
      </w:r>
    </w:p>
    <w:p w14:paraId="05A2A0C1">
      <w:pPr>
        <w:pStyle w:val="21"/>
        <w:spacing w:line="288" w:lineRule="auto"/>
        <w:rPr>
          <w:rFonts w:hAnsi="宋体"/>
          <w:color w:val="000000" w:themeColor="text1"/>
          <w:highlight w:val="none"/>
          <w14:textFill>
            <w14:solidFill>
              <w14:schemeClr w14:val="tx1"/>
            </w14:solidFill>
          </w14:textFill>
        </w:rPr>
      </w:pPr>
    </w:p>
    <w:p w14:paraId="140D3685">
      <w:pPr>
        <w:pStyle w:val="21"/>
        <w:spacing w:line="288" w:lineRule="auto"/>
        <w:jc w:val="center"/>
        <w:outlineLvl w:val="0"/>
        <w:rPr>
          <w:rFonts w:hAnsi="宋体"/>
          <w:b/>
          <w:color w:val="000000" w:themeColor="text1"/>
          <w:highlight w:val="none"/>
          <w14:textFill>
            <w14:solidFill>
              <w14:schemeClr w14:val="tx1"/>
            </w14:solidFill>
          </w14:textFill>
        </w:rPr>
      </w:pPr>
      <w:bookmarkStart w:id="60" w:name="_Toc25778"/>
      <w:bookmarkStart w:id="61" w:name="_Toc8387"/>
      <w:bookmarkStart w:id="62" w:name="_Toc147250519"/>
      <w:bookmarkStart w:id="63" w:name="_Toc18468"/>
      <w:bookmarkStart w:id="64" w:name="_Toc10543"/>
      <w:bookmarkStart w:id="65" w:name="_Toc306"/>
      <w:bookmarkStart w:id="66" w:name="_Toc147250363"/>
      <w:bookmarkStart w:id="67" w:name="_Toc147250317"/>
      <w:r>
        <w:rPr>
          <w:rFonts w:hint="eastAsia" w:hAnsi="宋体"/>
          <w:b/>
          <w:color w:val="000000" w:themeColor="text1"/>
          <w:highlight w:val="none"/>
          <w14:textFill>
            <w14:solidFill>
              <w14:schemeClr w14:val="tx1"/>
            </w14:solidFill>
          </w14:textFill>
        </w:rPr>
        <w:t>三    投标文件的编制</w:t>
      </w:r>
      <w:bookmarkEnd w:id="60"/>
      <w:bookmarkEnd w:id="61"/>
      <w:bookmarkEnd w:id="62"/>
      <w:bookmarkEnd w:id="63"/>
      <w:bookmarkEnd w:id="64"/>
      <w:bookmarkEnd w:id="65"/>
      <w:bookmarkEnd w:id="66"/>
      <w:bookmarkEnd w:id="67"/>
    </w:p>
    <w:p w14:paraId="16B05D1C">
      <w:pPr>
        <w:wordWrap w:val="0"/>
        <w:topLinePunct/>
        <w:adjustRightInd w:val="0"/>
        <w:snapToGrid w:val="0"/>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bookmarkStart w:id="68" w:name="_Toc254970677"/>
      <w:bookmarkStart w:id="69" w:name="_Toc254970536"/>
      <w:bookmarkStart w:id="70" w:name="_Toc147250375"/>
      <w:bookmarkStart w:id="71" w:name="_Toc147250531"/>
      <w:bookmarkStart w:id="72" w:name="_Toc147250329"/>
      <w:r>
        <w:rPr>
          <w:rFonts w:hint="eastAsia" w:ascii="宋体" w:hAnsi="宋体" w:eastAsia="宋体"/>
          <w:b/>
          <w:color w:val="000000" w:themeColor="text1"/>
          <w:sz w:val="21"/>
          <w:szCs w:val="21"/>
          <w:highlight w:val="none"/>
          <w:lang w:eastAsia="zh-CN"/>
          <w14:textFill>
            <w14:solidFill>
              <w14:schemeClr w14:val="tx1"/>
            </w14:solidFill>
          </w14:textFill>
        </w:rPr>
        <w:t>6.投标文件的组成</w:t>
      </w:r>
      <w:bookmarkEnd w:id="68"/>
      <w:bookmarkEnd w:id="69"/>
    </w:p>
    <w:p w14:paraId="4760A05A">
      <w:pPr>
        <w:wordWrap w:val="0"/>
        <w:topLinePunct/>
        <w:adjustRightInd w:val="0"/>
        <w:snapToGrid w:val="0"/>
        <w:spacing w:line="360" w:lineRule="exact"/>
        <w:ind w:firstLine="422"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6.1</w:t>
      </w:r>
      <w:r>
        <w:rPr>
          <w:rFonts w:hint="eastAsia" w:ascii="宋体" w:hAnsi="宋体" w:eastAsia="宋体"/>
          <w:color w:val="000000" w:themeColor="text1"/>
          <w:sz w:val="21"/>
          <w:szCs w:val="21"/>
          <w:highlight w:val="none"/>
          <w:lang w:eastAsia="zh-CN"/>
          <w14:textFill>
            <w14:solidFill>
              <w14:schemeClr w14:val="tx1"/>
            </w14:solidFill>
          </w14:textFill>
        </w:rPr>
        <w:t>投标文件由资格文件、报价文件、商务技术文件</w:t>
      </w:r>
      <w:r>
        <w:rPr>
          <w:rFonts w:hint="eastAsia" w:ascii="宋体" w:hAnsi="宋体" w:eastAsia="宋体"/>
          <w:b/>
          <w:bCs/>
          <w:color w:val="000000" w:themeColor="text1"/>
          <w:sz w:val="21"/>
          <w:szCs w:val="21"/>
          <w:highlight w:val="none"/>
          <w:lang w:eastAsia="zh-CN"/>
          <w14:textFill>
            <w14:solidFill>
              <w14:schemeClr w14:val="tx1"/>
            </w14:solidFill>
          </w14:textFill>
        </w:rPr>
        <w:t>三部分</w:t>
      </w:r>
      <w:r>
        <w:rPr>
          <w:rFonts w:hint="eastAsia" w:ascii="宋体" w:hAnsi="宋体" w:eastAsia="宋体"/>
          <w:color w:val="000000" w:themeColor="text1"/>
          <w:sz w:val="21"/>
          <w:szCs w:val="21"/>
          <w:highlight w:val="none"/>
          <w:lang w:eastAsia="zh-CN"/>
          <w14:textFill>
            <w14:solidFill>
              <w14:schemeClr w14:val="tx1"/>
            </w14:solidFill>
          </w14:textFill>
        </w:rPr>
        <w:t>组成，投标人应根据各部分要求独立编制。并按下列顺序自编目录及页码（注明“必须提供”部分为必须提供的材料，否则投标无效）：</w:t>
      </w:r>
    </w:p>
    <w:p w14:paraId="7839FEF8">
      <w:pPr>
        <w:wordWrap w:val="0"/>
        <w:topLinePunct/>
        <w:adjustRightInd w:val="0"/>
        <w:snapToGrid w:val="0"/>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6.2资格文件：</w:t>
      </w:r>
    </w:p>
    <w:p w14:paraId="113E6BD1">
      <w:pPr>
        <w:wordWrap w:val="0"/>
        <w:overflowPunct w:val="0"/>
        <w:topLinePunct/>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（1）投标人为法人或者其他组织的，提供营业执照等证明文件（如营业执照或者事业单位法人证书或者执业许可证等），投标人为自然人的，提供身份证复印件；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69737555">
      <w:pPr>
        <w:wordWrap w:val="0"/>
        <w:overflowPunct w:val="0"/>
        <w:topLinePunct/>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（2）投标人依法缴纳税收的相关材料（2025年</w:t>
      </w:r>
      <w:r>
        <w:rPr>
          <w:rFonts w:hint="eastAsia" w:ascii="宋体" w:hAnsi="宋体" w:eastAsia="宋体"/>
          <w:color w:val="000000" w:themeColor="text1"/>
          <w:sz w:val="21"/>
          <w:szCs w:val="21"/>
          <w:highlight w:val="none"/>
          <w:lang w:val="en-US" w:eastAsia="zh-CN"/>
          <w14:textFill>
            <w14:solidFill>
              <w14:schemeClr w14:val="tx1"/>
            </w14:solidFill>
          </w14:textFill>
        </w:rPr>
        <w:t>9</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286C24C7">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（3）投标人依法缴纳社会保障资金的相关材料[2025年</w:t>
      </w:r>
      <w:r>
        <w:rPr>
          <w:rFonts w:hint="eastAsia" w:ascii="宋体" w:hAnsi="宋体" w:eastAsia="宋体"/>
          <w:color w:val="000000" w:themeColor="text1"/>
          <w:sz w:val="21"/>
          <w:szCs w:val="21"/>
          <w:highlight w:val="none"/>
          <w:lang w:val="en-US" w:eastAsia="zh-CN"/>
          <w14:textFill>
            <w14:solidFill>
              <w14:schemeClr w14:val="tx1"/>
            </w14:solidFill>
          </w14:textFill>
        </w:rPr>
        <w:t>9</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（必须提供，否则作无效投标处理）   </w:t>
      </w:r>
    </w:p>
    <w:p w14:paraId="06BB3C4A">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（4）供应商财务状况报告[2024或</w:t>
      </w:r>
      <w:r>
        <w:rPr>
          <w:rFonts w:hint="eastAsia" w:ascii="宋体" w:hAnsi="宋体" w:eastAsia="宋体"/>
          <w:color w:val="000000" w:themeColor="text1"/>
          <w:sz w:val="21"/>
          <w:szCs w:val="21"/>
          <w:highlight w:val="none"/>
          <w:lang w:val="en-US" w:eastAsia="zh-CN"/>
          <w14:textFill>
            <w14:solidFill>
              <w14:schemeClr w14:val="tx1"/>
            </w14:solidFill>
          </w14:textFill>
        </w:rPr>
        <w:t>2025</w:t>
      </w:r>
      <w:r>
        <w:rPr>
          <w:rFonts w:hint="eastAsia" w:ascii="宋体" w:hAnsi="宋体" w:eastAsia="宋体"/>
          <w:color w:val="000000" w:themeColor="text1"/>
          <w:sz w:val="21"/>
          <w:szCs w:val="21"/>
          <w:highlight w:val="none"/>
          <w:lang w:eastAsia="zh-CN"/>
          <w14:textFill>
            <w14:solidFill>
              <w14:schemeClr w14:val="tx1"/>
            </w14:solidFill>
          </w14:textFill>
        </w:rPr>
        <w:t>年度财务状况报告复印件，供应商是法人的，应提供财务状况报告（包括资产负债表、利润表、现金流量表）或者其基本开户银行出具的资信证明（注明有效期的，应在有效期内；未注明有效期的，出具时间至投标截止时间不超过一年）；供应商是其他组织或者自然人的，应提供财务状况报告（包括资产负债表、利润表、现金流量表，)或者银行出具的资信证明（注明有效期的，应在有效期内；未注明有效期的，出具时间至投标截止时间不超过一年）]；</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6592284D">
      <w:pPr>
        <w:adjustRightInd w:val="0"/>
        <w:snapToGrid w:val="0"/>
        <w:spacing w:line="360" w:lineRule="exact"/>
        <w:ind w:firstLine="422"/>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（5）投标声明函（格式后附）；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0A023E26">
      <w:pPr>
        <w:adjustRightInd w:val="0"/>
        <w:snapToGrid w:val="0"/>
        <w:spacing w:line="360" w:lineRule="exact"/>
        <w:ind w:firstLine="422"/>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（6）投标人股东及出资信息表、管理关系信息表（格式后附）；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3502CFAF">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（7）投标人有效的医疗器械生产许可证或有效的医疗器械经营备案凭证或许可证原件扫描件或复印件；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(必须提供，否则按无效投标处理）</w:t>
      </w:r>
    </w:p>
    <w:p w14:paraId="35C4A3E4">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（8）投标人所投设备有效医疗器械注册证原件扫描件或复印件；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(如涉及2类、3类医疗器械时必须提供，1类医疗器械如有请提供，不涉及医疗器械不提供，否则作无效投标处理)</w:t>
      </w:r>
    </w:p>
    <w:p w14:paraId="44847A0C">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w:t>
      </w:r>
      <w:r>
        <w:rPr>
          <w:rFonts w:hint="eastAsia" w:hAnsi="宋体"/>
          <w:color w:val="000000" w:themeColor="text1"/>
          <w:sz w:val="21"/>
          <w:szCs w:val="21"/>
          <w:highlight w:val="none"/>
          <w:lang w:eastAsia="zh-CN"/>
          <w14:textFill>
            <w14:solidFill>
              <w14:schemeClr w14:val="tx1"/>
            </w14:solidFill>
          </w14:textFill>
        </w:rPr>
        <w:t>投标保证金缴纳</w:t>
      </w:r>
      <w:r>
        <w:rPr>
          <w:rFonts w:hint="eastAsia" w:hAnsi="宋体" w:eastAsia="宋体"/>
          <w:color w:val="000000" w:themeColor="text1"/>
          <w:sz w:val="21"/>
          <w:szCs w:val="21"/>
          <w:highlight w:val="none"/>
          <w:lang w:eastAsia="zh-CN"/>
          <w14:textFill>
            <w14:solidFill>
              <w14:schemeClr w14:val="tx1"/>
            </w14:solidFill>
          </w14:textFill>
        </w:rPr>
        <w:t>证明材料</w:t>
      </w:r>
      <w:r>
        <w:rPr>
          <w:rFonts w:hint="eastAsia" w:hAnsi="宋体" w:eastAsia="宋体"/>
          <w:color w:val="000000" w:themeColor="text1"/>
          <w:szCs w:val="21"/>
          <w:highlight w:val="none"/>
          <w:lang w:eastAsia="zh-CN"/>
          <w14:textFill>
            <w14:solidFill>
              <w14:schemeClr w14:val="tx1"/>
            </w14:solidFill>
          </w14:textFill>
        </w:rPr>
        <w:t>；</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0ED4F9DE">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（10）除招标文件规定必须提供以外，投标人认为需要提供的其他证明材料。</w:t>
      </w:r>
    </w:p>
    <w:p w14:paraId="08999F08">
      <w:pPr>
        <w:wordWrap w:val="0"/>
        <w:overflowPunct w:val="0"/>
        <w:topLinePunct/>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6.3报价文件：</w:t>
      </w:r>
    </w:p>
    <w:p w14:paraId="59821CF2">
      <w:pPr>
        <w:tabs>
          <w:tab w:val="left" w:pos="1276"/>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（1）投标函</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346609F7">
      <w:pPr>
        <w:tabs>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（2）开标一览表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5532ED46">
      <w:pPr>
        <w:tabs>
          <w:tab w:val="left" w:pos="3870"/>
          <w:tab w:val="left" w:pos="4085"/>
        </w:tabs>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（3）投标报价明细表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14:paraId="2D47A54B">
      <w:pPr>
        <w:pStyle w:val="55"/>
        <w:wordWrap w:val="0"/>
        <w:overflowPunct w:val="0"/>
        <w:topLinePunct/>
        <w:ind w:firstLine="460" w:firstLineChars="200"/>
        <w:rPr>
          <w:color w:val="000000" w:themeColor="text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（4）投标人针对报价需要说明的其他文件和说明</w:t>
      </w:r>
      <w:r>
        <w:rPr>
          <w:rFonts w:hint="eastAsia" w:ascii="宋体" w:hAnsi="宋体" w:eastAsia="宋体"/>
          <w:b/>
          <w:bCs w:val="0"/>
          <w:color w:val="000000" w:themeColor="text1"/>
          <w:sz w:val="21"/>
          <w:szCs w:val="21"/>
          <w:highlight w:val="none"/>
          <w:lang w:eastAsia="zh-CN"/>
          <w14:textFill>
            <w14:solidFill>
              <w14:schemeClr w14:val="tx1"/>
            </w14:solidFill>
          </w14:textFill>
        </w:rPr>
        <w:t>（格式自拟）</w:t>
      </w:r>
      <w:r>
        <w:rPr>
          <w:rFonts w:hint="eastAsia" w:ascii="宋体" w:hAnsi="宋体" w:eastAsia="宋体"/>
          <w:color w:val="000000" w:themeColor="text1"/>
          <w:sz w:val="21"/>
          <w:szCs w:val="21"/>
          <w:highlight w:val="none"/>
          <w:lang w:eastAsia="zh-CN"/>
          <w14:textFill>
            <w14:solidFill>
              <w14:schemeClr w14:val="tx1"/>
            </w14:solidFill>
          </w14:textFill>
        </w:rPr>
        <w:t>；</w:t>
      </w:r>
    </w:p>
    <w:p w14:paraId="1CCCF550">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6.4商务技术文件</w:t>
      </w:r>
    </w:p>
    <w:p w14:paraId="1210D845">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6.4.1商务文件</w:t>
      </w:r>
    </w:p>
    <w:p w14:paraId="09A21E74">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（1）无串通投标行为的承诺函 </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79835021">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（2）法定代表人资格证明书及身份证复印件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p>
    <w:p w14:paraId="5E88F1E7">
      <w:pPr>
        <w:wordWrap w:val="0"/>
        <w:topLinePunct/>
        <w:adjustRightInd w:val="0"/>
        <w:snapToGrid w:val="0"/>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（3）法定代表人授权委托书和委托代理人身份证复印件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（格式见第六章，委托代理时必须提供）；</w:t>
      </w:r>
    </w:p>
    <w:p w14:paraId="085ABA73">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（4）商务响应表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5E13BE73">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（5）产品代理资格证复印件或针对本项目的授权书证明文件；</w:t>
      </w:r>
    </w:p>
    <w:p w14:paraId="10B2A5AD">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（6）招标项目采购需求中要求必须提供的材料</w:t>
      </w:r>
      <w:r>
        <w:rPr>
          <w:rFonts w:hint="eastAsia" w:ascii="宋体" w:hAnsi="宋体" w:eastAsia="宋体"/>
          <w:b w:val="0"/>
          <w:bCs w:val="0"/>
          <w:color w:val="000000" w:themeColor="text1"/>
          <w:sz w:val="21"/>
          <w:szCs w:val="21"/>
          <w:highlight w:val="none"/>
          <w:lang w:eastAsia="zh-CN"/>
          <w14:textFill>
            <w14:solidFill>
              <w14:schemeClr w14:val="tx1"/>
            </w14:solidFill>
          </w14:textFill>
        </w:rPr>
        <w:t>；</w:t>
      </w:r>
    </w:p>
    <w:p w14:paraId="2579EF02">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（7）投标人认为可以证明其能力或业绩的其他材料</w:t>
      </w:r>
      <w:r>
        <w:rPr>
          <w:rFonts w:hint="eastAsia" w:ascii="宋体" w:hAnsi="宋体" w:eastAsia="宋体"/>
          <w:b w:val="0"/>
          <w:bCs w:val="0"/>
          <w:color w:val="000000" w:themeColor="text1"/>
          <w:sz w:val="21"/>
          <w:szCs w:val="21"/>
          <w:highlight w:val="none"/>
          <w:lang w:eastAsia="zh-CN"/>
          <w14:textFill>
            <w14:solidFill>
              <w14:schemeClr w14:val="tx1"/>
            </w14:solidFill>
          </w14:textFill>
        </w:rPr>
        <w:t>。</w:t>
      </w:r>
    </w:p>
    <w:p w14:paraId="71FA43AA">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6.4.2技术文件</w:t>
      </w:r>
    </w:p>
    <w:p w14:paraId="67939A06">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（1）技术响应表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52F0C7C0">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（2）项目实施方案（供应商应根据评标办法及评分标准提供，格式自拟）；</w:t>
      </w:r>
    </w:p>
    <w:p w14:paraId="1D651168">
      <w:pPr>
        <w:wordWrap w:val="0"/>
        <w:topLinePunct/>
        <w:adjustRightInd w:val="0"/>
        <w:snapToGrid w:val="0"/>
        <w:spacing w:line="360" w:lineRule="exact"/>
        <w:ind w:firstLine="420" w:firstLineChars="200"/>
        <w:jc w:val="left"/>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w:t>
      </w:r>
      <w:r>
        <w:rPr>
          <w:rFonts w:hint="eastAsia" w:ascii="宋体" w:hAnsi="宋体" w:eastAsia="宋体"/>
          <w:b w:val="0"/>
          <w:color w:val="000000" w:themeColor="text1"/>
          <w:sz w:val="21"/>
          <w:szCs w:val="21"/>
          <w:highlight w:val="none"/>
          <w:lang w:eastAsia="zh-CN"/>
          <w14:textFill>
            <w14:solidFill>
              <w14:schemeClr w14:val="tx1"/>
            </w14:solidFill>
          </w14:textFill>
        </w:rPr>
        <w:t>质量保证措施</w:t>
      </w:r>
      <w:r>
        <w:rPr>
          <w:rFonts w:hint="eastAsia" w:ascii="宋体" w:hAnsi="宋体" w:eastAsia="宋体"/>
          <w:color w:val="000000" w:themeColor="text1"/>
          <w:sz w:val="21"/>
          <w:szCs w:val="21"/>
          <w:highlight w:val="none"/>
          <w:lang w:eastAsia="zh-CN"/>
          <w14:textFill>
            <w14:solidFill>
              <w14:schemeClr w14:val="tx1"/>
            </w14:solidFill>
          </w14:textFill>
        </w:rPr>
        <w:t>（供应商应根据评标办法及评分标准提供，格式自拟）</w:t>
      </w:r>
      <w:r>
        <w:rPr>
          <w:rFonts w:hint="eastAsia" w:ascii="宋体" w:hAnsi="宋体" w:eastAsia="宋体"/>
          <w:b/>
          <w:color w:val="000000" w:themeColor="text1"/>
          <w:sz w:val="21"/>
          <w:szCs w:val="21"/>
          <w:highlight w:val="none"/>
          <w:lang w:eastAsia="zh-CN"/>
          <w14:textFill>
            <w14:solidFill>
              <w14:schemeClr w14:val="tx1"/>
            </w14:solidFill>
          </w14:textFill>
        </w:rPr>
        <w:t>；</w:t>
      </w:r>
    </w:p>
    <w:p w14:paraId="6E4D5FCB">
      <w:pPr>
        <w:wordWrap w:val="0"/>
        <w:topLinePunct/>
        <w:adjustRightInd w:val="0"/>
        <w:snapToGrid w:val="0"/>
        <w:spacing w:line="360" w:lineRule="exact"/>
        <w:ind w:firstLine="420" w:firstLineChars="200"/>
        <w:jc w:val="left"/>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b w:val="0"/>
          <w:bCs w:val="0"/>
          <w:color w:val="000000" w:themeColor="text1"/>
          <w:sz w:val="21"/>
          <w:szCs w:val="21"/>
          <w:highlight w:val="none"/>
          <w14:textFill>
            <w14:solidFill>
              <w14:schemeClr w14:val="tx1"/>
            </w14:solidFill>
          </w14:textFill>
        </w:rPr>
        <w:t>售后服务承诺方案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供应商应根据评标办法及评分标准提供，格式自拟）</w:t>
      </w:r>
      <w:r>
        <w:rPr>
          <w:rFonts w:hint="eastAsia" w:ascii="宋体" w:hAnsi="宋体" w:eastAsia="宋体"/>
          <w:b/>
          <w:color w:val="000000" w:themeColor="text1"/>
          <w:sz w:val="21"/>
          <w:szCs w:val="21"/>
          <w:highlight w:val="none"/>
          <w:lang w:eastAsia="zh-CN"/>
          <w14:textFill>
            <w14:solidFill>
              <w14:schemeClr w14:val="tx1"/>
            </w14:solidFill>
          </w14:textFill>
        </w:rPr>
        <w:t>；</w:t>
      </w:r>
    </w:p>
    <w:p w14:paraId="44AC7614">
      <w:pPr>
        <w:wordWrap w:val="0"/>
        <w:topLinePunct/>
        <w:adjustRightInd w:val="0"/>
        <w:snapToGrid w:val="0"/>
        <w:spacing w:line="360" w:lineRule="exact"/>
        <w:ind w:firstLine="420" w:firstLineChars="200"/>
        <w:jc w:val="left"/>
        <w:rPr>
          <w:rFonts w:hint="eastAsia" w:ascii="宋体" w:hAnsi="宋体" w:eastAsia="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（5）售后服务承诺书</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b/>
          <w:color w:val="000000" w:themeColor="text1"/>
          <w:sz w:val="21"/>
          <w:szCs w:val="21"/>
          <w:highlight w:val="none"/>
          <w:lang w:eastAsia="zh-CN"/>
          <w14:textFill>
            <w14:solidFill>
              <w14:schemeClr w14:val="tx1"/>
            </w14:solidFill>
          </w14:textFill>
        </w:rPr>
        <w:t>，必须提供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p>
    <w:p w14:paraId="781475C3">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6</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bCs/>
          <w:color w:val="000000" w:themeColor="text1"/>
          <w:sz w:val="21"/>
          <w:szCs w:val="21"/>
          <w:highlight w:val="none"/>
          <w:lang w:eastAsia="zh-CN"/>
          <w14:textFill>
            <w14:solidFill>
              <w14:schemeClr w14:val="tx1"/>
            </w14:solidFill>
          </w14:textFill>
        </w:rPr>
        <w:t>产品质量保证书</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5E3D7138">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7</w:t>
      </w:r>
      <w:r>
        <w:rPr>
          <w:rFonts w:hint="eastAsia" w:ascii="宋体" w:hAnsi="宋体" w:eastAsia="宋体"/>
          <w:color w:val="000000" w:themeColor="text1"/>
          <w:sz w:val="21"/>
          <w:szCs w:val="21"/>
          <w:highlight w:val="none"/>
          <w:lang w:eastAsia="zh-CN"/>
          <w14:textFill>
            <w14:solidFill>
              <w14:schemeClr w14:val="tx1"/>
            </w14:solidFill>
          </w14:textFill>
        </w:rPr>
        <w:t>）投标人拥有主要装备和检测设施的情况和现状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（格式自拟）； </w:t>
      </w:r>
    </w:p>
    <w:p w14:paraId="48BE6A76">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lang w:eastAsia="zh-CN"/>
          <w14:textFill>
            <w14:solidFill>
              <w14:schemeClr w14:val="tx1"/>
            </w14:solidFill>
          </w14:textFill>
        </w:rPr>
        <w:t>）招标项目采购需求中要求必须提供的材料。</w:t>
      </w:r>
    </w:p>
    <w:p w14:paraId="23A09B32">
      <w:pPr>
        <w:pStyle w:val="21"/>
        <w:wordWrap w:val="0"/>
        <w:topLinePunct/>
        <w:adjustRightInd w:val="0"/>
        <w:snapToGrid w:val="0"/>
        <w:spacing w:line="360" w:lineRule="exact"/>
        <w:ind w:firstLine="422" w:firstLineChars="200"/>
        <w:jc w:val="left"/>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特别说明：</w:t>
      </w:r>
    </w:p>
    <w:p w14:paraId="5CC0E1D5">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投标文件中所需加盖公章部分均采用CA签章。若招标文件中有专门标注的某关联点，并要求供应商在电子投标系统中作出投标响应的，如供应商未对关联点进行响应或者在投标文件其他内容进行描述，造成电子评审不能查询的责任由供应商自行承担。</w:t>
      </w:r>
    </w:p>
    <w:p w14:paraId="2896CA88">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（2）招标文件要求提供的各种复印件（扫描件），必须加盖投标供应商CA签章，否则其投标无效。</w:t>
      </w:r>
    </w:p>
    <w:p w14:paraId="6413E6A1">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（3）招标文件要求“必须提供”的证明等材料，投标供应商必须全部提供，缺一不可，否则投标无效。</w:t>
      </w:r>
    </w:p>
    <w:p w14:paraId="1E1D24EE">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（4）招标文件要求法定代表人（负责人）或委托代理人签字的部分必须打印签字后扫描或拍照做成PDF格式上传，如供应商有政采云法人私章CA证书或签字章的也可直接使用，否则视为投标无效。</w:t>
      </w:r>
    </w:p>
    <w:p w14:paraId="195C774E">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73" w:name="_Toc254970537"/>
      <w:bookmarkStart w:id="74" w:name="_Toc254970678"/>
      <w:bookmarkStart w:id="75" w:name="_Toc12933"/>
      <w:bookmarkStart w:id="76" w:name="_Toc1161"/>
      <w:bookmarkStart w:id="77" w:name="_Toc30195"/>
      <w:bookmarkStart w:id="78" w:name="_Toc2284"/>
      <w:bookmarkStart w:id="79" w:name="_Toc1170"/>
      <w:r>
        <w:rPr>
          <w:rFonts w:hint="eastAsia" w:ascii="宋体" w:hAnsi="宋体" w:eastAsia="宋体"/>
          <w:b/>
          <w:color w:val="000000" w:themeColor="text1"/>
          <w:sz w:val="21"/>
          <w:szCs w:val="21"/>
          <w:highlight w:val="none"/>
          <w:lang w:eastAsia="zh-CN"/>
          <w14:textFill>
            <w14:solidFill>
              <w14:schemeClr w14:val="tx1"/>
            </w14:solidFill>
          </w14:textFill>
        </w:rPr>
        <w:t>7.投标文件的语言及计量</w:t>
      </w:r>
      <w:bookmarkEnd w:id="73"/>
      <w:bookmarkEnd w:id="74"/>
      <w:bookmarkEnd w:id="75"/>
      <w:bookmarkEnd w:id="76"/>
      <w:bookmarkEnd w:id="77"/>
      <w:bookmarkEnd w:id="78"/>
      <w:bookmarkEnd w:id="79"/>
    </w:p>
    <w:p w14:paraId="1907AB98">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▲7.1投标文件以及投标方与招标方就有关投标事宜的所有来往函电，均应以中文汉语书写。除签名、盖章、专用名称等特殊情形外，以中文汉语以外的文字表述的投标文件视同未提供。</w:t>
      </w:r>
    </w:p>
    <w:p w14:paraId="21C02871">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▲7.2投标计量单位，招标文件已有明确规定的，使用招标文件规定的计量单位；招标文件没有规定的，应采用中华人民共和国法定计量单位（货币单位：人民币元），否则视同未响应。</w:t>
      </w:r>
    </w:p>
    <w:p w14:paraId="1387DA41">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80" w:name="_Toc26882"/>
      <w:bookmarkStart w:id="81" w:name="_Toc30851"/>
      <w:bookmarkStart w:id="82" w:name="_Toc8888"/>
      <w:bookmarkStart w:id="83" w:name="_Toc7168"/>
      <w:bookmarkStart w:id="84" w:name="_Toc254970538"/>
      <w:bookmarkStart w:id="85" w:name="_Toc6063"/>
      <w:bookmarkStart w:id="86" w:name="_Toc254970679"/>
      <w:r>
        <w:rPr>
          <w:rFonts w:hint="eastAsia" w:ascii="宋体" w:hAnsi="宋体" w:eastAsia="宋体"/>
          <w:b/>
          <w:color w:val="000000" w:themeColor="text1"/>
          <w:sz w:val="21"/>
          <w:szCs w:val="21"/>
          <w:highlight w:val="none"/>
          <w:lang w:eastAsia="zh-CN"/>
          <w14:textFill>
            <w14:solidFill>
              <w14:schemeClr w14:val="tx1"/>
            </w14:solidFill>
          </w14:textFill>
        </w:rPr>
        <w:t>8.投标报价</w:t>
      </w:r>
      <w:bookmarkEnd w:id="80"/>
      <w:bookmarkEnd w:id="81"/>
      <w:bookmarkEnd w:id="82"/>
      <w:bookmarkEnd w:id="83"/>
      <w:bookmarkEnd w:id="84"/>
      <w:bookmarkEnd w:id="85"/>
      <w:bookmarkEnd w:id="86"/>
    </w:p>
    <w:p w14:paraId="7AD943A3">
      <w:pPr>
        <w:pStyle w:val="21"/>
        <w:wordWrap w:val="0"/>
        <w:topLinePunct/>
        <w:adjustRightInd w:val="0"/>
        <w:snapToGrid w:val="0"/>
        <w:spacing w:line="360" w:lineRule="exact"/>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8.1 投标人可就《货物需求一览表》中的</w:t>
      </w:r>
      <w:r>
        <w:rPr>
          <w:rFonts w:hint="eastAsia" w:hAnsi="宋体" w:cs="宋体"/>
          <w:color w:val="000000" w:themeColor="text1"/>
          <w:kern w:val="0"/>
          <w:szCs w:val="21"/>
          <w:highlight w:val="none"/>
          <w:lang w:eastAsia="zh-CN"/>
          <w14:textFill>
            <w14:solidFill>
              <w14:schemeClr w14:val="tx1"/>
            </w14:solidFill>
          </w14:textFill>
        </w:rPr>
        <w:t>某一个（或多个）分标</w:t>
      </w:r>
      <w:r>
        <w:rPr>
          <w:rFonts w:hint="eastAsia" w:hAnsi="宋体" w:cs="宋体"/>
          <w:color w:val="000000" w:themeColor="text1"/>
          <w:szCs w:val="21"/>
          <w:highlight w:val="none"/>
          <w14:textFill>
            <w14:solidFill>
              <w14:schemeClr w14:val="tx1"/>
            </w14:solidFill>
          </w14:textFill>
        </w:rPr>
        <w:t>全部货物内容作完整唯一报价。对不同文字文本投标文件的解释发生异议的，以中文文本为准。如果投标人不接受对其错误的更正，其投标报价无效。</w:t>
      </w:r>
    </w:p>
    <w:p w14:paraId="0CFD08B7">
      <w:pPr>
        <w:pStyle w:val="21"/>
        <w:wordWrap w:val="0"/>
        <w:topLinePunct/>
        <w:adjustRightInd w:val="0"/>
        <w:snapToGrid w:val="0"/>
        <w:spacing w:line="360" w:lineRule="exact"/>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8.2投标报价是履行合同的最终价格，应包括项目实施所需的人工费、货款、标准附件、备品备件、专用工具、包装、运输、装卸、保险、税金、货到就位以及安装、调试、培训、保修、售后服务等一切税金和费用。</w:t>
      </w:r>
    </w:p>
    <w:p w14:paraId="1FEBF89B">
      <w:pPr>
        <w:tabs>
          <w:tab w:val="left" w:pos="525"/>
        </w:tabs>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8.3投标文件只允许有一个报价，有选择的或有条件的报价将不予接受。</w:t>
      </w:r>
    </w:p>
    <w:p w14:paraId="7568A524">
      <w:pPr>
        <w:tabs>
          <w:tab w:val="left" w:pos="525"/>
        </w:tabs>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8.4如投标人的投标报价或某些分项报价明显不合理或低于成本，有可能影响商品质量或不能诚信履约的，应当在评标委员会规定的期限内提供书面文件予以说明，并提交相关证明材料。否则，评标委员会可以拒绝，评定其报价无效。</w:t>
      </w:r>
    </w:p>
    <w:p w14:paraId="2A1A2111">
      <w:pPr>
        <w:pStyle w:val="12"/>
        <w:numPr>
          <w:ilvl w:val="0"/>
          <w:numId w:val="0"/>
        </w:numPr>
        <w:tabs>
          <w:tab w:val="left" w:pos="720"/>
          <w:tab w:val="left" w:pos="840"/>
        </w:tabs>
        <w:wordWrap w:val="0"/>
        <w:topLinePunct/>
        <w:adjustRightInd w:val="0"/>
        <w:snapToGrid w:val="0"/>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9.投标文件的有效期</w:t>
      </w:r>
    </w:p>
    <w:p w14:paraId="70D01DC9">
      <w:pPr>
        <w:pStyle w:val="12"/>
        <w:numPr>
          <w:ilvl w:val="0"/>
          <w:numId w:val="0"/>
        </w:numPr>
        <w:tabs>
          <w:tab w:val="left" w:pos="720"/>
          <w:tab w:val="left" w:pos="840"/>
        </w:tabs>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9.1自投标文件递交截止之日起</w:t>
      </w:r>
      <w:r>
        <w:rPr>
          <w:rFonts w:hint="eastAsia" w:ascii="宋体" w:hAnsi="宋体" w:eastAsia="宋体"/>
          <w:color w:val="000000" w:themeColor="text1"/>
          <w:sz w:val="21"/>
          <w:szCs w:val="21"/>
          <w:highlight w:val="none"/>
          <w:u w:val="single"/>
          <w:lang w:eastAsia="zh-CN"/>
          <w14:textFill>
            <w14:solidFill>
              <w14:schemeClr w14:val="tx1"/>
            </w14:solidFill>
          </w14:textFill>
        </w:rPr>
        <w:t>六十</w:t>
      </w:r>
      <w:r>
        <w:rPr>
          <w:rFonts w:hint="eastAsia" w:ascii="宋体" w:hAnsi="宋体" w:eastAsia="宋体"/>
          <w:color w:val="000000" w:themeColor="text1"/>
          <w:sz w:val="21"/>
          <w:szCs w:val="21"/>
          <w:highlight w:val="none"/>
          <w:lang w:eastAsia="zh-CN"/>
          <w14:textFill>
            <w14:solidFill>
              <w14:schemeClr w14:val="tx1"/>
            </w14:solidFill>
          </w14:textFill>
        </w:rPr>
        <w:t>日内投标文件应保持有效，有效期不足的投标文件将被拒绝。</w:t>
      </w:r>
    </w:p>
    <w:p w14:paraId="1EA23D05">
      <w:pPr>
        <w:pStyle w:val="12"/>
        <w:numPr>
          <w:ilvl w:val="0"/>
          <w:numId w:val="0"/>
        </w:numPr>
        <w:tabs>
          <w:tab w:val="left" w:pos="720"/>
          <w:tab w:val="left" w:pos="840"/>
        </w:tabs>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9.2在特殊情况下，招标人可与投标人协商延长投标文件的有效期，这种要求和答复均以书面形式进行。</w:t>
      </w:r>
    </w:p>
    <w:p w14:paraId="1B2CC8A7">
      <w:pPr>
        <w:wordWrap w:val="0"/>
        <w:topLinePunct/>
        <w:adjustRightInd w:val="0"/>
        <w:snapToGrid w:val="0"/>
        <w:spacing w:line="360" w:lineRule="exact"/>
        <w:ind w:firstLine="420"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87" w:name="_Toc20228"/>
      <w:bookmarkStart w:id="88" w:name="_Toc254970539"/>
      <w:bookmarkStart w:id="89" w:name="_Toc26070"/>
      <w:bookmarkStart w:id="90" w:name="_Toc31335"/>
      <w:bookmarkStart w:id="91" w:name="_Toc27553"/>
      <w:bookmarkStart w:id="92" w:name="_Toc23175"/>
      <w:bookmarkStart w:id="93" w:name="_Toc254970680"/>
      <w:r>
        <w:rPr>
          <w:rFonts w:hint="eastAsia" w:ascii="宋体" w:hAnsi="宋体" w:eastAsia="宋体"/>
          <w:color w:val="000000" w:themeColor="text1"/>
          <w:sz w:val="21"/>
          <w:szCs w:val="21"/>
          <w:highlight w:val="none"/>
          <w:lang w:eastAsia="zh-CN"/>
          <w14:textFill>
            <w14:solidFill>
              <w14:schemeClr w14:val="tx1"/>
            </w14:solidFill>
          </w14:textFill>
        </w:rPr>
        <w:t>9.3投标人可拒绝接受延期要求而不会导致投标保证金被没收。同意延长有效期的投标人需要相应延长投标保证金的有效期，但不能修改投标文件。</w:t>
      </w:r>
      <w:bookmarkEnd w:id="87"/>
      <w:bookmarkEnd w:id="88"/>
      <w:bookmarkEnd w:id="89"/>
      <w:bookmarkEnd w:id="90"/>
      <w:bookmarkEnd w:id="91"/>
      <w:bookmarkEnd w:id="92"/>
      <w:bookmarkEnd w:id="93"/>
      <w:r>
        <w:rPr>
          <w:rFonts w:hint="eastAsia" w:ascii="宋体" w:hAnsi="宋体" w:eastAsia="宋体"/>
          <w:b/>
          <w:color w:val="000000" w:themeColor="text1"/>
          <w:sz w:val="21"/>
          <w:szCs w:val="21"/>
          <w:highlight w:val="none"/>
          <w:lang w:eastAsia="zh-CN"/>
          <w14:textFill>
            <w14:solidFill>
              <w14:schemeClr w14:val="tx1"/>
            </w14:solidFill>
          </w14:textFill>
        </w:rPr>
        <w:t xml:space="preserve"> </w:t>
      </w:r>
    </w:p>
    <w:p w14:paraId="3EAEABD7">
      <w:pPr>
        <w:wordWrap w:val="0"/>
        <w:topLinePunct/>
        <w:adjustRightInd w:val="0"/>
        <w:snapToGrid w:val="0"/>
        <w:spacing w:line="360" w:lineRule="exact"/>
        <w:ind w:firstLine="420"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94" w:name="_Toc21186"/>
      <w:bookmarkStart w:id="95" w:name="_Toc19976"/>
      <w:bookmarkStart w:id="96" w:name="_Toc11595"/>
      <w:bookmarkStart w:id="97" w:name="_Toc254970681"/>
      <w:bookmarkStart w:id="98" w:name="_Toc254970540"/>
      <w:bookmarkStart w:id="99" w:name="_Toc4251"/>
      <w:bookmarkStart w:id="100" w:name="_Toc28389"/>
      <w:r>
        <w:rPr>
          <w:rFonts w:hint="eastAsia" w:ascii="宋体" w:hAnsi="宋体" w:eastAsia="宋体"/>
          <w:color w:val="000000" w:themeColor="text1"/>
          <w:sz w:val="21"/>
          <w:szCs w:val="21"/>
          <w:highlight w:val="none"/>
          <w:lang w:eastAsia="zh-CN"/>
          <w14:textFill>
            <w14:solidFill>
              <w14:schemeClr w14:val="tx1"/>
            </w14:solidFill>
          </w14:textFill>
        </w:rPr>
        <w:t>9.4中标人的投标文件自开标之日起至合同履行完毕止均应保持有效。</w:t>
      </w:r>
      <w:bookmarkEnd w:id="94"/>
      <w:bookmarkEnd w:id="95"/>
      <w:bookmarkEnd w:id="96"/>
      <w:bookmarkEnd w:id="97"/>
      <w:bookmarkEnd w:id="98"/>
      <w:bookmarkEnd w:id="99"/>
      <w:bookmarkEnd w:id="100"/>
    </w:p>
    <w:p w14:paraId="13481AF6">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101" w:name="_Toc254970682"/>
      <w:bookmarkStart w:id="102" w:name="_Toc5972"/>
      <w:bookmarkStart w:id="103" w:name="_Toc254970541"/>
      <w:bookmarkStart w:id="104" w:name="_Toc13576"/>
      <w:bookmarkStart w:id="105" w:name="_Toc29684"/>
      <w:bookmarkStart w:id="106" w:name="_Toc13622"/>
      <w:bookmarkStart w:id="107" w:name="_Toc18380"/>
      <w:r>
        <w:rPr>
          <w:rFonts w:hint="eastAsia" w:ascii="宋体" w:hAnsi="宋体" w:eastAsia="宋体"/>
          <w:b/>
          <w:color w:val="000000" w:themeColor="text1"/>
          <w:sz w:val="21"/>
          <w:szCs w:val="21"/>
          <w:highlight w:val="none"/>
          <w:lang w:eastAsia="zh-CN"/>
          <w14:textFill>
            <w14:solidFill>
              <w14:schemeClr w14:val="tx1"/>
            </w14:solidFill>
          </w14:textFill>
        </w:rPr>
        <w:t>10.投标保证金</w:t>
      </w:r>
      <w:bookmarkEnd w:id="101"/>
      <w:bookmarkEnd w:id="102"/>
      <w:bookmarkEnd w:id="103"/>
      <w:bookmarkEnd w:id="104"/>
      <w:bookmarkEnd w:id="105"/>
      <w:bookmarkEnd w:id="106"/>
      <w:bookmarkEnd w:id="107"/>
    </w:p>
    <w:p w14:paraId="22313D6A">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10.1投标保证金金额按本须知前附表第5项要求交纳，且提交到指定账户的时间不得迟于本须知前附表第5项所规定的时间。投标人须按规定提交投标保证金，否则，其投标将被拒绝。</w:t>
      </w:r>
    </w:p>
    <w:p w14:paraId="3AEA15A8">
      <w:pPr>
        <w:snapToGrid w:val="0"/>
        <w:spacing w:line="340" w:lineRule="exact"/>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10.2保证金交纳形式</w:t>
      </w:r>
      <w:r>
        <w:rPr>
          <w:rFonts w:hint="eastAsia" w:ascii="宋体" w:hAnsi="宋体" w:eastAsia="宋体"/>
          <w:color w:val="000000" w:themeColor="text1"/>
          <w:kern w:val="2"/>
          <w:sz w:val="21"/>
          <w:szCs w:val="21"/>
          <w:highlight w:val="none"/>
          <w:lang w:eastAsia="zh-CN"/>
          <w14:textFill>
            <w14:solidFill>
              <w14:schemeClr w14:val="tx1"/>
            </w14:solidFill>
          </w14:textFill>
        </w:rPr>
        <w:t>：银行转账、支票、汇票、本票或者银行、保险机构出具的保函，禁止采用现钞方式。</w:t>
      </w:r>
    </w:p>
    <w:p w14:paraId="3A49D33B">
      <w:pPr>
        <w:pStyle w:val="21"/>
        <w:spacing w:line="34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注：①投标人应按本须知中所明确的开户名称、开户银行、账号，于规定时间前将投标保证金从投标人银行账户转出并到达钦州市公共资源交易中心账户，否则视为无效保证金。</w:t>
      </w:r>
      <w:r>
        <w:rPr>
          <w:rFonts w:hint="eastAsia" w:hAnsi="宋体" w:cs="宋体"/>
          <w:b/>
          <w:color w:val="000000" w:themeColor="text1"/>
          <w:szCs w:val="21"/>
          <w:highlight w:val="none"/>
          <w:u w:val="single"/>
          <w14:textFill>
            <w14:solidFill>
              <w14:schemeClr w14:val="tx1"/>
            </w14:solidFill>
          </w14:textFill>
        </w:rPr>
        <w:t>本项目不接受现金形式或从个人账户转出的投标保证金。</w:t>
      </w:r>
    </w:p>
    <w:p w14:paraId="282A5DD8">
      <w:pPr>
        <w:pStyle w:val="21"/>
        <w:spacing w:line="34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②办理投标保证金手续时，请务必在银行进账单的用途或空白栏上注明项目名称（或项目编号）以及分标号，以免耽误投标。</w:t>
      </w:r>
    </w:p>
    <w:p w14:paraId="7FFE7F7E">
      <w:pPr>
        <w:wordWrap w:val="0"/>
        <w:topLinePunct/>
        <w:autoSpaceDE w:val="0"/>
        <w:autoSpaceDN w:val="0"/>
        <w:adjustRightInd w:val="0"/>
        <w:snapToGrid w:val="0"/>
        <w:spacing w:line="360" w:lineRule="exact"/>
        <w:ind w:left="400" w:left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10.3对未按招标文件要求交纳投标保证金的投标文件，采购代理机构将拒绝接收。</w:t>
      </w:r>
    </w:p>
    <w:p w14:paraId="61D9A4F5">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10.4未中标人的投标保证金在中标通知书发出之日起五个工作日内退还，中标人的投标保证金自政府采购合同签订之日起五个工作日内退还，不计利息。</w:t>
      </w:r>
    </w:p>
    <w:p w14:paraId="1C9E985F">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bookmarkStart w:id="108" w:name="_Toc254970542"/>
      <w:bookmarkStart w:id="109" w:name="_Toc254970683"/>
      <w:r>
        <w:rPr>
          <w:rFonts w:hint="eastAsia" w:ascii="宋体" w:hAnsi="宋体" w:eastAsia="宋体"/>
          <w:color w:val="000000" w:themeColor="text1"/>
          <w:sz w:val="21"/>
          <w:szCs w:val="21"/>
          <w:highlight w:val="none"/>
          <w:lang w:eastAsia="zh-CN"/>
          <w14:textFill>
            <w14:solidFill>
              <w14:schemeClr w14:val="tx1"/>
            </w14:solidFill>
          </w14:textFill>
        </w:rPr>
        <w:t>10.5投标人有下列情形之一的，投标保证金将不予退还：</w:t>
      </w:r>
    </w:p>
    <w:p w14:paraId="6A553BB7">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10.5.1投标人在投标有效期内撤回投标文件的；</w:t>
      </w:r>
    </w:p>
    <w:p w14:paraId="732D163B">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10.5.2投标人在投标过程中弄虚作假，提供虚假材料的；</w:t>
      </w:r>
    </w:p>
    <w:p w14:paraId="576D622E">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10.5.3中标人无正当理由不与招标单位签订合同的；</w:t>
      </w:r>
    </w:p>
    <w:p w14:paraId="574838D0">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10.5.4将中标项目转让给他人或者在投标文件中未说明且未经招标单位同意，将中标项目分包给他人的；</w:t>
      </w:r>
    </w:p>
    <w:p w14:paraId="3F8107DB">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10.5.5拒绝履行合同义务的；</w:t>
      </w:r>
    </w:p>
    <w:p w14:paraId="1CB88A0B">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10.5.6投标人与招标单位、其他供应商或者采购代理机构恶意串通的；</w:t>
      </w:r>
    </w:p>
    <w:p w14:paraId="74329212">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10.5.7其他严重扰乱招投标程序的。</w:t>
      </w:r>
    </w:p>
    <w:p w14:paraId="336727C3">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110" w:name="_Toc381"/>
      <w:bookmarkStart w:id="111" w:name="_Toc22895"/>
      <w:bookmarkStart w:id="112" w:name="_Toc7157"/>
      <w:bookmarkStart w:id="113" w:name="_Toc26222"/>
      <w:bookmarkStart w:id="114" w:name="_Toc27002"/>
      <w:r>
        <w:rPr>
          <w:rFonts w:hint="eastAsia" w:ascii="宋体" w:hAnsi="宋体" w:eastAsia="宋体"/>
          <w:b/>
          <w:color w:val="000000" w:themeColor="text1"/>
          <w:sz w:val="21"/>
          <w:szCs w:val="21"/>
          <w:highlight w:val="none"/>
          <w:lang w:eastAsia="zh-CN"/>
          <w14:textFill>
            <w14:solidFill>
              <w14:schemeClr w14:val="tx1"/>
            </w14:solidFill>
          </w14:textFill>
        </w:rPr>
        <w:t>11.投标文件的签署和份数</w:t>
      </w:r>
      <w:bookmarkEnd w:id="108"/>
      <w:bookmarkEnd w:id="109"/>
      <w:bookmarkEnd w:id="110"/>
      <w:bookmarkEnd w:id="111"/>
      <w:bookmarkEnd w:id="112"/>
      <w:bookmarkEnd w:id="113"/>
      <w:bookmarkEnd w:id="114"/>
    </w:p>
    <w:p w14:paraId="7C162904">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11.1投标人应按本招标文件规定的格式和顺序编制、装订投标文件，并编制目录、标注页码，投标文件内容不完整、编排混乱导致投标文件被误读、漏读或者查找不到相关内容的，是投标人的责任。</w:t>
      </w:r>
    </w:p>
    <w:p w14:paraId="69276A5D">
      <w:pPr>
        <w:pStyle w:val="21"/>
        <w:spacing w:line="340" w:lineRule="exact"/>
        <w:ind w:firstLine="420" w:firstLineChars="200"/>
        <w:rPr>
          <w:rFonts w:hint="eastAsia" w:hAnsi="宋体"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11.2</w:t>
      </w:r>
      <w:r>
        <w:rPr>
          <w:rFonts w:hint="eastAsia"/>
          <w:color w:val="000000" w:themeColor="text1"/>
          <w:highlight w:val="none"/>
          <w14:textFill>
            <w14:solidFill>
              <w14:schemeClr w14:val="tx1"/>
            </w14:solidFill>
          </w14:textFill>
        </w:rPr>
        <w:t>投标文件递交份数：（1）电子加密投标文件：1份；（2）电子备份投标文件：1份（以U盘或光盘存储并按要求密封）</w:t>
      </w:r>
      <w:r>
        <w:rPr>
          <w:rFonts w:hint="eastAsia"/>
          <w:color w:val="000000" w:themeColor="text1"/>
          <w:highlight w:val="none"/>
          <w:lang w:eastAsia="zh-CN"/>
          <w14:textFill>
            <w14:solidFill>
              <w14:schemeClr w14:val="tx1"/>
            </w14:solidFill>
          </w14:textFill>
        </w:rPr>
        <w:t>。</w:t>
      </w:r>
    </w:p>
    <w:p w14:paraId="5E59595E">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11.3投标文件须由投标人在规定位置盖章并由法定代表人或法定代表人的授权委托人签署，投标人应写全称。</w:t>
      </w:r>
    </w:p>
    <w:p w14:paraId="79B69E26">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11.4投标文件不得涂改，若有修改错漏处，须加盖单位公章或者法定代表人或授权委托人签字或盖章。投标文件因字迹潦草或表达不清所引起的后果由投标人负责。</w:t>
      </w:r>
    </w:p>
    <w:p w14:paraId="48AEDD3B">
      <w:pPr>
        <w:wordWrap w:val="0"/>
        <w:topLinePunct/>
        <w:adjustRightInd w:val="0"/>
        <w:snapToGrid w:val="0"/>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12.投标文件的修改和撤回</w:t>
      </w:r>
    </w:p>
    <w:p w14:paraId="05937AC9">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bookmarkStart w:id="115" w:name="_Toc254970684"/>
      <w:bookmarkStart w:id="116" w:name="_Toc254970543"/>
      <w:r>
        <w:rPr>
          <w:rFonts w:hint="eastAsia" w:ascii="宋体" w:hAnsi="宋体" w:eastAsia="宋体"/>
          <w:bCs/>
          <w:color w:val="000000" w:themeColor="text1"/>
          <w:sz w:val="21"/>
          <w:szCs w:val="21"/>
          <w:highlight w:val="none"/>
          <w:lang w:eastAsia="zh-CN"/>
          <w14:textFill>
            <w14:solidFill>
              <w14:schemeClr w14:val="tx1"/>
            </w14:solidFill>
          </w14:textFill>
        </w:rPr>
        <w:t>12.1投标人在投标截止时间之前，可以对已提交的投标文件进行修改或撤回。</w:t>
      </w:r>
      <w:r>
        <w:rPr>
          <w:rFonts w:hint="eastAsia" w:ascii="宋体" w:hAnsi="宋体" w:eastAsia="宋体"/>
          <w:color w:val="000000" w:themeColor="text1"/>
          <w:sz w:val="21"/>
          <w:szCs w:val="21"/>
          <w:highlight w:val="none"/>
          <w:lang w:eastAsia="zh-CN"/>
          <w14:textFill>
            <w14:solidFill>
              <w14:schemeClr w14:val="tx1"/>
            </w14:solidFill>
          </w14:textFill>
        </w:rPr>
        <w:t>投标文件需要补充或修改的应及时撤回投标文件，补充、修改后重新提交，提交投标文件截止时间前未完成提交（上传）的，视为撤回投标文件。</w:t>
      </w:r>
    </w:p>
    <w:p w14:paraId="70BE1287">
      <w:pPr>
        <w:wordWrap w:val="0"/>
        <w:topLinePunct/>
        <w:adjustRightInd w:val="0"/>
        <w:snapToGrid w:val="0"/>
        <w:spacing w:line="340" w:lineRule="exact"/>
        <w:ind w:firstLine="422" w:firstLineChars="200"/>
        <w:outlineLvl w:val="2"/>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13.投标无效的情形</w:t>
      </w:r>
      <w:bookmarkEnd w:id="115"/>
      <w:bookmarkEnd w:id="116"/>
    </w:p>
    <w:p w14:paraId="45F06191">
      <w:pPr>
        <w:wordWrap w:val="0"/>
        <w:topLinePunct/>
        <w:adjustRightInd w:val="0"/>
        <w:snapToGrid w:val="0"/>
        <w:spacing w:line="34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13.1实质上没有响应招标文件要求的投标将被视为无效投标。投标人不得通过修正或撤销不合要求的偏离或保留从而使其投标成为实质上响应的投标，但经评标委员会认定属于投标人疏忽、笔误所造成的差错，应当允许其在规定时间内进行澄清或者补正（投标人应随时关注开评标进度，如</w:t>
      </w:r>
      <w:r>
        <w:rPr>
          <w:rFonts w:hint="eastAsia" w:ascii="宋体" w:hAnsi="宋体" w:eastAsia="宋体"/>
          <w:color w:val="000000" w:themeColor="text1"/>
          <w:sz w:val="21"/>
          <w:szCs w:val="21"/>
          <w:highlight w:val="none"/>
          <w:lang w:eastAsia="zh-CN"/>
          <w14:textFill>
            <w14:solidFill>
              <w14:schemeClr w14:val="tx1"/>
            </w14:solidFill>
          </w14:textFill>
        </w:rPr>
        <w:t>开评标过程中有电子询标，应在规定的时间内对电子询标函进行澄清回复</w:t>
      </w:r>
      <w:r>
        <w:rPr>
          <w:rFonts w:hint="eastAsia" w:ascii="宋体" w:hAnsi="宋体" w:eastAsia="宋体"/>
          <w:bCs/>
          <w:color w:val="000000" w:themeColor="text1"/>
          <w:sz w:val="21"/>
          <w:szCs w:val="21"/>
          <w:highlight w:val="none"/>
          <w:lang w:eastAsia="zh-CN"/>
          <w14:textFill>
            <w14:solidFill>
              <w14:schemeClr w14:val="tx1"/>
            </w14:solidFill>
          </w14:textFill>
        </w:rPr>
        <w:t>）。限期内不补正或经补正后仍不符合招标文件要求的，应认定其投标无效。投标人修改、补正投标文件后，不影响评标委员会对其投标文件所作的评价和评分结果。</w:t>
      </w:r>
    </w:p>
    <w:p w14:paraId="71C30E6A">
      <w:pPr>
        <w:wordWrap w:val="0"/>
        <w:topLinePunct/>
        <w:adjustRightInd w:val="0"/>
        <w:snapToGrid w:val="0"/>
        <w:spacing w:line="34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13.2在商务评审时，如发现下列情形之一的，投标文件将被视为无效：</w:t>
      </w:r>
    </w:p>
    <w:p w14:paraId="67B4E1E1">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⑴未按照招标文件要求密封、签字和盖章的，或未</w:t>
      </w:r>
      <w:r>
        <w:rPr>
          <w:rFonts w:hint="eastAsia" w:ascii="宋体" w:hAnsi="宋体" w:eastAsia="宋体"/>
          <w:bCs/>
          <w:color w:val="000000" w:themeColor="text1"/>
          <w:sz w:val="21"/>
          <w:szCs w:val="21"/>
          <w:highlight w:val="none"/>
          <w:lang w:eastAsia="zh-CN"/>
          <w14:textFill>
            <w14:solidFill>
              <w14:schemeClr w14:val="tx1"/>
            </w14:solidFill>
          </w14:textFill>
        </w:rPr>
        <w:t>提供法定代表人授权委托书、投标声明书或者填写项目不齐全的；</w:t>
      </w:r>
    </w:p>
    <w:p w14:paraId="10F4AF5C">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⑵投标代表人未能出具身份证明或与法定代表人授权委托人身份不符的；</w:t>
      </w:r>
    </w:p>
    <w:p w14:paraId="6593F012">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⑶</w:t>
      </w:r>
      <w:r>
        <w:rPr>
          <w:rFonts w:hint="eastAsia" w:ascii="宋体" w:hAnsi="宋体" w:eastAsia="宋体"/>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投标文件未提供“投标人须知”第6.4.1条规定“必须提供”的文件资料的；</w:t>
      </w:r>
    </w:p>
    <w:p w14:paraId="741F586F">
      <w:pPr>
        <w:wordWrap w:val="0"/>
        <w:topLinePunct/>
        <w:adjustRightInd w:val="0"/>
        <w:snapToGrid w:val="0"/>
        <w:spacing w:line="34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⑷投标文件的实质性内容未使用中文表述、意思表述不明确、前后矛盾或者使用计量单位不符合招标文件要求的（经评标委员会认定并允许其当场更正的笔误除外）；</w:t>
      </w:r>
    </w:p>
    <w:p w14:paraId="48A260FB">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⑸</w:t>
      </w:r>
      <w:r>
        <w:rPr>
          <w:rFonts w:hint="eastAsia" w:ascii="宋体" w:hAnsi="宋体" w:eastAsia="宋体"/>
          <w:snapToGrid w:val="0"/>
          <w:color w:val="000000" w:themeColor="text1"/>
          <w:sz w:val="21"/>
          <w:szCs w:val="21"/>
          <w:highlight w:val="none"/>
          <w:lang w:eastAsia="zh-CN"/>
          <w14:textFill>
            <w14:solidFill>
              <w14:schemeClr w14:val="tx1"/>
            </w14:solidFill>
          </w14:textFill>
        </w:rPr>
        <w:t>投标有效期、交货时间、质保期等商务条款不能满足招标文件要求的；</w:t>
      </w:r>
    </w:p>
    <w:p w14:paraId="4890C699">
      <w:pPr>
        <w:pStyle w:val="19"/>
        <w:wordWrap w:val="0"/>
        <w:topLinePunct/>
        <w:adjustRightInd w:val="0"/>
        <w:snapToGrid w:val="0"/>
        <w:spacing w:line="340" w:lineRule="exact"/>
        <w:ind w:firstLine="420" w:firstLineChars="200"/>
        <w:rPr>
          <w:rFonts w:ascii="宋体" w:hAnsi="宋体" w:eastAsia="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⑹未实质性响应招标文件要求或者投标文件有招标方不能接受的附加条件的；</w:t>
      </w:r>
    </w:p>
    <w:p w14:paraId="7F937263">
      <w:pPr>
        <w:pStyle w:val="19"/>
        <w:wordWrap w:val="0"/>
        <w:topLinePunct/>
        <w:adjustRightInd w:val="0"/>
        <w:snapToGrid w:val="0"/>
        <w:spacing w:line="340" w:lineRule="exact"/>
        <w:ind w:firstLine="420" w:firstLineChars="200"/>
        <w:rPr>
          <w:rFonts w:ascii="宋体" w:hAnsi="宋体" w:eastAsia="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⑺</w:t>
      </w:r>
      <w:r>
        <w:rPr>
          <w:rFonts w:hint="eastAsia" w:ascii="宋体" w:hAnsi="宋体" w:eastAsia="宋体"/>
          <w:color w:val="000000" w:themeColor="text1"/>
          <w:sz w:val="21"/>
          <w:szCs w:val="21"/>
          <w:highlight w:val="none"/>
          <w:lang w:eastAsia="zh-CN"/>
          <w14:textFill>
            <w14:solidFill>
              <w14:schemeClr w14:val="tx1"/>
            </w14:solidFill>
          </w14:textFill>
        </w:rPr>
        <w:t>不符合法律、法规和招标文件中规定的其他实质性要求的。</w:t>
      </w:r>
    </w:p>
    <w:p w14:paraId="48FE73DC">
      <w:pPr>
        <w:pStyle w:val="19"/>
        <w:wordWrap w:val="0"/>
        <w:topLinePunct/>
        <w:adjustRightInd w:val="0"/>
        <w:snapToGrid w:val="0"/>
        <w:spacing w:line="340" w:lineRule="exact"/>
        <w:ind w:firstLine="422" w:firstLineChars="200"/>
        <w:rPr>
          <w:rFonts w:ascii="宋体" w:hAnsi="宋体" w:eastAsia="宋体"/>
          <w:b/>
          <w:color w:val="000000" w:themeColor="text1"/>
          <w:spacing w:val="0"/>
          <w:sz w:val="21"/>
          <w:szCs w:val="21"/>
          <w:highlight w:val="none"/>
          <w:lang w:eastAsia="zh-CN"/>
          <w14:textFill>
            <w14:solidFill>
              <w14:schemeClr w14:val="tx1"/>
            </w14:solidFill>
          </w14:textFill>
        </w:rPr>
      </w:pPr>
      <w:r>
        <w:rPr>
          <w:rFonts w:ascii="宋体" w:hAnsi="宋体" w:eastAsia="宋体"/>
          <w:b/>
          <w:color w:val="000000" w:themeColor="text1"/>
          <w:spacing w:val="0"/>
          <w:sz w:val="21"/>
          <w:szCs w:val="21"/>
          <w:highlight w:val="none"/>
          <w:lang w:eastAsia="zh-CN"/>
          <w14:textFill>
            <w14:solidFill>
              <w14:schemeClr w14:val="tx1"/>
            </w14:solidFill>
          </w14:textFill>
        </w:rPr>
        <w:t>13.3在技术评</w:t>
      </w:r>
      <w:r>
        <w:rPr>
          <w:rFonts w:hint="eastAsia" w:ascii="宋体" w:hAnsi="宋体" w:eastAsia="宋体"/>
          <w:b/>
          <w:color w:val="000000" w:themeColor="text1"/>
          <w:spacing w:val="0"/>
          <w:sz w:val="21"/>
          <w:szCs w:val="21"/>
          <w:highlight w:val="none"/>
          <w:lang w:eastAsia="zh-CN"/>
          <w14:textFill>
            <w14:solidFill>
              <w14:schemeClr w14:val="tx1"/>
            </w14:solidFill>
          </w14:textFill>
        </w:rPr>
        <w:t>审</w:t>
      </w:r>
      <w:r>
        <w:rPr>
          <w:rFonts w:ascii="宋体" w:hAnsi="宋体" w:eastAsia="宋体"/>
          <w:b/>
          <w:color w:val="000000" w:themeColor="text1"/>
          <w:spacing w:val="0"/>
          <w:sz w:val="21"/>
          <w:szCs w:val="21"/>
          <w:highlight w:val="none"/>
          <w:lang w:eastAsia="zh-CN"/>
          <w14:textFill>
            <w14:solidFill>
              <w14:schemeClr w14:val="tx1"/>
            </w14:solidFill>
          </w14:textFill>
        </w:rPr>
        <w:t>时，如发现下列情形之一的，投标文件将被视为无效：</w:t>
      </w:r>
    </w:p>
    <w:p w14:paraId="53AD0E98">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⑴未提供或未如实提供投标货物的技术参数，或者投标文件标明的响应或偏离与事实不符或虚假投标的；</w:t>
      </w:r>
    </w:p>
    <w:p w14:paraId="09C55D54">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⑵</w:t>
      </w:r>
      <w:r>
        <w:rPr>
          <w:rFonts w:hint="eastAsia" w:ascii="宋体" w:hAnsi="宋体" w:eastAsia="宋体"/>
          <w:snapToGrid w:val="0"/>
          <w:color w:val="000000" w:themeColor="text1"/>
          <w:spacing w:val="0"/>
          <w:sz w:val="21"/>
          <w:szCs w:val="21"/>
          <w:highlight w:val="none"/>
          <w:lang w:eastAsia="zh-CN"/>
          <w14:textFill>
            <w14:solidFill>
              <w14:schemeClr w14:val="tx1"/>
            </w14:solidFill>
          </w14:textFill>
        </w:rPr>
        <w:t>明显不符合招标文件要求的规格型号、质量标准，或者与</w:t>
      </w:r>
      <w:r>
        <w:rPr>
          <w:rFonts w:hint="eastAsia" w:ascii="宋体" w:hAnsi="宋体" w:eastAsia="宋体"/>
          <w:color w:val="000000" w:themeColor="text1"/>
          <w:spacing w:val="0"/>
          <w:sz w:val="21"/>
          <w:szCs w:val="21"/>
          <w:highlight w:val="none"/>
          <w:lang w:eastAsia="zh-CN"/>
          <w14:textFill>
            <w14:solidFill>
              <w14:schemeClr w14:val="tx1"/>
            </w14:solidFill>
          </w14:textFill>
        </w:rPr>
        <w:t>招标文件中的技术指标、主要功能项目发生实质性偏离的；</w:t>
      </w:r>
    </w:p>
    <w:p w14:paraId="52C275DF">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⑶投标文件未提供“投标人须知”第6.4.2条规定中“必须提供”的文件资料的；</w:t>
      </w:r>
    </w:p>
    <w:p w14:paraId="777A798F">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⑷投标技术方案不明确，存在一个或一个以上备选（替代）投标方案的。</w:t>
      </w:r>
    </w:p>
    <w:p w14:paraId="12BA2134">
      <w:pPr>
        <w:pStyle w:val="19"/>
        <w:wordWrap w:val="0"/>
        <w:topLinePunct/>
        <w:adjustRightInd w:val="0"/>
        <w:snapToGrid w:val="0"/>
        <w:spacing w:line="340" w:lineRule="exact"/>
        <w:ind w:firstLine="422" w:firstLineChars="200"/>
        <w:rPr>
          <w:rFonts w:ascii="宋体" w:hAnsi="宋体" w:eastAsia="宋体"/>
          <w:b/>
          <w:color w:val="000000" w:themeColor="text1"/>
          <w:spacing w:val="0"/>
          <w:sz w:val="21"/>
          <w:szCs w:val="21"/>
          <w:highlight w:val="none"/>
          <w:lang w:eastAsia="zh-CN"/>
          <w14:textFill>
            <w14:solidFill>
              <w14:schemeClr w14:val="tx1"/>
            </w14:solidFill>
          </w14:textFill>
        </w:rPr>
      </w:pPr>
      <w:r>
        <w:rPr>
          <w:rFonts w:ascii="宋体" w:hAnsi="宋体" w:eastAsia="宋体"/>
          <w:b/>
          <w:color w:val="000000" w:themeColor="text1"/>
          <w:spacing w:val="0"/>
          <w:sz w:val="21"/>
          <w:szCs w:val="21"/>
          <w:highlight w:val="none"/>
          <w:lang w:eastAsia="zh-CN"/>
          <w14:textFill>
            <w14:solidFill>
              <w14:schemeClr w14:val="tx1"/>
            </w14:solidFill>
          </w14:textFill>
        </w:rPr>
        <w:t>13.4在报价评</w:t>
      </w:r>
      <w:r>
        <w:rPr>
          <w:rFonts w:hint="eastAsia" w:ascii="宋体" w:hAnsi="宋体" w:eastAsia="宋体"/>
          <w:b/>
          <w:color w:val="000000" w:themeColor="text1"/>
          <w:spacing w:val="0"/>
          <w:sz w:val="21"/>
          <w:szCs w:val="21"/>
          <w:highlight w:val="none"/>
          <w:lang w:eastAsia="zh-CN"/>
          <w14:textFill>
            <w14:solidFill>
              <w14:schemeClr w14:val="tx1"/>
            </w14:solidFill>
          </w14:textFill>
        </w:rPr>
        <w:t>审</w:t>
      </w:r>
      <w:r>
        <w:rPr>
          <w:rFonts w:ascii="宋体" w:hAnsi="宋体" w:eastAsia="宋体"/>
          <w:b/>
          <w:color w:val="000000" w:themeColor="text1"/>
          <w:spacing w:val="0"/>
          <w:sz w:val="21"/>
          <w:szCs w:val="21"/>
          <w:highlight w:val="none"/>
          <w:lang w:eastAsia="zh-CN"/>
          <w14:textFill>
            <w14:solidFill>
              <w14:schemeClr w14:val="tx1"/>
            </w14:solidFill>
          </w14:textFill>
        </w:rPr>
        <w:t>时，如发现下列情形之一的，投标文件将被视为无效：</w:t>
      </w:r>
    </w:p>
    <w:p w14:paraId="77222A56">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⑴未采用人民币报价或者未按照招标文件标明的币种报价的；</w:t>
      </w:r>
    </w:p>
    <w:p w14:paraId="7C86F5F0">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⑵报价超出最高限价，或者超出采购预算金额，招标单位不能支付的；</w:t>
      </w:r>
    </w:p>
    <w:p w14:paraId="507859D8">
      <w:pPr>
        <w:pStyle w:val="19"/>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⑶投标报价具有选择性，或者开标价格与投标文件承诺的优惠（折扣）价格不一致的。</w:t>
      </w:r>
    </w:p>
    <w:p w14:paraId="11F02BD9">
      <w:pPr>
        <w:pStyle w:val="19"/>
        <w:wordWrap w:val="0"/>
        <w:topLinePunct/>
        <w:adjustRightInd w:val="0"/>
        <w:snapToGrid w:val="0"/>
        <w:spacing w:line="340" w:lineRule="exact"/>
        <w:ind w:firstLine="420" w:firstLineChars="200"/>
        <w:rPr>
          <w:rFonts w:hAnsi="宋体"/>
          <w:b/>
          <w:color w:val="000000" w:themeColor="text1"/>
          <w:spacing w:val="0"/>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⑷被拒绝的投标文件为无效。</w:t>
      </w:r>
    </w:p>
    <w:p w14:paraId="097AAE2D">
      <w:pPr>
        <w:pStyle w:val="21"/>
        <w:wordWrap w:val="0"/>
        <w:topLinePunct/>
        <w:adjustRightInd w:val="0"/>
        <w:snapToGrid w:val="0"/>
        <w:spacing w:line="34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13.5招标采购项目出现下列情形之一的，将予废标：</w:t>
      </w:r>
    </w:p>
    <w:p w14:paraId="15139478">
      <w:pPr>
        <w:widowControl/>
        <w:wordWrap w:val="0"/>
        <w:topLinePunct/>
        <w:adjustRightInd w:val="0"/>
        <w:snapToGrid w:val="0"/>
        <w:spacing w:line="34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⑴截标后整个招标项目的投标人不足三家的或实质性响应不足法定三家的；</w:t>
      </w:r>
    </w:p>
    <w:p w14:paraId="78D89B56">
      <w:pPr>
        <w:widowControl/>
        <w:wordWrap w:val="0"/>
        <w:topLinePunct/>
        <w:adjustRightInd w:val="0"/>
        <w:snapToGrid w:val="0"/>
        <w:spacing w:line="340" w:lineRule="exact"/>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⑵出现影响采购公正的违法、违规行为的；</w:t>
      </w:r>
    </w:p>
    <w:p w14:paraId="7D11420D">
      <w:pPr>
        <w:widowControl/>
        <w:wordWrap w:val="0"/>
        <w:topLinePunct/>
        <w:adjustRightInd w:val="0"/>
        <w:snapToGrid w:val="0"/>
        <w:spacing w:line="34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⑶投标人的报价均超过了采购预算，招标单位不能支付的；</w:t>
      </w:r>
    </w:p>
    <w:p w14:paraId="46856123">
      <w:pPr>
        <w:widowControl/>
        <w:wordWrap w:val="0"/>
        <w:topLinePunct/>
        <w:adjustRightInd w:val="0"/>
        <w:snapToGrid w:val="0"/>
        <w:spacing w:line="34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⑷因重大变故，采购任务取消的。</w:t>
      </w:r>
    </w:p>
    <w:p w14:paraId="30EC9F9C">
      <w:pPr>
        <w:pStyle w:val="19"/>
        <w:wordWrap w:val="0"/>
        <w:topLinePunct/>
        <w:adjustRightInd w:val="0"/>
        <w:snapToGrid w:val="0"/>
        <w:spacing w:line="360" w:lineRule="exact"/>
        <w:ind w:firstLine="422" w:firstLineChars="200"/>
        <w:rPr>
          <w:rFonts w:ascii="宋体" w:hAnsi="宋体" w:eastAsia="宋体"/>
          <w:b/>
          <w:bCs/>
          <w:color w:val="000000" w:themeColor="text1"/>
          <w:spacing w:val="0"/>
          <w:sz w:val="21"/>
          <w:szCs w:val="21"/>
          <w:highlight w:val="none"/>
          <w:lang w:eastAsia="zh-CN"/>
          <w14:textFill>
            <w14:solidFill>
              <w14:schemeClr w14:val="tx1"/>
            </w14:solidFill>
          </w14:textFill>
        </w:rPr>
      </w:pPr>
      <w:r>
        <w:rPr>
          <w:rFonts w:ascii="宋体" w:hAnsi="宋体" w:eastAsia="宋体"/>
          <w:b/>
          <w:bCs/>
          <w:color w:val="000000" w:themeColor="text1"/>
          <w:spacing w:val="0"/>
          <w:sz w:val="21"/>
          <w:szCs w:val="21"/>
          <w:highlight w:val="none"/>
          <w:lang w:eastAsia="zh-CN"/>
          <w14:textFill>
            <w14:solidFill>
              <w14:schemeClr w14:val="tx1"/>
            </w14:solidFill>
          </w14:textFill>
        </w:rPr>
        <w:t>13.</w:t>
      </w:r>
      <w:r>
        <w:rPr>
          <w:rFonts w:hint="eastAsia" w:ascii="宋体" w:hAnsi="宋体" w:eastAsia="宋体"/>
          <w:b/>
          <w:bCs/>
          <w:color w:val="000000" w:themeColor="text1"/>
          <w:spacing w:val="0"/>
          <w:sz w:val="21"/>
          <w:szCs w:val="21"/>
          <w:highlight w:val="none"/>
          <w:lang w:eastAsia="zh-CN"/>
          <w14:textFill>
            <w14:solidFill>
              <w14:schemeClr w14:val="tx1"/>
            </w14:solidFill>
          </w14:textFill>
        </w:rPr>
        <w:t>6</w:t>
      </w:r>
      <w:r>
        <w:rPr>
          <w:rFonts w:ascii="宋体" w:hAnsi="宋体" w:eastAsia="宋体"/>
          <w:b/>
          <w:bCs/>
          <w:color w:val="000000" w:themeColor="text1"/>
          <w:spacing w:val="0"/>
          <w:sz w:val="21"/>
          <w:szCs w:val="21"/>
          <w:highlight w:val="none"/>
          <w:lang w:eastAsia="zh-CN"/>
          <w14:textFill>
            <w14:solidFill>
              <w14:schemeClr w14:val="tx1"/>
            </w14:solidFill>
          </w14:textFill>
        </w:rPr>
        <w:t>废标后，采购代理机构将把废标理由通知所有投标人。</w:t>
      </w:r>
    </w:p>
    <w:p w14:paraId="7EB4FEE2">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14. 关于相同品牌产品投标、串通投标的特别说明：</w:t>
      </w:r>
    </w:p>
    <w:p w14:paraId="322B7975">
      <w:pPr>
        <w:spacing w:line="400" w:lineRule="exact"/>
        <w:ind w:firstLine="422"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14.1</w:t>
      </w:r>
      <w:r>
        <w:rPr>
          <w:rFonts w:hint="eastAsia" w:ascii="宋体" w:hAnsi="宋体" w:eastAsia="宋体"/>
          <w:color w:val="000000" w:themeColor="text1"/>
          <w:kern w:val="2"/>
          <w:sz w:val="21"/>
          <w:szCs w:val="24"/>
          <w:highlight w:val="none"/>
          <w:lang w:eastAsia="zh-CN"/>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7C21EF">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非单一产品采购项目，采购人应当根据采购项目技术构成、产品价格比重等合理确定核心产品，并在招标文件中载明。</w:t>
      </w:r>
    </w:p>
    <w:p w14:paraId="057B60C0">
      <w:pPr>
        <w:spacing w:line="400" w:lineRule="exact"/>
        <w:ind w:firstLine="422"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14.2有下列情形之一的视为供应商相互串通投标，投标文件将被视为无效：</w:t>
      </w:r>
    </w:p>
    <w:p w14:paraId="01D16DF7">
      <w:pPr>
        <w:spacing w:line="400" w:lineRule="exact"/>
        <w:ind w:firstLine="420"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（1）不同供应商的投标文件由同一单位或者个人编制；</w:t>
      </w:r>
      <w:r>
        <w:rPr>
          <w:rFonts w:hint="eastAsia" w:ascii="宋体" w:hAnsi="宋体" w:eastAsia="宋体"/>
          <w:b/>
          <w:bCs/>
          <w:color w:val="000000" w:themeColor="text1"/>
          <w:kern w:val="2"/>
          <w:sz w:val="21"/>
          <w:szCs w:val="24"/>
          <w:highlight w:val="none"/>
          <w:lang w:eastAsia="zh-CN"/>
          <w14:textFill>
            <w14:solidFill>
              <w14:schemeClr w14:val="tx1"/>
            </w14:solidFill>
          </w14:textFill>
        </w:rPr>
        <w:t>或不同供应商报名或上传投标文件的IP地址一致的；</w:t>
      </w:r>
    </w:p>
    <w:p w14:paraId="0A351936">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（2）不同供应商委托同一单位或者个人办理投标事宜；</w:t>
      </w:r>
    </w:p>
    <w:p w14:paraId="15573B4C">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（3）不同的供应商的投标文件载明的项目管理人员为同一个人；</w:t>
      </w:r>
    </w:p>
    <w:p w14:paraId="773DE2A0">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（4）不同供应商的投标文件异常一致或报价呈规律性差异；</w:t>
      </w:r>
    </w:p>
    <w:p w14:paraId="617C5854">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（5）不同供应商的投标文件相互混装；</w:t>
      </w:r>
    </w:p>
    <w:p w14:paraId="607F625B">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（6）不同供应商的保证金从同一单位或者个人账户转出。</w:t>
      </w:r>
    </w:p>
    <w:p w14:paraId="66C3CA9A">
      <w:pPr>
        <w:spacing w:line="400" w:lineRule="exact"/>
        <w:ind w:firstLine="422"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14.3供应商有下列情形之一的，属于恶意串通行为：</w:t>
      </w:r>
    </w:p>
    <w:p w14:paraId="73779FC2">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（1）供应商直接或者间接从采购人或者采购代理机构处获得其他供应商的相关信息并修改其投标文件：</w:t>
      </w:r>
    </w:p>
    <w:p w14:paraId="0518ECB0">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（2）供应商按照采购人或者采购代理机构的授意撤换、修改投标文件；</w:t>
      </w:r>
    </w:p>
    <w:p w14:paraId="42700A8C">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（3）供应商之间协商报价、技术方案等投标文件的实质性内容；</w:t>
      </w:r>
    </w:p>
    <w:p w14:paraId="4B499920">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（4）属于同一集团、协会、商会等组织成员的供应商按照该组织要求协同参加政府采购活动；</w:t>
      </w:r>
    </w:p>
    <w:p w14:paraId="586B040D">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（5）供应商之间事先约定一致抬高或者压低报价，或者在采购项目中事先约定轮流以高价位或者低价位中标，或者事先约定由某一特定供应商中标，然后再参加投标；</w:t>
      </w:r>
    </w:p>
    <w:p w14:paraId="23092423">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（6）供应商之间商定部分供应商放弃参加政府采购活动或者放弃中标；</w:t>
      </w:r>
    </w:p>
    <w:p w14:paraId="03B1C4AB">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（7）供应商与采购人或者采购代理机构之间、供应商相互之间，为谋求特定供应商中标或者排斥其他供应商的其他串通行为。</w:t>
      </w:r>
    </w:p>
    <w:p w14:paraId="38E7B374">
      <w:pPr>
        <w:spacing w:line="400" w:lineRule="exact"/>
        <w:ind w:firstLine="422"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14.4单位负责人为同一人或者存在直接控股、管理关系的不同的供应商，不得参加同一合同项下的政府采购活动，否则投标文件将被视为无效。</w:t>
      </w:r>
    </w:p>
    <w:p w14:paraId="51A5D8D5">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p>
    <w:p w14:paraId="29E792F9">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15.废标</w:t>
      </w:r>
    </w:p>
    <w:p w14:paraId="11C96C80">
      <w:pPr>
        <w:spacing w:line="40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投标采购过程中出现下列情形之一的，将予以废标：</w:t>
      </w:r>
    </w:p>
    <w:p w14:paraId="2167EFFE">
      <w:pPr>
        <w:spacing w:line="40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(1)出现影响采购公正的违法、违规行为的；</w:t>
      </w:r>
    </w:p>
    <w:p w14:paraId="658A4D7A">
      <w:pPr>
        <w:spacing w:line="40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(2)投标人的最终报价均超过了采购预算，采购人不能支付的；</w:t>
      </w:r>
    </w:p>
    <w:p w14:paraId="4D8EB7A9">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(3)因重大变故，采购任务取消的。</w:t>
      </w:r>
    </w:p>
    <w:p w14:paraId="13AD2556">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16.其他</w:t>
      </w:r>
    </w:p>
    <w:p w14:paraId="4D2531E1">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16.1供应商投标所使用的资格、信誉、荣誉、业绩与企业认证必须为其组织所拥有。供应商投标所使用的采购项目实施人员必须为组织员工（或必须为本法人或控股公司正式员工）。</w:t>
      </w:r>
    </w:p>
    <w:p w14:paraId="77A9AC76">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16.2供应商应仔细阅读采购的所有内容，按照采购文件的要求提交投标文件，并对所提供的全部资料的真实性承担法律责任。</w:t>
      </w:r>
    </w:p>
    <w:p w14:paraId="29CBB712">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16.3供应商在投标活动中提供任何虚假材料，其投标无效，并报监管部门查处。</w:t>
      </w:r>
    </w:p>
    <w:p w14:paraId="22F6A504">
      <w:pPr>
        <w:pStyle w:val="19"/>
        <w:wordWrap w:val="0"/>
        <w:topLinePunct/>
        <w:adjustRightInd w:val="0"/>
        <w:snapToGrid w:val="0"/>
        <w:spacing w:line="360" w:lineRule="exact"/>
        <w:ind w:firstLine="404" w:firstLineChars="200"/>
        <w:rPr>
          <w:rFonts w:ascii="宋体" w:hAnsi="宋体" w:eastAsia="宋体"/>
          <w:color w:val="000000" w:themeColor="text1"/>
          <w:sz w:val="21"/>
          <w:szCs w:val="21"/>
          <w:highlight w:val="none"/>
          <w:lang w:eastAsia="zh-CN"/>
          <w14:textFill>
            <w14:solidFill>
              <w14:schemeClr w14:val="tx1"/>
            </w14:solidFill>
          </w14:textFill>
        </w:rPr>
      </w:pPr>
    </w:p>
    <w:p w14:paraId="138D9747">
      <w:pPr>
        <w:pStyle w:val="21"/>
        <w:numPr>
          <w:ilvl w:val="0"/>
          <w:numId w:val="3"/>
        </w:numPr>
        <w:wordWrap w:val="0"/>
        <w:topLinePunct/>
        <w:spacing w:line="360" w:lineRule="exact"/>
        <w:jc w:val="center"/>
        <w:outlineLvl w:val="0"/>
        <w:rPr>
          <w:rFonts w:hAnsi="宋体"/>
          <w:b/>
          <w:color w:val="000000" w:themeColor="text1"/>
          <w:highlight w:val="none"/>
          <w14:textFill>
            <w14:solidFill>
              <w14:schemeClr w14:val="tx1"/>
            </w14:solidFill>
          </w14:textFill>
        </w:rPr>
      </w:pPr>
      <w:bookmarkStart w:id="117" w:name="_Toc13802"/>
      <w:bookmarkStart w:id="118" w:name="_Toc29808"/>
      <w:bookmarkStart w:id="119" w:name="_Toc20213"/>
      <w:bookmarkStart w:id="120" w:name="_Toc31219"/>
      <w:bookmarkStart w:id="121" w:name="_Toc10447"/>
      <w:r>
        <w:rPr>
          <w:rFonts w:hint="eastAsia" w:hAnsi="宋体"/>
          <w:b/>
          <w:color w:val="000000" w:themeColor="text1"/>
          <w:highlight w:val="none"/>
          <w14:textFill>
            <w14:solidFill>
              <w14:schemeClr w14:val="tx1"/>
            </w14:solidFill>
          </w14:textFill>
        </w:rPr>
        <w:t>投标文件的递交</w:t>
      </w:r>
      <w:bookmarkEnd w:id="70"/>
      <w:bookmarkEnd w:id="71"/>
      <w:bookmarkEnd w:id="72"/>
      <w:bookmarkEnd w:id="117"/>
      <w:bookmarkEnd w:id="118"/>
      <w:bookmarkEnd w:id="119"/>
      <w:bookmarkEnd w:id="120"/>
      <w:bookmarkEnd w:id="121"/>
    </w:p>
    <w:p w14:paraId="66B97BBB">
      <w:pPr>
        <w:pStyle w:val="21"/>
        <w:wordWrap w:val="0"/>
        <w:topLinePunct/>
        <w:spacing w:line="360" w:lineRule="exact"/>
        <w:jc w:val="center"/>
        <w:outlineLvl w:val="0"/>
        <w:rPr>
          <w:rFonts w:hAnsi="宋体"/>
          <w:b/>
          <w:color w:val="000000" w:themeColor="text1"/>
          <w:highlight w:val="none"/>
          <w14:textFill>
            <w14:solidFill>
              <w14:schemeClr w14:val="tx1"/>
            </w14:solidFill>
          </w14:textFill>
        </w:rPr>
      </w:pPr>
    </w:p>
    <w:p w14:paraId="6A3CE488">
      <w:pPr>
        <w:pStyle w:val="21"/>
        <w:wordWrap w:val="0"/>
        <w:topLinePunct/>
        <w:spacing w:line="360" w:lineRule="exact"/>
        <w:ind w:firstLine="422" w:firstLineChars="200"/>
        <w:outlineLvl w:val="1"/>
        <w:rPr>
          <w:rFonts w:hAnsi="宋体"/>
          <w:b/>
          <w:color w:val="000000" w:themeColor="text1"/>
          <w:highlight w:val="none"/>
          <w14:textFill>
            <w14:solidFill>
              <w14:schemeClr w14:val="tx1"/>
            </w14:solidFill>
          </w14:textFill>
        </w:rPr>
      </w:pPr>
      <w:bookmarkStart w:id="122" w:name="_Toc147250330"/>
      <w:bookmarkStart w:id="123" w:name="_Toc147250532"/>
      <w:bookmarkStart w:id="124" w:name="_Toc147250376"/>
      <w:r>
        <w:rPr>
          <w:rFonts w:hint="eastAsia" w:hAnsi="宋体"/>
          <w:b/>
          <w:color w:val="000000" w:themeColor="text1"/>
          <w:highlight w:val="none"/>
          <w14:textFill>
            <w14:solidFill>
              <w14:schemeClr w14:val="tx1"/>
            </w14:solidFill>
          </w14:textFill>
        </w:rPr>
        <w:t>17.投标文件的密封与标记</w:t>
      </w:r>
      <w:bookmarkEnd w:id="122"/>
      <w:bookmarkEnd w:id="123"/>
      <w:bookmarkEnd w:id="124"/>
    </w:p>
    <w:p w14:paraId="3E121EB0">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17.1电子投标文件按投标人须知前附表第7项规定由投标人自行编制、加密并通过广西政府采购云平台上传提交。</w:t>
      </w:r>
    </w:p>
    <w:p w14:paraId="3A84217F">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17.2投标人应将电子备份投标文件（以U盘或光盘存储）加以密封提交，电子备份投标文件袋上都应写明：</w:t>
      </w:r>
    </w:p>
    <w:p w14:paraId="7D728C9B">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(1)代理单位：</w:t>
      </w:r>
      <w:r>
        <w:rPr>
          <w:rFonts w:hint="eastAsia" w:hAnsi="宋体" w:cs="宋体"/>
          <w:i/>
          <w:iCs/>
          <w:color w:val="000000" w:themeColor="text1"/>
          <w:highlight w:val="none"/>
          <w14:textFill>
            <w14:solidFill>
              <w14:schemeClr w14:val="tx1"/>
            </w14:solidFill>
          </w14:textFill>
        </w:rPr>
        <w:t xml:space="preserve">                  </w:t>
      </w:r>
    </w:p>
    <w:p w14:paraId="2345F28F">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(2)项目名称：</w:t>
      </w:r>
    </w:p>
    <w:p w14:paraId="133DD9A4">
      <w:pPr>
        <w:pStyle w:val="21"/>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(3)项目编号：    </w:t>
      </w:r>
    </w:p>
    <w:p w14:paraId="0FC5E19A">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(4)投标人名称（加盖公章）：   </w:t>
      </w:r>
    </w:p>
    <w:p w14:paraId="402FFDC8">
      <w:pPr>
        <w:pStyle w:val="21"/>
        <w:spacing w:line="24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(5)投标人地址：                  </w:t>
      </w:r>
    </w:p>
    <w:p w14:paraId="6B9C1C1F">
      <w:pPr>
        <w:pStyle w:val="21"/>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(6)注明“截标前不得启封”</w:t>
      </w:r>
    </w:p>
    <w:p w14:paraId="76C1447C">
      <w:pPr>
        <w:pStyle w:val="21"/>
        <w:spacing w:line="380" w:lineRule="atLeas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17.3电子备份投标文件</w:t>
      </w:r>
      <w:r>
        <w:rPr>
          <w:rFonts w:hint="eastAsia" w:hAnsi="宋体" w:cs="宋体"/>
          <w:bCs/>
          <w:color w:val="000000" w:themeColor="text1"/>
          <w:highlight w:val="none"/>
          <w14:textFill>
            <w14:solidFill>
              <w14:schemeClr w14:val="tx1"/>
            </w14:solidFill>
          </w14:textFill>
        </w:rPr>
        <w:t>的密封以投标文件袋无明显缝隙暴露袋内文件且封口处有密封签章为合格。</w:t>
      </w:r>
    </w:p>
    <w:p w14:paraId="6C6DDB8F">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17.4逾期送达或者未按照招标文件要求密封的投标文件将被拒绝，由此造成投标文件被误投或提前拆封的风险由投标人承担。</w:t>
      </w:r>
    </w:p>
    <w:p w14:paraId="7AA254B1">
      <w:pPr>
        <w:pStyle w:val="21"/>
        <w:wordWrap w:val="0"/>
        <w:topLinePunct/>
        <w:spacing w:line="360" w:lineRule="exact"/>
        <w:ind w:firstLine="422" w:firstLineChars="200"/>
        <w:outlineLvl w:val="1"/>
        <w:rPr>
          <w:rFonts w:hAnsi="宋体"/>
          <w:b/>
          <w:color w:val="000000" w:themeColor="text1"/>
          <w:highlight w:val="none"/>
          <w14:textFill>
            <w14:solidFill>
              <w14:schemeClr w14:val="tx1"/>
            </w14:solidFill>
          </w14:textFill>
        </w:rPr>
      </w:pPr>
      <w:bookmarkStart w:id="125" w:name="_Toc147250377"/>
      <w:bookmarkStart w:id="126" w:name="_Toc147250331"/>
      <w:bookmarkStart w:id="127" w:name="_Toc147250533"/>
      <w:r>
        <w:rPr>
          <w:rFonts w:hint="eastAsia" w:hAnsi="宋体"/>
          <w:b/>
          <w:color w:val="000000" w:themeColor="text1"/>
          <w:highlight w:val="none"/>
          <w14:textFill>
            <w14:solidFill>
              <w14:schemeClr w14:val="tx1"/>
            </w14:solidFill>
          </w14:textFill>
        </w:rPr>
        <w:t>18.投标截止时间</w:t>
      </w:r>
      <w:bookmarkEnd w:id="125"/>
      <w:bookmarkEnd w:id="126"/>
      <w:bookmarkEnd w:id="127"/>
    </w:p>
    <w:p w14:paraId="519739CF">
      <w:pPr>
        <w:pStyle w:val="21"/>
        <w:wordWrap w:val="0"/>
        <w:topLinePunct/>
        <w:spacing w:line="360" w:lineRule="exact"/>
        <w:ind w:firstLine="420" w:firstLineChars="200"/>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18.1投标文件的递交不得迟于本须知前附表第7项规定的截止时间。</w:t>
      </w:r>
    </w:p>
    <w:p w14:paraId="11B28AF5">
      <w:pPr>
        <w:pStyle w:val="21"/>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18.2投标人必须在规定时间内将投标文件送到本须知前附表第7项规定地点，超过投标截止时间送达的投标文件为无效文件，采购代理机构将不予受理。</w:t>
      </w:r>
    </w:p>
    <w:p w14:paraId="74FC8604">
      <w:pPr>
        <w:pStyle w:val="21"/>
        <w:wordWrap w:val="0"/>
        <w:topLinePunct/>
        <w:spacing w:line="360" w:lineRule="exact"/>
        <w:ind w:firstLine="422" w:firstLineChars="200"/>
        <w:outlineLvl w:val="1"/>
        <w:rPr>
          <w:rFonts w:hAnsi="宋体"/>
          <w:color w:val="000000" w:themeColor="text1"/>
          <w:highlight w:val="none"/>
          <w14:textFill>
            <w14:solidFill>
              <w14:schemeClr w14:val="tx1"/>
            </w14:solidFill>
          </w14:textFill>
        </w:rPr>
      </w:pPr>
      <w:bookmarkStart w:id="128" w:name="_Toc147250332"/>
      <w:bookmarkStart w:id="129" w:name="_Toc147250534"/>
      <w:bookmarkStart w:id="130" w:name="_Toc147250378"/>
      <w:r>
        <w:rPr>
          <w:rFonts w:hint="eastAsia" w:hAnsi="宋体"/>
          <w:b/>
          <w:color w:val="000000" w:themeColor="text1"/>
          <w:highlight w:val="none"/>
          <w14:textFill>
            <w14:solidFill>
              <w14:schemeClr w14:val="tx1"/>
            </w14:solidFill>
          </w14:textFill>
        </w:rPr>
        <w:t>19.投标文件的修改及撤回</w:t>
      </w:r>
      <w:bookmarkEnd w:id="128"/>
      <w:bookmarkEnd w:id="129"/>
      <w:bookmarkEnd w:id="130"/>
    </w:p>
    <w:p w14:paraId="046BE561">
      <w:pPr>
        <w:pStyle w:val="21"/>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19.1在投标截止时间后，投标人不得对其投标作任何修改。</w:t>
      </w:r>
    </w:p>
    <w:p w14:paraId="296C32CA">
      <w:pPr>
        <w:pStyle w:val="21"/>
        <w:wordWrap w:val="0"/>
        <w:topLinePunct/>
        <w:spacing w:line="360" w:lineRule="exact"/>
        <w:ind w:firstLine="42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19.2在投标截止后的投标有效期内，投标人不得撤回其投标，否则其全部投标保证金将不予退还。</w:t>
      </w:r>
      <w:bookmarkStart w:id="131" w:name="_Toc3366"/>
      <w:bookmarkStart w:id="132" w:name="_Toc147250379"/>
      <w:bookmarkStart w:id="133" w:name="_Toc147250333"/>
      <w:bookmarkStart w:id="134" w:name="_Toc147250535"/>
      <w:bookmarkStart w:id="135" w:name="_Toc13315"/>
    </w:p>
    <w:p w14:paraId="2AE19790">
      <w:pPr>
        <w:pStyle w:val="21"/>
        <w:spacing w:line="288" w:lineRule="auto"/>
        <w:ind w:firstLine="32" w:firstLineChars="15"/>
        <w:jc w:val="center"/>
        <w:outlineLvl w:val="0"/>
        <w:rPr>
          <w:rFonts w:hAnsi="宋体"/>
          <w:b/>
          <w:color w:val="000000" w:themeColor="text1"/>
          <w:highlight w:val="none"/>
          <w14:textFill>
            <w14:solidFill>
              <w14:schemeClr w14:val="tx1"/>
            </w14:solidFill>
          </w14:textFill>
        </w:rPr>
      </w:pPr>
    </w:p>
    <w:p w14:paraId="2934C65B">
      <w:pPr>
        <w:pStyle w:val="21"/>
        <w:spacing w:line="288" w:lineRule="auto"/>
        <w:ind w:firstLine="32" w:firstLineChars="15"/>
        <w:jc w:val="center"/>
        <w:outlineLvl w:val="0"/>
        <w:rPr>
          <w:rFonts w:hAnsi="宋体"/>
          <w:b/>
          <w:color w:val="000000" w:themeColor="text1"/>
          <w:highlight w:val="none"/>
          <w14:textFill>
            <w14:solidFill>
              <w14:schemeClr w14:val="tx1"/>
            </w14:solidFill>
          </w14:textFill>
        </w:rPr>
      </w:pPr>
      <w:bookmarkStart w:id="136" w:name="_Toc24500"/>
      <w:bookmarkStart w:id="137" w:name="_Toc3262"/>
      <w:bookmarkStart w:id="138" w:name="_Toc26242"/>
      <w:r>
        <w:rPr>
          <w:rFonts w:hint="eastAsia" w:hAnsi="宋体"/>
          <w:b/>
          <w:color w:val="000000" w:themeColor="text1"/>
          <w:highlight w:val="none"/>
          <w14:textFill>
            <w14:solidFill>
              <w14:schemeClr w14:val="tx1"/>
            </w14:solidFill>
          </w14:textFill>
        </w:rPr>
        <w:t>五  开标</w:t>
      </w:r>
      <w:bookmarkEnd w:id="131"/>
      <w:bookmarkEnd w:id="132"/>
      <w:bookmarkEnd w:id="133"/>
      <w:bookmarkEnd w:id="134"/>
      <w:bookmarkEnd w:id="135"/>
      <w:bookmarkEnd w:id="136"/>
      <w:bookmarkEnd w:id="137"/>
      <w:bookmarkEnd w:id="138"/>
    </w:p>
    <w:p w14:paraId="403C3A61">
      <w:pPr>
        <w:pStyle w:val="4"/>
        <w:spacing w:before="0" w:after="0" w:line="400" w:lineRule="exact"/>
        <w:ind w:firstLine="422" w:firstLineChars="200"/>
        <w:rPr>
          <w:rFonts w:hAnsi="宋体" w:cs="宋体"/>
          <w:color w:val="000000" w:themeColor="text1"/>
          <w:sz w:val="21"/>
          <w:szCs w:val="21"/>
          <w:highlight w:val="none"/>
          <w:lang w:eastAsia="zh-CN"/>
          <w14:textFill>
            <w14:solidFill>
              <w14:schemeClr w14:val="tx1"/>
            </w14:solidFill>
          </w14:textFill>
        </w:rPr>
      </w:pPr>
      <w:bookmarkStart w:id="139" w:name="_Toc353785300"/>
      <w:bookmarkStart w:id="140" w:name="_Toc352700430"/>
      <w:bookmarkStart w:id="141" w:name="_Toc147250541"/>
      <w:bookmarkStart w:id="142" w:name="_Toc681"/>
      <w:bookmarkStart w:id="143" w:name="_Toc147250339"/>
      <w:bookmarkStart w:id="144" w:name="_Toc14727"/>
      <w:bookmarkStart w:id="145" w:name="_Toc147250385"/>
      <w:r>
        <w:rPr>
          <w:rFonts w:hint="eastAsia" w:hAnsi="宋体" w:cs="宋体"/>
          <w:color w:val="000000" w:themeColor="text1"/>
          <w:sz w:val="21"/>
          <w:szCs w:val="21"/>
          <w:highlight w:val="none"/>
          <w:lang w:eastAsia="zh-CN"/>
          <w14:textFill>
            <w14:solidFill>
              <w14:schemeClr w14:val="tx1"/>
            </w14:solidFill>
          </w14:textFill>
        </w:rPr>
        <w:t>20.开标准备</w:t>
      </w:r>
      <w:bookmarkEnd w:id="139"/>
      <w:bookmarkEnd w:id="140"/>
    </w:p>
    <w:p w14:paraId="11573C77">
      <w:pPr>
        <w:pStyle w:val="21"/>
        <w:snapToGrid w:val="0"/>
        <w:spacing w:line="400" w:lineRule="exact"/>
        <w:ind w:firstLine="420" w:firstLineChars="20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20.1本公司将按招标文件规定的时间、地点通过“</w:t>
      </w:r>
      <w:r>
        <w:rPr>
          <w:rFonts w:hint="eastAsia" w:hAnsi="宋体"/>
          <w:bCs/>
          <w:color w:val="000000" w:themeColor="text1"/>
          <w:highlight w:val="none"/>
          <w:lang w:eastAsia="zh-CN"/>
          <w14:textFill>
            <w14:solidFill>
              <w14:schemeClr w14:val="tx1"/>
            </w14:solidFill>
          </w14:textFill>
        </w:rPr>
        <w:t>广西</w:t>
      </w:r>
      <w:r>
        <w:rPr>
          <w:rFonts w:hint="eastAsia" w:hAnsi="宋体"/>
          <w:bCs/>
          <w:color w:val="000000" w:themeColor="text1"/>
          <w:highlight w:val="none"/>
          <w14:textFill>
            <w14:solidFill>
              <w14:schemeClr w14:val="tx1"/>
            </w14:solidFill>
          </w14:textFill>
        </w:rPr>
        <w:t>政府采购云平台”组织开标、开启投标文件，所有供应商均应当准时在线参加。投标供应商因未在线参加开标而导致投标文件无法按时解密等一切后果由供应商自行承担。</w:t>
      </w:r>
    </w:p>
    <w:p w14:paraId="00F16FCD">
      <w:pPr>
        <w:pStyle w:val="4"/>
        <w:spacing w:before="0" w:after="0" w:line="400" w:lineRule="exact"/>
        <w:ind w:firstLine="422" w:firstLineChars="200"/>
        <w:rPr>
          <w:rFonts w:hAnsi="宋体" w:cs="宋体"/>
          <w:color w:val="000000" w:themeColor="text1"/>
          <w:sz w:val="21"/>
          <w:szCs w:val="21"/>
          <w:highlight w:val="none"/>
          <w:lang w:eastAsia="zh-CN"/>
          <w14:textFill>
            <w14:solidFill>
              <w14:schemeClr w14:val="tx1"/>
            </w14:solidFill>
          </w14:textFill>
        </w:rPr>
      </w:pPr>
      <w:bookmarkStart w:id="146" w:name="_Toc353785301"/>
      <w:bookmarkStart w:id="147" w:name="_Toc352700431"/>
      <w:r>
        <w:rPr>
          <w:rFonts w:hint="eastAsia" w:hAnsi="宋体" w:cs="宋体"/>
          <w:color w:val="000000" w:themeColor="text1"/>
          <w:sz w:val="21"/>
          <w:szCs w:val="21"/>
          <w:highlight w:val="none"/>
          <w:lang w:eastAsia="zh-CN"/>
          <w14:textFill>
            <w14:solidFill>
              <w14:schemeClr w14:val="tx1"/>
            </w14:solidFill>
          </w14:textFill>
        </w:rPr>
        <w:t>21.开标程序</w:t>
      </w:r>
      <w:bookmarkEnd w:id="146"/>
      <w:bookmarkEnd w:id="147"/>
    </w:p>
    <w:p w14:paraId="173690C7">
      <w:pPr>
        <w:pStyle w:val="21"/>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21.1电子开标会由采购代理机构主持。</w:t>
      </w:r>
    </w:p>
    <w:p w14:paraId="2FE8F5E2">
      <w:pPr>
        <w:pStyle w:val="21"/>
        <w:adjustRightInd w:val="0"/>
        <w:snapToGrid w:val="0"/>
        <w:spacing w:line="400" w:lineRule="exact"/>
        <w:ind w:firstLine="420" w:firstLineChars="200"/>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21.2采购代理机构工作人员</w:t>
      </w:r>
      <w:r>
        <w:rPr>
          <w:rFonts w:hint="eastAsia" w:hAnsi="宋体"/>
          <w:color w:val="000000" w:themeColor="text1"/>
          <w:highlight w:val="none"/>
          <w:lang w:eastAsia="zh-CN"/>
          <w14:textFill>
            <w14:solidFill>
              <w14:schemeClr w14:val="tx1"/>
            </w14:solidFill>
          </w14:textFill>
        </w:rPr>
        <w:t>通过广西政府采购云平台</w:t>
      </w:r>
      <w:r>
        <w:rPr>
          <w:rFonts w:hint="eastAsia"/>
          <w:color w:val="000000" w:themeColor="text1"/>
          <w:highlight w:val="none"/>
          <w14:textFill>
            <w14:solidFill>
              <w14:schemeClr w14:val="tx1"/>
            </w14:solidFill>
          </w14:textFill>
        </w:rPr>
        <w:t>向各投标供应商发出电子加密投标文件【开始解密】通知，由供应商按招标文件规定的时间内自行进行投标文件解密。解密失败时可</w:t>
      </w:r>
      <w:r>
        <w:rPr>
          <w:rFonts w:hint="eastAsia" w:hAnsi="宋体" w:cs="宋体"/>
          <w:color w:val="000000" w:themeColor="text1"/>
          <w:szCs w:val="21"/>
          <w:highlight w:val="none"/>
          <w14:textFill>
            <w14:solidFill>
              <w14:schemeClr w14:val="tx1"/>
            </w14:solidFill>
          </w14:textFill>
        </w:rPr>
        <w:t>以使用电子备份投标文件为依据，电子备份投标文件无法上传时</w:t>
      </w:r>
      <w:r>
        <w:rPr>
          <w:rFonts w:hint="eastAsia"/>
          <w:snapToGrid w:val="0"/>
          <w:color w:val="000000" w:themeColor="text1"/>
          <w:highlight w:val="none"/>
          <w14:textFill>
            <w14:solidFill>
              <w14:schemeClr w14:val="tx1"/>
            </w14:solidFill>
          </w14:textFill>
        </w:rPr>
        <w:t>，系统默认自动放弃。</w:t>
      </w:r>
    </w:p>
    <w:p w14:paraId="18FD8984">
      <w:pPr>
        <w:pStyle w:val="21"/>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21.3</w:t>
      </w:r>
      <w:r>
        <w:rPr>
          <w:rFonts w:hAnsi="宋体"/>
          <w:color w:val="000000" w:themeColor="text1"/>
          <w:highlight w:val="none"/>
          <w14:textFill>
            <w14:solidFill>
              <w14:schemeClr w14:val="tx1"/>
            </w14:solidFill>
          </w14:textFill>
        </w:rPr>
        <w:t>投标文件解密结束，开启</w:t>
      </w:r>
      <w:r>
        <w:rPr>
          <w:rFonts w:hint="eastAsia" w:hAnsi="宋体"/>
          <w:color w:val="000000" w:themeColor="text1"/>
          <w:highlight w:val="none"/>
          <w14:textFill>
            <w14:solidFill>
              <w14:schemeClr w14:val="tx1"/>
            </w14:solidFill>
          </w14:textFill>
        </w:rPr>
        <w:t>报价文件。投标供应商在线制作投标文件时填写的报价金额</w:t>
      </w:r>
      <w:r>
        <w:rPr>
          <w:rFonts w:hAnsi="宋体"/>
          <w:color w:val="000000" w:themeColor="text1"/>
          <w:highlight w:val="none"/>
          <w14:textFill>
            <w14:solidFill>
              <w14:schemeClr w14:val="tx1"/>
            </w14:solidFill>
          </w14:textFill>
        </w:rPr>
        <w:t>与解密后“电子加密投标文件”中《开标一览表》填写的金额不一致的，以解密后“电子加密投标文件”中《开标一览表》填写的金额为准，投标供应商拒绝接受此调整的，按无效投标处理。</w:t>
      </w:r>
    </w:p>
    <w:p w14:paraId="48F6B5BC">
      <w:pPr>
        <w:pStyle w:val="21"/>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21.4进入</w:t>
      </w:r>
      <w:r>
        <w:rPr>
          <w:rFonts w:hAnsi="宋体"/>
          <w:color w:val="000000" w:themeColor="text1"/>
          <w:highlight w:val="none"/>
          <w14:textFill>
            <w14:solidFill>
              <w14:schemeClr w14:val="tx1"/>
            </w14:solidFill>
          </w14:textFill>
        </w:rPr>
        <w:t>资格文件</w:t>
      </w:r>
      <w:r>
        <w:rPr>
          <w:rFonts w:hint="eastAsia" w:hAnsi="宋体"/>
          <w:color w:val="000000" w:themeColor="text1"/>
          <w:highlight w:val="none"/>
          <w14:textFill>
            <w14:solidFill>
              <w14:schemeClr w14:val="tx1"/>
            </w14:solidFill>
          </w14:textFill>
        </w:rPr>
        <w:t>审查环节</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本公司或者招标采购单位</w:t>
      </w:r>
      <w:r>
        <w:rPr>
          <w:rFonts w:hAnsi="宋体"/>
          <w:color w:val="000000" w:themeColor="text1"/>
          <w:highlight w:val="none"/>
          <w14:textFill>
            <w14:solidFill>
              <w14:schemeClr w14:val="tx1"/>
            </w14:solidFill>
          </w14:textFill>
        </w:rPr>
        <w:t>依法对投标供应商的资格进行审查。</w:t>
      </w:r>
    </w:p>
    <w:p w14:paraId="32A51685">
      <w:pPr>
        <w:pStyle w:val="21"/>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21.5</w:t>
      </w:r>
      <w:r>
        <w:rPr>
          <w:rFonts w:hAnsi="宋体"/>
          <w:color w:val="000000" w:themeColor="text1"/>
          <w:highlight w:val="none"/>
          <w14:textFill>
            <w14:solidFill>
              <w14:schemeClr w14:val="tx1"/>
            </w14:solidFill>
          </w14:textFill>
        </w:rPr>
        <w:t>开启资格审查通过的投标供应商的商务技术文件进入符合性审查及商务技术评审</w:t>
      </w:r>
      <w:r>
        <w:rPr>
          <w:rFonts w:hint="eastAsia" w:hAnsi="宋体"/>
          <w:color w:val="000000" w:themeColor="text1"/>
          <w:highlight w:val="none"/>
          <w14:textFill>
            <w14:solidFill>
              <w14:schemeClr w14:val="tx1"/>
            </w14:solidFill>
          </w14:textFill>
        </w:rPr>
        <w:t>。</w:t>
      </w:r>
    </w:p>
    <w:p w14:paraId="0AC2F042">
      <w:pPr>
        <w:pStyle w:val="21"/>
        <w:adjustRightInd w:val="0"/>
        <w:snapToGrid w:val="0"/>
        <w:spacing w:line="400" w:lineRule="exact"/>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注：①当整个招标项目的投标人不足3家的不开标，采购代理机构将按政府采购管理的有关规定处理。</w:t>
      </w:r>
    </w:p>
    <w:p w14:paraId="2BD91C98">
      <w:pPr>
        <w:pStyle w:val="21"/>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②开标后，某分标投标人不足3家的，采购代理机构将按政府采购管理的有关规定处理。</w:t>
      </w:r>
    </w:p>
    <w:p w14:paraId="5056AB9B">
      <w:pPr>
        <w:pStyle w:val="21"/>
        <w:snapToGrid w:val="0"/>
        <w:spacing w:line="400" w:lineRule="exact"/>
        <w:ind w:firstLine="42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特别说明：如遇“</w:t>
      </w:r>
      <w:r>
        <w:rPr>
          <w:rFonts w:hint="eastAsia" w:hAnsi="宋体"/>
          <w:b/>
          <w:bCs/>
          <w:color w:val="000000" w:themeColor="text1"/>
          <w:highlight w:val="none"/>
          <w:lang w:eastAsia="zh-CN"/>
          <w14:textFill>
            <w14:solidFill>
              <w14:schemeClr w14:val="tx1"/>
            </w14:solidFill>
          </w14:textFill>
        </w:rPr>
        <w:t>广西</w:t>
      </w:r>
      <w:r>
        <w:rPr>
          <w:rFonts w:hint="eastAsia" w:hAnsi="宋体"/>
          <w:b/>
          <w:bCs/>
          <w:color w:val="000000" w:themeColor="text1"/>
          <w:highlight w:val="none"/>
          <w14:textFill>
            <w14:solidFill>
              <w14:schemeClr w14:val="tx1"/>
            </w14:solidFill>
          </w14:textFill>
        </w:rPr>
        <w:t>政府采购云平台”电子化开标或评审程序调整的，按调整后程序执行。</w:t>
      </w:r>
    </w:p>
    <w:p w14:paraId="557CC570">
      <w:pPr>
        <w:pStyle w:val="21"/>
        <w:snapToGrid w:val="0"/>
        <w:spacing w:line="400" w:lineRule="exact"/>
        <w:ind w:firstLine="420" w:firstLineChars="200"/>
        <w:rPr>
          <w:rFonts w:hAnsi="宋体" w:cs="宋体"/>
          <w:color w:val="000000" w:themeColor="text1"/>
          <w:highlight w:val="none"/>
          <w14:textFill>
            <w14:solidFill>
              <w14:schemeClr w14:val="tx1"/>
            </w14:solidFill>
          </w14:textFill>
        </w:rPr>
      </w:pPr>
    </w:p>
    <w:p w14:paraId="676D12EA">
      <w:pPr>
        <w:pStyle w:val="21"/>
        <w:snapToGrid w:val="0"/>
        <w:ind w:firstLine="422" w:firstLineChars="200"/>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六  资格审查</w:t>
      </w:r>
    </w:p>
    <w:p w14:paraId="05850DFB">
      <w:pPr>
        <w:pStyle w:val="21"/>
        <w:spacing w:line="40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采购人或采购代理机构工作人员依法对投标人的资格进行审查。合格投标人不足3家的，不得评标。</w:t>
      </w:r>
    </w:p>
    <w:p w14:paraId="363A9E63">
      <w:pPr>
        <w:pStyle w:val="3"/>
        <w:spacing w:before="0" w:after="0" w:line="400" w:lineRule="exact"/>
        <w:ind w:firstLine="4427" w:firstLineChars="2100"/>
        <w:rPr>
          <w:rFonts w:ascii="宋体" w:hAnsi="宋体" w:eastAsia="宋体"/>
          <w:bCs w:val="0"/>
          <w:color w:val="000000" w:themeColor="text1"/>
          <w:sz w:val="21"/>
          <w:szCs w:val="21"/>
          <w:highlight w:val="none"/>
          <w:lang w:eastAsia="zh-CN"/>
          <w14:textFill>
            <w14:solidFill>
              <w14:schemeClr w14:val="tx1"/>
            </w14:solidFill>
          </w14:textFill>
        </w:rPr>
      </w:pPr>
      <w:bookmarkStart w:id="148" w:name="_Toc352700432"/>
      <w:bookmarkStart w:id="149" w:name="_Toc254970545"/>
      <w:bookmarkStart w:id="150" w:name="_Toc353785302"/>
      <w:bookmarkStart w:id="151" w:name="_Toc254970686"/>
      <w:r>
        <w:rPr>
          <w:rFonts w:hint="eastAsia" w:ascii="宋体" w:hAnsi="宋体" w:eastAsia="宋体"/>
          <w:bCs w:val="0"/>
          <w:color w:val="000000" w:themeColor="text1"/>
          <w:sz w:val="21"/>
          <w:szCs w:val="21"/>
          <w:highlight w:val="none"/>
          <w:lang w:eastAsia="zh-CN"/>
          <w14:textFill>
            <w14:solidFill>
              <w14:schemeClr w14:val="tx1"/>
            </w14:solidFill>
          </w14:textFill>
        </w:rPr>
        <w:t>七  评  标</w:t>
      </w:r>
      <w:bookmarkEnd w:id="148"/>
      <w:bookmarkEnd w:id="149"/>
      <w:bookmarkEnd w:id="150"/>
      <w:bookmarkEnd w:id="151"/>
    </w:p>
    <w:p w14:paraId="2C9C777A">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52" w:name="_Toc353785303"/>
      <w:bookmarkStart w:id="153" w:name="_Toc352700433"/>
      <w:r>
        <w:rPr>
          <w:rFonts w:hint="eastAsia" w:ascii="宋体" w:hAnsi="宋体" w:cs="宋体"/>
          <w:color w:val="000000" w:themeColor="text1"/>
          <w:sz w:val="21"/>
          <w:szCs w:val="21"/>
          <w:highlight w:val="none"/>
          <w:lang w:eastAsia="zh-CN"/>
          <w14:textFill>
            <w14:solidFill>
              <w14:schemeClr w14:val="tx1"/>
            </w14:solidFill>
          </w14:textFill>
        </w:rPr>
        <w:t>22. 组建评标委员会</w:t>
      </w:r>
      <w:bookmarkEnd w:id="152"/>
      <w:bookmarkEnd w:id="153"/>
    </w:p>
    <w:p w14:paraId="6AC3A82F">
      <w:pPr>
        <w:pStyle w:val="21"/>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本招标采购项目的评标委员会由采购人代表和评审专家组成，</w:t>
      </w:r>
      <w:r>
        <w:rPr>
          <w:rFonts w:hint="eastAsia" w:hAnsi="宋体" w:cs="宋体"/>
          <w:color w:val="000000" w:themeColor="text1"/>
          <w:szCs w:val="21"/>
          <w:highlight w:val="none"/>
          <w14:textFill>
            <w14:solidFill>
              <w14:schemeClr w14:val="tx1"/>
            </w14:solidFill>
          </w14:textFill>
        </w:rPr>
        <w:t>成员人数应当为5人以上单数，其中</w:t>
      </w:r>
      <w:r>
        <w:rPr>
          <w:rFonts w:hint="eastAsia" w:hAnsi="宋体" w:cs="宋体"/>
          <w:bCs/>
          <w:color w:val="000000" w:themeColor="text1"/>
          <w:szCs w:val="21"/>
          <w:highlight w:val="none"/>
          <w14:textFill>
            <w14:solidFill>
              <w14:schemeClr w14:val="tx1"/>
            </w14:solidFill>
          </w14:textFill>
        </w:rPr>
        <w:t>评审专家</w:t>
      </w:r>
      <w:r>
        <w:rPr>
          <w:rFonts w:hint="eastAsia" w:hAnsi="宋体" w:cs="宋体"/>
          <w:color w:val="000000" w:themeColor="text1"/>
          <w:szCs w:val="21"/>
          <w:highlight w:val="none"/>
          <w14:textFill>
            <w14:solidFill>
              <w14:schemeClr w14:val="tx1"/>
            </w14:solidFill>
          </w14:textFill>
        </w:rPr>
        <w:t>人数不少于成员总数的2/3</w:t>
      </w:r>
      <w:r>
        <w:rPr>
          <w:rFonts w:hint="eastAsia" w:hAnsi="宋体" w:cs="宋体"/>
          <w:bCs/>
          <w:color w:val="000000" w:themeColor="text1"/>
          <w:szCs w:val="21"/>
          <w:highlight w:val="none"/>
          <w14:textFill>
            <w14:solidFill>
              <w14:schemeClr w14:val="tx1"/>
            </w14:solidFill>
          </w14:textFill>
        </w:rPr>
        <w:t>。</w:t>
      </w:r>
    </w:p>
    <w:p w14:paraId="4C2BE8AB">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54" w:name="_Toc352700434"/>
      <w:bookmarkStart w:id="155" w:name="_Toc353785304"/>
      <w:r>
        <w:rPr>
          <w:rFonts w:hint="eastAsia" w:ascii="宋体" w:hAnsi="宋体" w:cs="宋体"/>
          <w:color w:val="000000" w:themeColor="text1"/>
          <w:sz w:val="21"/>
          <w:szCs w:val="21"/>
          <w:highlight w:val="none"/>
          <w:lang w:eastAsia="zh-CN"/>
          <w14:textFill>
            <w14:solidFill>
              <w14:schemeClr w14:val="tx1"/>
            </w14:solidFill>
          </w14:textFill>
        </w:rPr>
        <w:t>23.评标的方式</w:t>
      </w:r>
      <w:bookmarkEnd w:id="154"/>
      <w:bookmarkEnd w:id="155"/>
    </w:p>
    <w:p w14:paraId="19C2CFA0">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本项目采用不公开方式评标，评标的依据为招标文件和投标文件。</w:t>
      </w:r>
    </w:p>
    <w:p w14:paraId="27021CB2">
      <w:pPr>
        <w:spacing w:line="43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bookmarkStart w:id="156" w:name="_Toc352700435"/>
      <w:bookmarkStart w:id="157" w:name="_Toc353785305"/>
      <w:r>
        <w:rPr>
          <w:rFonts w:hint="eastAsia" w:ascii="宋体" w:hAnsi="宋体" w:eastAsia="宋体"/>
          <w:b/>
          <w:bCs/>
          <w:color w:val="000000" w:themeColor="text1"/>
          <w:sz w:val="21"/>
          <w:szCs w:val="21"/>
          <w:highlight w:val="none"/>
          <w:lang w:eastAsia="zh-CN"/>
          <w14:textFill>
            <w14:solidFill>
              <w14:schemeClr w14:val="tx1"/>
            </w14:solidFill>
          </w14:textFill>
        </w:rPr>
        <w:t>24.评标程序</w:t>
      </w:r>
      <w:bookmarkEnd w:id="156"/>
      <w:bookmarkEnd w:id="157"/>
    </w:p>
    <w:p w14:paraId="384A94A9">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（1）评标委员会审查、评价投标文件是否符合招标文件的商务、技术等实质性要求。</w:t>
      </w:r>
    </w:p>
    <w:p w14:paraId="26FD7FEA">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评标委员会对投标文件进行比较和评价，如有疑问，将以电子询标函的形式要求投标人在线对投标文件有关事项作出澄清或者说明。投标人向评标委员会澄清或者说明有关问题，并对最终盖章的电子文件进行回复。</w:t>
      </w:r>
    </w:p>
    <w:p w14:paraId="3E04B79F">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投标人代表超过规定时间或者拒绝澄清或者澄清的内容改变了投标文件的实质性内容的，评标委员会有权视该投标文件无效。</w:t>
      </w:r>
    </w:p>
    <w:p w14:paraId="64680C59">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（3）各投标人的技术得分为所有评委的有效评分的算术平均数，由指定专人进行计算复核。</w:t>
      </w:r>
    </w:p>
    <w:p w14:paraId="03C43C9B">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（4）本采购代理机构工作人员协助评标委员会根据本项目的评分标准计算各投标人的商务报价得分。</w:t>
      </w:r>
    </w:p>
    <w:p w14:paraId="47BE5A0C">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（5）评标委员会完成评标后，由广西政府采购云平台系统对各部分得分汇总，计算出本项目最终得分、评标价等。评标委员会按推荐原则推荐中标候选人同时形成评标报告。</w:t>
      </w:r>
    </w:p>
    <w:p w14:paraId="6BB563CC">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58" w:name="_Toc353785306"/>
      <w:bookmarkStart w:id="159" w:name="_Toc352700436"/>
      <w:r>
        <w:rPr>
          <w:rFonts w:hint="eastAsia" w:ascii="宋体" w:hAnsi="宋体" w:cs="宋体"/>
          <w:color w:val="000000" w:themeColor="text1"/>
          <w:sz w:val="21"/>
          <w:szCs w:val="21"/>
          <w:highlight w:val="none"/>
          <w:lang w:eastAsia="zh-CN"/>
          <w14:textFill>
            <w14:solidFill>
              <w14:schemeClr w14:val="tx1"/>
            </w14:solidFill>
          </w14:textFill>
        </w:rPr>
        <w:t>25.澄清、说明或者纠正</w:t>
      </w:r>
      <w:bookmarkEnd w:id="158"/>
      <w:bookmarkEnd w:id="159"/>
    </w:p>
    <w:p w14:paraId="070159E4">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bookmarkStart w:id="160" w:name="_Toc352700437"/>
      <w:bookmarkStart w:id="161" w:name="_Toc353785307"/>
      <w:r>
        <w:rPr>
          <w:rFonts w:hint="eastAsia"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2B39D4BB">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26.错误修正</w:t>
      </w:r>
      <w:bookmarkEnd w:id="160"/>
      <w:bookmarkEnd w:id="161"/>
    </w:p>
    <w:p w14:paraId="0084F338">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投标文件报价出现前后不一致的，除招标文件另有规定外，按照下列规定修正：</w:t>
      </w:r>
    </w:p>
    <w:p w14:paraId="7A29F8C5">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(1)投标文件中开标一览表（报价表）内容与投标文件中相应内容不一致的，以开标一览表（报价表）为准；</w:t>
      </w:r>
    </w:p>
    <w:p w14:paraId="1B73B066">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(2)大写金额和小写金额不一致的，以大写金额为准；</w:t>
      </w:r>
    </w:p>
    <w:p w14:paraId="2D3948FC">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(3)单价金额小数点或者百分比有明显错位的，以开标一览表的总价为准，并修改单价；</w:t>
      </w:r>
    </w:p>
    <w:p w14:paraId="1AD421CF">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(4)总价金额与按单价汇总金额不一致的，以单价金额计算结果为准。</w:t>
      </w:r>
    </w:p>
    <w:p w14:paraId="61B60485">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按上述修正错误的原则及方法调整或修正投标文件的投标报价，投标人同意并签字确认后，调整后的投标报价对投标人具有约束作用。如果投标人确认的，其投标无效。</w:t>
      </w:r>
    </w:p>
    <w:p w14:paraId="65241403">
      <w:pPr>
        <w:pStyle w:val="21"/>
        <w:snapToGrid w:val="0"/>
        <w:spacing w:line="400" w:lineRule="exact"/>
        <w:ind w:firstLine="422" w:firstLineChars="200"/>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9DD414">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62" w:name="_Toc353785308"/>
      <w:bookmarkStart w:id="163" w:name="_Toc352700438"/>
      <w:r>
        <w:rPr>
          <w:rFonts w:hint="eastAsia" w:ascii="宋体" w:hAnsi="宋体" w:cs="宋体"/>
          <w:color w:val="000000" w:themeColor="text1"/>
          <w:sz w:val="21"/>
          <w:szCs w:val="21"/>
          <w:highlight w:val="none"/>
          <w:lang w:eastAsia="zh-CN"/>
          <w14:textFill>
            <w14:solidFill>
              <w14:schemeClr w14:val="tx1"/>
            </w14:solidFill>
          </w14:textFill>
        </w:rPr>
        <w:t>27.评标原则和评标办法</w:t>
      </w:r>
      <w:bookmarkEnd w:id="162"/>
      <w:bookmarkEnd w:id="163"/>
    </w:p>
    <w:p w14:paraId="7ABF32E5">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27.1 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5E2A16A">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27.2 评标办法。本项目评标办法是</w:t>
      </w:r>
      <w:r>
        <w:rPr>
          <w:rFonts w:hint="eastAsia" w:hAnsi="宋体" w:cs="宋体"/>
          <w:b/>
          <w:color w:val="000000" w:themeColor="text1"/>
          <w:szCs w:val="21"/>
          <w:highlight w:val="none"/>
          <w14:textFill>
            <w14:solidFill>
              <w14:schemeClr w14:val="tx1"/>
            </w14:solidFill>
          </w14:textFill>
        </w:rPr>
        <w:t>综合评分法</w:t>
      </w:r>
      <w:r>
        <w:rPr>
          <w:rFonts w:hint="eastAsia" w:hAnsi="宋体" w:cs="宋体"/>
          <w:color w:val="000000" w:themeColor="text1"/>
          <w:szCs w:val="21"/>
          <w:highlight w:val="none"/>
          <w14:textFill>
            <w14:solidFill>
              <w14:schemeClr w14:val="tx1"/>
            </w14:solidFill>
          </w14:textFill>
        </w:rPr>
        <w:t>，具体评标内容及评分标准等详见第四章：评标办法及评分标准。</w:t>
      </w:r>
      <w:bookmarkStart w:id="164" w:name="_Toc352700439"/>
    </w:p>
    <w:p w14:paraId="04B542EF">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65" w:name="_Toc353785309"/>
      <w:r>
        <w:rPr>
          <w:rFonts w:hint="eastAsia" w:ascii="宋体" w:hAnsi="宋体" w:cs="宋体"/>
          <w:color w:val="000000" w:themeColor="text1"/>
          <w:sz w:val="21"/>
          <w:szCs w:val="21"/>
          <w:highlight w:val="none"/>
          <w:lang w:eastAsia="zh-CN"/>
          <w14:textFill>
            <w14:solidFill>
              <w14:schemeClr w14:val="tx1"/>
            </w14:solidFill>
          </w14:textFill>
        </w:rPr>
        <w:t>28. 评标过程的监控</w:t>
      </w:r>
      <w:bookmarkEnd w:id="164"/>
      <w:bookmarkEnd w:id="165"/>
    </w:p>
    <w:p w14:paraId="11F172F1">
      <w:pPr>
        <w:pStyle w:val="21"/>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本项目评标过程实行全程录音、录像监控，投标人在评标过程中所进行的试图影响评标结果的不公正活动，可能导致其投标被拒绝。</w:t>
      </w:r>
    </w:p>
    <w:p w14:paraId="792D20DF">
      <w:pPr>
        <w:pStyle w:val="21"/>
        <w:spacing w:line="360" w:lineRule="exact"/>
        <w:jc w:val="center"/>
        <w:outlineLvl w:val="0"/>
        <w:rPr>
          <w:rFonts w:hAnsi="宋体" w:cs="宋体"/>
          <w:b/>
          <w:color w:val="000000" w:themeColor="text1"/>
          <w:szCs w:val="21"/>
          <w:highlight w:val="none"/>
          <w14:textFill>
            <w14:solidFill>
              <w14:schemeClr w14:val="tx1"/>
            </w14:solidFill>
          </w14:textFill>
        </w:rPr>
      </w:pPr>
      <w:bookmarkStart w:id="166" w:name="_Toc31794"/>
      <w:bookmarkStart w:id="167" w:name="_Toc6184"/>
      <w:bookmarkStart w:id="168" w:name="_Toc19701"/>
      <w:r>
        <w:rPr>
          <w:rFonts w:hint="eastAsia" w:hAnsi="宋体" w:cs="宋体"/>
          <w:b/>
          <w:color w:val="000000" w:themeColor="text1"/>
          <w:szCs w:val="21"/>
          <w:highlight w:val="none"/>
          <w14:textFill>
            <w14:solidFill>
              <w14:schemeClr w14:val="tx1"/>
            </w14:solidFill>
          </w14:textFill>
        </w:rPr>
        <w:t>八  评标结果</w:t>
      </w:r>
      <w:bookmarkEnd w:id="141"/>
      <w:bookmarkEnd w:id="142"/>
      <w:bookmarkEnd w:id="143"/>
      <w:bookmarkEnd w:id="144"/>
      <w:bookmarkEnd w:id="145"/>
      <w:bookmarkEnd w:id="166"/>
      <w:bookmarkEnd w:id="167"/>
      <w:bookmarkEnd w:id="168"/>
    </w:p>
    <w:p w14:paraId="53404059">
      <w:pPr>
        <w:pStyle w:val="21"/>
        <w:spacing w:line="400" w:lineRule="exact"/>
        <w:ind w:firstLine="422" w:firstLineChars="200"/>
        <w:rPr>
          <w:rFonts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29.</w:t>
      </w:r>
      <w:r>
        <w:rPr>
          <w:rFonts w:hint="eastAsia" w:hAnsi="宋体" w:cs="宋体"/>
          <w:color w:val="000000" w:themeColor="text1"/>
          <w:szCs w:val="21"/>
          <w:highlight w:val="none"/>
          <w14:textFill>
            <w14:solidFill>
              <w14:schemeClr w14:val="tx1"/>
            </w14:solidFill>
          </w14:textFill>
        </w:rPr>
        <w:t>本采购代理机构将在评标结束后两个工作日内将评标报告送采购人，采购人在五个工作日内按照评标报告中推荐的中标候选供应商顺序确定中标供应商。采购人也可以事先授权评标委员会直接确定中标供应商。</w:t>
      </w:r>
    </w:p>
    <w:p w14:paraId="1C0756B7">
      <w:pPr>
        <w:snapToGrid w:val="0"/>
        <w:spacing w:line="400" w:lineRule="exact"/>
        <w:ind w:firstLine="422"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30.</w:t>
      </w:r>
      <w:r>
        <w:rPr>
          <w:rFonts w:hint="eastAsia" w:ascii="宋体" w:hAnsi="宋体" w:eastAsia="宋体"/>
          <w:color w:val="000000" w:themeColor="text1"/>
          <w:sz w:val="21"/>
          <w:szCs w:val="21"/>
          <w:highlight w:val="none"/>
          <w:lang w:eastAsia="zh-CN"/>
          <w14:textFill>
            <w14:solidFill>
              <w14:schemeClr w14:val="tx1"/>
            </w14:solidFill>
          </w14:textFill>
        </w:rPr>
        <w:t>中标供应商确定后，本采购代理机构在中国政府采购网、广西政府采购网、钦州市公共资源交易中心网、龙建公司网站发布中标公告。</w:t>
      </w:r>
    </w:p>
    <w:p w14:paraId="4B478DF2">
      <w:pPr>
        <w:pStyle w:val="21"/>
        <w:spacing w:line="400" w:lineRule="exact"/>
        <w:ind w:firstLine="422" w:firstLineChars="200"/>
        <w:rPr>
          <w:rFonts w:hAnsi="宋体" w:cs="宋体"/>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31.</w:t>
      </w:r>
      <w:r>
        <w:rPr>
          <w:rFonts w:hint="eastAsia" w:hAnsi="宋体" w:cs="宋体"/>
          <w:color w:val="000000" w:themeColor="text1"/>
          <w:szCs w:val="21"/>
          <w:highlight w:val="none"/>
          <w14:textFill>
            <w14:solidFill>
              <w14:schemeClr w14:val="tx1"/>
            </w14:solidFill>
          </w14:textFill>
        </w:rPr>
        <w:t>在发布中标公告的同时，本采购代理机构向中标供应商发出中标通知书。</w:t>
      </w:r>
    </w:p>
    <w:p w14:paraId="77508E23">
      <w:pPr>
        <w:pStyle w:val="21"/>
        <w:spacing w:line="400" w:lineRule="exact"/>
        <w:ind w:firstLine="422" w:firstLineChars="200"/>
        <w:rPr>
          <w:rFonts w:hAnsi="宋体" w:cs="宋体"/>
          <w:bCs/>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32.</w:t>
      </w:r>
      <w:r>
        <w:rPr>
          <w:rFonts w:hint="eastAsia" w:hAnsi="宋体" w:cs="宋体"/>
          <w:bCs/>
          <w:color w:val="000000" w:themeColor="text1"/>
          <w:szCs w:val="21"/>
          <w:highlight w:val="none"/>
          <w14:textFill>
            <w14:solidFill>
              <w14:schemeClr w14:val="tx1"/>
            </w14:solidFill>
          </w14:textFill>
        </w:rPr>
        <w:t>投标人认为招标文件、招标过程和中标结果使自己的权益受到损害的，可以在知道或者应知其权益受到损害之日起七个工作日内，以书面形式向本</w:t>
      </w:r>
      <w:r>
        <w:rPr>
          <w:rFonts w:hint="eastAsia" w:hAnsi="宋体" w:cs="宋体"/>
          <w:color w:val="000000" w:themeColor="text1"/>
          <w:szCs w:val="21"/>
          <w:highlight w:val="none"/>
          <w14:textFill>
            <w14:solidFill>
              <w14:schemeClr w14:val="tx1"/>
            </w14:solidFill>
          </w14:textFill>
        </w:rPr>
        <w:t>采购代理机构</w:t>
      </w:r>
      <w:r>
        <w:rPr>
          <w:rFonts w:hint="eastAsia" w:hAnsi="宋体" w:cs="宋体"/>
          <w:bCs/>
          <w:color w:val="000000" w:themeColor="text1"/>
          <w:szCs w:val="21"/>
          <w:highlight w:val="none"/>
          <w14:textFill>
            <w14:solidFill>
              <w14:schemeClr w14:val="tx1"/>
            </w14:solidFill>
          </w14:textFill>
        </w:rPr>
        <w:t>提出质疑，并及时索要书面回执。</w:t>
      </w:r>
    </w:p>
    <w:p w14:paraId="315204B8">
      <w:pPr>
        <w:pStyle w:val="21"/>
        <w:spacing w:line="400" w:lineRule="exact"/>
        <w:ind w:firstLine="422" w:firstLineChars="200"/>
        <w:rPr>
          <w:rFonts w:hAnsi="宋体" w:cs="宋体"/>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33.</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bCs/>
          <w:color w:val="000000" w:themeColor="text1"/>
          <w:szCs w:val="21"/>
          <w:highlight w:val="none"/>
          <w14:textFill>
            <w14:solidFill>
              <w14:schemeClr w14:val="tx1"/>
            </w14:solidFill>
          </w14:textFill>
        </w:rPr>
        <w:t>本</w:t>
      </w:r>
      <w:r>
        <w:rPr>
          <w:rFonts w:hint="eastAsia" w:hAnsi="宋体" w:cs="宋体"/>
          <w:color w:val="000000" w:themeColor="text1"/>
          <w:szCs w:val="21"/>
          <w:highlight w:val="none"/>
          <w14:textFill>
            <w14:solidFill>
              <w14:schemeClr w14:val="tx1"/>
            </w14:solidFill>
          </w14:textFill>
        </w:rPr>
        <w:t>采购代理机构</w:t>
      </w:r>
      <w:r>
        <w:rPr>
          <w:rFonts w:hint="eastAsia" w:hAnsi="宋体" w:cs="宋体"/>
          <w:bCs/>
          <w:color w:val="000000" w:themeColor="text1"/>
          <w:szCs w:val="21"/>
          <w:highlight w:val="none"/>
          <w14:textFill>
            <w14:solidFill>
              <w14:schemeClr w14:val="tx1"/>
            </w14:solidFill>
          </w14:textFill>
        </w:rPr>
        <w:t>应当按照有关规定就采购人委托授权范围内的事项在收到投标人的书面质疑后七个工作日内作出答复，但答复的内容不得涉及商业秘密。</w:t>
      </w:r>
      <w:bookmarkStart w:id="169" w:name="_Toc352700441"/>
      <w:bookmarkStart w:id="170" w:name="_Toc353785311"/>
    </w:p>
    <w:p w14:paraId="120C8C07">
      <w:pPr>
        <w:pStyle w:val="3"/>
        <w:spacing w:before="0" w:after="0" w:line="400" w:lineRule="exact"/>
        <w:ind w:firstLine="4006" w:firstLineChars="1900"/>
        <w:rPr>
          <w:rFonts w:ascii="宋体" w:hAnsi="宋体" w:eastAsia="宋体"/>
          <w:bCs w:val="0"/>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lang w:eastAsia="zh-CN"/>
          <w14:textFill>
            <w14:solidFill>
              <w14:schemeClr w14:val="tx1"/>
            </w14:solidFill>
          </w14:textFill>
        </w:rPr>
        <w:t>九  签订合同</w:t>
      </w:r>
      <w:bookmarkEnd w:id="169"/>
      <w:bookmarkEnd w:id="170"/>
    </w:p>
    <w:p w14:paraId="309140E9">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71" w:name="_Toc353785313"/>
      <w:bookmarkStart w:id="172" w:name="_Toc352700443"/>
      <w:r>
        <w:rPr>
          <w:rFonts w:hint="eastAsia" w:ascii="宋体" w:hAnsi="宋体" w:cs="宋体"/>
          <w:color w:val="000000" w:themeColor="text1"/>
          <w:sz w:val="21"/>
          <w:szCs w:val="21"/>
          <w:highlight w:val="none"/>
          <w:lang w:eastAsia="zh-CN"/>
          <w14:textFill>
            <w14:solidFill>
              <w14:schemeClr w14:val="tx1"/>
            </w14:solidFill>
          </w14:textFill>
        </w:rPr>
        <w:t>34.签订合同</w:t>
      </w:r>
      <w:bookmarkEnd w:id="171"/>
      <w:bookmarkEnd w:id="172"/>
    </w:p>
    <w:p w14:paraId="4D159AB1">
      <w:pPr>
        <w:pStyle w:val="21"/>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34.1 投标人接到中标通知书后，应按中标通知书规定的时间、地点与采购人签订合同。</w:t>
      </w:r>
    </w:p>
    <w:p w14:paraId="5525F9EF">
      <w:pPr>
        <w:pStyle w:val="21"/>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34.2 如中标供应商不按中标通知书的规定签订合同，则按中标供应商违约处理，本采购代理机构将没收中标供应商投标的全部投标保证金。</w:t>
      </w:r>
    </w:p>
    <w:p w14:paraId="643A80C4">
      <w:pPr>
        <w:pStyle w:val="21"/>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34.3 中标供应商因不可抗力或者自身原因不能履行采购合同的，采购人可以与中标供应商之后排名第一的中标候选供应商签订采购合同，以此类推。</w:t>
      </w:r>
    </w:p>
    <w:p w14:paraId="5406E4EB">
      <w:pPr>
        <w:pStyle w:val="21"/>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34.4 </w:t>
      </w:r>
      <w:r>
        <w:rPr>
          <w:rFonts w:hint="eastAsia" w:hAnsi="宋体" w:cs="宋体"/>
          <w:color w:val="000000" w:themeColor="text1"/>
          <w:spacing w:val="-4"/>
          <w:szCs w:val="21"/>
          <w:highlight w:val="none"/>
          <w14:textFill>
            <w14:solidFill>
              <w14:schemeClr w14:val="tx1"/>
            </w14:solidFill>
          </w14:textFill>
        </w:rPr>
        <w:t>投标人已经被推荐为第一中标候选供应商后撤回投标或放弃中标的，本</w:t>
      </w:r>
      <w:r>
        <w:rPr>
          <w:rFonts w:hint="eastAsia" w:hAnsi="宋体" w:cs="宋体"/>
          <w:color w:val="000000" w:themeColor="text1"/>
          <w:szCs w:val="21"/>
          <w:highlight w:val="none"/>
          <w14:textFill>
            <w14:solidFill>
              <w14:schemeClr w14:val="tx1"/>
            </w14:solidFill>
          </w14:textFill>
        </w:rPr>
        <w:t>采购代理机构</w:t>
      </w:r>
      <w:r>
        <w:rPr>
          <w:rFonts w:hint="eastAsia" w:hAnsi="宋体" w:cs="宋体"/>
          <w:color w:val="000000" w:themeColor="text1"/>
          <w:spacing w:val="-4"/>
          <w:szCs w:val="21"/>
          <w:highlight w:val="none"/>
          <w14:textFill>
            <w14:solidFill>
              <w14:schemeClr w14:val="tx1"/>
            </w14:solidFill>
          </w14:textFill>
        </w:rPr>
        <w:t>予以没收投标保证金</w:t>
      </w:r>
      <w:r>
        <w:rPr>
          <w:rFonts w:hint="eastAsia" w:hAnsi="宋体" w:cs="宋体"/>
          <w:color w:val="000000" w:themeColor="text1"/>
          <w:szCs w:val="21"/>
          <w:highlight w:val="none"/>
          <w14:textFill>
            <w14:solidFill>
              <w14:schemeClr w14:val="tx1"/>
            </w14:solidFill>
          </w14:textFill>
        </w:rPr>
        <w:t>。恶意弃标的，将报政府采购监督管理部门依法依规进行处罚。</w:t>
      </w:r>
    </w:p>
    <w:p w14:paraId="1FBB70AA">
      <w:pPr>
        <w:pStyle w:val="21"/>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34.5 采购人如遇中标供应商违约，有权从中标候选供应商中确定中标供应商，由采购代理机构组织中标供应商与采购人签订合同，或重新组织采购。</w:t>
      </w:r>
    </w:p>
    <w:p w14:paraId="5274BD9D">
      <w:pPr>
        <w:pStyle w:val="3"/>
        <w:spacing w:before="0" w:after="0" w:line="400" w:lineRule="exact"/>
        <w:ind w:firstLine="3795" w:firstLineChars="1800"/>
        <w:rPr>
          <w:rFonts w:ascii="宋体" w:hAnsi="宋体" w:eastAsia="宋体"/>
          <w:bCs w:val="0"/>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lang w:eastAsia="zh-CN"/>
          <w14:textFill>
            <w14:solidFill>
              <w14:schemeClr w14:val="tx1"/>
            </w14:solidFill>
          </w14:textFill>
        </w:rPr>
        <w:t>十  政府采购合同公告</w:t>
      </w:r>
    </w:p>
    <w:p w14:paraId="5ECC76EE">
      <w:pPr>
        <w:spacing w:line="34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35.政府采购合同公告</w:t>
      </w:r>
    </w:p>
    <w:p w14:paraId="2FF29DA7">
      <w:pPr>
        <w:pStyle w:val="21"/>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35.1根据《中华人民共和国政府采购法实施条例》第五十条规定，采购人应当自政府采购合同签订之日起2个工作日内，将政府采购合同政府在财政部门指定的媒体上公告，但政府采购合同中涉及国家秘密、商业秘密的内容除外。</w:t>
      </w:r>
    </w:p>
    <w:p w14:paraId="50EB97ED">
      <w:pPr>
        <w:pStyle w:val="3"/>
        <w:spacing w:before="0" w:after="0" w:line="400" w:lineRule="exact"/>
        <w:ind w:firstLine="3795" w:firstLineChars="1800"/>
        <w:rPr>
          <w:rFonts w:ascii="宋体" w:hAnsi="宋体" w:eastAsia="宋体"/>
          <w:bCs w:val="0"/>
          <w:color w:val="000000" w:themeColor="text1"/>
          <w:sz w:val="21"/>
          <w:szCs w:val="21"/>
          <w:highlight w:val="none"/>
          <w:lang w:eastAsia="zh-CN"/>
          <w14:textFill>
            <w14:solidFill>
              <w14:schemeClr w14:val="tx1"/>
            </w14:solidFill>
          </w14:textFill>
        </w:rPr>
      </w:pPr>
      <w:bookmarkStart w:id="173" w:name="_Toc352700445"/>
      <w:bookmarkStart w:id="174" w:name="_Toc353785315"/>
      <w:bookmarkStart w:id="175" w:name="_Toc352315998"/>
      <w:r>
        <w:rPr>
          <w:rFonts w:hint="eastAsia" w:ascii="宋体" w:hAnsi="宋体" w:eastAsia="宋体"/>
          <w:bCs w:val="0"/>
          <w:color w:val="000000" w:themeColor="text1"/>
          <w:sz w:val="21"/>
          <w:szCs w:val="21"/>
          <w:highlight w:val="none"/>
          <w:lang w:eastAsia="zh-CN"/>
          <w14:textFill>
            <w14:solidFill>
              <w14:schemeClr w14:val="tx1"/>
            </w14:solidFill>
          </w14:textFill>
        </w:rPr>
        <w:t>十一   其他事项</w:t>
      </w:r>
      <w:bookmarkEnd w:id="173"/>
      <w:bookmarkEnd w:id="174"/>
      <w:bookmarkEnd w:id="175"/>
    </w:p>
    <w:p w14:paraId="5700AE0E">
      <w:pPr>
        <w:pStyle w:val="21"/>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36.招标代理服务费</w:t>
      </w:r>
    </w:p>
    <w:p w14:paraId="586C6A08">
      <w:pPr>
        <w:pStyle w:val="21"/>
        <w:spacing w:line="400" w:lineRule="exact"/>
        <w:ind w:firstLine="420" w:firstLineChars="200"/>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36.1招标代理服务费按</w:t>
      </w:r>
      <w:r>
        <w:rPr>
          <w:rStyle w:val="40"/>
          <w:rFonts w:hint="eastAsia" w:ascii="宋体" w:hAnsi="宋体" w:eastAsia="宋体" w:cs="宋体"/>
          <w:color w:val="000000" w:themeColor="text1"/>
          <w:sz w:val="21"/>
          <w:szCs w:val="21"/>
          <w:highlight w:val="none"/>
          <w14:textFill>
            <w14:solidFill>
              <w14:schemeClr w14:val="tx1"/>
            </w14:solidFill>
          </w14:textFill>
        </w:rPr>
        <w:t>国家发展计划委员会文件关于印发《招标代理服务收费管理暂行办法》的通知</w:t>
      </w:r>
      <w:r>
        <w:rPr>
          <w:rStyle w:val="40"/>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40"/>
          <w:rFonts w:hint="eastAsia" w:ascii="宋体" w:hAnsi="宋体" w:eastAsia="宋体" w:cs="宋体"/>
          <w:color w:val="000000" w:themeColor="text1"/>
          <w:sz w:val="21"/>
          <w:szCs w:val="21"/>
          <w:highlight w:val="none"/>
          <w14:textFill>
            <w14:solidFill>
              <w14:schemeClr w14:val="tx1"/>
            </w14:solidFill>
          </w14:textFill>
        </w:rPr>
        <w:t>计价格[2002]1980号</w:t>
      </w:r>
      <w:r>
        <w:rPr>
          <w:rStyle w:val="40"/>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40"/>
          <w:rFonts w:hint="eastAsia" w:ascii="宋体" w:hAnsi="宋体" w:eastAsia="宋体" w:cs="宋体"/>
          <w:color w:val="000000" w:themeColor="text1"/>
          <w:sz w:val="21"/>
          <w:szCs w:val="21"/>
          <w:highlight w:val="none"/>
          <w14:textFill>
            <w14:solidFill>
              <w14:schemeClr w14:val="tx1"/>
            </w14:solidFill>
          </w14:textFill>
        </w:rPr>
        <w:t>、《国家发展改革委办公厅关于招标代理服务收费有关问题的通知》（发改办价格[2003]857号）</w:t>
      </w:r>
      <w:r>
        <w:rPr>
          <w:rFonts w:hint="eastAsia" w:hAnsi="宋体" w:cs="宋体"/>
          <w:color w:val="000000" w:themeColor="text1"/>
          <w:szCs w:val="21"/>
          <w:highlight w:val="none"/>
          <w14:textFill>
            <w14:solidFill>
              <w14:schemeClr w14:val="tx1"/>
            </w14:solidFill>
          </w14:textFill>
        </w:rPr>
        <w:t>（货物招标类型）</w:t>
      </w:r>
      <w:r>
        <w:rPr>
          <w:rFonts w:hint="eastAsia" w:hAnsi="宋体" w:cs="宋体"/>
          <w:color w:val="000000" w:themeColor="text1"/>
          <w:szCs w:val="21"/>
          <w:highlight w:val="none"/>
          <w:lang w:eastAsia="zh-CN"/>
          <w14:textFill>
            <w14:solidFill>
              <w14:schemeClr w14:val="tx1"/>
            </w14:solidFill>
          </w14:textFill>
        </w:rPr>
        <w:t>下浮</w:t>
      </w:r>
      <w:r>
        <w:rPr>
          <w:rFonts w:hint="eastAsia" w:hAnsi="宋体" w:cs="宋体"/>
          <w:color w:val="000000" w:themeColor="text1"/>
          <w:szCs w:val="21"/>
          <w:highlight w:val="none"/>
          <w:lang w:val="en-US" w:eastAsia="zh-CN"/>
          <w14:textFill>
            <w14:solidFill>
              <w14:schemeClr w14:val="tx1"/>
            </w14:solidFill>
          </w14:textFill>
        </w:rPr>
        <w:t>20%</w:t>
      </w:r>
      <w:r>
        <w:rPr>
          <w:rFonts w:hint="eastAsia" w:hAnsi="宋体" w:cs="宋体"/>
          <w:color w:val="000000" w:themeColor="text1"/>
          <w:szCs w:val="21"/>
          <w:highlight w:val="none"/>
          <w14:textFill>
            <w14:solidFill>
              <w14:schemeClr w14:val="tx1"/>
            </w14:solidFill>
          </w14:textFill>
        </w:rPr>
        <w:t>计取，方式为中标人向采购代理机构支付。在中标通知书发出之日由中标人一次性向采购代理机构付清。</w:t>
      </w:r>
    </w:p>
    <w:p w14:paraId="3D5079CE">
      <w:pPr>
        <w:pStyle w:val="21"/>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36.2 代理服务收费标准：</w:t>
      </w:r>
    </w:p>
    <w:tbl>
      <w:tblPr>
        <w:tblStyle w:val="38"/>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326"/>
        <w:gridCol w:w="2316"/>
        <w:gridCol w:w="2316"/>
      </w:tblGrid>
      <w:tr w14:paraId="7A3A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8" w:type="dxa"/>
          </w:tcPr>
          <w:p w14:paraId="0F8EDC80">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21590</wp:posOffset>
                      </wp:positionV>
                      <wp:extent cx="1196975" cy="514985"/>
                      <wp:effectExtent l="1905" t="4445" r="20320" b="13970"/>
                      <wp:wrapNone/>
                      <wp:docPr id="1" name="Line 3"/>
                      <wp:cNvGraphicFramePr/>
                      <a:graphic xmlns:a="http://schemas.openxmlformats.org/drawingml/2006/main">
                        <a:graphicData uri="http://schemas.microsoft.com/office/word/2010/wordprocessingShape">
                          <wps:wsp>
                            <wps:cNvCnPr/>
                            <wps:spPr>
                              <a:xfrm>
                                <a:off x="0" y="0"/>
                                <a:ext cx="1196975" cy="514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4.45pt;margin-top:1.7pt;height:40.55pt;width:94.25pt;z-index:251659264;mso-width-relative:page;mso-height-relative:page;" filled="f" stroked="t" coordsize="21600,21600" o:gfxdata="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vw8ftYAAAAHAQAADwAAAAAAAAABACAA&#10;AAAiAAAAZHJzL2Rvd25yZXYueG1sUEsBAhQAFAAAAAgAh07iQI1Z/6LWAQAA0gMAAA4AAAAAAAAA&#10;AQAgAAAAJQEAAGRycy9lMm9Eb2MueG1sUEsFBgAAAAAGAAYAWQEAAG0FAAAAAA==&#10;">
                      <v:fill on="f" focussize="0,0"/>
                      <v:stroke color="#000000" joinstyle="round"/>
                      <v:imagedata o:title=""/>
                      <o:lock v:ext="edit" aspectratio="f"/>
                    </v:line>
                  </w:pict>
                </mc:Fallback>
              </mc:AlternateContent>
            </w:r>
            <w:r>
              <w:rPr>
                <w:rFonts w:hint="eastAsia" w:ascii="宋体" w:hAnsi="宋体" w:eastAsia="宋体"/>
                <w:color w:val="000000" w:themeColor="text1"/>
                <w:sz w:val="21"/>
                <w:szCs w:val="21"/>
                <w:highlight w:val="none"/>
                <w:lang w:eastAsia="zh-CN"/>
                <w14:textFill>
                  <w14:solidFill>
                    <w14:schemeClr w14:val="tx1"/>
                  </w14:solidFill>
                </w14:textFill>
              </w:rPr>
              <w:t>费率       服务类型</w:t>
            </w:r>
          </w:p>
          <w:p w14:paraId="734B1013">
            <w:pPr>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20320</wp:posOffset>
                      </wp:positionV>
                      <wp:extent cx="1463040" cy="377825"/>
                      <wp:effectExtent l="1270" t="4445" r="2540" b="17780"/>
                      <wp:wrapNone/>
                      <wp:docPr id="2" name="Line 4"/>
                      <wp:cNvGraphicFramePr/>
                      <a:graphic xmlns:a="http://schemas.openxmlformats.org/drawingml/2006/main">
                        <a:graphicData uri="http://schemas.microsoft.com/office/word/2010/wordprocessingShape">
                          <wps:wsp>
                            <wps:cNvCnPr/>
                            <wps:spPr>
                              <a:xfrm>
                                <a:off x="0" y="0"/>
                                <a:ext cx="1463040" cy="3778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5.15pt;margin-top:1.6pt;height:29.75pt;width:115.2pt;z-index:251660288;mso-width-relative:page;mso-height-relative:page;" filled="f" stroked="t" coordsize="21600,21600" o:gfxdata="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aw3NdYAAAAIAQAADwAAAAAAAAABACAA&#10;AAAiAAAAZHJzL2Rvd25yZXYueG1sUEsBAhQAFAAAAAgAh07iQIlHz0LWAQAA0gMAAA4AAAAAAAAA&#10;AQAgAAAAJQEAAGRycy9lMm9Eb2MueG1sUEsFBgAAAAAGAAYAWQEAAG0FAAAAAA==&#10;">
                      <v:fill on="f" focussize="0,0"/>
                      <v:stroke color="#000000" joinstyle="round"/>
                      <v:imagedata o:title=""/>
                      <o:lock v:ext="edit" aspectratio="f"/>
                    </v:line>
                  </w:pict>
                </mc:Fallback>
              </mc:AlternateContent>
            </w:r>
          </w:p>
          <w:p w14:paraId="6077AC87">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中标金额（万元）</w:t>
            </w:r>
          </w:p>
        </w:tc>
        <w:tc>
          <w:tcPr>
            <w:tcW w:w="2326" w:type="dxa"/>
            <w:vAlign w:val="center"/>
          </w:tcPr>
          <w:p w14:paraId="05C3663E">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货物招标</w:t>
            </w:r>
          </w:p>
        </w:tc>
        <w:tc>
          <w:tcPr>
            <w:tcW w:w="2316" w:type="dxa"/>
            <w:vAlign w:val="center"/>
          </w:tcPr>
          <w:p w14:paraId="4CA605DA">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服务招标</w:t>
            </w:r>
          </w:p>
        </w:tc>
        <w:tc>
          <w:tcPr>
            <w:tcW w:w="2316" w:type="dxa"/>
            <w:vAlign w:val="center"/>
          </w:tcPr>
          <w:p w14:paraId="407350E0">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工程招标</w:t>
            </w:r>
          </w:p>
        </w:tc>
      </w:tr>
      <w:tr w14:paraId="4F7D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14:paraId="2661C228">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100以下</w:t>
            </w:r>
          </w:p>
        </w:tc>
        <w:tc>
          <w:tcPr>
            <w:tcW w:w="2326" w:type="dxa"/>
          </w:tcPr>
          <w:p w14:paraId="76FA0A3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1.5%</w:t>
            </w:r>
          </w:p>
        </w:tc>
        <w:tc>
          <w:tcPr>
            <w:tcW w:w="2316" w:type="dxa"/>
          </w:tcPr>
          <w:p w14:paraId="65D9513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1.5%</w:t>
            </w:r>
          </w:p>
        </w:tc>
        <w:tc>
          <w:tcPr>
            <w:tcW w:w="2316" w:type="dxa"/>
          </w:tcPr>
          <w:p w14:paraId="3A1EA8E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w:t>
            </w:r>
          </w:p>
        </w:tc>
      </w:tr>
      <w:tr w14:paraId="5370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14:paraId="0CBC1FCF">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100-500</w:t>
            </w:r>
          </w:p>
        </w:tc>
        <w:tc>
          <w:tcPr>
            <w:tcW w:w="2326" w:type="dxa"/>
          </w:tcPr>
          <w:p w14:paraId="02B2EE02">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1.1%</w:t>
            </w:r>
          </w:p>
        </w:tc>
        <w:tc>
          <w:tcPr>
            <w:tcW w:w="2316" w:type="dxa"/>
          </w:tcPr>
          <w:p w14:paraId="67A89DFF">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0.8%</w:t>
            </w:r>
          </w:p>
        </w:tc>
        <w:tc>
          <w:tcPr>
            <w:tcW w:w="2316" w:type="dxa"/>
          </w:tcPr>
          <w:p w14:paraId="7421F0B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0.7%</w:t>
            </w:r>
          </w:p>
        </w:tc>
      </w:tr>
      <w:tr w14:paraId="14CD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14:paraId="77438CF8">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500-1000</w:t>
            </w:r>
          </w:p>
        </w:tc>
        <w:tc>
          <w:tcPr>
            <w:tcW w:w="2326" w:type="dxa"/>
          </w:tcPr>
          <w:p w14:paraId="06E5BF9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0.8%</w:t>
            </w:r>
          </w:p>
        </w:tc>
        <w:tc>
          <w:tcPr>
            <w:tcW w:w="2316" w:type="dxa"/>
          </w:tcPr>
          <w:p w14:paraId="23997CB0">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0.45%</w:t>
            </w:r>
          </w:p>
        </w:tc>
        <w:tc>
          <w:tcPr>
            <w:tcW w:w="2316" w:type="dxa"/>
          </w:tcPr>
          <w:p w14:paraId="708D784B">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0.55%</w:t>
            </w:r>
          </w:p>
        </w:tc>
      </w:tr>
      <w:tr w14:paraId="1AA7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14:paraId="1E917DB7">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1000-5000</w:t>
            </w:r>
          </w:p>
        </w:tc>
        <w:tc>
          <w:tcPr>
            <w:tcW w:w="2326" w:type="dxa"/>
          </w:tcPr>
          <w:p w14:paraId="29E1E110">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0.5%</w:t>
            </w:r>
          </w:p>
        </w:tc>
        <w:tc>
          <w:tcPr>
            <w:tcW w:w="2316" w:type="dxa"/>
          </w:tcPr>
          <w:p w14:paraId="503D66DE">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0.25%</w:t>
            </w:r>
          </w:p>
        </w:tc>
        <w:tc>
          <w:tcPr>
            <w:tcW w:w="2316" w:type="dxa"/>
          </w:tcPr>
          <w:p w14:paraId="2FA1F037">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0.35%</w:t>
            </w:r>
          </w:p>
        </w:tc>
      </w:tr>
      <w:tr w14:paraId="6774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278" w:type="dxa"/>
          </w:tcPr>
          <w:p w14:paraId="79EE848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5000-10000</w:t>
            </w:r>
          </w:p>
        </w:tc>
        <w:tc>
          <w:tcPr>
            <w:tcW w:w="2326" w:type="dxa"/>
          </w:tcPr>
          <w:p w14:paraId="738FC5B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0.25%</w:t>
            </w:r>
          </w:p>
        </w:tc>
        <w:tc>
          <w:tcPr>
            <w:tcW w:w="2316" w:type="dxa"/>
          </w:tcPr>
          <w:p w14:paraId="5007CC12">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0.1%</w:t>
            </w:r>
          </w:p>
        </w:tc>
        <w:tc>
          <w:tcPr>
            <w:tcW w:w="2316" w:type="dxa"/>
          </w:tcPr>
          <w:p w14:paraId="6349C061">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0.2%</w:t>
            </w:r>
          </w:p>
        </w:tc>
      </w:tr>
      <w:tr w14:paraId="6FC6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14:paraId="3E0A9AB9">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10000-100000</w:t>
            </w:r>
          </w:p>
        </w:tc>
        <w:tc>
          <w:tcPr>
            <w:tcW w:w="2326" w:type="dxa"/>
          </w:tcPr>
          <w:p w14:paraId="78838F87">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0.05%</w:t>
            </w:r>
          </w:p>
        </w:tc>
        <w:tc>
          <w:tcPr>
            <w:tcW w:w="2316" w:type="dxa"/>
          </w:tcPr>
          <w:p w14:paraId="5E5BDB4B">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0.05%</w:t>
            </w:r>
          </w:p>
        </w:tc>
        <w:tc>
          <w:tcPr>
            <w:tcW w:w="2316" w:type="dxa"/>
          </w:tcPr>
          <w:p w14:paraId="3DEFFC8F">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0.05%</w:t>
            </w:r>
          </w:p>
        </w:tc>
      </w:tr>
      <w:tr w14:paraId="5689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14:paraId="1ED6128E">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100000以上</w:t>
            </w:r>
          </w:p>
        </w:tc>
        <w:tc>
          <w:tcPr>
            <w:tcW w:w="2326" w:type="dxa"/>
          </w:tcPr>
          <w:p w14:paraId="2DDB29D7">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0.01%</w:t>
            </w:r>
          </w:p>
        </w:tc>
        <w:tc>
          <w:tcPr>
            <w:tcW w:w="2316" w:type="dxa"/>
          </w:tcPr>
          <w:p w14:paraId="121693FE">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0.01%</w:t>
            </w:r>
          </w:p>
        </w:tc>
        <w:tc>
          <w:tcPr>
            <w:tcW w:w="2316" w:type="dxa"/>
          </w:tcPr>
          <w:p w14:paraId="65BA4DFD">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0.01%</w:t>
            </w:r>
          </w:p>
        </w:tc>
      </w:tr>
    </w:tbl>
    <w:p w14:paraId="2A7475A2">
      <w:pPr>
        <w:pStyle w:val="21"/>
        <w:spacing w:line="400" w:lineRule="exac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注：招标代理服务收费按差额定率累进法计算。</w:t>
      </w:r>
    </w:p>
    <w:p w14:paraId="0299DD79">
      <w:pPr>
        <w:spacing w:line="400" w:lineRule="exact"/>
        <w:ind w:firstLine="413" w:firstLineChars="196"/>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37. 询问、质疑和投诉</w:t>
      </w:r>
    </w:p>
    <w:p w14:paraId="161F83D0">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37.1供应商对政府采购活动事项有疑问的，可以向采购人、采购代理机构提出询问。</w:t>
      </w:r>
    </w:p>
    <w:p w14:paraId="7826E086">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37.2供应商认为采购文件、采购过程或中标结果使自己的合法权益受到损害的，应当在知道或者应知其权益受到损害之日起七个工作日内，以书面形式向采购人、采购代理机构提出质疑。具体计算时间如下：</w:t>
      </w:r>
    </w:p>
    <w:p w14:paraId="1EEA62E8">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（1）对可以质疑的采购文件提出质疑的，为收到采购文件之日；</w:t>
      </w:r>
    </w:p>
    <w:p w14:paraId="4A89F3C9">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（2）对采购过程提出质疑的，为各采购程序环节结束之日；</w:t>
      </w:r>
    </w:p>
    <w:p w14:paraId="7C21288A">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（3）对中标结果提出质疑的，为中标结果公告期限届满之日。</w:t>
      </w:r>
    </w:p>
    <w:p w14:paraId="33611327">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供应商对采购人或采购代理机构的质疑答复不满意或者采购人或采购代理机构未在规定时间内作出答复的，可以在答复期满后十五个工作日内向同级采购监管部门投诉。</w:t>
      </w:r>
    </w:p>
    <w:p w14:paraId="7325E04C">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37.3质疑、投诉应当采用书面形式，质疑书、投诉书均应明确阐述采购文件、采购过程、中标结果中使自己合法权益受到损害的实质性内容，提供相关事实、明确的请求、必要的证明材料，便于有关单位调查、答复和处理。</w:t>
      </w:r>
    </w:p>
    <w:p w14:paraId="6B67C30C">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0856E329">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（1）供应商的姓名或者名称、地址、邮编、联系人及联系电话；</w:t>
      </w:r>
    </w:p>
    <w:p w14:paraId="2FD376A4">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（2）质疑项目的名称、编号；</w:t>
      </w:r>
    </w:p>
    <w:p w14:paraId="3082E0B9">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（3）具体、明确的质疑事项和与质疑事项相关的请求；</w:t>
      </w:r>
    </w:p>
    <w:p w14:paraId="20B37142">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（4）事实依据；</w:t>
      </w:r>
    </w:p>
    <w:p w14:paraId="68B62772">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（5）必要的法律依据；</w:t>
      </w:r>
    </w:p>
    <w:p w14:paraId="4CFB5073">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（6）提出质疑的日期。</w:t>
      </w:r>
    </w:p>
    <w:p w14:paraId="75D92B79">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供应商为自然人的，应当由本人签字；供应商为法人或者其他组织的，应当由法定代表人、主要负责人，或者其授权代表签字或者盖章，并加盖公章。</w:t>
      </w:r>
    </w:p>
    <w:p w14:paraId="62B6F870">
      <w:pPr>
        <w:pStyle w:val="21"/>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38.解释权</w:t>
      </w:r>
    </w:p>
    <w:p w14:paraId="5DF62BC5">
      <w:pPr>
        <w:pStyle w:val="21"/>
        <w:spacing w:line="400" w:lineRule="exact"/>
        <w:ind w:firstLine="404" w:firstLineChars="200"/>
        <w:rPr>
          <w:rFonts w:hAnsi="宋体" w:cs="宋体"/>
          <w:color w:val="000000" w:themeColor="text1"/>
          <w:spacing w:val="-4"/>
          <w:szCs w:val="21"/>
          <w:highlight w:val="none"/>
          <w14:textFill>
            <w14:solidFill>
              <w14:schemeClr w14:val="tx1"/>
            </w14:solidFill>
          </w14:textFill>
        </w:rPr>
      </w:pPr>
      <w:r>
        <w:rPr>
          <w:rFonts w:hint="eastAsia" w:hAnsi="宋体" w:cs="宋体"/>
          <w:color w:val="000000" w:themeColor="text1"/>
          <w:spacing w:val="-4"/>
          <w:szCs w:val="21"/>
          <w:highlight w:val="none"/>
          <w14:textFill>
            <w14:solidFill>
              <w14:schemeClr w14:val="tx1"/>
            </w14:solidFill>
          </w14:textFill>
        </w:rPr>
        <w:t>本项目是根据国家有关法律、法规和参照国际惯例编制，解释权属采购代理机构。</w:t>
      </w:r>
    </w:p>
    <w:p w14:paraId="6B4634E2">
      <w:pPr>
        <w:pStyle w:val="21"/>
        <w:spacing w:line="400" w:lineRule="exact"/>
        <w:ind w:firstLine="422" w:firstLineChars="200"/>
        <w:rPr>
          <w:rFonts w:hAnsi="宋体" w:cs="宋体"/>
          <w:color w:val="000000" w:themeColor="text1"/>
          <w:spacing w:val="-4"/>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39.有关事宜</w:t>
      </w:r>
    </w:p>
    <w:p w14:paraId="3B5B090D">
      <w:pPr>
        <w:pStyle w:val="21"/>
        <w:spacing w:line="288"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39.1所有与本招标文件有关的函电请按下列通讯地址联系：</w:t>
      </w:r>
    </w:p>
    <w:p w14:paraId="45226188">
      <w:pPr>
        <w:pStyle w:val="21"/>
        <w:spacing w:line="288" w:lineRule="auto"/>
        <w:ind w:firstLine="84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广西龙建工程管理有限公司</w:t>
      </w:r>
    </w:p>
    <w:p w14:paraId="7F79D43F">
      <w:pPr>
        <w:pStyle w:val="21"/>
        <w:spacing w:line="288" w:lineRule="auto"/>
        <w:ind w:firstLine="84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通讯地址：</w:t>
      </w:r>
      <w:r>
        <w:rPr>
          <w:rFonts w:hint="eastAsia" w:hAnsi="宋体"/>
          <w:color w:val="000000" w:themeColor="text1"/>
          <w:szCs w:val="21"/>
          <w:highlight w:val="none"/>
          <w14:textFill>
            <w14:solidFill>
              <w14:schemeClr w14:val="tx1"/>
            </w14:solidFill>
          </w14:textFill>
        </w:rPr>
        <w:t>钦州市子材东大街8号奥林财富1号楼11层</w:t>
      </w:r>
      <w:r>
        <w:rPr>
          <w:rFonts w:hint="eastAsia"/>
          <w:color w:val="000000" w:themeColor="text1"/>
          <w:szCs w:val="21"/>
          <w:highlight w:val="none"/>
          <w14:textFill>
            <w14:solidFill>
              <w14:schemeClr w14:val="tx1"/>
            </w14:solidFill>
          </w14:textFill>
        </w:rPr>
        <w:t>。</w:t>
      </w:r>
    </w:p>
    <w:p w14:paraId="66195485">
      <w:pPr>
        <w:pStyle w:val="21"/>
        <w:spacing w:line="288" w:lineRule="auto"/>
        <w:ind w:firstLine="840"/>
        <w:rPr>
          <w:rFonts w:hint="eastAsia" w:hAnsi="宋体"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联系人：龙</w:t>
      </w:r>
      <w:r>
        <w:rPr>
          <w:rFonts w:hint="eastAsia" w:hAnsi="宋体"/>
          <w:color w:val="000000" w:themeColor="text1"/>
          <w:szCs w:val="21"/>
          <w:highlight w:val="none"/>
          <w:lang w:eastAsia="zh-CN"/>
          <w14:textFill>
            <w14:solidFill>
              <w14:schemeClr w14:val="tx1"/>
            </w14:solidFill>
          </w14:textFill>
        </w:rPr>
        <w:t>秋娴</w:t>
      </w:r>
    </w:p>
    <w:p w14:paraId="3E4BEE92">
      <w:pPr>
        <w:pStyle w:val="21"/>
        <w:spacing w:line="288" w:lineRule="auto"/>
        <w:ind w:firstLine="84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电    话：0777-3617888 </w:t>
      </w:r>
    </w:p>
    <w:p w14:paraId="0399F2C3">
      <w:pPr>
        <w:pStyle w:val="21"/>
        <w:spacing w:line="288" w:lineRule="auto"/>
        <w:ind w:firstLine="84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传    真：0777-3617888</w:t>
      </w:r>
    </w:p>
    <w:p w14:paraId="67458B56">
      <w:pPr>
        <w:pStyle w:val="21"/>
        <w:spacing w:line="264" w:lineRule="auto"/>
        <w:ind w:firstLine="527" w:firstLineChars="250"/>
        <w:rPr>
          <w:b/>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广西龙建工程管理有限公司</w:t>
      </w:r>
      <w:r>
        <w:rPr>
          <w:rFonts w:hint="eastAsia"/>
          <w:b/>
          <w:bCs/>
          <w:color w:val="000000" w:themeColor="text1"/>
          <w:szCs w:val="21"/>
          <w:highlight w:val="none"/>
          <w14:textFill>
            <w14:solidFill>
              <w14:schemeClr w14:val="tx1"/>
            </w14:solidFill>
          </w14:textFill>
        </w:rPr>
        <w:t>账户：</w:t>
      </w:r>
    </w:p>
    <w:p w14:paraId="48DAF0B7">
      <w:pPr>
        <w:pStyle w:val="21"/>
        <w:spacing w:line="360" w:lineRule="exact"/>
        <w:ind w:right="68" w:firstLine="560" w:firstLineChars="267"/>
        <w:rPr>
          <w:rFonts w:hAnsi="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开户名称：</w:t>
      </w:r>
      <w:r>
        <w:rPr>
          <w:rFonts w:hint="eastAsia" w:hAnsi="宋体"/>
          <w:bCs/>
          <w:color w:val="000000" w:themeColor="text1"/>
          <w:highlight w:val="none"/>
          <w14:textFill>
            <w14:solidFill>
              <w14:schemeClr w14:val="tx1"/>
            </w14:solidFill>
          </w14:textFill>
        </w:rPr>
        <w:t>广西龙建工程管理有限公司</w:t>
      </w:r>
    </w:p>
    <w:p w14:paraId="71D7E3F5">
      <w:pPr>
        <w:pStyle w:val="21"/>
        <w:spacing w:line="360" w:lineRule="exact"/>
        <w:ind w:right="68" w:firstLine="560" w:firstLineChars="26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开户银行：建设银行钦州子材东大街支行</w:t>
      </w:r>
    </w:p>
    <w:p w14:paraId="23D2645E">
      <w:pPr>
        <w:pStyle w:val="21"/>
        <w:spacing w:line="360" w:lineRule="exact"/>
        <w:ind w:right="68" w:firstLine="560" w:firstLineChars="267"/>
        <w:rPr>
          <w:rFonts w:hAns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银行账号：4505 0110 6312 0988 8888</w:t>
      </w:r>
    </w:p>
    <w:p w14:paraId="304C1E6D">
      <w:pPr>
        <w:pStyle w:val="21"/>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40</w:t>
      </w:r>
      <w:r>
        <w:rPr>
          <w:rFonts w:hint="eastAsia" w:hAnsi="宋体" w:cs="宋体"/>
          <w:b/>
          <w:color w:val="000000" w:themeColor="text1"/>
          <w:szCs w:val="21"/>
          <w:highlight w:val="none"/>
          <w:lang w:val="zh-CN"/>
          <w14:textFill>
            <w14:solidFill>
              <w14:schemeClr w14:val="tx1"/>
            </w14:solidFill>
          </w14:textFill>
        </w:rPr>
        <w:t>.</w:t>
      </w:r>
      <w:r>
        <w:rPr>
          <w:rFonts w:hint="eastAsia" w:hAnsi="宋体" w:cs="宋体"/>
          <w:b/>
          <w:color w:val="000000" w:themeColor="text1"/>
          <w:szCs w:val="21"/>
          <w:highlight w:val="none"/>
          <w14:textFill>
            <w14:solidFill>
              <w14:schemeClr w14:val="tx1"/>
            </w14:solidFill>
          </w14:textFill>
        </w:rPr>
        <w:t>政采贷相关说明</w:t>
      </w:r>
    </w:p>
    <w:p w14:paraId="1674ED92">
      <w:pPr>
        <w:pStyle w:val="21"/>
        <w:spacing w:line="360" w:lineRule="exact"/>
        <w:ind w:right="68" w:firstLine="560" w:firstLineChars="26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线上“政采贷”是中国人民银行南宁中心支行和广西壮族自治区财政厅共同支持企业发展，针对参与政府采购活动的企业融资难、融资贵、融资慢、融资繁问题推出的一项融资政策。供应商若成为本次政府采购项目的中标（成交）供应商，可凭中标（成交）通知书或政府采购合同等在内的相关材料通过中征应收账款融资服务平台向银行业金融机构在线申请“政采贷”融资，融资机构将根据《中国人民银行南宁中心支行 广西壮族自治区财政厅关于推广线上“政采贷”融资模式的通知》（南宁银发〔2021〕258号），按照双方自愿的原则提供便捷、优惠的贷款服务。</w:t>
      </w:r>
    </w:p>
    <w:p w14:paraId="22DDB10F">
      <w:pPr>
        <w:pStyle w:val="21"/>
        <w:spacing w:line="360" w:lineRule="exact"/>
        <w:ind w:right="68"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相关金融产品和银行业金融机构联系方式，可在中征应收账款融资服务平台查询（网址：https://www.crcrfsp.com/，客服电话：400-009-0001）。</w:t>
      </w:r>
    </w:p>
    <w:p w14:paraId="6090FED7">
      <w:pPr>
        <w:pStyle w:val="21"/>
        <w:adjustRightInd w:val="0"/>
        <w:snapToGrid w:val="0"/>
        <w:spacing w:line="360" w:lineRule="exact"/>
        <w:rPr>
          <w:rFonts w:hAnsi="宋体" w:cs="宋体"/>
          <w:b/>
          <w:bCs/>
          <w:color w:val="000000" w:themeColor="text1"/>
          <w:sz w:val="22"/>
          <w:szCs w:val="22"/>
          <w:highlight w:val="none"/>
          <w14:textFill>
            <w14:solidFill>
              <w14:schemeClr w14:val="tx1"/>
            </w14:solidFill>
          </w14:textFill>
        </w:rPr>
      </w:pPr>
    </w:p>
    <w:p w14:paraId="47799E9B">
      <w:pPr>
        <w:pStyle w:val="21"/>
        <w:adjustRightInd w:val="0"/>
        <w:snapToGrid w:val="0"/>
        <w:spacing w:line="360" w:lineRule="exact"/>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特别说明：</w:t>
      </w:r>
    </w:p>
    <w:p w14:paraId="3C07C474">
      <w:pPr>
        <w:pStyle w:val="21"/>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1.政采云公司如对政府采购电子化流程及评审程序有调整的，按调整后的程序操作。</w:t>
      </w:r>
    </w:p>
    <w:p w14:paraId="3ED96246">
      <w:pPr>
        <w:pStyle w:val="21"/>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494D237C">
      <w:pPr>
        <w:pStyle w:val="21"/>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3.采购过程中出现以下情形，导致</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无法正常运行，或者无法保证开评标活动的公平、公正和安全时，采购代理机构可中止开评标活动：</w:t>
      </w:r>
    </w:p>
    <w:p w14:paraId="6F88F001">
      <w:pPr>
        <w:pStyle w:val="21"/>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3.1</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 xml:space="preserve">发生故障而无法登录访问的； </w:t>
      </w:r>
    </w:p>
    <w:p w14:paraId="1CF502AC">
      <w:pPr>
        <w:pStyle w:val="21"/>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3.2</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应用或数据库出现错误，不能进行正常操作的；</w:t>
      </w:r>
    </w:p>
    <w:p w14:paraId="17AD9B86">
      <w:pPr>
        <w:pStyle w:val="21"/>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3.3</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发现严重安全漏洞，有潜在泄密危险的；</w:t>
      </w:r>
    </w:p>
    <w:p w14:paraId="7D5C5B5F">
      <w:pPr>
        <w:pStyle w:val="21"/>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3.4病毒发作导致不能进行正常操作的； </w:t>
      </w:r>
    </w:p>
    <w:p w14:paraId="4620A14D">
      <w:pPr>
        <w:pStyle w:val="21"/>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3.5其他无法保证电子交易的公平、公正和安全的情况。</w:t>
      </w:r>
    </w:p>
    <w:p w14:paraId="10186396">
      <w:pPr>
        <w:pStyle w:val="21"/>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出现前款规定情形，不影响采购公平、公正性的，采购代理机构可以待上述情形消除后继续组织开评标活动，也可以决定某些环节以纸质形式进行；影响或可能影响采购公平、公正性的，应当重新采购。</w:t>
      </w:r>
    </w:p>
    <w:p w14:paraId="338DAABB">
      <w:pPr>
        <w:pStyle w:val="27"/>
        <w:rPr>
          <w:rFonts w:hAnsi="宋体"/>
          <w:color w:val="000000" w:themeColor="text1"/>
          <w:sz w:val="22"/>
          <w:szCs w:val="22"/>
          <w:highlight w:val="none"/>
          <w:lang w:eastAsia="zh-CN"/>
          <w14:textFill>
            <w14:solidFill>
              <w14:schemeClr w14:val="tx1"/>
            </w14:solidFill>
          </w14:textFill>
        </w:rPr>
      </w:pPr>
    </w:p>
    <w:p w14:paraId="6D7207D0">
      <w:pPr>
        <w:rPr>
          <w:rFonts w:hAnsi="宋体"/>
          <w:color w:val="000000" w:themeColor="text1"/>
          <w:sz w:val="22"/>
          <w:szCs w:val="22"/>
          <w:highlight w:val="none"/>
          <w:lang w:eastAsia="zh-CN"/>
          <w14:textFill>
            <w14:solidFill>
              <w14:schemeClr w14:val="tx1"/>
            </w14:solidFill>
          </w14:textFill>
        </w:rPr>
      </w:pPr>
    </w:p>
    <w:p w14:paraId="0DEC380D">
      <w:pPr>
        <w:pStyle w:val="27"/>
        <w:rPr>
          <w:rFonts w:hAnsi="宋体"/>
          <w:color w:val="000000" w:themeColor="text1"/>
          <w:sz w:val="22"/>
          <w:szCs w:val="22"/>
          <w:highlight w:val="none"/>
          <w:lang w:eastAsia="zh-CN"/>
          <w14:textFill>
            <w14:solidFill>
              <w14:schemeClr w14:val="tx1"/>
            </w14:solidFill>
          </w14:textFill>
        </w:rPr>
      </w:pPr>
    </w:p>
    <w:p w14:paraId="152A9F42">
      <w:pPr>
        <w:rPr>
          <w:rFonts w:hAnsi="宋体"/>
          <w:color w:val="000000" w:themeColor="text1"/>
          <w:sz w:val="22"/>
          <w:szCs w:val="22"/>
          <w:highlight w:val="none"/>
          <w:lang w:eastAsia="zh-CN"/>
          <w14:textFill>
            <w14:solidFill>
              <w14:schemeClr w14:val="tx1"/>
            </w14:solidFill>
          </w14:textFill>
        </w:rPr>
      </w:pPr>
    </w:p>
    <w:p w14:paraId="54BDBB60">
      <w:pPr>
        <w:pStyle w:val="27"/>
        <w:rPr>
          <w:rFonts w:hAnsi="宋体"/>
          <w:color w:val="000000" w:themeColor="text1"/>
          <w:sz w:val="22"/>
          <w:szCs w:val="22"/>
          <w:highlight w:val="none"/>
          <w:lang w:eastAsia="zh-CN"/>
          <w14:textFill>
            <w14:solidFill>
              <w14:schemeClr w14:val="tx1"/>
            </w14:solidFill>
          </w14:textFill>
        </w:rPr>
      </w:pPr>
    </w:p>
    <w:p w14:paraId="0261C772">
      <w:pPr>
        <w:rPr>
          <w:rFonts w:hAnsi="宋体"/>
          <w:color w:val="000000" w:themeColor="text1"/>
          <w:sz w:val="22"/>
          <w:szCs w:val="22"/>
          <w:highlight w:val="none"/>
          <w:lang w:eastAsia="zh-CN"/>
          <w14:textFill>
            <w14:solidFill>
              <w14:schemeClr w14:val="tx1"/>
            </w14:solidFill>
          </w14:textFill>
        </w:rPr>
      </w:pPr>
    </w:p>
    <w:p w14:paraId="4D46F493">
      <w:pPr>
        <w:pStyle w:val="27"/>
        <w:rPr>
          <w:rFonts w:hAnsi="宋体"/>
          <w:color w:val="000000" w:themeColor="text1"/>
          <w:sz w:val="22"/>
          <w:szCs w:val="22"/>
          <w:highlight w:val="none"/>
          <w:lang w:eastAsia="zh-CN"/>
          <w14:textFill>
            <w14:solidFill>
              <w14:schemeClr w14:val="tx1"/>
            </w14:solidFill>
          </w14:textFill>
        </w:rPr>
      </w:pPr>
    </w:p>
    <w:p w14:paraId="6ABFB864">
      <w:pPr>
        <w:rPr>
          <w:rFonts w:hAnsi="宋体"/>
          <w:color w:val="000000" w:themeColor="text1"/>
          <w:sz w:val="22"/>
          <w:szCs w:val="22"/>
          <w:highlight w:val="none"/>
          <w:lang w:eastAsia="zh-CN"/>
          <w14:textFill>
            <w14:solidFill>
              <w14:schemeClr w14:val="tx1"/>
            </w14:solidFill>
          </w14:textFill>
        </w:rPr>
      </w:pPr>
    </w:p>
    <w:p w14:paraId="5FF27F78">
      <w:pPr>
        <w:pStyle w:val="27"/>
        <w:rPr>
          <w:rFonts w:hAnsi="宋体"/>
          <w:color w:val="000000" w:themeColor="text1"/>
          <w:sz w:val="22"/>
          <w:szCs w:val="22"/>
          <w:highlight w:val="none"/>
          <w:lang w:eastAsia="zh-CN"/>
          <w14:textFill>
            <w14:solidFill>
              <w14:schemeClr w14:val="tx1"/>
            </w14:solidFill>
          </w14:textFill>
        </w:rPr>
      </w:pPr>
    </w:p>
    <w:p w14:paraId="65B8C172">
      <w:pPr>
        <w:rPr>
          <w:rFonts w:hAnsi="宋体"/>
          <w:color w:val="000000" w:themeColor="text1"/>
          <w:sz w:val="22"/>
          <w:szCs w:val="22"/>
          <w:highlight w:val="none"/>
          <w:lang w:eastAsia="zh-CN"/>
          <w14:textFill>
            <w14:solidFill>
              <w14:schemeClr w14:val="tx1"/>
            </w14:solidFill>
          </w14:textFill>
        </w:rPr>
      </w:pPr>
    </w:p>
    <w:p w14:paraId="0D10D41F">
      <w:pPr>
        <w:pStyle w:val="27"/>
        <w:rPr>
          <w:rFonts w:hAnsi="宋体"/>
          <w:color w:val="000000" w:themeColor="text1"/>
          <w:sz w:val="22"/>
          <w:szCs w:val="22"/>
          <w:highlight w:val="none"/>
          <w:lang w:eastAsia="zh-CN"/>
          <w14:textFill>
            <w14:solidFill>
              <w14:schemeClr w14:val="tx1"/>
            </w14:solidFill>
          </w14:textFill>
        </w:rPr>
      </w:pPr>
    </w:p>
    <w:p w14:paraId="200418ED">
      <w:pPr>
        <w:rPr>
          <w:rFonts w:hAnsi="宋体"/>
          <w:color w:val="000000" w:themeColor="text1"/>
          <w:sz w:val="22"/>
          <w:szCs w:val="22"/>
          <w:highlight w:val="none"/>
          <w:lang w:eastAsia="zh-CN"/>
          <w14:textFill>
            <w14:solidFill>
              <w14:schemeClr w14:val="tx1"/>
            </w14:solidFill>
          </w14:textFill>
        </w:rPr>
      </w:pPr>
    </w:p>
    <w:p w14:paraId="13B4079D">
      <w:pPr>
        <w:pStyle w:val="27"/>
        <w:rPr>
          <w:rFonts w:hAnsi="宋体"/>
          <w:color w:val="000000" w:themeColor="text1"/>
          <w:sz w:val="22"/>
          <w:szCs w:val="22"/>
          <w:highlight w:val="none"/>
          <w:lang w:eastAsia="zh-CN"/>
          <w14:textFill>
            <w14:solidFill>
              <w14:schemeClr w14:val="tx1"/>
            </w14:solidFill>
          </w14:textFill>
        </w:rPr>
      </w:pPr>
    </w:p>
    <w:p w14:paraId="5B08F1F5">
      <w:pPr>
        <w:rPr>
          <w:rFonts w:hAnsi="宋体"/>
          <w:color w:val="000000" w:themeColor="text1"/>
          <w:sz w:val="22"/>
          <w:szCs w:val="22"/>
          <w:highlight w:val="none"/>
          <w:lang w:eastAsia="zh-CN"/>
          <w14:textFill>
            <w14:solidFill>
              <w14:schemeClr w14:val="tx1"/>
            </w14:solidFill>
          </w14:textFill>
        </w:rPr>
      </w:pPr>
    </w:p>
    <w:p w14:paraId="08B69E9E">
      <w:pPr>
        <w:pStyle w:val="27"/>
        <w:rPr>
          <w:rFonts w:hAnsi="宋体"/>
          <w:color w:val="000000" w:themeColor="text1"/>
          <w:sz w:val="22"/>
          <w:szCs w:val="22"/>
          <w:highlight w:val="none"/>
          <w:lang w:eastAsia="zh-CN"/>
          <w14:textFill>
            <w14:solidFill>
              <w14:schemeClr w14:val="tx1"/>
            </w14:solidFill>
          </w14:textFill>
        </w:rPr>
      </w:pPr>
    </w:p>
    <w:p w14:paraId="3D4A9AB5">
      <w:pPr>
        <w:rPr>
          <w:rFonts w:hAnsi="宋体"/>
          <w:color w:val="000000" w:themeColor="text1"/>
          <w:sz w:val="22"/>
          <w:szCs w:val="22"/>
          <w:highlight w:val="none"/>
          <w:lang w:eastAsia="zh-CN"/>
          <w14:textFill>
            <w14:solidFill>
              <w14:schemeClr w14:val="tx1"/>
            </w14:solidFill>
          </w14:textFill>
        </w:rPr>
      </w:pPr>
    </w:p>
    <w:p w14:paraId="5371D2CB">
      <w:pPr>
        <w:pStyle w:val="27"/>
        <w:rPr>
          <w:rFonts w:hAnsi="宋体"/>
          <w:color w:val="000000" w:themeColor="text1"/>
          <w:sz w:val="22"/>
          <w:szCs w:val="22"/>
          <w:highlight w:val="none"/>
          <w:lang w:eastAsia="zh-CN"/>
          <w14:textFill>
            <w14:solidFill>
              <w14:schemeClr w14:val="tx1"/>
            </w14:solidFill>
          </w14:textFill>
        </w:rPr>
      </w:pPr>
    </w:p>
    <w:p w14:paraId="7DD05461">
      <w:pPr>
        <w:rPr>
          <w:rFonts w:hAnsi="宋体"/>
          <w:color w:val="000000" w:themeColor="text1"/>
          <w:sz w:val="22"/>
          <w:szCs w:val="22"/>
          <w:highlight w:val="none"/>
          <w:lang w:eastAsia="zh-CN"/>
          <w14:textFill>
            <w14:solidFill>
              <w14:schemeClr w14:val="tx1"/>
            </w14:solidFill>
          </w14:textFill>
        </w:rPr>
      </w:pPr>
    </w:p>
    <w:p w14:paraId="4EA90AF3">
      <w:pPr>
        <w:pStyle w:val="55"/>
        <w:rPr>
          <w:rFonts w:hAnsi="宋体"/>
          <w:color w:val="000000" w:themeColor="text1"/>
          <w:sz w:val="22"/>
          <w:szCs w:val="22"/>
          <w:highlight w:val="none"/>
          <w:lang w:eastAsia="zh-CN"/>
          <w14:textFill>
            <w14:solidFill>
              <w14:schemeClr w14:val="tx1"/>
            </w14:solidFill>
          </w14:textFill>
        </w:rPr>
      </w:pPr>
    </w:p>
    <w:p w14:paraId="194334B0">
      <w:pPr>
        <w:pStyle w:val="55"/>
        <w:rPr>
          <w:rFonts w:hAnsi="宋体"/>
          <w:color w:val="000000" w:themeColor="text1"/>
          <w:sz w:val="22"/>
          <w:szCs w:val="22"/>
          <w:highlight w:val="none"/>
          <w:lang w:eastAsia="zh-CN"/>
          <w14:textFill>
            <w14:solidFill>
              <w14:schemeClr w14:val="tx1"/>
            </w14:solidFill>
          </w14:textFill>
        </w:rPr>
      </w:pPr>
    </w:p>
    <w:p w14:paraId="2D3311B0">
      <w:pPr>
        <w:pStyle w:val="55"/>
        <w:rPr>
          <w:rFonts w:hAnsi="宋体"/>
          <w:color w:val="000000" w:themeColor="text1"/>
          <w:sz w:val="22"/>
          <w:szCs w:val="22"/>
          <w:highlight w:val="none"/>
          <w:lang w:eastAsia="zh-CN"/>
          <w14:textFill>
            <w14:solidFill>
              <w14:schemeClr w14:val="tx1"/>
            </w14:solidFill>
          </w14:textFill>
        </w:rPr>
      </w:pPr>
    </w:p>
    <w:p w14:paraId="066C43C6">
      <w:pPr>
        <w:pStyle w:val="55"/>
        <w:rPr>
          <w:rFonts w:hAnsi="宋体"/>
          <w:color w:val="000000" w:themeColor="text1"/>
          <w:sz w:val="22"/>
          <w:szCs w:val="22"/>
          <w:highlight w:val="none"/>
          <w:lang w:eastAsia="zh-CN"/>
          <w14:textFill>
            <w14:solidFill>
              <w14:schemeClr w14:val="tx1"/>
            </w14:solidFill>
          </w14:textFill>
        </w:rPr>
      </w:pPr>
    </w:p>
    <w:p w14:paraId="2BDF5505">
      <w:pPr>
        <w:pStyle w:val="27"/>
        <w:rPr>
          <w:rFonts w:hAnsi="宋体"/>
          <w:color w:val="000000" w:themeColor="text1"/>
          <w:sz w:val="22"/>
          <w:szCs w:val="22"/>
          <w:highlight w:val="none"/>
          <w:lang w:eastAsia="zh-CN"/>
          <w14:textFill>
            <w14:solidFill>
              <w14:schemeClr w14:val="tx1"/>
            </w14:solidFill>
          </w14:textFill>
        </w:rPr>
      </w:pPr>
    </w:p>
    <w:p w14:paraId="0292787A">
      <w:pPr>
        <w:rPr>
          <w:rFonts w:hAnsi="宋体"/>
          <w:color w:val="000000" w:themeColor="text1"/>
          <w:sz w:val="22"/>
          <w:szCs w:val="22"/>
          <w:highlight w:val="none"/>
          <w:lang w:eastAsia="zh-CN"/>
          <w14:textFill>
            <w14:solidFill>
              <w14:schemeClr w14:val="tx1"/>
            </w14:solidFill>
          </w14:textFill>
        </w:rPr>
      </w:pPr>
    </w:p>
    <w:p w14:paraId="0D0E35A2">
      <w:pPr>
        <w:pStyle w:val="27"/>
        <w:rPr>
          <w:rFonts w:hAnsi="宋体"/>
          <w:color w:val="000000" w:themeColor="text1"/>
          <w:sz w:val="22"/>
          <w:szCs w:val="22"/>
          <w:highlight w:val="none"/>
          <w:lang w:eastAsia="zh-CN"/>
          <w14:textFill>
            <w14:solidFill>
              <w14:schemeClr w14:val="tx1"/>
            </w14:solidFill>
          </w14:textFill>
        </w:rPr>
      </w:pPr>
    </w:p>
    <w:p w14:paraId="11C872C9">
      <w:pPr>
        <w:rPr>
          <w:rFonts w:hAnsi="宋体"/>
          <w:color w:val="000000" w:themeColor="text1"/>
          <w:sz w:val="22"/>
          <w:szCs w:val="22"/>
          <w:highlight w:val="none"/>
          <w:lang w:eastAsia="zh-CN"/>
          <w14:textFill>
            <w14:solidFill>
              <w14:schemeClr w14:val="tx1"/>
            </w14:solidFill>
          </w14:textFill>
        </w:rPr>
      </w:pPr>
    </w:p>
    <w:p w14:paraId="3EEA58BA">
      <w:pPr>
        <w:pStyle w:val="55"/>
        <w:rPr>
          <w:color w:val="000000" w:themeColor="text1"/>
          <w:highlight w:val="none"/>
          <w:lang w:eastAsia="zh-CN"/>
          <w14:textFill>
            <w14:solidFill>
              <w14:schemeClr w14:val="tx1"/>
            </w14:solidFill>
          </w14:textFill>
        </w:rPr>
      </w:pPr>
    </w:p>
    <w:p w14:paraId="7E69B21E">
      <w:pPr>
        <w:rPr>
          <w:rFonts w:hAnsi="宋体"/>
          <w:color w:val="000000" w:themeColor="text1"/>
          <w:sz w:val="22"/>
          <w:szCs w:val="22"/>
          <w:highlight w:val="none"/>
          <w:lang w:eastAsia="zh-CN"/>
          <w14:textFill>
            <w14:solidFill>
              <w14:schemeClr w14:val="tx1"/>
            </w14:solidFill>
          </w14:textFill>
        </w:rPr>
      </w:pPr>
    </w:p>
    <w:p w14:paraId="7C712476">
      <w:pPr>
        <w:pStyle w:val="27"/>
        <w:rPr>
          <w:rFonts w:hAnsi="宋体"/>
          <w:color w:val="000000" w:themeColor="text1"/>
          <w:sz w:val="22"/>
          <w:szCs w:val="22"/>
          <w:highlight w:val="none"/>
          <w:lang w:eastAsia="zh-CN"/>
          <w14:textFill>
            <w14:solidFill>
              <w14:schemeClr w14:val="tx1"/>
            </w14:solidFill>
          </w14:textFill>
        </w:rPr>
      </w:pPr>
    </w:p>
    <w:p w14:paraId="0FFEFB26">
      <w:pPr>
        <w:rPr>
          <w:rFonts w:hAnsi="宋体"/>
          <w:color w:val="000000" w:themeColor="text1"/>
          <w:sz w:val="22"/>
          <w:szCs w:val="22"/>
          <w:highlight w:val="none"/>
          <w:lang w:eastAsia="zh-CN"/>
          <w14:textFill>
            <w14:solidFill>
              <w14:schemeClr w14:val="tx1"/>
            </w14:solidFill>
          </w14:textFill>
        </w:rPr>
      </w:pPr>
    </w:p>
    <w:p w14:paraId="111FE3FC">
      <w:pPr>
        <w:pStyle w:val="55"/>
        <w:rPr>
          <w:rFonts w:hAnsi="宋体"/>
          <w:color w:val="000000" w:themeColor="text1"/>
          <w:sz w:val="22"/>
          <w:szCs w:val="22"/>
          <w:highlight w:val="none"/>
          <w:lang w:eastAsia="zh-CN"/>
          <w14:textFill>
            <w14:solidFill>
              <w14:schemeClr w14:val="tx1"/>
            </w14:solidFill>
          </w14:textFill>
        </w:rPr>
      </w:pPr>
    </w:p>
    <w:p w14:paraId="3DFB196B">
      <w:pPr>
        <w:pStyle w:val="55"/>
        <w:rPr>
          <w:rFonts w:hAnsi="宋体"/>
          <w:color w:val="000000" w:themeColor="text1"/>
          <w:sz w:val="22"/>
          <w:szCs w:val="22"/>
          <w:highlight w:val="none"/>
          <w:lang w:eastAsia="zh-CN"/>
          <w14:textFill>
            <w14:solidFill>
              <w14:schemeClr w14:val="tx1"/>
            </w14:solidFill>
          </w14:textFill>
        </w:rPr>
      </w:pPr>
    </w:p>
    <w:p w14:paraId="2D9472F0">
      <w:pPr>
        <w:rPr>
          <w:rFonts w:hAnsi="宋体"/>
          <w:color w:val="000000" w:themeColor="text1"/>
          <w:sz w:val="22"/>
          <w:szCs w:val="22"/>
          <w:highlight w:val="none"/>
          <w:lang w:eastAsia="zh-CN"/>
          <w14:textFill>
            <w14:solidFill>
              <w14:schemeClr w14:val="tx1"/>
            </w14:solidFill>
          </w14:textFill>
        </w:rPr>
      </w:pPr>
    </w:p>
    <w:p w14:paraId="5C68FBB8">
      <w:pPr>
        <w:pStyle w:val="27"/>
        <w:rPr>
          <w:rFonts w:hAnsi="宋体"/>
          <w:color w:val="000000" w:themeColor="text1"/>
          <w:sz w:val="22"/>
          <w:szCs w:val="22"/>
          <w:highlight w:val="none"/>
          <w:lang w:eastAsia="zh-CN"/>
          <w14:textFill>
            <w14:solidFill>
              <w14:schemeClr w14:val="tx1"/>
            </w14:solidFill>
          </w14:textFill>
        </w:rPr>
      </w:pPr>
    </w:p>
    <w:p w14:paraId="25E12C3D">
      <w:pPr>
        <w:rPr>
          <w:color w:val="000000" w:themeColor="text1"/>
          <w:highlight w:val="none"/>
          <w:lang w:eastAsia="zh-CN"/>
          <w14:textFill>
            <w14:solidFill>
              <w14:schemeClr w14:val="tx1"/>
            </w14:solidFill>
          </w14:textFill>
        </w:rPr>
      </w:pPr>
    </w:p>
    <w:p w14:paraId="283C95A6">
      <w:pPr>
        <w:rPr>
          <w:rFonts w:hAnsi="宋体"/>
          <w:color w:val="000000" w:themeColor="text1"/>
          <w:sz w:val="22"/>
          <w:szCs w:val="22"/>
          <w:highlight w:val="none"/>
          <w:lang w:eastAsia="zh-CN"/>
          <w14:textFill>
            <w14:solidFill>
              <w14:schemeClr w14:val="tx1"/>
            </w14:solidFill>
          </w14:textFill>
        </w:rPr>
      </w:pPr>
    </w:p>
    <w:p w14:paraId="47FC83C4">
      <w:pPr>
        <w:pStyle w:val="27"/>
        <w:rPr>
          <w:rFonts w:hAnsi="宋体"/>
          <w:color w:val="000000" w:themeColor="text1"/>
          <w:sz w:val="22"/>
          <w:szCs w:val="22"/>
          <w:highlight w:val="none"/>
          <w:lang w:eastAsia="zh-CN"/>
          <w14:textFill>
            <w14:solidFill>
              <w14:schemeClr w14:val="tx1"/>
            </w14:solidFill>
          </w14:textFill>
        </w:rPr>
      </w:pPr>
    </w:p>
    <w:p w14:paraId="77E6F92E">
      <w:pPr>
        <w:pStyle w:val="21"/>
        <w:numPr>
          <w:ilvl w:val="0"/>
          <w:numId w:val="4"/>
        </w:numPr>
        <w:spacing w:line="360" w:lineRule="auto"/>
        <w:jc w:val="center"/>
        <w:outlineLvl w:val="0"/>
        <w:rPr>
          <w:rStyle w:val="62"/>
          <w:color w:val="000000" w:themeColor="text1"/>
          <w:sz w:val="32"/>
          <w:szCs w:val="32"/>
          <w:highlight w:val="none"/>
          <w14:textFill>
            <w14:solidFill>
              <w14:schemeClr w14:val="tx1"/>
            </w14:solidFill>
          </w14:textFill>
        </w:rPr>
      </w:pPr>
      <w:bookmarkStart w:id="176" w:name="_Toc19869_WPSOffice_Level1"/>
      <w:bookmarkStart w:id="177" w:name="_Toc26360"/>
      <w:bookmarkStart w:id="178" w:name="_Toc17894"/>
      <w:bookmarkStart w:id="179" w:name="_Toc16754"/>
      <w:bookmarkStart w:id="180" w:name="_Toc19984"/>
      <w:r>
        <w:rPr>
          <w:rStyle w:val="62"/>
          <w:rFonts w:hint="eastAsia"/>
          <w:color w:val="000000" w:themeColor="text1"/>
          <w:sz w:val="32"/>
          <w:szCs w:val="32"/>
          <w:highlight w:val="none"/>
          <w14:textFill>
            <w14:solidFill>
              <w14:schemeClr w14:val="tx1"/>
            </w14:solidFill>
          </w14:textFill>
        </w:rPr>
        <w:t>货物需求一览表</w:t>
      </w:r>
      <w:bookmarkEnd w:id="23"/>
      <w:bookmarkEnd w:id="24"/>
      <w:bookmarkEnd w:id="25"/>
      <w:bookmarkEnd w:id="176"/>
      <w:bookmarkEnd w:id="177"/>
      <w:bookmarkEnd w:id="178"/>
      <w:r>
        <w:rPr>
          <w:rStyle w:val="62"/>
          <w:rFonts w:hint="eastAsia"/>
          <w:color w:val="000000" w:themeColor="text1"/>
          <w:sz w:val="32"/>
          <w:szCs w:val="32"/>
          <w:highlight w:val="none"/>
          <w14:textFill>
            <w14:solidFill>
              <w14:schemeClr w14:val="tx1"/>
            </w14:solidFill>
          </w14:textFill>
        </w:rPr>
        <w:t xml:space="preserve">  </w:t>
      </w:r>
    </w:p>
    <w:p w14:paraId="3CCC647B">
      <w:pPr>
        <w:pStyle w:val="21"/>
        <w:spacing w:line="360" w:lineRule="auto"/>
        <w:ind w:firstLine="420" w:firstLineChars="200"/>
        <w:rPr>
          <w:rFonts w:hint="eastAsia" w:hAnsi="宋体" w:cs="宋体"/>
          <w:color w:val="000000" w:themeColor="text1"/>
          <w:szCs w:val="21"/>
          <w:highlight w:val="none"/>
          <w:u w:val="single"/>
          <w14:textFill>
            <w14:solidFill>
              <w14:schemeClr w14:val="tx1"/>
            </w14:solidFill>
          </w14:textFill>
        </w:rPr>
      </w:pPr>
      <w:r>
        <w:rPr>
          <w:rFonts w:hint="eastAsia" w:hAnsi="宋体"/>
          <w:color w:val="000000" w:themeColor="text1"/>
          <w:szCs w:val="22"/>
          <w:highlight w:val="none"/>
          <w14:textFill>
            <w14:solidFill>
              <w14:schemeClr w14:val="tx1"/>
            </w14:solidFill>
          </w14:textFill>
        </w:rPr>
        <w:t>一、</w:t>
      </w:r>
      <w:r>
        <w:rPr>
          <w:rFonts w:hint="eastAsia" w:hAnsi="宋体"/>
          <w:b/>
          <w:bCs/>
          <w:color w:val="000000" w:themeColor="text1"/>
          <w:szCs w:val="22"/>
          <w:highlight w:val="none"/>
          <w14:textFill>
            <w14:solidFill>
              <w14:schemeClr w14:val="tx1"/>
            </w14:solidFill>
          </w14:textFill>
        </w:rPr>
        <w:t>项目名称及项目编号：</w:t>
      </w:r>
      <w:r>
        <w:rPr>
          <w:rFonts w:hint="eastAsia" w:hAnsi="宋体" w:cs="宋体"/>
          <w:color w:val="000000" w:themeColor="text1"/>
          <w:szCs w:val="21"/>
          <w:highlight w:val="none"/>
          <w:u w:val="single"/>
          <w:lang w:eastAsia="zh-CN"/>
          <w14:textFill>
            <w14:solidFill>
              <w14:schemeClr w14:val="tx1"/>
            </w14:solidFill>
          </w14:textFill>
        </w:rPr>
        <w:t>钦州市妇幼保健院高清腹腔镜系统等医疗设备采购</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kern w:val="0"/>
          <w:szCs w:val="21"/>
          <w:highlight w:val="none"/>
          <w:u w:val="single"/>
          <w14:textFill>
            <w14:solidFill>
              <w14:schemeClr w14:val="tx1"/>
            </w14:solidFill>
          </w14:textFill>
        </w:rPr>
        <w:t>项目编号：</w:t>
      </w:r>
      <w:r>
        <w:rPr>
          <w:rFonts w:hint="eastAsia" w:hAnsi="宋体" w:cs="宋体"/>
          <w:color w:val="000000" w:themeColor="text1"/>
          <w:szCs w:val="21"/>
          <w:highlight w:val="none"/>
          <w:u w:val="single"/>
          <w:lang w:eastAsia="zh-CN"/>
          <w14:textFill>
            <w14:solidFill>
              <w14:schemeClr w14:val="tx1"/>
            </w14:solidFill>
          </w14:textFill>
        </w:rPr>
        <w:t>QZZC2026-G1-990061-GXLJ</w:t>
      </w:r>
      <w:r>
        <w:rPr>
          <w:rFonts w:hint="eastAsia" w:hAnsi="宋体" w:cs="宋体"/>
          <w:color w:val="000000" w:themeColor="text1"/>
          <w:szCs w:val="21"/>
          <w:highlight w:val="none"/>
          <w:u w:val="single"/>
          <w14:textFill>
            <w14:solidFill>
              <w14:schemeClr w14:val="tx1"/>
            </w14:solidFill>
          </w14:textFill>
        </w:rPr>
        <w:t>）</w:t>
      </w:r>
    </w:p>
    <w:p w14:paraId="1EB2AE59">
      <w:pPr>
        <w:pStyle w:val="21"/>
        <w:wordWrap w:val="0"/>
        <w:topLinePunct/>
        <w:spacing w:line="360" w:lineRule="auto"/>
        <w:ind w:firstLine="420" w:firstLineChars="200"/>
        <w:rPr>
          <w:rFonts w:hint="eastAsia" w:hAnsi="宋体"/>
          <w:b/>
          <w:bCs/>
          <w:color w:val="000000" w:themeColor="text1"/>
          <w:szCs w:val="22"/>
          <w:highlight w:val="none"/>
          <w14:textFill>
            <w14:solidFill>
              <w14:schemeClr w14:val="tx1"/>
            </w14:solidFill>
          </w14:textFill>
        </w:rPr>
      </w:pPr>
      <w:r>
        <w:rPr>
          <w:rFonts w:hint="eastAsia" w:hAnsi="宋体"/>
          <w:color w:val="000000" w:themeColor="text1"/>
          <w:szCs w:val="22"/>
          <w:highlight w:val="none"/>
          <w14:textFill>
            <w14:solidFill>
              <w14:schemeClr w14:val="tx1"/>
            </w14:solidFill>
          </w14:textFill>
        </w:rPr>
        <w:t>二、</w:t>
      </w:r>
      <w:r>
        <w:rPr>
          <w:rFonts w:hint="eastAsia" w:hAnsi="宋体"/>
          <w:b/>
          <w:bCs/>
          <w:color w:val="000000" w:themeColor="text1"/>
          <w:szCs w:val="22"/>
          <w:highlight w:val="none"/>
          <w14:textFill>
            <w14:solidFill>
              <w14:schemeClr w14:val="tx1"/>
            </w14:solidFill>
          </w14:textFill>
        </w:rPr>
        <w:t>项目类别：</w:t>
      </w:r>
      <w:r>
        <w:rPr>
          <w:rFonts w:hint="eastAsia" w:hAnsi="宋体"/>
          <w:color w:val="000000" w:themeColor="text1"/>
          <w:szCs w:val="22"/>
          <w:highlight w:val="none"/>
          <w:u w:val="single"/>
          <w14:textFill>
            <w14:solidFill>
              <w14:schemeClr w14:val="tx1"/>
            </w14:solidFill>
          </w14:textFill>
        </w:rPr>
        <w:t>货物类</w:t>
      </w:r>
      <w:r>
        <w:rPr>
          <w:rFonts w:hint="eastAsia" w:hAnsi="宋体"/>
          <w:b/>
          <w:bCs/>
          <w:color w:val="000000" w:themeColor="text1"/>
          <w:szCs w:val="22"/>
          <w:highlight w:val="none"/>
          <w14:textFill>
            <w14:solidFill>
              <w14:schemeClr w14:val="tx1"/>
            </w14:solidFill>
          </w14:textFill>
        </w:rPr>
        <w:t xml:space="preserve"> </w:t>
      </w:r>
    </w:p>
    <w:p w14:paraId="0CA0EEC4">
      <w:pPr>
        <w:pStyle w:val="21"/>
        <w:spacing w:line="360" w:lineRule="auto"/>
        <w:ind w:firstLine="422" w:firstLineChars="200"/>
        <w:outlineLvl w:val="0"/>
        <w:rPr>
          <w:rStyle w:val="62"/>
          <w:b w:val="0"/>
          <w:bCs w:val="0"/>
          <w:color w:val="000000" w:themeColor="text1"/>
          <w:sz w:val="32"/>
          <w:szCs w:val="32"/>
          <w:highlight w:val="none"/>
          <w14:textFill>
            <w14:solidFill>
              <w14:schemeClr w14:val="tx1"/>
            </w14:solidFill>
          </w14:textFill>
        </w:rPr>
      </w:pPr>
      <w:bookmarkStart w:id="181" w:name="_Toc27332"/>
      <w:bookmarkStart w:id="182" w:name="_Toc9037"/>
      <w:bookmarkStart w:id="183" w:name="_Toc31586"/>
      <w:r>
        <w:rPr>
          <w:rFonts w:hint="eastAsia" w:hAnsi="宋体"/>
          <w:b/>
          <w:bCs/>
          <w:color w:val="000000" w:themeColor="text1"/>
          <w:szCs w:val="22"/>
          <w:highlight w:val="none"/>
          <w14:textFill>
            <w14:solidFill>
              <w14:schemeClr w14:val="tx1"/>
            </w14:solidFill>
          </w14:textFill>
        </w:rPr>
        <w:t>三、采购最高限价：</w:t>
      </w:r>
      <w:r>
        <w:rPr>
          <w:rFonts w:hint="eastAsia" w:hAnsi="宋体"/>
          <w:b/>
          <w:bCs/>
          <w:color w:val="000000" w:themeColor="text1"/>
          <w:szCs w:val="22"/>
          <w:highlight w:val="none"/>
          <w:lang w:eastAsia="zh-CN"/>
          <w14:textFill>
            <w14:solidFill>
              <w14:schemeClr w14:val="tx1"/>
            </w14:solidFill>
          </w14:textFill>
        </w:rPr>
        <w:t>分标</w:t>
      </w:r>
      <w:r>
        <w:rPr>
          <w:rFonts w:hint="eastAsia" w:hAnsi="宋体"/>
          <w:b/>
          <w:bCs/>
          <w:color w:val="000000" w:themeColor="text1"/>
          <w:szCs w:val="22"/>
          <w:highlight w:val="none"/>
          <w:lang w:val="en-US" w:eastAsia="zh-CN"/>
          <w14:textFill>
            <w14:solidFill>
              <w14:schemeClr w14:val="tx1"/>
            </w14:solidFill>
          </w14:textFill>
        </w:rPr>
        <w:t>1：</w:t>
      </w:r>
      <w:r>
        <w:rPr>
          <w:rFonts w:hint="eastAsia" w:hAnsi="宋体"/>
          <w:color w:val="000000" w:themeColor="text1"/>
          <w:szCs w:val="22"/>
          <w:highlight w:val="none"/>
          <w:u w:val="none"/>
          <w14:textFill>
            <w14:solidFill>
              <w14:schemeClr w14:val="tx1"/>
            </w14:solidFill>
          </w14:textFill>
        </w:rPr>
        <w:t>¥</w:t>
      </w:r>
      <w:r>
        <w:rPr>
          <w:rFonts w:hint="eastAsia"/>
          <w:color w:val="000000" w:themeColor="text1"/>
          <w:sz w:val="21"/>
          <w:szCs w:val="21"/>
          <w:highlight w:val="none"/>
          <w:u w:val="single"/>
          <w:lang w:val="en-US" w:eastAsia="zh-CN"/>
          <w14:textFill>
            <w14:solidFill>
              <w14:schemeClr w14:val="tx1"/>
            </w14:solidFill>
          </w14:textFill>
        </w:rPr>
        <w:t>2776</w:t>
      </w:r>
      <w:r>
        <w:rPr>
          <w:rFonts w:hint="eastAsia" w:ascii="宋体" w:eastAsia="宋体"/>
          <w:color w:val="000000" w:themeColor="text1"/>
          <w:sz w:val="21"/>
          <w:szCs w:val="21"/>
          <w:highlight w:val="none"/>
          <w:u w:val="single"/>
          <w:lang w:val="en-US" w:eastAsia="zh-CN"/>
          <w14:textFill>
            <w14:solidFill>
              <w14:schemeClr w14:val="tx1"/>
            </w14:solidFill>
          </w14:textFill>
        </w:rPr>
        <w:t>000</w:t>
      </w:r>
      <w:r>
        <w:rPr>
          <w:rFonts w:hint="eastAsia" w:hAnsi="宋体"/>
          <w:color w:val="000000" w:themeColor="text1"/>
          <w:szCs w:val="22"/>
          <w:highlight w:val="none"/>
          <w:u w:val="single"/>
          <w14:textFill>
            <w14:solidFill>
              <w14:schemeClr w14:val="tx1"/>
            </w14:solidFill>
          </w14:textFill>
        </w:rPr>
        <w:t>.00</w:t>
      </w:r>
      <w:r>
        <w:rPr>
          <w:rFonts w:hint="eastAsia" w:hAnsi="宋体"/>
          <w:color w:val="000000" w:themeColor="text1"/>
          <w:szCs w:val="22"/>
          <w:highlight w:val="none"/>
          <w14:textFill>
            <w14:solidFill>
              <w14:schemeClr w14:val="tx1"/>
            </w14:solidFill>
          </w14:textFill>
        </w:rPr>
        <w:t>，</w:t>
      </w:r>
      <w:r>
        <w:rPr>
          <w:rFonts w:hint="eastAsia" w:hAnsi="宋体"/>
          <w:b/>
          <w:bCs/>
          <w:color w:val="000000" w:themeColor="text1"/>
          <w:szCs w:val="22"/>
          <w:highlight w:val="none"/>
          <w:lang w:eastAsia="zh-CN"/>
          <w14:textFill>
            <w14:solidFill>
              <w14:schemeClr w14:val="tx1"/>
            </w14:solidFill>
          </w14:textFill>
        </w:rPr>
        <w:t>分标</w:t>
      </w:r>
      <w:r>
        <w:rPr>
          <w:rFonts w:hint="eastAsia" w:hAnsi="宋体"/>
          <w:b/>
          <w:bCs/>
          <w:color w:val="000000" w:themeColor="text1"/>
          <w:szCs w:val="22"/>
          <w:highlight w:val="none"/>
          <w:lang w:val="en-US" w:eastAsia="zh-CN"/>
          <w14:textFill>
            <w14:solidFill>
              <w14:schemeClr w14:val="tx1"/>
            </w14:solidFill>
          </w14:textFill>
        </w:rPr>
        <w:t>2：</w:t>
      </w:r>
      <w:r>
        <w:rPr>
          <w:rFonts w:hint="eastAsia" w:hAnsi="宋体"/>
          <w:color w:val="000000" w:themeColor="text1"/>
          <w:szCs w:val="22"/>
          <w:highlight w:val="none"/>
          <w:u w:val="none"/>
          <w14:textFill>
            <w14:solidFill>
              <w14:schemeClr w14:val="tx1"/>
            </w14:solidFill>
          </w14:textFill>
        </w:rPr>
        <w:t>¥</w:t>
      </w:r>
      <w:r>
        <w:rPr>
          <w:rFonts w:hint="eastAsia" w:ascii="宋体" w:eastAsia="宋体"/>
          <w:color w:val="000000" w:themeColor="text1"/>
          <w:sz w:val="21"/>
          <w:szCs w:val="21"/>
          <w:highlight w:val="none"/>
          <w:u w:val="single"/>
          <w:lang w:val="en-US" w:eastAsia="zh-CN"/>
          <w14:textFill>
            <w14:solidFill>
              <w14:schemeClr w14:val="tx1"/>
            </w14:solidFill>
          </w14:textFill>
        </w:rPr>
        <w:t>3</w:t>
      </w:r>
      <w:r>
        <w:rPr>
          <w:rFonts w:hint="eastAsia"/>
          <w:color w:val="000000" w:themeColor="text1"/>
          <w:sz w:val="21"/>
          <w:szCs w:val="21"/>
          <w:highlight w:val="none"/>
          <w:u w:val="single"/>
          <w:lang w:val="en-US" w:eastAsia="zh-CN"/>
          <w14:textFill>
            <w14:solidFill>
              <w14:schemeClr w14:val="tx1"/>
            </w14:solidFill>
          </w14:textFill>
        </w:rPr>
        <w:t>5</w:t>
      </w:r>
      <w:r>
        <w:rPr>
          <w:rFonts w:hint="eastAsia" w:ascii="宋体" w:eastAsia="宋体"/>
          <w:color w:val="000000" w:themeColor="text1"/>
          <w:sz w:val="21"/>
          <w:szCs w:val="21"/>
          <w:highlight w:val="none"/>
          <w:u w:val="single"/>
          <w:lang w:val="en-US" w:eastAsia="zh-CN"/>
          <w14:textFill>
            <w14:solidFill>
              <w14:schemeClr w14:val="tx1"/>
            </w14:solidFill>
          </w14:textFill>
        </w:rPr>
        <w:t>00000</w:t>
      </w:r>
      <w:r>
        <w:rPr>
          <w:rFonts w:hint="eastAsia" w:hAnsi="宋体"/>
          <w:color w:val="000000" w:themeColor="text1"/>
          <w:szCs w:val="22"/>
          <w:highlight w:val="none"/>
          <w:u w:val="single"/>
          <w14:textFill>
            <w14:solidFill>
              <w14:schemeClr w14:val="tx1"/>
            </w14:solidFill>
          </w14:textFill>
        </w:rPr>
        <w:t>.00</w:t>
      </w:r>
      <w:r>
        <w:rPr>
          <w:rFonts w:hint="eastAsia" w:hAnsi="宋体"/>
          <w:color w:val="000000" w:themeColor="text1"/>
          <w:szCs w:val="22"/>
          <w:highlight w:val="none"/>
          <w14:textFill>
            <w14:solidFill>
              <w14:schemeClr w14:val="tx1"/>
            </w14:solidFill>
          </w14:textFill>
        </w:rPr>
        <w:t>，</w:t>
      </w:r>
      <w:r>
        <w:rPr>
          <w:rFonts w:hint="eastAsia" w:hAnsi="宋体"/>
          <w:b/>
          <w:bCs/>
          <w:color w:val="000000" w:themeColor="text1"/>
          <w:szCs w:val="22"/>
          <w:highlight w:val="none"/>
          <w:lang w:eastAsia="zh-CN"/>
          <w14:textFill>
            <w14:solidFill>
              <w14:schemeClr w14:val="tx1"/>
            </w14:solidFill>
          </w14:textFill>
        </w:rPr>
        <w:t>分标</w:t>
      </w:r>
      <w:r>
        <w:rPr>
          <w:rFonts w:hint="eastAsia" w:hAnsi="宋体"/>
          <w:b/>
          <w:bCs/>
          <w:color w:val="000000" w:themeColor="text1"/>
          <w:szCs w:val="22"/>
          <w:highlight w:val="none"/>
          <w:lang w:val="en-US" w:eastAsia="zh-CN"/>
          <w14:textFill>
            <w14:solidFill>
              <w14:schemeClr w14:val="tx1"/>
            </w14:solidFill>
          </w14:textFill>
        </w:rPr>
        <w:t>3：</w:t>
      </w:r>
      <w:r>
        <w:rPr>
          <w:rFonts w:hint="eastAsia" w:hAnsi="宋体"/>
          <w:color w:val="000000" w:themeColor="text1"/>
          <w:szCs w:val="22"/>
          <w:highlight w:val="none"/>
          <w:u w:val="none"/>
          <w14:textFill>
            <w14:solidFill>
              <w14:schemeClr w14:val="tx1"/>
            </w14:solidFill>
          </w14:textFill>
        </w:rPr>
        <w:t>¥</w:t>
      </w:r>
      <w:r>
        <w:rPr>
          <w:rFonts w:hint="eastAsia" w:ascii="宋体" w:hAnsi="宋体" w:eastAsia="宋体"/>
          <w:color w:val="000000" w:themeColor="text1"/>
          <w:sz w:val="21"/>
          <w:szCs w:val="22"/>
          <w:highlight w:val="none"/>
          <w:u w:val="single"/>
          <w:lang w:val="en-US" w:eastAsia="zh-CN"/>
          <w14:textFill>
            <w14:solidFill>
              <w14:schemeClr w14:val="tx1"/>
            </w14:solidFill>
          </w14:textFill>
        </w:rPr>
        <w:t>2</w:t>
      </w:r>
      <w:r>
        <w:rPr>
          <w:rFonts w:hint="eastAsia" w:hAnsi="宋体"/>
          <w:color w:val="000000" w:themeColor="text1"/>
          <w:sz w:val="21"/>
          <w:szCs w:val="22"/>
          <w:highlight w:val="none"/>
          <w:u w:val="single"/>
          <w:lang w:val="en-US" w:eastAsia="zh-CN"/>
          <w14:textFill>
            <w14:solidFill>
              <w14:schemeClr w14:val="tx1"/>
            </w14:solidFill>
          </w14:textFill>
        </w:rPr>
        <w:t>1</w:t>
      </w:r>
      <w:r>
        <w:rPr>
          <w:rFonts w:hint="eastAsia" w:ascii="宋体" w:hAnsi="宋体" w:eastAsia="宋体"/>
          <w:color w:val="000000" w:themeColor="text1"/>
          <w:sz w:val="21"/>
          <w:szCs w:val="22"/>
          <w:highlight w:val="none"/>
          <w:u w:val="single"/>
          <w:lang w:val="en-US" w:eastAsia="zh-CN"/>
          <w14:textFill>
            <w14:solidFill>
              <w14:schemeClr w14:val="tx1"/>
            </w14:solidFill>
          </w14:textFill>
        </w:rPr>
        <w:t>0000</w:t>
      </w:r>
      <w:r>
        <w:rPr>
          <w:rFonts w:hint="eastAsia" w:hAnsi="宋体"/>
          <w:color w:val="000000" w:themeColor="text1"/>
          <w:szCs w:val="22"/>
          <w:highlight w:val="none"/>
          <w:u w:val="single"/>
          <w:lang w:val="en-US" w:eastAsia="zh-CN"/>
          <w14:textFill>
            <w14:solidFill>
              <w14:schemeClr w14:val="tx1"/>
            </w14:solidFill>
          </w14:textFill>
        </w:rPr>
        <w:t>0</w:t>
      </w:r>
      <w:r>
        <w:rPr>
          <w:rFonts w:hint="eastAsia" w:hAnsi="宋体"/>
          <w:color w:val="000000" w:themeColor="text1"/>
          <w:szCs w:val="22"/>
          <w:highlight w:val="none"/>
          <w:u w:val="single"/>
          <w14:textFill>
            <w14:solidFill>
              <w14:schemeClr w14:val="tx1"/>
            </w14:solidFill>
          </w14:textFill>
        </w:rPr>
        <w:t>.00</w:t>
      </w:r>
      <w:r>
        <w:rPr>
          <w:rFonts w:hint="eastAsia" w:hAnsi="宋体"/>
          <w:color w:val="000000" w:themeColor="text1"/>
          <w:szCs w:val="22"/>
          <w:highlight w:val="none"/>
          <w14:textFill>
            <w14:solidFill>
              <w14:schemeClr w14:val="tx1"/>
            </w14:solidFill>
          </w14:textFill>
        </w:rPr>
        <w:t>投标报价超过项目最高限价的，将导致投标无效。</w:t>
      </w:r>
      <w:bookmarkEnd w:id="181"/>
      <w:bookmarkEnd w:id="182"/>
      <w:bookmarkEnd w:id="183"/>
      <w:r>
        <w:rPr>
          <w:rStyle w:val="62"/>
          <w:rFonts w:hint="eastAsia"/>
          <w:b w:val="0"/>
          <w:bCs w:val="0"/>
          <w:color w:val="000000" w:themeColor="text1"/>
          <w:sz w:val="32"/>
          <w:szCs w:val="32"/>
          <w:highlight w:val="none"/>
          <w14:textFill>
            <w14:solidFill>
              <w14:schemeClr w14:val="tx1"/>
            </w14:solidFill>
          </w14:textFill>
        </w:rPr>
        <w:t xml:space="preserve"> </w:t>
      </w:r>
    </w:p>
    <w:bookmarkEnd w:id="179"/>
    <w:bookmarkEnd w:id="180"/>
    <w:p w14:paraId="5C76037E">
      <w:pPr>
        <w:spacing w:line="360" w:lineRule="auto"/>
        <w:ind w:firstLine="422" w:firstLineChars="200"/>
        <w:jc w:val="left"/>
        <w:rPr>
          <w:rFonts w:ascii="宋体" w:hAnsi="宋体" w:eastAsia="宋体" w:cs="Times New Roman"/>
          <w:b/>
          <w:bCs/>
          <w:color w:val="000000" w:themeColor="text1"/>
          <w:sz w:val="21"/>
          <w:szCs w:val="21"/>
          <w:highlight w:val="none"/>
          <w:lang w:eastAsia="zh-CN"/>
          <w14:textFill>
            <w14:solidFill>
              <w14:schemeClr w14:val="tx1"/>
            </w14:solidFill>
          </w14:textFill>
        </w:rPr>
      </w:pPr>
      <w:bookmarkStart w:id="184" w:name="_Toc171129618"/>
      <w:bookmarkStart w:id="185" w:name="_Toc168825182"/>
      <w:r>
        <w:rPr>
          <w:rFonts w:hint="eastAsia" w:ascii="宋体" w:hAnsi="宋体" w:eastAsia="宋体"/>
          <w:b/>
          <w:bCs/>
          <w:color w:val="000000" w:themeColor="text1"/>
          <w:sz w:val="21"/>
          <w:szCs w:val="21"/>
          <w:highlight w:val="none"/>
          <w:lang w:eastAsia="zh-CN"/>
          <w14:textFill>
            <w14:solidFill>
              <w14:schemeClr w14:val="tx1"/>
            </w14:solidFill>
          </w14:textFill>
        </w:rPr>
        <w:t>说明：</w:t>
      </w:r>
      <w:bookmarkEnd w:id="184"/>
      <w:bookmarkEnd w:id="185"/>
    </w:p>
    <w:p w14:paraId="13AED617">
      <w:pPr>
        <w:keepNext w:val="0"/>
        <w:keepLines w:val="0"/>
        <w:pageBreakBefore w:val="0"/>
        <w:widowControl w:val="0"/>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86" w:name="_Toc171129619"/>
      <w:bookmarkStart w:id="187" w:name="_Toc168825183"/>
      <w:r>
        <w:rPr>
          <w:rFonts w:hint="eastAsia" w:ascii="宋体" w:hAnsi="宋体" w:eastAsia="宋体" w:cs="宋体"/>
          <w:color w:val="000000" w:themeColor="text1"/>
          <w:sz w:val="21"/>
          <w:szCs w:val="21"/>
          <w:highlight w:val="none"/>
          <w14:textFill>
            <w14:solidFill>
              <w14:schemeClr w14:val="tx1"/>
            </w14:solidFill>
          </w14:textFill>
        </w:rPr>
        <w:t>1.为落实政府采购政策需满足的要求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根据项目实际情况填写内容）</w:t>
      </w:r>
    </w:p>
    <w:p w14:paraId="521C99F3">
      <w:pPr>
        <w:keepNext w:val="0"/>
        <w:keepLines w:val="0"/>
        <w:pageBreakBefore w:val="0"/>
        <w:widowControl w:val="0"/>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1）本招标文件所称中小企业必须符合《政府采购促进中小企业发展管理办法》</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财库〔2020〕46号）的规定。</w:t>
      </w:r>
    </w:p>
    <w:p w14:paraId="473DBD7B">
      <w:pPr>
        <w:keepNext w:val="0"/>
        <w:keepLines w:val="0"/>
        <w:pageBreakBefore w:val="0"/>
        <w:widowControl w:val="0"/>
        <w:kinsoku/>
        <w:wordWrap/>
        <w:overflowPunct/>
        <w:topLinePunct w:val="0"/>
        <w:autoSpaceDE/>
        <w:autoSpaceDN/>
        <w:bidi w:val="0"/>
        <w:snapToGrid/>
        <w:spacing w:line="360" w:lineRule="auto"/>
        <w:ind w:firstLine="424" w:firstLineChars="202"/>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2）根据《财政部发展改革委生态环境部市场监管总局关于调整优化节能产品、环境标志产品政府采购执行机制的通知》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财库〔2019〕9号）和《关于印发节能产品政府采购品目清单的通知》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财库〔2019〕19号）的规定，采购需求中的产品属于节能产品政府采购品目清单内标注“★”的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详见本章后附的节能产品政府采购品目清单），投标人的投标货物必须使用政府强制采购的节能产品，投标人必须在投标文件中提供所投标产品的节能产品认证证书复印件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加盖投标人公章），</w:t>
      </w:r>
      <w:r>
        <w:rPr>
          <w:rFonts w:hint="eastAsia" w:ascii="宋体" w:hAnsi="宋体" w:eastAsia="宋体" w:cs="宋体"/>
          <w:b/>
          <w:bCs/>
          <w:color w:val="000000" w:themeColor="text1"/>
          <w:sz w:val="21"/>
          <w:szCs w:val="21"/>
          <w:highlight w:val="none"/>
          <w14:textFill>
            <w14:solidFill>
              <w14:schemeClr w14:val="tx1"/>
            </w14:solidFill>
          </w14:textFill>
        </w:rPr>
        <w:t>否则投标文件作无效处理</w:t>
      </w:r>
      <w:r>
        <w:rPr>
          <w:rFonts w:hint="eastAsia" w:ascii="宋体" w:hAnsi="宋体" w:eastAsia="宋体" w:cs="宋体"/>
          <w:color w:val="000000" w:themeColor="text1"/>
          <w:sz w:val="21"/>
          <w:szCs w:val="21"/>
          <w:highlight w:val="none"/>
          <w14:textFill>
            <w14:solidFill>
              <w14:schemeClr w14:val="tx1"/>
            </w14:solidFill>
          </w14:textFill>
        </w:rPr>
        <w:t>。如本项目包含的货物属于品目清单内非标注“★”的产品时，应优先采购，具体详见“第四章 评标方法及评标标准”。</w:t>
      </w:r>
    </w:p>
    <w:p w14:paraId="10C14004">
      <w:pPr>
        <w:keepNext w:val="0"/>
        <w:keepLines w:val="0"/>
        <w:pageBreakBefore w:val="0"/>
        <w:widowControl w:val="0"/>
        <w:kinsoku/>
        <w:wordWrap/>
        <w:overflowPunct/>
        <w:topLinePunct w:val="0"/>
        <w:autoSpaceDE/>
        <w:autoSpaceDN/>
        <w:bidi w:val="0"/>
        <w:snapToGrid/>
        <w:spacing w:line="360" w:lineRule="auto"/>
        <w:ind w:firstLine="424" w:firstLineChars="202"/>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根据《关于信息安全产品实施政府采购的通知》</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财库〔2010〕48号）的规定，本项目采购范围包含信息安全产品的</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信息安全产品包括：防火墙、网络安全隔离卡与线路选择器、安全隔离与信息交换产品、安全路由器、智能卡COS、数据备份与恢复产品、安全操作系统、安全数据库系统、反垃圾邮件产品、入侵检测系统</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IDS）、网络脆弱扫描产品、安全审计产品、网站恢复产品），投标人必须在投标文件中提供中国信息安全认证中心授予的有效的信息安全产品认证证书</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加盖投标人公章），否则投标文件作无效处理。</w:t>
      </w:r>
    </w:p>
    <w:p w14:paraId="5FF86506">
      <w:pPr>
        <w:keepNext w:val="0"/>
        <w:keepLines w:val="0"/>
        <w:pageBreakBefore w:val="0"/>
        <w:widowControl w:val="0"/>
        <w:kinsoku/>
        <w:wordWrap/>
        <w:overflowPunct/>
        <w:topLinePunct w:val="0"/>
        <w:autoSpaceDE/>
        <w:autoSpaceDN/>
        <w:bidi w:val="0"/>
        <w:snapToGrid/>
        <w:spacing w:line="360" w:lineRule="auto"/>
        <w:ind w:firstLine="424" w:firstLineChars="202"/>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bidi="ar"/>
          <w14:textFill>
            <w14:solidFill>
              <w14:schemeClr w14:val="tx1"/>
            </w14:solidFill>
          </w14:textFill>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C419DCE">
      <w:pPr>
        <w:keepLines/>
        <w:wordWrap w:val="0"/>
        <w:topLinePunct/>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.如投标人投标产品存在侵犯他人的知识产权或者专利成果行为的，应承担相应法律责任。</w:t>
      </w:r>
    </w:p>
    <w:bookmarkEnd w:id="186"/>
    <w:bookmarkEnd w:id="187"/>
    <w:p w14:paraId="07A5186D">
      <w:pPr>
        <w:pStyle w:val="21"/>
        <w:spacing w:line="340" w:lineRule="exact"/>
        <w:rPr>
          <w:rFonts w:hint="default" w:hAnsi="宋体" w:eastAsia="宋体"/>
          <w:b/>
          <w:bCs/>
          <w:color w:val="000000" w:themeColor="text1"/>
          <w:szCs w:val="22"/>
          <w:highlight w:val="none"/>
          <w:lang w:val="en-US" w:eastAsia="zh-CN"/>
          <w14:textFill>
            <w14:solidFill>
              <w14:schemeClr w14:val="tx1"/>
            </w14:solidFill>
          </w14:textFill>
        </w:rPr>
      </w:pPr>
      <w:bookmarkStart w:id="188" w:name="_Toc147250396"/>
      <w:bookmarkStart w:id="189" w:name="_Toc307555229"/>
      <w:bookmarkStart w:id="190" w:name="_Toc314033667"/>
      <w:bookmarkStart w:id="191" w:name="_Toc314214110"/>
      <w:bookmarkStart w:id="192" w:name="_Toc147250552"/>
      <w:bookmarkStart w:id="193" w:name="_Toc147250350"/>
      <w:r>
        <w:rPr>
          <w:rFonts w:hint="eastAsia" w:hAnsi="宋体"/>
          <w:b/>
          <w:bCs/>
          <w:color w:val="000000" w:themeColor="text1"/>
          <w:szCs w:val="22"/>
          <w:highlight w:val="none"/>
          <w14:textFill>
            <w14:solidFill>
              <w14:schemeClr w14:val="tx1"/>
            </w14:solidFill>
          </w14:textFill>
        </w:rPr>
        <w:t>四、采购货物技术要求</w:t>
      </w:r>
      <w:r>
        <w:rPr>
          <w:rFonts w:hint="eastAsia" w:hAnsi="宋体"/>
          <w:b/>
          <w:bCs/>
          <w:color w:val="000000" w:themeColor="text1"/>
          <w:szCs w:val="22"/>
          <w:highlight w:val="none"/>
          <w:lang w:val="en-US" w:eastAsia="zh-CN"/>
          <w14:textFill>
            <w14:solidFill>
              <w14:schemeClr w14:val="tx1"/>
            </w14:solidFill>
          </w14:textFill>
        </w:rPr>
        <w:t>及商务要求</w:t>
      </w:r>
    </w:p>
    <w:p w14:paraId="348A4663">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4B8409D6">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18AADFDB">
      <w:pPr>
        <w:pStyle w:val="21"/>
        <w:spacing w:line="340" w:lineRule="exact"/>
        <w:rPr>
          <w:rFonts w:hint="default" w:hAnsi="宋体" w:eastAsia="宋体"/>
          <w:b/>
          <w:bCs/>
          <w:color w:val="000000" w:themeColor="text1"/>
          <w:sz w:val="24"/>
          <w:szCs w:val="28"/>
          <w:highlight w:val="none"/>
          <w:lang w:val="en-US" w:eastAsia="zh-CN"/>
          <w14:textFill>
            <w14:solidFill>
              <w14:schemeClr w14:val="tx1"/>
            </w14:solidFill>
          </w14:textFill>
        </w:rPr>
      </w:pPr>
      <w:r>
        <w:rPr>
          <w:rFonts w:hint="eastAsia" w:hAnsi="宋体"/>
          <w:b/>
          <w:bCs/>
          <w:color w:val="000000" w:themeColor="text1"/>
          <w:sz w:val="24"/>
          <w:szCs w:val="28"/>
          <w:highlight w:val="none"/>
          <w:lang w:eastAsia="zh-CN"/>
          <w14:textFill>
            <w14:solidFill>
              <w14:schemeClr w14:val="tx1"/>
            </w14:solidFill>
          </w14:textFill>
        </w:rPr>
        <w:t>分标</w:t>
      </w:r>
      <w:r>
        <w:rPr>
          <w:rFonts w:hint="eastAsia" w:hAnsi="宋体"/>
          <w:b/>
          <w:bCs/>
          <w:color w:val="000000" w:themeColor="text1"/>
          <w:sz w:val="24"/>
          <w:szCs w:val="28"/>
          <w:highlight w:val="none"/>
          <w:lang w:val="en-US" w:eastAsia="zh-CN"/>
          <w14:textFill>
            <w14:solidFill>
              <w14:schemeClr w14:val="tx1"/>
            </w14:solidFill>
          </w14:textFill>
        </w:rPr>
        <w:t>1：</w:t>
      </w:r>
    </w:p>
    <w:tbl>
      <w:tblPr>
        <w:tblStyle w:val="38"/>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41"/>
        <w:gridCol w:w="5011"/>
        <w:gridCol w:w="674"/>
        <w:gridCol w:w="647"/>
        <w:gridCol w:w="1094"/>
        <w:gridCol w:w="1011"/>
      </w:tblGrid>
      <w:tr w14:paraId="6F49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8C44204">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序号</w:t>
            </w:r>
          </w:p>
        </w:tc>
        <w:tc>
          <w:tcPr>
            <w:tcW w:w="1341" w:type="dxa"/>
            <w:vAlign w:val="center"/>
          </w:tcPr>
          <w:p w14:paraId="44B66CAC">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货物名称</w:t>
            </w:r>
          </w:p>
        </w:tc>
        <w:tc>
          <w:tcPr>
            <w:tcW w:w="5011" w:type="dxa"/>
            <w:vAlign w:val="center"/>
          </w:tcPr>
          <w:p w14:paraId="4B88B8F0">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技术参数及性能配置要求</w:t>
            </w:r>
          </w:p>
        </w:tc>
        <w:tc>
          <w:tcPr>
            <w:tcW w:w="674" w:type="dxa"/>
            <w:vAlign w:val="center"/>
          </w:tcPr>
          <w:p w14:paraId="6E7080C3">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数量</w:t>
            </w:r>
          </w:p>
        </w:tc>
        <w:tc>
          <w:tcPr>
            <w:tcW w:w="647" w:type="dxa"/>
            <w:vAlign w:val="center"/>
          </w:tcPr>
          <w:p w14:paraId="1910FD25">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单位</w:t>
            </w:r>
          </w:p>
        </w:tc>
        <w:tc>
          <w:tcPr>
            <w:tcW w:w="1094" w:type="dxa"/>
            <w:vAlign w:val="center"/>
          </w:tcPr>
          <w:p w14:paraId="745B4061">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所属行业</w:t>
            </w:r>
          </w:p>
        </w:tc>
        <w:tc>
          <w:tcPr>
            <w:tcW w:w="1011" w:type="dxa"/>
            <w:vAlign w:val="center"/>
          </w:tcPr>
          <w:p w14:paraId="1F2F9EA9">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0BFAB925">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最高单价限价（万元）</w:t>
            </w:r>
          </w:p>
        </w:tc>
      </w:tr>
      <w:tr w14:paraId="17CF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5" w:type="dxa"/>
            <w:vAlign w:val="center"/>
          </w:tcPr>
          <w:p w14:paraId="03BF4817">
            <w:pPr>
              <w:wordWrap w:val="0"/>
              <w:topLinePunct/>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p>
        </w:tc>
        <w:tc>
          <w:tcPr>
            <w:tcW w:w="1341" w:type="dxa"/>
            <w:vAlign w:val="center"/>
          </w:tcPr>
          <w:p w14:paraId="7764864B">
            <w:pPr>
              <w:keepNext w:val="0"/>
              <w:keepLines w:val="0"/>
              <w:widowControl w:val="0"/>
              <w:suppressLineNumbers w:val="0"/>
              <w:spacing w:line="288"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高清腹腔镜系统</w:t>
            </w:r>
          </w:p>
        </w:tc>
        <w:tc>
          <w:tcPr>
            <w:tcW w:w="5011" w:type="dxa"/>
            <w:vAlign w:val="center"/>
          </w:tcPr>
          <w:p w14:paraId="4E60C807">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一、4K荧光3D摄像系统主机</w:t>
            </w:r>
          </w:p>
          <w:p w14:paraId="71E682FD">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1、具备4K图像处理性能，能够输出3840*2160 和 4096*2160 超高清像素影像；支持16:9和17:9图像比例，逐行扫描，像素≥800 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33C2AE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2、支持八种图像模式：</w:t>
            </w:r>
          </w:p>
          <w:p w14:paraId="2647D297">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白光、绿色荧光、彩色荧光、黑白荧光、白光主屏 - 四分屏、绿色荧光 - 四分屏、黑白荧光 -四分屏、彩色荧光 - 四分屏；不同图像于同一画面，实时动态同步观察识别对比判断病灶组织情况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C66B470">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3、具有染色功能，有针对性地对黏膜层血管网进行深度透视，便于区分异形血管，辅助临床诊断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24EE65">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4、▲预期用途：预期与医用内窥镜、荧光造影剂吲哚菁绿（ICG）配合使用，适用于在微创内窥镜手术中提供实时的可见光影像及近红外荧光影像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DAA45B">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5、纯色荧光的颜色可以设置为绿色和蓝色</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8E0271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6、具有细节增强、颜色增强、亮度均匀、去雾优化、HDR等多种智能图像算法，提供更佳的分辨力与色彩区分度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47F2F2">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7、采用触摸屏设计，屏幕尺寸≥7.</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英寸，可在触摸屏上进行功能设置和常用参数显示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5400F18">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8、具有荧光亮度调节功能，便于临床在不同荧光应用场景中做个性化处理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58FFC1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9、主机自带内置4K刻录功能，USB3.0 接口支持 U 盘、移动硬盘存储设备即插即用，并在触摸屏上显示移动设备状态和可录制剩余时间；可同时两个 USB 存储设备；当其中一个 USB 设备存满后会自动切换到另一个USB设备进行存储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C7A9B1">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10、具有≥4种录像格式选择，录像文件大小可选，储存文件更自由；其中最大录像码率≥120Mbps</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C5DE3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11、录像文件支持exFAT FAT32 NTFS文件格式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6EBBC9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12、需具有U盘设置功能，支持格式化功能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AE3B40">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13、具备至少3路能够同时输出的4K超高清信号， 2 路高清信号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23FD02">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14、信号输出方式应至少包括一路12G-SDI和两路HDMI，以便于手术室在连接副显示器时可以只通过一根线缆进行连接，便于手术室线缆管理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6AE322F">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15、具有去网格功能，便于连接纤维镜使用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3C803A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16、具有画幅自适应调控开关，可根据临床需要选择开启，开启后自动全屏或内切圆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B41CC1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17、可处理3D和2D画面信号，分辨率均支持≥3840×2160，逐行扫描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3EF900">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18、具有3D自动旋转功能，可实现3D显示模式下旋转回正功能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8E357C2">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19、可实现3D和2D图像之间的一键切换和自动旋转切换</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4AA706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20、可通过摄像头按键对气腹机进行控制，实现供气交互，在监视器上显示排烟、供气的状态显示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9A667A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21、主机可通过HDMI等接口接入超声等外部显示信号源，可同屏同时显示≥2种动态影像，可同屏同时间轴刻录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FE405EE">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22、主机防电击程度分类为防除颤 CF 级别I 类</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9C44A22">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23、主机兼容4K白光摄像头、4K荧光摄像头、3D电子一体镜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9550C8A">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24、主机内置硬盘，支持无外接硬盘的方式刻录与保存手术视频。</w:t>
            </w:r>
          </w:p>
          <w:p w14:paraId="5A6CBDB2">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二、4K荧光摄像头</w:t>
            </w:r>
          </w:p>
          <w:p w14:paraId="18B63FD7">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1、摄像头防电击程度分类防除颤 CF 级别I 类</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C27425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2、摄像头防护等级：≥IPX7</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7C56476">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3、摄像头可耐环氧乙烷灭菌和低温等离子灭菌方式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ABA50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4、具备≥4个摄像头按键，≥3个可自定义，能支持≥6个自定义功能，有≥20种可定义功能；可进行白平衡、拍照、录像、切换图像模式等功能设置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5E71D8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5、▲具有自动对焦功能，可短按摄像头上按键实现一键对焦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CBA97C2">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三、LED荧光光源</w:t>
            </w:r>
          </w:p>
          <w:p w14:paraId="1D5CF3E6">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1、设备支持同时输出近红外激光和白光，且激光为3R级医用激光光源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05934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2、设备采用触摸屏设计，屏幕尺寸≥</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英寸，可在触摸屏上进行LED光源的常用参数调整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AF0B527">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3、设备类型：Ⅰ类除颤CF型，保证可用于直接接触心脏的手术需要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F62A49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4、冷光源300nm-1700nm波长范围内的辐射通量和光通量比值≤6mW/lm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51CFD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5、白光冷光源的输出总光通量应≥</w:t>
            </w:r>
            <w:r>
              <w:rPr>
                <w:rFonts w:hint="eastAsia" w:ascii="宋体" w:hAnsi="宋体" w:eastAsia="宋体" w:cs="宋体"/>
                <w:color w:val="000000" w:themeColor="text1"/>
                <w:sz w:val="21"/>
                <w:szCs w:val="21"/>
                <w:highlight w:val="none"/>
                <w:lang w:val="en-US" w:eastAsia="zh-CN"/>
                <w14:textFill>
                  <w14:solidFill>
                    <w14:schemeClr w14:val="tx1"/>
                  </w14:solidFill>
                </w14:textFill>
              </w:rPr>
              <w:t>1950</w:t>
            </w:r>
            <w:r>
              <w:rPr>
                <w:rFonts w:hint="eastAsia" w:ascii="宋体" w:hAnsi="宋体" w:eastAsia="宋体" w:cs="宋体"/>
                <w:color w:val="000000" w:themeColor="text1"/>
                <w:sz w:val="21"/>
                <w:szCs w:val="21"/>
                <w:highlight w:val="none"/>
                <w14:textFill>
                  <w14:solidFill>
                    <w14:schemeClr w14:val="tx1"/>
                  </w14:solidFill>
                </w14:textFill>
              </w:rPr>
              <w:t>m，确保大量出血后仍然能够保证高亮度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BA0070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6、LED灯泡工作寿命≥</w:t>
            </w:r>
            <w:r>
              <w:rPr>
                <w:rFonts w:hint="eastAsia" w:ascii="宋体" w:hAnsi="宋体" w:eastAsia="宋体" w:cs="宋体"/>
                <w:color w:val="000000" w:themeColor="text1"/>
                <w:sz w:val="21"/>
                <w:szCs w:val="21"/>
                <w:highlight w:val="none"/>
                <w:lang w:val="en-US" w:eastAsia="zh-CN"/>
                <w14:textFill>
                  <w14:solidFill>
                    <w14:schemeClr w14:val="tx1"/>
                  </w14:solidFill>
                </w14:textFill>
              </w:rPr>
              <w:t>55000</w:t>
            </w:r>
            <w:r>
              <w:rPr>
                <w:rFonts w:hint="eastAsia" w:ascii="宋体" w:hAnsi="宋体" w:eastAsia="宋体" w:cs="宋体"/>
                <w:color w:val="000000" w:themeColor="text1"/>
                <w:sz w:val="21"/>
                <w:szCs w:val="21"/>
                <w:highlight w:val="none"/>
                <w14:textFill>
                  <w14:solidFill>
                    <w14:schemeClr w14:val="tx1"/>
                  </w14:solidFill>
                </w14:textFill>
              </w:rPr>
              <w:t>小时，节约医院后续维护成本</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539BAA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7、光输出最大中心照度≥ 3000000Lux,确保照明充足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B9A9B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8、具有主机光源联动功能，可根据当前手术视野的情况自动调节互联光源亮度，以保证手术视野清晰，光源亮度均衡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7B0117F">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9、冷光源在正常运行时产生的最大噪音≤55dB（A），能保证在手术室安静运行，不影响手术室环境</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9BE3F8">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10、具有光纤插入自动检测功能，无光纤插入时，主机会产生相关提示，光源不发光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8568B9">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11、具有一键待机功能，以便手术过程中短时关闭光源，无需频繁开关机，提高光源寿命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C0F73ED">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12、具有高温报警、灯泡寿命警示功能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77D72B0">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四、导光束</w:t>
            </w:r>
          </w:p>
          <w:p w14:paraId="42A58EA6">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1、导光束长度3000mm±5%</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45E3F6F">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2、光纤直径Φ4.8mm，允差±0.1mm，耐高温高压消毒</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16CB2E">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3、最小可弯曲半径50mm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7DF0219">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五、高流量气腹机</w:t>
            </w:r>
          </w:p>
          <w:p w14:paraId="616038FF">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1、流速≥50升/分钟，流量调节范围0.1-50L/min，以满足精确调节和高流速供气的需求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3776627">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2、压力范围：1mmHg-30mmHg，气压显示准确性±2mmHg</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696C600">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3、采用触摸屏设计，能够更好进行设置操作，显示参数和故障信息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36D40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4、具备少儿模式、成人模式、肥胖模式、后腹腔模式，亦可自定义模式，满足不同手术需求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71DFB2">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5、具有双重报警系统，气压过高、管道堵塞、供气不足、自检失败、温度过高等情况下，既有声音提醒，亦有文字提示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E9F9BF0">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6、气压过高时，具有自动排气功能，防止体内压力过高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C2E0BB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7、具有排烟功能，在负压吸力为0.04-0.06MPa的情况下，最大排烟流量≥8L/min</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D84814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8、气腹机末端CO2气体加热功能，加热温度理论值</w:t>
            </w:r>
            <w:r>
              <w:rPr>
                <w:rFonts w:hint="eastAsia" w:ascii="宋体" w:hAnsi="宋体" w:eastAsia="宋体" w:cs="宋体"/>
                <w:color w:val="000000" w:themeColor="text1"/>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z w:val="21"/>
                <w:szCs w:val="21"/>
                <w:highlight w:val="none"/>
                <w14:textFill>
                  <w14:solidFill>
                    <w14:schemeClr w14:val="tx1"/>
                  </w14:solidFill>
                </w14:textFill>
              </w:rPr>
              <w:t>为37℃，可有效减少病人肌体刺激反应，加速病人康复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5FC4FF">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9、与影像链成像系统为同一制造商，以确保腹腔镜系统各项功能稳定</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8156CC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10、设备类型：Ⅰ类CF型，保证可用于直接接触心脏的手术需要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42E53BC">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六、4K 3D电子镜</w:t>
            </w:r>
          </w:p>
          <w:p w14:paraId="204F24D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1、一体化电子镜，采用双路4K CMOS，支持 3840*2160 和4096*2160 像素超高清视频显示。</w:t>
            </w:r>
          </w:p>
          <w:p w14:paraId="174457B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2、防电击程度分类为：I类 CF 级别防护，极低漏电流控制，近心手术更安全。具有除颤放电防护，可用于术中除颤场景下。</w:t>
            </w:r>
          </w:p>
          <w:p w14:paraId="33E6EA7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3、电子镜前端镜头+握持手柄整体重量≤420g，轻便易操作。</w:t>
            </w:r>
          </w:p>
          <w:p w14:paraId="3CBEAEC7">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4、摄像头≥3个按键可设置≥20种快捷功能，可实现白平衡、拍照、录像、一键切换2D/3D模式等功能。</w:t>
            </w:r>
          </w:p>
          <w:p w14:paraId="7A43DB4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5、直径10mm，30度视向角，工作长度≥320mm。视场角≥80度，观察范围更大，更便于腹腔探查。</w:t>
            </w:r>
          </w:p>
          <w:p w14:paraId="18416FC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6、电子镜防水防尘等级IPX7，整镜支持高温高压、低温等离子、环氧乙烷灭菌方式。</w:t>
            </w:r>
          </w:p>
          <w:p w14:paraId="216A8F99">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7、支持3D/2D自动旋转功能，可实现旋转状态下，图像自动回正。</w:t>
            </w:r>
          </w:p>
          <w:p w14:paraId="101393B0">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8、免对焦设计，无需手动对焦，手术操控更便捷。</w:t>
            </w:r>
          </w:p>
          <w:p w14:paraId="5A1575C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9、防雾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19307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10、▲大景深光学视管，有效景深</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lang w:val="en-US" w:eastAsia="zh-CN"/>
                <w14:textFill>
                  <w14:solidFill>
                    <w14:schemeClr w14:val="tx1"/>
                  </w14:solidFill>
                </w14:textFill>
              </w:rPr>
              <w:t>190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53CE34">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七、4K荧光胸腹腔内窥镜</w:t>
            </w:r>
          </w:p>
          <w:p w14:paraId="1E1A46E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1、镜子支持压力蒸汽灭菌、环氧乙烷灭菌和低温等离子灭菌。</w:t>
            </w:r>
          </w:p>
          <w:p w14:paraId="711E031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2、与摄像主机为同一制造商，以确保成像链的匹配程度高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769BC5C">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3、直径10mm，30度视野方向，视野角度≥80°，工作长度≥320mm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7E1D1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3、直径5.45mm，30度视野方向，视野角度≥85°，标准型≥300mm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6BED0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4、视场中心角分辨率≥7.0C/(°)</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7072E5">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5、大景深光学视管，有效景深</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lang w:val="en-US" w:eastAsia="zh-CN"/>
                <w14:textFill>
                  <w14:solidFill>
                    <w14:schemeClr w14:val="tx1"/>
                  </w14:solidFill>
                </w14:textFill>
              </w:rPr>
              <w:t>190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7CD9D4">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6、可同时传输白光和近红外光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EBD5C53">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八、4K白光胸腹腔内窥镜</w:t>
            </w:r>
          </w:p>
          <w:p w14:paraId="718BD2D6">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1、镜子支持压力蒸汽灭菌、环氧乙烷灭菌和低温等离子灭菌。</w:t>
            </w:r>
          </w:p>
          <w:p w14:paraId="1C245128">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2、与摄像主机为同一制造商，以确保成像链的匹配程度高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84A374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3、直径10mm，30度视野方向，视野角度≥80°，工作长度≥320mm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37B780">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4、视场中心角分辨率≥7.0C/(°)</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E35774B">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5、大景深光学视管，有效景深</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lang w:val="en-US" w:eastAsia="zh-CN"/>
                <w14:textFill>
                  <w14:solidFill>
                    <w14:schemeClr w14:val="tx1"/>
                  </w14:solidFill>
                </w14:textFill>
              </w:rPr>
              <w:t>190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8FB487D">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九、32寸4K监视器</w:t>
            </w:r>
          </w:p>
          <w:p w14:paraId="2BBC2C3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1、4K医用LCD监视器，尺寸≥32寸</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F94C6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2、可通过前面板按钮直接切换3D/2D工作模式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2F46F52">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3、支持4K 60Hz超高清显示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65F7248">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4、具有HDMI或12G-SDI的4K超高清接口，可满足4K图像显示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B017A8">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5、具有3G-SDI或DVI的全高清接口，可满足全高清图像显示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8890A0">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6、最大背光亮度≥1750cd/m</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21290E">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7、显示器对比度≥1000000</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31039B">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8、具有≥178°可视角度，满足手术室不同站位需求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363EE9D">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十、55寸4K监视器</w:t>
            </w:r>
          </w:p>
          <w:p w14:paraId="28918118">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1、4K医用LCD监视器，尺寸≥55寸</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124285">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2、可通过前面板按钮直接切换3D/2D工作模式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48EC91F">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3、支持4K 60Hz超高清显示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4C69E2D">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4、具有HDMI或12G-SDI的4K超高清接口，可满足4K图像显示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AEFE1C">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5、具有3G-SDI或DVI的全高清接口，可满足全高清图像显示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E57693C">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6、最大背光亮度≥1500cd/m</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6D26AC">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7、显示器对比度≥1000000</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8716256">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8、具有≥178°可视角度，满足手术室不同站位需求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2FD1D0">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十一、台车</w:t>
            </w:r>
          </w:p>
          <w:p w14:paraId="019108A9">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1、台车具有总控开关，可一键开启和关闭腔镜相关配套设备</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405E4AE">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2、具有后盖门及线缆管理设计，简洁美观，便于收纳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122C445">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3、台车可放置32寸/55英寸医用4K医用监视器，节约手术室空间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92085C9">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十二、高频外科手术能量平台</w:t>
            </w:r>
          </w:p>
          <w:p w14:paraId="17AAAA51">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1、可同时连接1把超声刀头、2把单极器械、1把双极器械，一站式解决微创手术能量需求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954A3E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2、与摄像系统为同一制造商，确保工作时不会影响摄像系统信号。</w:t>
            </w:r>
          </w:p>
          <w:p w14:paraId="0F213495">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3、所有器械均可使用自带手控按键或连接脚踏控制激发。</w:t>
            </w:r>
          </w:p>
          <w:p w14:paraId="07EAF32D">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4、所有器械接口均有在位状态及工作状态指示灯。</w:t>
            </w:r>
          </w:p>
          <w:p w14:paraId="5B7FBDE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5、具备器械激发次数统计功能。</w:t>
            </w:r>
          </w:p>
          <w:p w14:paraId="4EA5BF88">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6、具备全彩LCD触摸屏，可以通过触摸屏进行设备、耗材及系统的设置与检测。</w:t>
            </w:r>
          </w:p>
          <w:p w14:paraId="47B1921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7、具备自检功能，可诊断设备的连接及工作状况，根据出现问题的严重程度，分为高级和低级，提供不同声音的报警功能，当同时存在多个同类报警时，优先显示等级高的报警。</w:t>
            </w:r>
          </w:p>
          <w:p w14:paraId="023EFD83">
            <w:pPr>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8、提供一键恢复键，按此键恢复上次关机前的电刀参数设置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5904D0D">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9、提供报警确认键，按此键可关闭报警音。</w:t>
            </w:r>
          </w:p>
          <w:p w14:paraId="4BE8C9FC">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10、可根据用户使用习惯预设保存参数配置，并自定义名称；在选择配置界面可选择已保存的参数配置。</w:t>
            </w:r>
          </w:p>
          <w:p w14:paraId="3C99A65C">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11、具备USB 接口，连接 USB 存储设备进行系统升级。</w:t>
            </w:r>
          </w:p>
          <w:p w14:paraId="6D8FDAC8">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12、连接超声刀可切割和凝闭直径≤5mm 的血管或其它软组织。</w:t>
            </w:r>
          </w:p>
          <w:p w14:paraId="42C90FC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13、单极切割模式可设置为纯切、混切。</w:t>
            </w:r>
          </w:p>
          <w:p w14:paraId="36705A6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14、单极凝结模式可设置为软凝、电灼、喷凝。</w:t>
            </w:r>
          </w:p>
          <w:p w14:paraId="0F4A0CD3">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15、高频双极功能可设置为精确、标准、宏，以及双极柔和电凝。</w:t>
            </w:r>
          </w:p>
          <w:p w14:paraId="26DAAC7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16、具备智慧组织感应技术，≥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1800</w:t>
            </w:r>
            <w:r>
              <w:rPr>
                <w:rFonts w:hint="eastAsia" w:ascii="宋体" w:hAnsi="宋体" w:eastAsia="宋体" w:cs="宋体"/>
                <w:color w:val="000000" w:themeColor="text1"/>
                <w:sz w:val="21"/>
                <w:szCs w:val="21"/>
                <w:highlight w:val="none"/>
                <w14:textFill>
                  <w14:solidFill>
                    <w14:schemeClr w14:val="tx1"/>
                  </w14:solidFill>
                </w14:textFill>
              </w:rPr>
              <w:t>万次/秒侦测组织阻抗，保证切割不同组织始终流畅。</w:t>
            </w:r>
          </w:p>
          <w:p w14:paraId="06253E59">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17、具备有功功率补偿技术，克服了线缆不同长度，类型，组织差异造成的无功功率损耗，确保了不同应用场景下切割手感，凝血效果保持一致。</w:t>
            </w:r>
          </w:p>
          <w:p w14:paraId="25F142FB">
            <w:pPr>
              <w:spacing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十三、配置清单</w:t>
            </w:r>
          </w:p>
          <w:p w14:paraId="1F594EA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1、4K荧光3D摄像系统主机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2台</w:t>
            </w:r>
            <w:r>
              <w:rPr>
                <w:rFonts w:hint="eastAsia" w:ascii="宋体" w:hAnsi="宋体" w:eastAsia="宋体" w:cs="宋体"/>
                <w:color w:val="000000" w:themeColor="text1"/>
                <w:sz w:val="21"/>
                <w:szCs w:val="21"/>
                <w:highlight w:val="none"/>
                <w14:textFill>
                  <w14:solidFill>
                    <w14:schemeClr w14:val="tx1"/>
                  </w14:solidFill>
                </w14:textFill>
              </w:rPr>
              <w:tab/>
            </w:r>
          </w:p>
          <w:p w14:paraId="402C48E5">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2、4K荧光摄像头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2个</w:t>
            </w:r>
            <w:r>
              <w:rPr>
                <w:rFonts w:hint="eastAsia" w:ascii="宋体" w:hAnsi="宋体" w:eastAsia="宋体" w:cs="宋体"/>
                <w:color w:val="000000" w:themeColor="text1"/>
                <w:sz w:val="21"/>
                <w:szCs w:val="21"/>
                <w:highlight w:val="none"/>
                <w14:textFill>
                  <w14:solidFill>
                    <w14:schemeClr w14:val="tx1"/>
                  </w14:solidFill>
                </w14:textFill>
              </w:rPr>
              <w:tab/>
            </w:r>
          </w:p>
          <w:p w14:paraId="509BF2D5">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3、LED荧光光源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2台</w:t>
            </w:r>
          </w:p>
          <w:p w14:paraId="7DF5514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4、导光束                  4条</w:t>
            </w:r>
          </w:p>
          <w:p w14:paraId="1A304D6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5、高流量气腹机            2台</w:t>
            </w:r>
          </w:p>
          <w:p w14:paraId="0EABA06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6、4K 3D电子胸腹腔镜            2条</w:t>
            </w:r>
          </w:p>
          <w:p w14:paraId="21E38DD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7、成人胸腹腔内窥镜（荧光）     4条</w:t>
            </w:r>
          </w:p>
          <w:p w14:paraId="1A887B57">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8、小儿胸腹腔内窥镜（荧光）     4条</w:t>
            </w:r>
          </w:p>
          <w:p w14:paraId="6DBEB7C0">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9、成人胸腹腔内窥镜（白光）     4条</w:t>
            </w:r>
          </w:p>
          <w:p w14:paraId="235B9F05">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10、32寸4K监视器              3台</w:t>
            </w:r>
          </w:p>
          <w:p w14:paraId="3EDF87E5">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11、55寸4K监视器              1台</w:t>
            </w:r>
          </w:p>
          <w:p w14:paraId="27F398A1">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12、台车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2台</w:t>
            </w:r>
            <w:r>
              <w:rPr>
                <w:rFonts w:hint="eastAsia" w:ascii="宋体" w:hAnsi="宋体" w:eastAsia="宋体" w:cs="宋体"/>
                <w:color w:val="000000" w:themeColor="text1"/>
                <w:sz w:val="21"/>
                <w:szCs w:val="21"/>
                <w:highlight w:val="none"/>
                <w14:textFill>
                  <w14:solidFill>
                    <w14:schemeClr w14:val="tx1"/>
                  </w14:solidFill>
                </w14:textFill>
              </w:rPr>
              <w:tab/>
            </w:r>
          </w:p>
          <w:p w14:paraId="341517C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13、电子胸腹腔内窥镜灭菌盒     2个</w:t>
            </w:r>
          </w:p>
          <w:p w14:paraId="6CEAF2A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14、胸腹腔内窥镜灭菌盒（不锈钢网篮）     12个</w:t>
            </w:r>
          </w:p>
          <w:p w14:paraId="4CF30EA4">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15、高频外科手术能量平台           2台</w:t>
            </w:r>
          </w:p>
          <w:p w14:paraId="7B9C817A">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16、超声刀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2台</w:t>
            </w:r>
          </w:p>
          <w:p w14:paraId="5B6DEC5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18、双极电凝钳</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2把</w:t>
            </w:r>
          </w:p>
          <w:p w14:paraId="2311BC53">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19、气腹针</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2把</w:t>
            </w:r>
          </w:p>
          <w:p w14:paraId="15678BB0">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20、电钩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2支</w:t>
            </w:r>
            <w:r>
              <w:rPr>
                <w:rFonts w:hint="eastAsia" w:ascii="宋体" w:hAnsi="宋体" w:eastAsia="宋体" w:cs="宋体"/>
                <w:color w:val="000000" w:themeColor="text1"/>
                <w:sz w:val="21"/>
                <w:szCs w:val="21"/>
                <w:highlight w:val="none"/>
                <w14:textFill>
                  <w14:solidFill>
                    <w14:schemeClr w14:val="tx1"/>
                  </w14:solidFill>
                </w14:textFill>
              </w:rPr>
              <w:tab/>
            </w:r>
          </w:p>
          <w:p w14:paraId="40668BD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21、电凝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2支</w:t>
            </w:r>
            <w:r>
              <w:rPr>
                <w:rFonts w:hint="eastAsia" w:ascii="宋体" w:hAnsi="宋体" w:eastAsia="宋体" w:cs="宋体"/>
                <w:color w:val="000000" w:themeColor="text1"/>
                <w:sz w:val="21"/>
                <w:szCs w:val="21"/>
                <w:highlight w:val="none"/>
                <w14:textFill>
                  <w14:solidFill>
                    <w14:schemeClr w14:val="tx1"/>
                  </w14:solidFill>
                </w14:textFill>
              </w:rPr>
              <w:tab/>
            </w:r>
          </w:p>
          <w:p w14:paraId="390EC990">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22、单极电凝线</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2条</w:t>
            </w:r>
            <w:r>
              <w:rPr>
                <w:rFonts w:hint="eastAsia" w:ascii="宋体" w:hAnsi="宋体" w:eastAsia="宋体" w:cs="宋体"/>
                <w:color w:val="000000" w:themeColor="text1"/>
                <w:sz w:val="21"/>
                <w:szCs w:val="21"/>
                <w:highlight w:val="none"/>
                <w14:textFill>
                  <w14:solidFill>
                    <w14:schemeClr w14:val="tx1"/>
                  </w14:solidFill>
                </w14:textFill>
              </w:rPr>
              <w:tab/>
            </w:r>
          </w:p>
          <w:p w14:paraId="07575DBA">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23、5mm穿刺器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6套</w:t>
            </w:r>
            <w:r>
              <w:rPr>
                <w:rFonts w:hint="eastAsia" w:ascii="宋体" w:hAnsi="宋体" w:eastAsia="宋体" w:cs="宋体"/>
                <w:color w:val="000000" w:themeColor="text1"/>
                <w:sz w:val="21"/>
                <w:szCs w:val="21"/>
                <w:highlight w:val="none"/>
                <w14:textFill>
                  <w14:solidFill>
                    <w14:schemeClr w14:val="tx1"/>
                  </w14:solidFill>
                </w14:textFill>
              </w:rPr>
              <w:tab/>
            </w:r>
          </w:p>
          <w:p w14:paraId="3DB355D4">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24、10mm穿刺器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2套</w:t>
            </w:r>
            <w:r>
              <w:rPr>
                <w:rFonts w:hint="eastAsia" w:ascii="宋体" w:hAnsi="宋体" w:eastAsia="宋体" w:cs="宋体"/>
                <w:color w:val="000000" w:themeColor="text1"/>
                <w:sz w:val="21"/>
                <w:szCs w:val="21"/>
                <w:highlight w:val="none"/>
                <w14:textFill>
                  <w14:solidFill>
                    <w14:schemeClr w14:val="tx1"/>
                  </w14:solidFill>
                </w14:textFill>
              </w:rPr>
              <w:tab/>
            </w:r>
          </w:p>
          <w:p w14:paraId="23F074C4">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25、三通冲吸器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2套</w:t>
            </w:r>
            <w:r>
              <w:rPr>
                <w:rFonts w:hint="eastAsia" w:ascii="宋体" w:hAnsi="宋体" w:eastAsia="宋体" w:cs="宋体"/>
                <w:color w:val="000000" w:themeColor="text1"/>
                <w:sz w:val="21"/>
                <w:szCs w:val="21"/>
                <w:highlight w:val="none"/>
                <w14:textFill>
                  <w14:solidFill>
                    <w14:schemeClr w14:val="tx1"/>
                  </w14:solidFill>
                </w14:textFill>
              </w:rPr>
              <w:tab/>
            </w:r>
          </w:p>
          <w:p w14:paraId="5ABC595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26、双动弯剪</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2把</w:t>
            </w:r>
            <w:r>
              <w:rPr>
                <w:rFonts w:hint="eastAsia" w:ascii="宋体" w:hAnsi="宋体" w:eastAsia="宋体" w:cs="宋体"/>
                <w:color w:val="000000" w:themeColor="text1"/>
                <w:sz w:val="21"/>
                <w:szCs w:val="21"/>
                <w:highlight w:val="none"/>
                <w14:textFill>
                  <w14:solidFill>
                    <w14:schemeClr w14:val="tx1"/>
                  </w14:solidFill>
                </w14:textFill>
              </w:rPr>
              <w:tab/>
            </w:r>
          </w:p>
          <w:p w14:paraId="54F3A50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27、钩剪</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2把</w:t>
            </w:r>
            <w:r>
              <w:rPr>
                <w:rFonts w:hint="eastAsia" w:ascii="宋体" w:hAnsi="宋体" w:eastAsia="宋体" w:cs="宋体"/>
                <w:color w:val="000000" w:themeColor="text1"/>
                <w:sz w:val="21"/>
                <w:szCs w:val="21"/>
                <w:highlight w:val="none"/>
                <w14:textFill>
                  <w14:solidFill>
                    <w14:schemeClr w14:val="tx1"/>
                  </w14:solidFill>
                </w14:textFill>
              </w:rPr>
              <w:tab/>
            </w:r>
          </w:p>
          <w:p w14:paraId="0DB76F3B">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28、弯分离钳               12把</w:t>
            </w:r>
          </w:p>
          <w:p w14:paraId="2B2574DF">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29、弯分离钳（细钳头）     6把</w:t>
            </w:r>
            <w:r>
              <w:rPr>
                <w:rFonts w:hint="eastAsia" w:ascii="宋体" w:hAnsi="宋体" w:eastAsia="宋体" w:cs="宋体"/>
                <w:color w:val="000000" w:themeColor="text1"/>
                <w:sz w:val="21"/>
                <w:szCs w:val="21"/>
                <w:highlight w:val="none"/>
                <w14:textFill>
                  <w14:solidFill>
                    <w14:schemeClr w14:val="tx1"/>
                  </w14:solidFill>
                </w14:textFill>
              </w:rPr>
              <w:tab/>
            </w:r>
          </w:p>
          <w:p w14:paraId="57014AE1">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30、无损伤抓钳</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8把</w:t>
            </w:r>
            <w:r>
              <w:rPr>
                <w:rFonts w:hint="eastAsia" w:ascii="宋体" w:hAnsi="宋体" w:eastAsia="宋体" w:cs="宋体"/>
                <w:color w:val="000000" w:themeColor="text1"/>
                <w:sz w:val="21"/>
                <w:szCs w:val="21"/>
                <w:highlight w:val="none"/>
                <w14:textFill>
                  <w14:solidFill>
                    <w14:schemeClr w14:val="tx1"/>
                  </w14:solidFill>
                </w14:textFill>
              </w:rPr>
              <w:tab/>
            </w:r>
          </w:p>
          <w:p w14:paraId="18F4CEB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31、塑料夹钳中号（紫色）   1把</w:t>
            </w:r>
          </w:p>
          <w:p w14:paraId="46EB515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32、塑料夹钳中大号（橙色）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1把</w:t>
            </w:r>
            <w:r>
              <w:rPr>
                <w:rFonts w:hint="eastAsia" w:ascii="宋体" w:hAnsi="宋体" w:eastAsia="宋体" w:cs="宋体"/>
                <w:color w:val="000000" w:themeColor="text1"/>
                <w:sz w:val="21"/>
                <w:szCs w:val="21"/>
                <w:highlight w:val="none"/>
                <w14:textFill>
                  <w14:solidFill>
                    <w14:schemeClr w14:val="tx1"/>
                  </w14:solidFill>
                </w14:textFill>
              </w:rPr>
              <w:tab/>
            </w:r>
          </w:p>
          <w:p w14:paraId="5D4597C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32、腹腔镜器械消毒盒       2个</w:t>
            </w:r>
          </w:p>
          <w:p w14:paraId="11902506">
            <w:pPr>
              <w:spacing w:line="288" w:lineRule="auto"/>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33、图文工作站             2套</w:t>
            </w:r>
          </w:p>
        </w:tc>
        <w:tc>
          <w:tcPr>
            <w:tcW w:w="674" w:type="dxa"/>
            <w:vAlign w:val="center"/>
          </w:tcPr>
          <w:p w14:paraId="2E6132BD">
            <w:pPr>
              <w:wordWrap w:val="0"/>
              <w:topLinePunct/>
              <w:spacing w:line="288" w:lineRule="auto"/>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647" w:type="dxa"/>
            <w:vAlign w:val="center"/>
          </w:tcPr>
          <w:p w14:paraId="35B79DD6">
            <w:pPr>
              <w:wordWrap w:val="0"/>
              <w:topLinePunct/>
              <w:spacing w:line="288"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套</w:t>
            </w:r>
          </w:p>
        </w:tc>
        <w:tc>
          <w:tcPr>
            <w:tcW w:w="1094" w:type="dxa"/>
            <w:vAlign w:val="center"/>
          </w:tcPr>
          <w:p w14:paraId="55B3D149">
            <w:pPr>
              <w:wordWrap w:val="0"/>
              <w:topLinePunct/>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工业</w:t>
            </w:r>
          </w:p>
        </w:tc>
        <w:tc>
          <w:tcPr>
            <w:tcW w:w="1011" w:type="dxa"/>
            <w:vAlign w:val="center"/>
          </w:tcPr>
          <w:p w14:paraId="4742DF02">
            <w:pPr>
              <w:wordWrap w:val="0"/>
              <w:topLinePunct/>
              <w:spacing w:line="288" w:lineRule="auto"/>
              <w:ind w:firstLine="0" w:firstLineChars="0"/>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277.6</w:t>
            </w:r>
          </w:p>
        </w:tc>
      </w:tr>
      <w:tr w14:paraId="3DD7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423" w:type="dxa"/>
            <w:gridSpan w:val="7"/>
            <w:vAlign w:val="center"/>
          </w:tcPr>
          <w:p w14:paraId="4D158816">
            <w:pPr>
              <w:wordWrap w:val="0"/>
              <w:topLinePunct/>
              <w:spacing w:line="288" w:lineRule="auto"/>
              <w:ind w:firstLine="211" w:firstLineChars="10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商务要求</w:t>
            </w:r>
          </w:p>
        </w:tc>
      </w:tr>
      <w:tr w14:paraId="41A5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6" w:type="dxa"/>
            <w:gridSpan w:val="2"/>
            <w:vAlign w:val="center"/>
          </w:tcPr>
          <w:p w14:paraId="1B9F6D79">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（一）声明</w:t>
            </w:r>
          </w:p>
        </w:tc>
        <w:tc>
          <w:tcPr>
            <w:tcW w:w="8437" w:type="dxa"/>
            <w:gridSpan w:val="5"/>
            <w:vAlign w:val="center"/>
          </w:tcPr>
          <w:p w14:paraId="7220912E">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对投标文件内容所涉及的专利、专有技术承担法律责任，并负责保护采购人的利益不受任何损害。一切由于文字、商标、技术和软件专利授权引起的法律裁决、诉讼和赔偿费用均由成交供应商负责。同时，具有产品专利、专有技术的投标人应在其投标文件中提供与其自有产品专利、专有技术相关的有效证明材料，否则，不能就其产品的专利、专有技术在本项目采购过程中被侵权问题而提出异议。</w:t>
            </w:r>
          </w:p>
        </w:tc>
      </w:tr>
      <w:tr w14:paraId="4313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76018D87">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（二）合同签订期</w:t>
            </w:r>
          </w:p>
        </w:tc>
        <w:tc>
          <w:tcPr>
            <w:tcW w:w="8437" w:type="dxa"/>
            <w:gridSpan w:val="5"/>
            <w:vAlign w:val="center"/>
          </w:tcPr>
          <w:p w14:paraId="13E8AEE9">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自中标通知书发出之日起</w:t>
            </w:r>
            <w:r>
              <w:rPr>
                <w:rFonts w:hint="eastAsia" w:ascii="宋体" w:hAnsi="宋体" w:eastAsia="宋体" w:cs="宋体"/>
                <w:color w:val="000000" w:themeColor="text1"/>
                <w:sz w:val="21"/>
                <w:szCs w:val="21"/>
                <w:highlight w:val="none"/>
                <w:lang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个日历日内。</w:t>
            </w:r>
          </w:p>
        </w:tc>
      </w:tr>
      <w:tr w14:paraId="7140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44E10AEE">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质保期</w:t>
            </w:r>
          </w:p>
        </w:tc>
        <w:tc>
          <w:tcPr>
            <w:tcW w:w="8437" w:type="dxa"/>
            <w:gridSpan w:val="5"/>
            <w:vAlign w:val="center"/>
          </w:tcPr>
          <w:p w14:paraId="17954AA3">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按国家有关产品“三包”规定执行“三包”，除非各分项有要求，否则保修期不少于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年，终身维修，保修期内出现故障，需派出技术工程师到达现场处理故障，并承担一切费用；保修期外发生维修只收材料成本费，成本费用以定额、信息价或投标报价为准。</w:t>
            </w:r>
          </w:p>
        </w:tc>
      </w:tr>
      <w:tr w14:paraId="6604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27EE6B29">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）交货时间和交货地点</w:t>
            </w:r>
          </w:p>
        </w:tc>
        <w:tc>
          <w:tcPr>
            <w:tcW w:w="8437" w:type="dxa"/>
            <w:gridSpan w:val="5"/>
            <w:vAlign w:val="center"/>
          </w:tcPr>
          <w:p w14:paraId="6A2768E9">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交货时间及地点：自签订合同之日起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60天</w:t>
            </w:r>
            <w:r>
              <w:rPr>
                <w:rFonts w:hint="eastAsia" w:ascii="宋体" w:hAnsi="宋体" w:eastAsia="宋体" w:cs="宋体"/>
                <w:color w:val="000000" w:themeColor="text1"/>
                <w:sz w:val="21"/>
                <w:szCs w:val="21"/>
                <w:highlight w:val="none"/>
                <w14:textFill>
                  <w14:solidFill>
                    <w14:schemeClr w14:val="tx1"/>
                  </w14:solidFill>
                </w14:textFill>
              </w:rPr>
              <w:t>内必须到货并安装调试合格。地点：采购人指定位置。</w:t>
            </w:r>
          </w:p>
        </w:tc>
      </w:tr>
      <w:tr w14:paraId="080D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3D3C0AFE">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）投标设备要求</w:t>
            </w:r>
          </w:p>
        </w:tc>
        <w:tc>
          <w:tcPr>
            <w:tcW w:w="8437" w:type="dxa"/>
            <w:gridSpan w:val="5"/>
            <w:vAlign w:val="center"/>
          </w:tcPr>
          <w:p w14:paraId="1ADFA997">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投标人提供的产品必须是全新、完整、未使用过的产品，进口设备生产日期在一年内（国产的在半年内），</w:t>
            </w:r>
            <w:r>
              <w:rPr>
                <w:rFonts w:hint="eastAsia" w:ascii="宋体" w:hAnsi="宋体" w:eastAsia="宋体" w:cs="宋体"/>
                <w:color w:val="000000" w:themeColor="text1"/>
                <w:sz w:val="21"/>
                <w:szCs w:val="21"/>
                <w:highlight w:val="none"/>
                <w:lang w:eastAsia="zh-CN"/>
                <w14:textFill>
                  <w14:solidFill>
                    <w14:schemeClr w14:val="tx1"/>
                  </w14:solidFill>
                </w14:textFill>
              </w:rPr>
              <w:t>以及</w:t>
            </w:r>
            <w:r>
              <w:rPr>
                <w:rFonts w:hint="eastAsia" w:ascii="宋体" w:hAnsi="宋体" w:eastAsia="宋体" w:cs="宋体"/>
                <w:color w:val="000000" w:themeColor="text1"/>
                <w:sz w:val="21"/>
                <w:szCs w:val="21"/>
                <w:highlight w:val="none"/>
                <w14:textFill>
                  <w14:solidFill>
                    <w14:schemeClr w14:val="tx1"/>
                  </w14:solidFill>
                </w14:textFill>
              </w:rPr>
              <w:t>所有零部件、配件</w:t>
            </w:r>
            <w:r>
              <w:rPr>
                <w:rFonts w:hint="eastAsia" w:ascii="宋体" w:hAnsi="宋体" w:eastAsia="宋体" w:cs="宋体"/>
                <w:color w:val="000000" w:themeColor="text1"/>
                <w:sz w:val="21"/>
                <w:szCs w:val="21"/>
                <w:highlight w:val="none"/>
                <w:lang w:eastAsia="zh-CN"/>
                <w14:textFill>
                  <w14:solidFill>
                    <w14:schemeClr w14:val="tx1"/>
                  </w14:solidFill>
                </w14:textFill>
              </w:rPr>
              <w:t>均</w:t>
            </w:r>
            <w:r>
              <w:rPr>
                <w:rFonts w:hint="eastAsia" w:ascii="宋体" w:hAnsi="宋体" w:eastAsia="宋体" w:cs="宋体"/>
                <w:color w:val="000000" w:themeColor="text1"/>
                <w:sz w:val="21"/>
                <w:szCs w:val="21"/>
                <w:highlight w:val="none"/>
                <w14:textFill>
                  <w14:solidFill>
                    <w14:schemeClr w14:val="tx1"/>
                  </w14:solidFill>
                </w14:textFill>
              </w:rPr>
              <w:t>必须是全新</w:t>
            </w:r>
            <w:r>
              <w:rPr>
                <w:rFonts w:hint="eastAsia" w:ascii="宋体" w:hAnsi="宋体" w:eastAsia="宋体" w:cs="宋体"/>
                <w:color w:val="000000" w:themeColor="text1"/>
                <w:sz w:val="21"/>
                <w:szCs w:val="21"/>
                <w:highlight w:val="none"/>
                <w:lang w:eastAsia="zh-CN"/>
                <w14:textFill>
                  <w14:solidFill>
                    <w14:schemeClr w14:val="tx1"/>
                  </w14:solidFill>
                </w14:textFill>
              </w:rPr>
              <w:t>未经使用的并符合国家有关质量安全标准的产品。</w:t>
            </w:r>
            <w:r>
              <w:rPr>
                <w:rFonts w:hint="eastAsia" w:ascii="宋体" w:hAnsi="宋体" w:eastAsia="宋体" w:cs="宋体"/>
                <w:color w:val="000000" w:themeColor="text1"/>
                <w:sz w:val="21"/>
                <w:szCs w:val="21"/>
                <w:highlight w:val="none"/>
                <w14:textFill>
                  <w14:solidFill>
                    <w14:schemeClr w14:val="tx1"/>
                  </w14:solidFill>
                </w14:textFill>
              </w:rPr>
              <w:t>在装机、验收、入库期间有质量问题应提供整机更换或退货。</w:t>
            </w:r>
            <w:r>
              <w:rPr>
                <w:rFonts w:hint="eastAsia" w:ascii="宋体" w:hAnsi="宋体" w:eastAsia="宋体" w:cs="宋体"/>
                <w:color w:val="000000" w:themeColor="text1"/>
                <w:sz w:val="21"/>
                <w:szCs w:val="21"/>
                <w:highlight w:val="none"/>
                <w:lang w:eastAsia="zh-CN"/>
                <w14:textFill>
                  <w14:solidFill>
                    <w14:schemeClr w14:val="tx1"/>
                  </w14:solidFill>
                </w14:textFill>
              </w:rPr>
              <w:t>且在正常安装、使用和保养条件下，其使用寿命期内各项指标均达到质量要求。所有货物都提供使用说明书和详细装箱清单及质量合格证。</w:t>
            </w:r>
          </w:p>
          <w:p w14:paraId="4A85C547">
            <w:pPr>
              <w:spacing w:line="288" w:lineRule="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分标</w:t>
            </w:r>
            <w:r>
              <w:rPr>
                <w:rFonts w:hint="eastAsia" w:ascii="宋体" w:hAnsi="宋体" w:eastAsia="宋体" w:cs="宋体"/>
                <w:b/>
                <w:bCs/>
                <w:color w:val="000000" w:themeColor="text1"/>
                <w:sz w:val="21"/>
                <w:szCs w:val="21"/>
                <w:highlight w:val="none"/>
                <w:lang w:eastAsia="zh-CN"/>
                <w14:textFill>
                  <w14:solidFill>
                    <w14:schemeClr w14:val="tx1"/>
                  </w14:solidFill>
                </w14:textFill>
              </w:rPr>
              <w:t>采购货物不接受进口产品参与投标，否则作无效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w:t>
            </w:r>
            <w:r>
              <w:rPr>
                <w:rFonts w:hint="eastAsia" w:ascii="宋体" w:hAnsi="宋体" w:eastAsia="宋体" w:cs="宋体"/>
                <w:b/>
                <w:bCs/>
                <w:color w:val="000000" w:themeColor="text1"/>
                <w:sz w:val="21"/>
                <w:szCs w:val="21"/>
                <w:highlight w:val="none"/>
                <w:lang w:eastAsia="zh-CN"/>
                <w14:textFill>
                  <w14:solidFill>
                    <w14:schemeClr w14:val="tx1"/>
                  </w14:solidFill>
                </w14:textFill>
              </w:rPr>
              <w:t>标处理。</w:t>
            </w:r>
          </w:p>
          <w:p w14:paraId="7698AF51">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.中标人所提供产品,如有质量监督部门要求对产品进行检测、检验时，必须派出厂方代表协助检查，发现产品如有质量问题，中标人应承担全部费用及相应的责任。</w:t>
            </w:r>
          </w:p>
        </w:tc>
      </w:tr>
      <w:tr w14:paraId="6712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541E1BD3">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）售后服务要求</w:t>
            </w:r>
          </w:p>
        </w:tc>
        <w:tc>
          <w:tcPr>
            <w:tcW w:w="8437" w:type="dxa"/>
            <w:gridSpan w:val="5"/>
            <w:vAlign w:val="center"/>
          </w:tcPr>
          <w:p w14:paraId="34F120C3">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⑴按厂家承诺进行；⑵免费送货上门，免费安装调试合格，派出有相应资格的技术工程师到达现场负责设备安装调试，直至正常使用；⑶接故障通知后，2小时内响应，24小时内到达现场提供服务（保修期内免费服务），提供终身维护和保养服务。设备如需接入医院HIS、LIS、PACS系统或互联互通平台，相关费用由中标人负责。</w:t>
            </w:r>
          </w:p>
        </w:tc>
      </w:tr>
      <w:tr w14:paraId="288E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32C54DEB">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）培训要求</w:t>
            </w:r>
          </w:p>
        </w:tc>
        <w:tc>
          <w:tcPr>
            <w:tcW w:w="8437" w:type="dxa"/>
            <w:gridSpan w:val="5"/>
            <w:vAlign w:val="center"/>
          </w:tcPr>
          <w:p w14:paraId="4C766C70">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验收合格后对采购人技术人员免费进行设备操作及维护培训。主要内容应为设备的基本结构、性能、主要部件的构造及原理，日常使用操作、保养与管理，常见故障的排除，紧急情况的处理等，能达到熟练使用设备及进行日常维护的水平。配件供应迅速，并配备专业售后服务人员</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E0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551EAF50">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）付款条件</w:t>
            </w:r>
          </w:p>
        </w:tc>
        <w:tc>
          <w:tcPr>
            <w:tcW w:w="8437" w:type="dxa"/>
            <w:gridSpan w:val="5"/>
            <w:vAlign w:val="center"/>
          </w:tcPr>
          <w:p w14:paraId="54AC634C">
            <w:pPr>
              <w:spacing w:line="288"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签订合同后，中标供应商开具全额发票，采购人收到发票一个月内付款合同金额的30%，验收合格后采购人一个月内付款至合同金额的80%，一年内付款至合同金额的95%，合同余款5%二年后付清。</w:t>
            </w:r>
            <w:r>
              <w:rPr>
                <w:rFonts w:hint="eastAsia" w:ascii="宋体" w:hAnsi="宋体" w:eastAsia="宋体" w:cs="宋体"/>
                <w:color w:val="000000" w:themeColor="text1"/>
                <w:sz w:val="21"/>
                <w:szCs w:val="21"/>
                <w:highlight w:val="none"/>
                <w14:textFill>
                  <w14:solidFill>
                    <w14:schemeClr w14:val="tx1"/>
                  </w14:solidFill>
                </w14:textFill>
              </w:rPr>
              <w:t>特殊项目国家另有付款规定的，按国家付款规定执行。</w:t>
            </w:r>
          </w:p>
        </w:tc>
      </w:tr>
      <w:tr w14:paraId="0167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7883F224">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）验收条件及标准</w:t>
            </w:r>
          </w:p>
        </w:tc>
        <w:tc>
          <w:tcPr>
            <w:tcW w:w="8437" w:type="dxa"/>
            <w:gridSpan w:val="5"/>
            <w:vAlign w:val="center"/>
          </w:tcPr>
          <w:p w14:paraId="394F182F">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时包装完整无破损，必须提供装箱单、保修单、货物生产厂家出厂合格证书及有关供货说明文件，货物的所有正规手续必须齐全。为防止虚假应标，如有必要，中标供应商需配合院方联合院方指定的第三方或该项目其他投标供应商对中标供应商提供产品的技术参数逐一验收，如发现提供产品的实际技术参数与投标参数不符，则视为虚假应标，取消其中标资格。</w:t>
            </w:r>
          </w:p>
        </w:tc>
      </w:tr>
      <w:tr w14:paraId="18AB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2D68D761">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）验收方法及方案</w:t>
            </w:r>
          </w:p>
        </w:tc>
        <w:tc>
          <w:tcPr>
            <w:tcW w:w="8437" w:type="dxa"/>
            <w:gridSpan w:val="5"/>
            <w:vAlign w:val="center"/>
          </w:tcPr>
          <w:p w14:paraId="53A98E51">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时，采购人对中标人所交货物依照中标人的投标文件所承诺的技术规格要求和国家有关标准进行现场验收。性能达到技术要求的给予签收，若有一项指标不满足其投标承诺的不予签收，视为中标人违约并按照政府采购相关法律法规和合同约定条款进行处罚，由此造成的项目延误等所有责任均由中标人承担。</w:t>
            </w:r>
          </w:p>
        </w:tc>
      </w:tr>
      <w:tr w14:paraId="03F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6D7A1835">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8437" w:type="dxa"/>
            <w:gridSpan w:val="5"/>
            <w:vAlign w:val="center"/>
          </w:tcPr>
          <w:p w14:paraId="3D68C609">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总报价为包含但不限于货物、随配附件、备品备件（详细清单由投标人提供）、专用工具和运输、保险、卸货、保管、安装调试、验收、技术培训、质保等售后服务、税金、利润、间接费的总和。投标人保证所提供的设备正常运行，并能通过采购人及相关部门的项目验收。</w:t>
            </w:r>
          </w:p>
        </w:tc>
      </w:tr>
      <w:tr w14:paraId="3F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04F6A992">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8437" w:type="dxa"/>
            <w:gridSpan w:val="5"/>
            <w:vAlign w:val="center"/>
          </w:tcPr>
          <w:p w14:paraId="126CB9A3">
            <w:pPr>
              <w:spacing w:line="288"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本分标</w:t>
            </w:r>
            <w:r>
              <w:rPr>
                <w:rFonts w:hint="eastAsia" w:ascii="宋体" w:hAnsi="宋体" w:eastAsia="宋体" w:cs="宋体"/>
                <w:b/>
                <w:bCs/>
                <w:color w:val="000000" w:themeColor="text1"/>
                <w:sz w:val="21"/>
                <w:szCs w:val="21"/>
                <w:highlight w:val="none"/>
                <w:lang w:bidi="ar"/>
                <w14:textFill>
                  <w14:solidFill>
                    <w14:schemeClr w14:val="tx1"/>
                  </w14:solidFill>
                </w14:textFill>
              </w:rPr>
              <w:t>货物</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需求</w:t>
            </w:r>
            <w:r>
              <w:rPr>
                <w:rFonts w:hint="eastAsia" w:ascii="宋体" w:hAnsi="宋体" w:eastAsia="宋体" w:cs="宋体"/>
                <w:b/>
                <w:bCs/>
                <w:color w:val="000000" w:themeColor="text1"/>
                <w:sz w:val="21"/>
                <w:szCs w:val="21"/>
                <w:highlight w:val="none"/>
                <w:lang w:bidi="ar"/>
                <w14:textFill>
                  <w14:solidFill>
                    <w14:schemeClr w14:val="tx1"/>
                  </w14:solidFill>
                </w14:textFill>
              </w:rPr>
              <w:t>一览表中标注“▲”项的内容为实质性响应条款，必须满足或优于，否则投标无效；</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每个分标</w:t>
            </w:r>
            <w:r>
              <w:rPr>
                <w:rFonts w:hint="eastAsia" w:ascii="宋体" w:hAnsi="宋体" w:eastAsia="宋体" w:cs="宋体"/>
                <w:b/>
                <w:bCs/>
                <w:color w:val="000000" w:themeColor="text1"/>
                <w:sz w:val="21"/>
                <w:szCs w:val="21"/>
                <w:highlight w:val="none"/>
                <w:lang w:bidi="ar"/>
                <w14:textFill>
                  <w14:solidFill>
                    <w14:schemeClr w14:val="tx1"/>
                  </w14:solidFill>
                </w14:textFill>
              </w:rPr>
              <w:t>不带“▲”的参数发生负偏离达</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sz w:val="21"/>
                <w:szCs w:val="21"/>
                <w:highlight w:val="none"/>
                <w:lang w:bidi="ar"/>
                <w14:textFill>
                  <w14:solidFill>
                    <w14:schemeClr w14:val="tx1"/>
                  </w14:solidFill>
                </w14:textFill>
              </w:rPr>
              <w:t>项（含）以上的，视为不实质性响应招标文件要求，评审时投标文件将被作为无效文件处理。</w:t>
            </w:r>
          </w:p>
          <w:p w14:paraId="64D4009F">
            <w:pPr>
              <w:pStyle w:val="27"/>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商务条款不允许负偏离，否则投标无效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tc>
      </w:tr>
    </w:tbl>
    <w:p w14:paraId="5241BAA1">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3B5DA001">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22A600EA">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02935563">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57B416FA">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1CCDE7E4">
      <w:pPr>
        <w:pStyle w:val="21"/>
        <w:spacing w:line="340" w:lineRule="exact"/>
        <w:rPr>
          <w:rFonts w:hint="default" w:hAnsi="宋体" w:eastAsia="宋体"/>
          <w:b/>
          <w:bCs/>
          <w:color w:val="000000" w:themeColor="text1"/>
          <w:sz w:val="24"/>
          <w:szCs w:val="28"/>
          <w:highlight w:val="none"/>
          <w:lang w:val="en-US" w:eastAsia="zh-CN"/>
          <w14:textFill>
            <w14:solidFill>
              <w14:schemeClr w14:val="tx1"/>
            </w14:solidFill>
          </w14:textFill>
        </w:rPr>
      </w:pPr>
      <w:r>
        <w:rPr>
          <w:rFonts w:hint="eastAsia" w:hAnsi="宋体"/>
          <w:b/>
          <w:bCs/>
          <w:color w:val="000000" w:themeColor="text1"/>
          <w:sz w:val="24"/>
          <w:szCs w:val="28"/>
          <w:highlight w:val="none"/>
          <w:lang w:eastAsia="zh-CN"/>
          <w14:textFill>
            <w14:solidFill>
              <w14:schemeClr w14:val="tx1"/>
            </w14:solidFill>
          </w14:textFill>
        </w:rPr>
        <w:t>分标</w:t>
      </w:r>
      <w:r>
        <w:rPr>
          <w:rFonts w:hint="eastAsia" w:hAnsi="宋体"/>
          <w:b/>
          <w:bCs/>
          <w:color w:val="000000" w:themeColor="text1"/>
          <w:sz w:val="24"/>
          <w:szCs w:val="28"/>
          <w:highlight w:val="none"/>
          <w:lang w:val="en-US" w:eastAsia="zh-CN"/>
          <w14:textFill>
            <w14:solidFill>
              <w14:schemeClr w14:val="tx1"/>
            </w14:solidFill>
          </w14:textFill>
        </w:rPr>
        <w:t>2：</w:t>
      </w:r>
    </w:p>
    <w:tbl>
      <w:tblPr>
        <w:tblStyle w:val="38"/>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41"/>
        <w:gridCol w:w="5011"/>
        <w:gridCol w:w="674"/>
        <w:gridCol w:w="647"/>
        <w:gridCol w:w="1094"/>
        <w:gridCol w:w="1011"/>
      </w:tblGrid>
      <w:tr w14:paraId="1644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0DF6940">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序号</w:t>
            </w:r>
          </w:p>
        </w:tc>
        <w:tc>
          <w:tcPr>
            <w:tcW w:w="1341" w:type="dxa"/>
            <w:vAlign w:val="center"/>
          </w:tcPr>
          <w:p w14:paraId="09F880DC">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货物名称</w:t>
            </w:r>
          </w:p>
        </w:tc>
        <w:tc>
          <w:tcPr>
            <w:tcW w:w="5011" w:type="dxa"/>
            <w:vAlign w:val="center"/>
          </w:tcPr>
          <w:p w14:paraId="69600D2B">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技术参数及性能配置要求</w:t>
            </w:r>
          </w:p>
        </w:tc>
        <w:tc>
          <w:tcPr>
            <w:tcW w:w="674" w:type="dxa"/>
            <w:vAlign w:val="center"/>
          </w:tcPr>
          <w:p w14:paraId="58B1B073">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数量</w:t>
            </w:r>
          </w:p>
        </w:tc>
        <w:tc>
          <w:tcPr>
            <w:tcW w:w="647" w:type="dxa"/>
            <w:vAlign w:val="center"/>
          </w:tcPr>
          <w:p w14:paraId="54574D7C">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单位</w:t>
            </w:r>
          </w:p>
        </w:tc>
        <w:tc>
          <w:tcPr>
            <w:tcW w:w="1094" w:type="dxa"/>
            <w:vAlign w:val="center"/>
          </w:tcPr>
          <w:p w14:paraId="22521877">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所属行业</w:t>
            </w:r>
          </w:p>
        </w:tc>
        <w:tc>
          <w:tcPr>
            <w:tcW w:w="1011" w:type="dxa"/>
            <w:vAlign w:val="center"/>
          </w:tcPr>
          <w:p w14:paraId="663D7D12">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0ED9B757">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最高单价限价（万元）</w:t>
            </w:r>
          </w:p>
        </w:tc>
      </w:tr>
      <w:tr w14:paraId="3FA5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5" w:type="dxa"/>
            <w:vAlign w:val="center"/>
          </w:tcPr>
          <w:p w14:paraId="0104BC16">
            <w:pPr>
              <w:widowControl/>
              <w:wordWrap/>
              <w:topLinePunct w:val="0"/>
              <w:spacing w:line="288" w:lineRule="auto"/>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p>
        </w:tc>
        <w:tc>
          <w:tcPr>
            <w:tcW w:w="1341" w:type="dxa"/>
            <w:vAlign w:val="center"/>
          </w:tcPr>
          <w:p w14:paraId="3BF0D87B">
            <w:pPr>
              <w:keepNext w:val="0"/>
              <w:keepLines w:val="0"/>
              <w:widowControl w:val="0"/>
              <w:suppressLineNumbers w:val="0"/>
              <w:spacing w:line="288" w:lineRule="auto"/>
              <w:jc w:val="center"/>
              <w:textAlignment w:val="auto"/>
              <w:rPr>
                <w:rFonts w:hint="eastAsia" w:ascii="宋体" w:hAnsi="宋体" w:eastAsia="宋体" w:cs="宋体"/>
                <w:bCs w:val="0"/>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高清电子胃肠镜</w:t>
            </w:r>
          </w:p>
        </w:tc>
        <w:tc>
          <w:tcPr>
            <w:tcW w:w="5011" w:type="dxa"/>
            <w:vAlign w:val="center"/>
          </w:tcPr>
          <w:p w14:paraId="5581B616">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图像处理装置</w:t>
            </w:r>
          </w:p>
          <w:p w14:paraId="706E0187">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▲1、整体设计要求：光源主机一体式设计，触控面板。</w:t>
            </w:r>
          </w:p>
          <w:p w14:paraId="2618AA3E">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▲2、光源≥5色LED，为内镜提供真实的色彩还原。</w:t>
            </w:r>
          </w:p>
          <w:p w14:paraId="1AC303AF">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3、测光模式：</w:t>
            </w:r>
          </w:p>
          <w:p w14:paraId="48C54009">
            <w:pPr>
              <w:spacing w:afterLines="0" w:line="288"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（1）自动测光：根据中央部分最亮处和外围部分的平均亮度处进行调节；</w:t>
            </w:r>
          </w:p>
          <w:p w14:paraId="630836C0">
            <w:pPr>
              <w:spacing w:afterLines="0" w:line="288"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（2）峰值测光：根据内镜图像的最亮处调节；</w:t>
            </w:r>
          </w:p>
          <w:p w14:paraId="39715360">
            <w:pPr>
              <w:spacing w:afterLines="0" w:line="288"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（3）平均测光：根据内镜图像的平均亮度处进行调节。</w:t>
            </w:r>
          </w:p>
          <w:p w14:paraId="4ACCD42E">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4、冻结模式：冻结内镜图像。</w:t>
            </w:r>
          </w:p>
          <w:p w14:paraId="4E1491B5">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5、预冻结模式：在冻结操作和显示前的设置时间段里捕抓到的图像中选择模糊度最低的图像。</w:t>
            </w:r>
          </w:p>
          <w:p w14:paraId="5211E05D">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6、信号输出：可选择SDI(12G-SDI、3G-SDI、HD-SDI或SD-SDI)、等端口，图像锐化、清晰可将毛细血管和细微的黏膜结构准确清晰的显示出来。</w:t>
            </w:r>
          </w:p>
          <w:p w14:paraId="0E5424B8">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7、具备窄波成像技术，可处理两种窄波光得到的图像。两种特殊光可穿透黏膜表层，显示表浅血管和粘膜下层内血管，得到白光下无法发现的细微病变。</w:t>
            </w:r>
          </w:p>
          <w:p w14:paraId="71A7474B">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▲8、具备特殊光成像技术：提高深层血管和出血点的可视性，辅助高效ESD操作。</w:t>
            </w:r>
          </w:p>
          <w:p w14:paraId="27E20F8C">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9、具备构造和色彩强调成像技术：联合强调粘膜表面的结构、色调和亮度，得到白光下粘膜纹理更清晰更容易观察病变。</w:t>
            </w:r>
          </w:p>
          <w:p w14:paraId="11C0FD1F">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10、具备保持对比度的亮度成像技术：提高较暗部分的亮度，利于观察深层腔体结构。</w:t>
            </w:r>
          </w:p>
          <w:p w14:paraId="4E824D42">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11、内镜图像大小可选择。</w:t>
            </w:r>
          </w:p>
          <w:p w14:paraId="603A43CC">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12、观察模式支持16:9和4:3的纵横比切换。</w:t>
            </w:r>
          </w:p>
          <w:p w14:paraId="0BB07E9F">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13、可以远程遥控控制录像机、打印机和图像归档系统等。</w:t>
            </w:r>
          </w:p>
          <w:p w14:paraId="70E7D404">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14、储存记忆功能：即使图像处理装置关闭后，设置也会被保存在内存中。</w:t>
            </w:r>
          </w:p>
          <w:p w14:paraId="1565A759">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15、用户设定，至少可以录入15个用户。</w:t>
            </w:r>
          </w:p>
          <w:p w14:paraId="6D3DEA21">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16、患者数据预录入：可在术前输入不少于45名患者的数据。</w:t>
            </w:r>
          </w:p>
          <w:p w14:paraId="70A23411">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17、可兼容便携式存储器，并可连接及上传数据，可以直接记录高清格式的内镜图片。</w:t>
            </w:r>
          </w:p>
          <w:p w14:paraId="6390D181">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18、色调调节可以进行红色、蓝色、色度三种调节，各有±8挡可选择。</w:t>
            </w:r>
          </w:p>
          <w:p w14:paraId="6BFD3BC7">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19、自动增益功能：因内镜先端部距离目标较远而使光线不足时，图像信号可以自动增强。</w:t>
            </w:r>
          </w:p>
          <w:p w14:paraId="75FB7893">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20、可实现画中画功能，有效辅助观察。</w:t>
            </w:r>
          </w:p>
          <w:p w14:paraId="2A072B70">
            <w:pPr>
              <w:spacing w:afterLines="0" w:line="288"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21、可兼容同品牌系列的支气管镜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胃镜、肠镜、超声内镜等。</w:t>
            </w:r>
          </w:p>
          <w:p w14:paraId="3BD8D4C7">
            <w:pPr>
              <w:spacing w:afterLines="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二、电子上消化道内窥镜</w:t>
            </w:r>
          </w:p>
          <w:p w14:paraId="5DEBC487">
            <w:pPr>
              <w:spacing w:afterLines="0"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1、视野角度≥130°</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171EEE8">
            <w:pPr>
              <w:spacing w:afterLines="0"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2、景深：正常模式3-100mm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2CE9D2">
            <w:pPr>
              <w:spacing w:afterLines="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▲3、先端部外径 ≤10.0mm；插入部外径 ≤9.9mm；弯曲部角度：上≥210度、下≥90度；左≥100度、右≥100度；钳子管道内径≥2.8mm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6C01009">
            <w:pPr>
              <w:spacing w:afterLines="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4、内镜信息记忆：内置记忆芯片，可存储相关参数及白平衡信息，可提示器械伸出方向。</w:t>
            </w:r>
          </w:p>
          <w:p w14:paraId="6A446E61">
            <w:pPr>
              <w:spacing w:afterLines="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▲5、最小可视距离≤3mm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8D4EE65">
            <w:pPr>
              <w:spacing w:afterLines="0"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6、具备副送水功能：内镜具备副送水管道（非附件管道），能连接内镜专用送水泵，可有效冲洗粘膜表面保持诊疗过程中消化道视野清洗。 </w:t>
            </w:r>
          </w:p>
          <w:p w14:paraId="4AE28677">
            <w:pPr>
              <w:spacing w:after="0" w:afterLines="0" w:line="288"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三、电子结肠内窥镜 </w:t>
            </w:r>
          </w:p>
          <w:p w14:paraId="19F7617E">
            <w:pPr>
              <w:pStyle w:val="33"/>
              <w:widowControl/>
              <w:spacing w:before="0" w:beforeAutospacing="0" w:after="0" w:afterLines="0" w:afterAutospacing="0"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1、硬度可调功能：操作医生可根据个人爱好调整插入部的硬度，根据临床中的情况可调整必要的硬度等，应对不同术者、患者、检查场景进行插入</w:t>
            </w:r>
            <w:r>
              <w:rPr>
                <w:rFonts w:hint="eastAsia" w:ascii="宋体" w:eastAsia="宋体" w:cs="宋体"/>
                <w:color w:val="000000" w:themeColor="text1"/>
                <w:sz w:val="21"/>
                <w:szCs w:val="21"/>
                <w:highlight w:val="none"/>
                <w:lang w:eastAsia="zh-CN"/>
                <w14:textFill>
                  <w14:solidFill>
                    <w14:schemeClr w14:val="tx1"/>
                  </w14:solidFill>
                </w14:textFill>
              </w:rPr>
              <w:t>。</w:t>
            </w:r>
          </w:p>
          <w:p w14:paraId="26648813">
            <w:pPr>
              <w:pStyle w:val="33"/>
              <w:widowControl/>
              <w:spacing w:before="0" w:beforeAutospacing="0" w:after="0" w:afterLines="0" w:afterAutospacing="0" w:line="288"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2、具备智能弯曲技术：当内镜插入遇到阻力时，可利用压力使插入管自动弯曲以调节适应结肠的轮廓，降低了病人的不适和穿孔的危险。</w:t>
            </w:r>
          </w:p>
          <w:p w14:paraId="534ED9BF">
            <w:pPr>
              <w:pStyle w:val="33"/>
              <w:widowControl/>
              <w:spacing w:before="0" w:beforeAutospacing="0" w:after="0" w:afterLines="0" w:afterAutospacing="0" w:line="288"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3、具备强力传导技术：可以让操作者更有效的控制插入、拉出和扭转动作。</w:t>
            </w:r>
          </w:p>
          <w:p w14:paraId="6FB77AAB">
            <w:pPr>
              <w:pStyle w:val="33"/>
              <w:widowControl/>
              <w:spacing w:before="0" w:beforeAutospacing="0" w:after="0" w:afterLines="0" w:afterAutospacing="0" w:line="288"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4、带副送水功能，能够有效冲洗粘膜表层粘液和血块，有利于微小病变的发现，避免漏诊。同时及时发现出血点，进行迅速止血。</w:t>
            </w:r>
          </w:p>
          <w:p w14:paraId="11BCDB71">
            <w:pPr>
              <w:pStyle w:val="33"/>
              <w:widowControl/>
              <w:shd w:val="clear" w:color="auto" w:fill="FFFFFF"/>
              <w:snapToGrid w:val="0"/>
              <w:spacing w:before="0" w:beforeAutospacing="0" w:after="0" w:afterLines="0" w:afterAutospacing="0"/>
              <w:ind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5、能兼容高频电、氩气刀等治疗设备</w:t>
            </w:r>
            <w:r>
              <w:rPr>
                <w:rFonts w:hint="eastAsia" w:ascii="宋体" w:eastAsia="宋体" w:cs="宋体"/>
                <w:color w:val="000000" w:themeColor="text1"/>
                <w:sz w:val="21"/>
                <w:szCs w:val="21"/>
                <w:highlight w:val="none"/>
                <w:lang w:eastAsia="zh-CN"/>
                <w14:textFill>
                  <w14:solidFill>
                    <w14:schemeClr w14:val="tx1"/>
                  </w14:solidFill>
                </w14:textFill>
              </w:rPr>
              <w:t>。</w:t>
            </w:r>
          </w:p>
          <w:p w14:paraId="7507028E">
            <w:pPr>
              <w:spacing w:afterLines="0" w:line="288"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高清晰度液晶监视器</w:t>
            </w:r>
          </w:p>
          <w:p w14:paraId="2105AD94">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液晶面板不小于31寸，可与全数字信号兼容，提供稳定、无闪烁的超高清晰图像</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23A2FA4D">
            <w:pPr>
              <w:numPr>
                <w:ilvl w:val="0"/>
                <w:numId w:val="0"/>
              </w:numPr>
              <w:spacing w:afterLines="0" w:line="288" w:lineRule="auto"/>
              <w:ind w:left="0"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输入/输出信号</w:t>
            </w:r>
          </w:p>
          <w:p w14:paraId="1C46ED59">
            <w:pPr>
              <w:numPr>
                <w:ilvl w:val="1"/>
                <w:numId w:val="0"/>
              </w:numPr>
              <w:spacing w:afterLines="0" w:line="288" w:lineRule="auto"/>
              <w:ind w:left="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4K端口：输入端口具有12G-SDI输入端口、Display Port、HDMI信号接口；输出端口具有12G-SDI输出端口；</w:t>
            </w:r>
          </w:p>
          <w:p w14:paraId="43AF9EC1">
            <w:pPr>
              <w:numPr>
                <w:ilvl w:val="1"/>
                <w:numId w:val="0"/>
              </w:numPr>
              <w:spacing w:afterLines="0" w:line="288" w:lineRule="auto"/>
              <w:ind w:left="0"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2K端口：输入端口具有3G-SDI输入端口、DVI-D端口； 输出具备3G-SDI端口</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9449B64">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视野角度：</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不小于</w:t>
            </w:r>
            <w:r>
              <w:rPr>
                <w:rFonts w:hint="eastAsia" w:ascii="宋体" w:hAnsi="宋体" w:eastAsia="宋体" w:cs="宋体"/>
                <w:bCs/>
                <w:color w:val="000000" w:themeColor="text1"/>
                <w:sz w:val="21"/>
                <w:szCs w:val="21"/>
                <w:highlight w:val="none"/>
                <w14:textFill>
                  <w14:solidFill>
                    <w14:schemeClr w14:val="tx1"/>
                  </w14:solidFill>
                </w14:textFill>
              </w:rPr>
              <w:t>178度（垂直和水平）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23AF225A">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翻转模式：旋转</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B7B2F81">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分辨率/长宽比：3840X2160像素 /16：9</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E0963B8">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对比度：1000:1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81C1D43">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色域：BT.2020/BT.709</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5EE9995">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8</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色量：10.7亿</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BFE21AC">
            <w:pPr>
              <w:numPr>
                <w:ilvl w:val="0"/>
                <w:numId w:val="0"/>
              </w:numPr>
              <w:spacing w:afterLines="0" w:line="288" w:lineRule="auto"/>
              <w:ind w:left="0" w:firstLine="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en-US" w:bidi="ar-SA"/>
                <w14:textFill>
                  <w14:solidFill>
                    <w14:schemeClr w14:val="tx1"/>
                  </w14:solidFill>
                </w14:textFill>
              </w:rPr>
              <w:t>9</w:t>
            </w: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背光源：LED</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E0932A6">
            <w:pPr>
              <w:spacing w:afterLines="0" w:line="288"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台车套组</w:t>
            </w:r>
          </w:p>
          <w:p w14:paraId="43F6A8DD">
            <w:pPr>
              <w:numPr>
                <w:ilvl w:val="0"/>
                <w:numId w:val="0"/>
              </w:numPr>
              <w:spacing w:afterLines="0" w:line="288" w:lineRule="auto"/>
              <w:ind w:left="0"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上下左右可旋式支架，方便固定固定液晶显示器，方便操作者不同角度观察图像。</w:t>
            </w:r>
          </w:p>
          <w:p w14:paraId="0B43AAF8">
            <w:pPr>
              <w:numPr>
                <w:ilvl w:val="0"/>
                <w:numId w:val="0"/>
              </w:numPr>
              <w:spacing w:afterLines="0" w:line="288" w:lineRule="auto"/>
              <w:ind w:left="0"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可升降支架，可同时悬挂两根镜子。</w:t>
            </w:r>
          </w:p>
          <w:p w14:paraId="7F421D39">
            <w:pPr>
              <w:numPr>
                <w:ilvl w:val="0"/>
                <w:numId w:val="0"/>
              </w:numPr>
              <w:spacing w:afterLines="0" w:line="288" w:lineRule="auto"/>
              <w:ind w:left="0"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可调节底板，随时调整主机放置高度，以便配合周边设备同时配置。</w:t>
            </w:r>
          </w:p>
          <w:p w14:paraId="2A877372">
            <w:pPr>
              <w:numPr>
                <w:ilvl w:val="0"/>
                <w:numId w:val="0"/>
              </w:numPr>
              <w:spacing w:afterLines="0" w:line="288" w:lineRule="auto"/>
              <w:ind w:left="0" w:firstLine="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en-US" w:bidi="ar-SA"/>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可拉伸键盘托盘，方便医生不同角度操作。光滑防水设计,键盘面无接缝,符合医院的卫生要求</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AEC66E7">
            <w:pPr>
              <w:spacing w:afterLines="0" w:line="288" w:lineRule="auto"/>
              <w:jc w:val="left"/>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内置式电源，保证人身安全。</w:t>
            </w:r>
          </w:p>
          <w:p w14:paraId="6322B7DF">
            <w:pPr>
              <w:spacing w:afterLines="0" w:line="288" w:lineRule="auto"/>
              <w:jc w:val="left"/>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六、</w:t>
            </w:r>
            <w:r>
              <w:rPr>
                <w:rFonts w:hint="eastAsia" w:ascii="宋体" w:hAnsi="宋体" w:eastAsia="宋体" w:cs="宋体"/>
                <w:b/>
                <w:bCs/>
                <w:color w:val="000000" w:themeColor="text1"/>
                <w:sz w:val="21"/>
                <w:szCs w:val="21"/>
                <w:highlight w:val="none"/>
                <w:lang w:bidi="ar"/>
                <w14:textFill>
                  <w14:solidFill>
                    <w14:schemeClr w14:val="tx1"/>
                  </w14:solidFill>
                </w14:textFill>
              </w:rPr>
              <w:t>配置清单</w:t>
            </w:r>
          </w:p>
          <w:tbl>
            <w:tblPr>
              <w:tblStyle w:val="38"/>
              <w:tblW w:w="4578" w:type="dxa"/>
              <w:tblInd w:w="118" w:type="dxa"/>
              <w:tblLayout w:type="fixed"/>
              <w:tblCellMar>
                <w:top w:w="0" w:type="dxa"/>
                <w:left w:w="108" w:type="dxa"/>
                <w:bottom w:w="0" w:type="dxa"/>
                <w:right w:w="108" w:type="dxa"/>
              </w:tblCellMar>
            </w:tblPr>
            <w:tblGrid>
              <w:gridCol w:w="976"/>
              <w:gridCol w:w="2341"/>
              <w:gridCol w:w="1261"/>
            </w:tblGrid>
            <w:tr w14:paraId="389E0E2F">
              <w:tblPrEx>
                <w:tblCellMar>
                  <w:top w:w="0" w:type="dxa"/>
                  <w:left w:w="108" w:type="dxa"/>
                  <w:bottom w:w="0" w:type="dxa"/>
                  <w:right w:w="108" w:type="dxa"/>
                </w:tblCellMar>
              </w:tblPrEx>
              <w:trPr>
                <w:trHeight w:val="322" w:hRule="atLeast"/>
              </w:trPr>
              <w:tc>
                <w:tcPr>
                  <w:tcW w:w="976" w:type="dxa"/>
                  <w:tcBorders>
                    <w:top w:val="single" w:color="auto" w:sz="8" w:space="0"/>
                    <w:left w:val="single" w:color="auto" w:sz="8" w:space="0"/>
                    <w:bottom w:val="single" w:color="auto" w:sz="8" w:space="0"/>
                    <w:right w:val="single" w:color="auto" w:sz="8" w:space="0"/>
                  </w:tcBorders>
                  <w:vAlign w:val="center"/>
                </w:tcPr>
                <w:p w14:paraId="5B44026D">
                  <w:pPr>
                    <w:widowControl/>
                    <w:spacing w:afterLines="0" w:line="288" w:lineRule="auto"/>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2341" w:type="dxa"/>
                  <w:tcBorders>
                    <w:top w:val="single" w:color="auto" w:sz="8" w:space="0"/>
                    <w:left w:val="nil"/>
                    <w:bottom w:val="single" w:color="auto" w:sz="8" w:space="0"/>
                    <w:right w:val="single" w:color="auto" w:sz="8" w:space="0"/>
                  </w:tcBorders>
                  <w:vAlign w:val="center"/>
                </w:tcPr>
                <w:p w14:paraId="765F3EB3">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1261" w:type="dxa"/>
                  <w:tcBorders>
                    <w:top w:val="single" w:color="auto" w:sz="8" w:space="0"/>
                    <w:left w:val="nil"/>
                    <w:bottom w:val="single" w:color="auto" w:sz="8" w:space="0"/>
                    <w:right w:val="single" w:color="auto" w:sz="8" w:space="0"/>
                  </w:tcBorders>
                  <w:vAlign w:val="center"/>
                </w:tcPr>
                <w:p w14:paraId="46B45A93">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14:paraId="7156F22A">
              <w:tblPrEx>
                <w:tblCellMar>
                  <w:top w:w="0" w:type="dxa"/>
                  <w:left w:w="108" w:type="dxa"/>
                  <w:bottom w:w="0" w:type="dxa"/>
                  <w:right w:w="108" w:type="dxa"/>
                </w:tblCellMar>
              </w:tblPrEx>
              <w:trPr>
                <w:trHeight w:val="360" w:hRule="atLeast"/>
              </w:trPr>
              <w:tc>
                <w:tcPr>
                  <w:tcW w:w="976" w:type="dxa"/>
                  <w:tcBorders>
                    <w:top w:val="nil"/>
                    <w:left w:val="single" w:color="auto" w:sz="8" w:space="0"/>
                    <w:bottom w:val="single" w:color="auto" w:sz="8" w:space="0"/>
                    <w:right w:val="single" w:color="auto" w:sz="8" w:space="0"/>
                  </w:tcBorders>
                  <w:vAlign w:val="center"/>
                </w:tcPr>
                <w:p w14:paraId="5BE48AA7">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c>
                <w:tcPr>
                  <w:tcW w:w="2341" w:type="dxa"/>
                  <w:tcBorders>
                    <w:top w:val="nil"/>
                    <w:left w:val="nil"/>
                    <w:bottom w:val="single" w:color="auto" w:sz="8" w:space="0"/>
                    <w:right w:val="single" w:color="auto" w:sz="8" w:space="0"/>
                  </w:tcBorders>
                  <w:vAlign w:val="center"/>
                </w:tcPr>
                <w:p w14:paraId="261A978C">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图像处理装置</w:t>
                  </w:r>
                </w:p>
              </w:tc>
              <w:tc>
                <w:tcPr>
                  <w:tcW w:w="1261" w:type="dxa"/>
                  <w:tcBorders>
                    <w:top w:val="nil"/>
                    <w:left w:val="nil"/>
                    <w:bottom w:val="single" w:color="auto" w:sz="8" w:space="0"/>
                    <w:right w:val="single" w:color="auto" w:sz="8" w:space="0"/>
                  </w:tcBorders>
                  <w:vAlign w:val="center"/>
                </w:tcPr>
                <w:p w14:paraId="3F48587C">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2AC78ED0">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2AC6DBC1">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w:t>
                  </w:r>
                </w:p>
              </w:tc>
              <w:tc>
                <w:tcPr>
                  <w:tcW w:w="2341" w:type="dxa"/>
                  <w:tcBorders>
                    <w:top w:val="nil"/>
                    <w:left w:val="nil"/>
                    <w:bottom w:val="single" w:color="auto" w:sz="8" w:space="0"/>
                    <w:right w:val="single" w:color="auto" w:sz="8" w:space="0"/>
                  </w:tcBorders>
                  <w:vAlign w:val="center"/>
                </w:tcPr>
                <w:p w14:paraId="53151057">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电子上消化道内窥镜</w:t>
                  </w:r>
                </w:p>
              </w:tc>
              <w:tc>
                <w:tcPr>
                  <w:tcW w:w="1261" w:type="dxa"/>
                  <w:tcBorders>
                    <w:top w:val="nil"/>
                    <w:left w:val="nil"/>
                    <w:bottom w:val="single" w:color="auto" w:sz="8" w:space="0"/>
                    <w:right w:val="single" w:color="auto" w:sz="8" w:space="0"/>
                  </w:tcBorders>
                  <w:vAlign w:val="center"/>
                </w:tcPr>
                <w:p w14:paraId="389AD938">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w:t>
                  </w:r>
                </w:p>
              </w:tc>
            </w:tr>
            <w:tr w14:paraId="058E2EAD">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4711254A">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w:t>
                  </w:r>
                </w:p>
              </w:tc>
              <w:tc>
                <w:tcPr>
                  <w:tcW w:w="2341" w:type="dxa"/>
                  <w:tcBorders>
                    <w:top w:val="nil"/>
                    <w:left w:val="nil"/>
                    <w:bottom w:val="single" w:color="auto" w:sz="8" w:space="0"/>
                    <w:right w:val="single" w:color="auto" w:sz="8" w:space="0"/>
                  </w:tcBorders>
                  <w:vAlign w:val="center"/>
                </w:tcPr>
                <w:p w14:paraId="6D521048">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电子结肠内窥镜</w:t>
                  </w:r>
                </w:p>
              </w:tc>
              <w:tc>
                <w:tcPr>
                  <w:tcW w:w="1261" w:type="dxa"/>
                  <w:tcBorders>
                    <w:top w:val="nil"/>
                    <w:left w:val="nil"/>
                    <w:bottom w:val="single" w:color="auto" w:sz="8" w:space="0"/>
                    <w:right w:val="single" w:color="auto" w:sz="8" w:space="0"/>
                  </w:tcBorders>
                  <w:vAlign w:val="center"/>
                </w:tcPr>
                <w:p w14:paraId="37F23F0A">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w:t>
                  </w:r>
                </w:p>
              </w:tc>
            </w:tr>
            <w:tr w14:paraId="14DC10A6">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17C59021">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w:t>
                  </w:r>
                </w:p>
              </w:tc>
              <w:tc>
                <w:tcPr>
                  <w:tcW w:w="2341" w:type="dxa"/>
                  <w:tcBorders>
                    <w:top w:val="nil"/>
                    <w:left w:val="nil"/>
                    <w:bottom w:val="single" w:color="auto" w:sz="8" w:space="0"/>
                    <w:right w:val="single" w:color="auto" w:sz="8" w:space="0"/>
                  </w:tcBorders>
                  <w:vAlign w:val="center"/>
                </w:tcPr>
                <w:p w14:paraId="6F0D32DA">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维护保养装置</w:t>
                  </w:r>
                </w:p>
              </w:tc>
              <w:tc>
                <w:tcPr>
                  <w:tcW w:w="1261" w:type="dxa"/>
                  <w:tcBorders>
                    <w:top w:val="nil"/>
                    <w:left w:val="nil"/>
                    <w:bottom w:val="single" w:color="auto" w:sz="8" w:space="0"/>
                    <w:right w:val="single" w:color="auto" w:sz="8" w:space="0"/>
                  </w:tcBorders>
                  <w:vAlign w:val="center"/>
                </w:tcPr>
                <w:p w14:paraId="722749B4">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2D40A7EB">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365B43DB">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5</w:t>
                  </w:r>
                </w:p>
              </w:tc>
              <w:tc>
                <w:tcPr>
                  <w:tcW w:w="2341" w:type="dxa"/>
                  <w:tcBorders>
                    <w:top w:val="nil"/>
                    <w:left w:val="nil"/>
                    <w:bottom w:val="single" w:color="auto" w:sz="8" w:space="0"/>
                    <w:right w:val="single" w:color="auto" w:sz="8" w:space="0"/>
                  </w:tcBorders>
                  <w:vAlign w:val="center"/>
                </w:tcPr>
                <w:p w14:paraId="60AEF74E">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侧漏器</w:t>
                  </w:r>
                </w:p>
              </w:tc>
              <w:tc>
                <w:tcPr>
                  <w:tcW w:w="1261" w:type="dxa"/>
                  <w:tcBorders>
                    <w:top w:val="nil"/>
                    <w:left w:val="nil"/>
                    <w:bottom w:val="single" w:color="auto" w:sz="8" w:space="0"/>
                    <w:right w:val="single" w:color="auto" w:sz="8" w:space="0"/>
                  </w:tcBorders>
                  <w:vAlign w:val="center"/>
                </w:tcPr>
                <w:p w14:paraId="56B33AAB">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469151D9">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65B8056F">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6</w:t>
                  </w:r>
                </w:p>
              </w:tc>
              <w:tc>
                <w:tcPr>
                  <w:tcW w:w="2341" w:type="dxa"/>
                  <w:tcBorders>
                    <w:top w:val="nil"/>
                    <w:left w:val="nil"/>
                    <w:bottom w:val="single" w:color="auto" w:sz="8" w:space="0"/>
                    <w:right w:val="single" w:color="auto" w:sz="8" w:space="0"/>
                  </w:tcBorders>
                  <w:vAlign w:val="center"/>
                </w:tcPr>
                <w:p w14:paraId="18397336">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高清晰度液晶监视</w:t>
                  </w:r>
                </w:p>
              </w:tc>
              <w:tc>
                <w:tcPr>
                  <w:tcW w:w="1261" w:type="dxa"/>
                  <w:tcBorders>
                    <w:top w:val="nil"/>
                    <w:left w:val="nil"/>
                    <w:bottom w:val="single" w:color="auto" w:sz="8" w:space="0"/>
                    <w:right w:val="single" w:color="auto" w:sz="8" w:space="0"/>
                  </w:tcBorders>
                  <w:vAlign w:val="center"/>
                </w:tcPr>
                <w:p w14:paraId="09DA9FC3">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53755E37">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1DA2B77D">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7</w:t>
                  </w:r>
                </w:p>
              </w:tc>
              <w:tc>
                <w:tcPr>
                  <w:tcW w:w="2341" w:type="dxa"/>
                  <w:tcBorders>
                    <w:top w:val="nil"/>
                    <w:left w:val="nil"/>
                    <w:bottom w:val="single" w:color="auto" w:sz="8" w:space="0"/>
                    <w:right w:val="single" w:color="auto" w:sz="8" w:space="0"/>
                  </w:tcBorders>
                  <w:vAlign w:val="center"/>
                </w:tcPr>
                <w:p w14:paraId="0C0F8E25">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内窥镜用送水装置</w:t>
                  </w:r>
                </w:p>
              </w:tc>
              <w:tc>
                <w:tcPr>
                  <w:tcW w:w="1261" w:type="dxa"/>
                  <w:tcBorders>
                    <w:top w:val="nil"/>
                    <w:left w:val="nil"/>
                    <w:bottom w:val="single" w:color="auto" w:sz="8" w:space="0"/>
                    <w:right w:val="single" w:color="auto" w:sz="8" w:space="0"/>
                  </w:tcBorders>
                  <w:vAlign w:val="center"/>
                </w:tcPr>
                <w:p w14:paraId="10C1791E">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58505E99">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10B50118">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8</w:t>
                  </w:r>
                </w:p>
              </w:tc>
              <w:tc>
                <w:tcPr>
                  <w:tcW w:w="2341" w:type="dxa"/>
                  <w:tcBorders>
                    <w:top w:val="nil"/>
                    <w:left w:val="nil"/>
                    <w:bottom w:val="single" w:color="auto" w:sz="8" w:space="0"/>
                    <w:right w:val="single" w:color="auto" w:sz="8" w:space="0"/>
                  </w:tcBorders>
                  <w:vAlign w:val="center"/>
                </w:tcPr>
                <w:p w14:paraId="3E3229F1">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二氧化碳送气装置</w:t>
                  </w:r>
                </w:p>
              </w:tc>
              <w:tc>
                <w:tcPr>
                  <w:tcW w:w="1261" w:type="dxa"/>
                  <w:tcBorders>
                    <w:top w:val="nil"/>
                    <w:left w:val="nil"/>
                    <w:bottom w:val="single" w:color="auto" w:sz="8" w:space="0"/>
                    <w:right w:val="single" w:color="auto" w:sz="8" w:space="0"/>
                  </w:tcBorders>
                  <w:vAlign w:val="center"/>
                </w:tcPr>
                <w:p w14:paraId="45BF2C79">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01EA8BA6">
              <w:tblPrEx>
                <w:tblCellMar>
                  <w:top w:w="0" w:type="dxa"/>
                  <w:left w:w="108" w:type="dxa"/>
                  <w:bottom w:w="0" w:type="dxa"/>
                  <w:right w:w="108" w:type="dxa"/>
                </w:tblCellMar>
              </w:tblPrEx>
              <w:trPr>
                <w:trHeight w:val="321" w:hRule="atLeast"/>
              </w:trPr>
              <w:tc>
                <w:tcPr>
                  <w:tcW w:w="976" w:type="dxa"/>
                  <w:tcBorders>
                    <w:top w:val="nil"/>
                    <w:left w:val="single" w:color="auto" w:sz="8" w:space="0"/>
                    <w:bottom w:val="single" w:color="auto" w:sz="8" w:space="0"/>
                    <w:right w:val="single" w:color="auto" w:sz="8" w:space="0"/>
                  </w:tcBorders>
                  <w:vAlign w:val="center"/>
                </w:tcPr>
                <w:p w14:paraId="319DC473">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9</w:t>
                  </w:r>
                </w:p>
              </w:tc>
              <w:tc>
                <w:tcPr>
                  <w:tcW w:w="2341" w:type="dxa"/>
                  <w:tcBorders>
                    <w:top w:val="nil"/>
                    <w:left w:val="nil"/>
                    <w:bottom w:val="single" w:color="auto" w:sz="8" w:space="0"/>
                    <w:right w:val="single" w:color="auto" w:sz="8" w:space="0"/>
                  </w:tcBorders>
                  <w:vAlign w:val="center"/>
                </w:tcPr>
                <w:p w14:paraId="3BD51ED9">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台车</w:t>
                  </w:r>
                </w:p>
              </w:tc>
              <w:tc>
                <w:tcPr>
                  <w:tcW w:w="1261" w:type="dxa"/>
                  <w:tcBorders>
                    <w:top w:val="nil"/>
                    <w:left w:val="nil"/>
                    <w:bottom w:val="single" w:color="auto" w:sz="8" w:space="0"/>
                    <w:right w:val="single" w:color="auto" w:sz="8" w:space="0"/>
                  </w:tcBorders>
                  <w:vAlign w:val="center"/>
                </w:tcPr>
                <w:p w14:paraId="3EADAF5F">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r w14:paraId="67462965">
              <w:tblPrEx>
                <w:tblCellMar>
                  <w:top w:w="0" w:type="dxa"/>
                  <w:left w:w="108" w:type="dxa"/>
                  <w:bottom w:w="0" w:type="dxa"/>
                  <w:right w:w="108" w:type="dxa"/>
                </w:tblCellMar>
              </w:tblPrEx>
              <w:trPr>
                <w:trHeight w:val="341" w:hRule="atLeast"/>
              </w:trPr>
              <w:tc>
                <w:tcPr>
                  <w:tcW w:w="976" w:type="dxa"/>
                  <w:tcBorders>
                    <w:top w:val="nil"/>
                    <w:left w:val="single" w:color="auto" w:sz="8" w:space="0"/>
                    <w:bottom w:val="single" w:color="auto" w:sz="8" w:space="0"/>
                    <w:right w:val="single" w:color="auto" w:sz="8" w:space="0"/>
                  </w:tcBorders>
                  <w:vAlign w:val="center"/>
                </w:tcPr>
                <w:p w14:paraId="346F1ACF">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w:t>
                  </w:r>
                </w:p>
              </w:tc>
              <w:tc>
                <w:tcPr>
                  <w:tcW w:w="2341" w:type="dxa"/>
                  <w:tcBorders>
                    <w:top w:val="nil"/>
                    <w:left w:val="nil"/>
                    <w:bottom w:val="single" w:color="auto" w:sz="8" w:space="0"/>
                    <w:right w:val="single" w:color="auto" w:sz="8" w:space="0"/>
                  </w:tcBorders>
                  <w:vAlign w:val="center"/>
                </w:tcPr>
                <w:p w14:paraId="507FBCCA">
                  <w:pPr>
                    <w:widowControl/>
                    <w:spacing w:afterLines="0" w:line="288" w:lineRule="auto"/>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图文工作站</w:t>
                  </w:r>
                </w:p>
              </w:tc>
              <w:tc>
                <w:tcPr>
                  <w:tcW w:w="1261" w:type="dxa"/>
                  <w:tcBorders>
                    <w:top w:val="nil"/>
                    <w:left w:val="nil"/>
                    <w:bottom w:val="single" w:color="auto" w:sz="8" w:space="0"/>
                    <w:right w:val="single" w:color="auto" w:sz="8" w:space="0"/>
                  </w:tcBorders>
                  <w:vAlign w:val="center"/>
                </w:tcPr>
                <w:p w14:paraId="15110736">
                  <w:pPr>
                    <w:widowControl/>
                    <w:spacing w:afterLines="0" w:line="288"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w:t>
                  </w:r>
                </w:p>
              </w:tc>
            </w:tr>
          </w:tbl>
          <w:p w14:paraId="6583CBC4">
            <w:pPr>
              <w:spacing w:afterLines="0" w:line="288" w:lineRule="auto"/>
              <w:jc w:val="left"/>
              <w:rPr>
                <w:rStyle w:val="65"/>
                <w:rFonts w:hint="eastAsia" w:ascii="宋体" w:hAnsi="宋体" w:eastAsia="宋体" w:cs="宋体"/>
                <w:bCs/>
                <w:color w:val="000000" w:themeColor="text1"/>
                <w:sz w:val="21"/>
                <w:szCs w:val="21"/>
                <w:highlight w:val="none"/>
                <w:lang w:eastAsia="zh-CN" w:bidi="ar"/>
                <w14:textFill>
                  <w14:solidFill>
                    <w14:schemeClr w14:val="tx1"/>
                  </w14:solidFill>
                </w14:textFill>
              </w:rPr>
            </w:pPr>
          </w:p>
        </w:tc>
        <w:tc>
          <w:tcPr>
            <w:tcW w:w="674" w:type="dxa"/>
            <w:vAlign w:val="center"/>
          </w:tcPr>
          <w:p w14:paraId="39399A0A">
            <w:pPr>
              <w:wordWrap w:val="0"/>
              <w:topLinePunct/>
              <w:spacing w:line="288" w:lineRule="auto"/>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647" w:type="dxa"/>
            <w:vAlign w:val="center"/>
          </w:tcPr>
          <w:p w14:paraId="1E6A4DC1">
            <w:pPr>
              <w:wordWrap w:val="0"/>
              <w:topLinePunct/>
              <w:spacing w:line="288" w:lineRule="auto"/>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套</w:t>
            </w:r>
          </w:p>
        </w:tc>
        <w:tc>
          <w:tcPr>
            <w:tcW w:w="1094" w:type="dxa"/>
            <w:vAlign w:val="center"/>
          </w:tcPr>
          <w:p w14:paraId="3D49DBD7">
            <w:pPr>
              <w:wordWrap w:val="0"/>
              <w:topLinePunct/>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工业</w:t>
            </w:r>
          </w:p>
        </w:tc>
        <w:tc>
          <w:tcPr>
            <w:tcW w:w="1011" w:type="dxa"/>
            <w:vAlign w:val="center"/>
          </w:tcPr>
          <w:p w14:paraId="7C175A0F">
            <w:pPr>
              <w:wordWrap w:val="0"/>
              <w:topLinePunct/>
              <w:spacing w:line="288" w:lineRule="auto"/>
              <w:ind w:firstLine="211" w:firstLineChars="100"/>
              <w:jc w:val="both"/>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350</w:t>
            </w:r>
          </w:p>
        </w:tc>
      </w:tr>
      <w:tr w14:paraId="2292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423" w:type="dxa"/>
            <w:gridSpan w:val="7"/>
            <w:vAlign w:val="center"/>
          </w:tcPr>
          <w:p w14:paraId="70974543">
            <w:pPr>
              <w:wordWrap w:val="0"/>
              <w:topLinePunct/>
              <w:spacing w:line="288" w:lineRule="auto"/>
              <w:ind w:firstLine="211" w:firstLineChars="10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商务要求</w:t>
            </w:r>
          </w:p>
        </w:tc>
      </w:tr>
      <w:tr w14:paraId="2075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75055527">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（一）声明</w:t>
            </w:r>
          </w:p>
        </w:tc>
        <w:tc>
          <w:tcPr>
            <w:tcW w:w="8437" w:type="dxa"/>
            <w:gridSpan w:val="5"/>
            <w:vAlign w:val="center"/>
          </w:tcPr>
          <w:p w14:paraId="588E8713">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对投标文件内容所涉及的专利、专有技术承担法律责任，并负责保护采购人的利益不受任何损害。一切由于文字、商标、技术和软件专利授权引起的法律裁决、诉讼和赔偿费用均由成交供应商负责。同时，具有产品专利、专有技术的投标人应在其投标文件中提供与其自有产品专利、专有技术相关的有效证明材料，否则，不能就其产品的专利、专有技术在本项目采购过程中被侵权问题而提出异议。</w:t>
            </w:r>
          </w:p>
        </w:tc>
      </w:tr>
      <w:tr w14:paraId="0709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0E354B52">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（二）合同签订期</w:t>
            </w:r>
          </w:p>
        </w:tc>
        <w:tc>
          <w:tcPr>
            <w:tcW w:w="8437" w:type="dxa"/>
            <w:gridSpan w:val="5"/>
            <w:vAlign w:val="center"/>
          </w:tcPr>
          <w:p w14:paraId="67F0CCFC">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自中标通知书发出之日起</w:t>
            </w:r>
            <w:r>
              <w:rPr>
                <w:rFonts w:hint="eastAsia" w:ascii="宋体" w:hAnsi="宋体" w:eastAsia="宋体" w:cs="宋体"/>
                <w:color w:val="000000" w:themeColor="text1"/>
                <w:sz w:val="21"/>
                <w:szCs w:val="21"/>
                <w:highlight w:val="none"/>
                <w:lang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个日历日内。</w:t>
            </w:r>
          </w:p>
        </w:tc>
      </w:tr>
      <w:tr w14:paraId="35D0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7A3E555B">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质保期</w:t>
            </w:r>
          </w:p>
        </w:tc>
        <w:tc>
          <w:tcPr>
            <w:tcW w:w="8437" w:type="dxa"/>
            <w:gridSpan w:val="5"/>
            <w:vAlign w:val="center"/>
          </w:tcPr>
          <w:p w14:paraId="73FEDB8E">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按国家有关产品“三包”规定执行“三包”，除非各分项有要求，否则保修期不少于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年，终身维修，保修期内出现故障，需派出技术工程师到达现场处理故障，并承担一切费用；保修期外发生维修只收材料成本费，成本费用以定额、信息价或投标报价为准。</w:t>
            </w:r>
          </w:p>
        </w:tc>
      </w:tr>
      <w:tr w14:paraId="087B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057F43E2">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）交货时间和交货地点</w:t>
            </w:r>
          </w:p>
        </w:tc>
        <w:tc>
          <w:tcPr>
            <w:tcW w:w="8437" w:type="dxa"/>
            <w:gridSpan w:val="5"/>
            <w:vAlign w:val="center"/>
          </w:tcPr>
          <w:p w14:paraId="774C9B84">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交货时间及地点：自签订合同之日起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60天</w:t>
            </w:r>
            <w:r>
              <w:rPr>
                <w:rFonts w:hint="eastAsia" w:ascii="宋体" w:hAnsi="宋体" w:eastAsia="宋体" w:cs="宋体"/>
                <w:color w:val="000000" w:themeColor="text1"/>
                <w:sz w:val="21"/>
                <w:szCs w:val="21"/>
                <w:highlight w:val="none"/>
                <w14:textFill>
                  <w14:solidFill>
                    <w14:schemeClr w14:val="tx1"/>
                  </w14:solidFill>
                </w14:textFill>
              </w:rPr>
              <w:t>内必须到货并安装调试合格。地点：采购人指定位置。</w:t>
            </w:r>
          </w:p>
        </w:tc>
      </w:tr>
      <w:tr w14:paraId="6D3E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22B1C633">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）投标设备要求</w:t>
            </w:r>
          </w:p>
        </w:tc>
        <w:tc>
          <w:tcPr>
            <w:tcW w:w="8437" w:type="dxa"/>
            <w:gridSpan w:val="5"/>
            <w:vAlign w:val="center"/>
          </w:tcPr>
          <w:p w14:paraId="48925AD3">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投标人提供的产品必须是全新、完整、未使用过的产品，进口设备生产日期在一年内（国产的在半年内），</w:t>
            </w:r>
            <w:r>
              <w:rPr>
                <w:rFonts w:hint="eastAsia" w:ascii="宋体" w:hAnsi="宋体" w:eastAsia="宋体" w:cs="宋体"/>
                <w:color w:val="000000" w:themeColor="text1"/>
                <w:sz w:val="21"/>
                <w:szCs w:val="21"/>
                <w:highlight w:val="none"/>
                <w:lang w:eastAsia="zh-CN"/>
                <w14:textFill>
                  <w14:solidFill>
                    <w14:schemeClr w14:val="tx1"/>
                  </w14:solidFill>
                </w14:textFill>
              </w:rPr>
              <w:t>以及</w:t>
            </w:r>
            <w:r>
              <w:rPr>
                <w:rFonts w:hint="eastAsia" w:ascii="宋体" w:hAnsi="宋体" w:eastAsia="宋体" w:cs="宋体"/>
                <w:color w:val="000000" w:themeColor="text1"/>
                <w:sz w:val="21"/>
                <w:szCs w:val="21"/>
                <w:highlight w:val="none"/>
                <w14:textFill>
                  <w14:solidFill>
                    <w14:schemeClr w14:val="tx1"/>
                  </w14:solidFill>
                </w14:textFill>
              </w:rPr>
              <w:t>所有零部件、配件</w:t>
            </w:r>
            <w:r>
              <w:rPr>
                <w:rFonts w:hint="eastAsia" w:ascii="宋体" w:hAnsi="宋体" w:eastAsia="宋体" w:cs="宋体"/>
                <w:color w:val="000000" w:themeColor="text1"/>
                <w:sz w:val="21"/>
                <w:szCs w:val="21"/>
                <w:highlight w:val="none"/>
                <w:lang w:eastAsia="zh-CN"/>
                <w14:textFill>
                  <w14:solidFill>
                    <w14:schemeClr w14:val="tx1"/>
                  </w14:solidFill>
                </w14:textFill>
              </w:rPr>
              <w:t>均</w:t>
            </w:r>
            <w:r>
              <w:rPr>
                <w:rFonts w:hint="eastAsia" w:ascii="宋体" w:hAnsi="宋体" w:eastAsia="宋体" w:cs="宋体"/>
                <w:color w:val="000000" w:themeColor="text1"/>
                <w:sz w:val="21"/>
                <w:szCs w:val="21"/>
                <w:highlight w:val="none"/>
                <w14:textFill>
                  <w14:solidFill>
                    <w14:schemeClr w14:val="tx1"/>
                  </w14:solidFill>
                </w14:textFill>
              </w:rPr>
              <w:t>必须是全新</w:t>
            </w:r>
            <w:r>
              <w:rPr>
                <w:rFonts w:hint="eastAsia" w:ascii="宋体" w:hAnsi="宋体" w:eastAsia="宋体" w:cs="宋体"/>
                <w:color w:val="000000" w:themeColor="text1"/>
                <w:sz w:val="21"/>
                <w:szCs w:val="21"/>
                <w:highlight w:val="none"/>
                <w:lang w:eastAsia="zh-CN"/>
                <w14:textFill>
                  <w14:solidFill>
                    <w14:schemeClr w14:val="tx1"/>
                  </w14:solidFill>
                </w14:textFill>
              </w:rPr>
              <w:t>未经使用的并符合国家有关质量安全标准的产品。</w:t>
            </w:r>
            <w:r>
              <w:rPr>
                <w:rFonts w:hint="eastAsia" w:ascii="宋体" w:hAnsi="宋体" w:eastAsia="宋体" w:cs="宋体"/>
                <w:color w:val="000000" w:themeColor="text1"/>
                <w:sz w:val="21"/>
                <w:szCs w:val="21"/>
                <w:highlight w:val="none"/>
                <w14:textFill>
                  <w14:solidFill>
                    <w14:schemeClr w14:val="tx1"/>
                  </w14:solidFill>
                </w14:textFill>
              </w:rPr>
              <w:t>在装机、验收、入库期间有质量问题应提供整机更换或退货。</w:t>
            </w:r>
            <w:r>
              <w:rPr>
                <w:rFonts w:hint="eastAsia" w:ascii="宋体" w:hAnsi="宋体" w:eastAsia="宋体" w:cs="宋体"/>
                <w:color w:val="000000" w:themeColor="text1"/>
                <w:sz w:val="21"/>
                <w:szCs w:val="21"/>
                <w:highlight w:val="none"/>
                <w:lang w:eastAsia="zh-CN"/>
                <w14:textFill>
                  <w14:solidFill>
                    <w14:schemeClr w14:val="tx1"/>
                  </w14:solidFill>
                </w14:textFill>
              </w:rPr>
              <w:t>且在正常安装、使用和保养条件下，其使用寿命期内各项指标均达到质量要求。所有货物都提供使用说明书和详细装箱清单及质量合格证。</w:t>
            </w:r>
          </w:p>
          <w:p w14:paraId="689414EB">
            <w:pPr>
              <w:spacing w:line="288" w:lineRule="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分标</w:t>
            </w:r>
            <w:r>
              <w:rPr>
                <w:rFonts w:hint="eastAsia" w:ascii="宋体" w:hAnsi="宋体" w:eastAsia="宋体" w:cs="宋体"/>
                <w:b/>
                <w:bCs/>
                <w:color w:val="000000" w:themeColor="text1"/>
                <w:sz w:val="21"/>
                <w:szCs w:val="21"/>
                <w:highlight w:val="none"/>
                <w:lang w:eastAsia="zh-CN"/>
                <w14:textFill>
                  <w14:solidFill>
                    <w14:schemeClr w14:val="tx1"/>
                  </w14:solidFill>
                </w14:textFill>
              </w:rPr>
              <w:t>采购货物不接受进口产品参与投标，否则作无效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w:t>
            </w:r>
            <w:r>
              <w:rPr>
                <w:rFonts w:hint="eastAsia" w:ascii="宋体" w:hAnsi="宋体" w:eastAsia="宋体" w:cs="宋体"/>
                <w:b/>
                <w:bCs/>
                <w:color w:val="000000" w:themeColor="text1"/>
                <w:sz w:val="21"/>
                <w:szCs w:val="21"/>
                <w:highlight w:val="none"/>
                <w:lang w:eastAsia="zh-CN"/>
                <w14:textFill>
                  <w14:solidFill>
                    <w14:schemeClr w14:val="tx1"/>
                  </w14:solidFill>
                </w14:textFill>
              </w:rPr>
              <w:t>标处理。</w:t>
            </w:r>
          </w:p>
          <w:p w14:paraId="2B0208E4">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.中标人所提供产品,如有质量监督部门要求对产品进行检测、检验时，必须派出厂方代表协助检查，发现产品如有质量问题，中标人应承担全部费用及相应的责任。</w:t>
            </w:r>
          </w:p>
        </w:tc>
      </w:tr>
      <w:tr w14:paraId="59DA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3906198F">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）售后服务要求</w:t>
            </w:r>
          </w:p>
        </w:tc>
        <w:tc>
          <w:tcPr>
            <w:tcW w:w="8437" w:type="dxa"/>
            <w:gridSpan w:val="5"/>
            <w:vAlign w:val="center"/>
          </w:tcPr>
          <w:p w14:paraId="138ABBBD">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⑴按厂家承诺进行；⑵免费送货上门，免费安装调试合格，派出有相应资格的技术工程师到达现场负责设备安装调试，直至正常使用；⑶接故障通知后，2小时内响应，24小时内到达现场提供服务（保修期内免费服务），提供终身维护和保养服务。设备如需接入医院HIS、LIS、PACS系统或互联互通平台，相关费用由中标人负责。</w:t>
            </w:r>
          </w:p>
        </w:tc>
      </w:tr>
      <w:tr w14:paraId="20D9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5D50BF58">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）培训要求</w:t>
            </w:r>
          </w:p>
        </w:tc>
        <w:tc>
          <w:tcPr>
            <w:tcW w:w="8437" w:type="dxa"/>
            <w:gridSpan w:val="5"/>
            <w:vAlign w:val="center"/>
          </w:tcPr>
          <w:p w14:paraId="521B973C">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验收合格后对采购人技术人员免费进行设备操作及维护培训。主要内容应为设备的基本结构、性能、主要部件的构造及原理，日常使用操作、保养与管理，常见故障的排除，紧急情况的处理等，能达到熟练使用设备及进行日常维护的水平。配件供应迅速，并配备专业售后服务人员</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211C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4E0A1FBC">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）付款条件</w:t>
            </w:r>
          </w:p>
        </w:tc>
        <w:tc>
          <w:tcPr>
            <w:tcW w:w="8437" w:type="dxa"/>
            <w:gridSpan w:val="5"/>
            <w:vAlign w:val="center"/>
          </w:tcPr>
          <w:p w14:paraId="7244D776">
            <w:pPr>
              <w:spacing w:line="288"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签订合同后，中标供应商开具全额发票，采购人收到发票一个月内付款合同金额的30%，验收合格后采购人一个月内付款至合同金额的80%，一年内付款至合同金额的95%，合同余款5%二年后付清。</w:t>
            </w:r>
            <w:r>
              <w:rPr>
                <w:rFonts w:hint="eastAsia" w:ascii="宋体" w:hAnsi="宋体" w:eastAsia="宋体" w:cs="宋体"/>
                <w:color w:val="000000" w:themeColor="text1"/>
                <w:sz w:val="21"/>
                <w:szCs w:val="21"/>
                <w:highlight w:val="none"/>
                <w14:textFill>
                  <w14:solidFill>
                    <w14:schemeClr w14:val="tx1"/>
                  </w14:solidFill>
                </w14:textFill>
              </w:rPr>
              <w:t>特殊项目国家另有付款规定的，按国家付款规定执行。</w:t>
            </w:r>
          </w:p>
        </w:tc>
      </w:tr>
      <w:tr w14:paraId="7CBE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40BF8AFD">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）验收条件及标准</w:t>
            </w:r>
          </w:p>
        </w:tc>
        <w:tc>
          <w:tcPr>
            <w:tcW w:w="8437" w:type="dxa"/>
            <w:gridSpan w:val="5"/>
            <w:vAlign w:val="center"/>
          </w:tcPr>
          <w:p w14:paraId="2E0051E3">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时包装完整无破损，必须提供装箱单、保修单、货物生产厂家出厂合格证书及有关供货说明文件，货物的所有正规手续必须齐全。为防止虚假应标，如有必要，中标供应商需配合院方联合院方指定的第三方或该项目其他投标供应商对中标供应商提供产品的技术参数逐一验收，如发现提供产品的实际技术参数与投标参数不符，则视为虚假应标，取消其中标资格。</w:t>
            </w:r>
          </w:p>
        </w:tc>
      </w:tr>
      <w:tr w14:paraId="5548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2451776C">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）验收方法及方案</w:t>
            </w:r>
          </w:p>
        </w:tc>
        <w:tc>
          <w:tcPr>
            <w:tcW w:w="8437" w:type="dxa"/>
            <w:gridSpan w:val="5"/>
            <w:vAlign w:val="center"/>
          </w:tcPr>
          <w:p w14:paraId="28036225">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时，采购人对中标人所交货物依照中标人的投标文件所承诺的技术规格要求和国家有关标准进行现场验收。性能达到技术要求的给予签收，若有一项指标不满足其投标承诺的不予签收，视为中标人违约并按照政府采购相关法律法规和合同约定条款进行处罚，由此造成的项目延误等所有责任均由中标人承担。</w:t>
            </w:r>
          </w:p>
        </w:tc>
      </w:tr>
      <w:tr w14:paraId="3F16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15EFA252">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8437" w:type="dxa"/>
            <w:gridSpan w:val="5"/>
            <w:vAlign w:val="center"/>
          </w:tcPr>
          <w:p w14:paraId="3CA2796A">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总报价为包含但不限于货物、随配附件、备品备件（详细清单由投标人提供）、专用工具和运输、保险、卸货、保管、安装调试、验收、技术培训、质保等售后服务、税金、利润、间接费的总和。投标人保证所提供的设备正常运行，并能通过采购人及相关部门的项目验收。</w:t>
            </w:r>
          </w:p>
        </w:tc>
      </w:tr>
      <w:tr w14:paraId="3D1E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5205BF0A">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8437" w:type="dxa"/>
            <w:gridSpan w:val="5"/>
            <w:vAlign w:val="center"/>
          </w:tcPr>
          <w:p w14:paraId="5EBA9018">
            <w:pPr>
              <w:spacing w:line="288"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本分标</w:t>
            </w:r>
            <w:r>
              <w:rPr>
                <w:rFonts w:hint="eastAsia" w:ascii="宋体" w:hAnsi="宋体" w:eastAsia="宋体" w:cs="宋体"/>
                <w:b/>
                <w:bCs/>
                <w:color w:val="000000" w:themeColor="text1"/>
                <w:sz w:val="21"/>
                <w:szCs w:val="21"/>
                <w:highlight w:val="none"/>
                <w:lang w:bidi="ar"/>
                <w14:textFill>
                  <w14:solidFill>
                    <w14:schemeClr w14:val="tx1"/>
                  </w14:solidFill>
                </w14:textFill>
              </w:rPr>
              <w:t>货物一览表中标注“▲”项的内容为实质性响应条款，必须满足或优于，否则投标无效；</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每个分标</w:t>
            </w:r>
            <w:r>
              <w:rPr>
                <w:rFonts w:hint="eastAsia" w:ascii="宋体" w:hAnsi="宋体" w:eastAsia="宋体" w:cs="宋体"/>
                <w:b/>
                <w:bCs/>
                <w:color w:val="000000" w:themeColor="text1"/>
                <w:sz w:val="21"/>
                <w:szCs w:val="21"/>
                <w:highlight w:val="none"/>
                <w:lang w:bidi="ar"/>
                <w14:textFill>
                  <w14:solidFill>
                    <w14:schemeClr w14:val="tx1"/>
                  </w14:solidFill>
                </w14:textFill>
              </w:rPr>
              <w:t>不带“▲”的参数发生负偏离达</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sz w:val="21"/>
                <w:szCs w:val="21"/>
                <w:highlight w:val="none"/>
                <w:lang w:bidi="ar"/>
                <w14:textFill>
                  <w14:solidFill>
                    <w14:schemeClr w14:val="tx1"/>
                  </w14:solidFill>
                </w14:textFill>
              </w:rPr>
              <w:t>项（含）以上的，视为不实质性响应招标文件要求，评审时投标文件将被作为无效文件处理。</w:t>
            </w:r>
          </w:p>
          <w:p w14:paraId="56A00027">
            <w:pPr>
              <w:pStyle w:val="27"/>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商务条款不允许负偏离，否则投标无效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tc>
      </w:tr>
    </w:tbl>
    <w:p w14:paraId="4A55AD42">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730B8838">
      <w:pPr>
        <w:pStyle w:val="21"/>
        <w:spacing w:line="340" w:lineRule="exact"/>
        <w:rPr>
          <w:rFonts w:hint="eastAsia" w:hAnsi="宋体"/>
          <w:b/>
          <w:bCs/>
          <w:color w:val="000000" w:themeColor="text1"/>
          <w:sz w:val="24"/>
          <w:szCs w:val="28"/>
          <w:highlight w:val="none"/>
          <w:lang w:eastAsia="zh-CN"/>
          <w14:textFill>
            <w14:solidFill>
              <w14:schemeClr w14:val="tx1"/>
            </w14:solidFill>
          </w14:textFill>
        </w:rPr>
      </w:pPr>
    </w:p>
    <w:p w14:paraId="687895A9">
      <w:pPr>
        <w:pStyle w:val="21"/>
        <w:spacing w:line="340" w:lineRule="exact"/>
        <w:rPr>
          <w:rFonts w:hint="default" w:hAnsi="宋体" w:eastAsia="宋体"/>
          <w:b/>
          <w:bCs/>
          <w:color w:val="000000" w:themeColor="text1"/>
          <w:sz w:val="24"/>
          <w:szCs w:val="28"/>
          <w:highlight w:val="none"/>
          <w:lang w:val="en-US" w:eastAsia="zh-CN"/>
          <w14:textFill>
            <w14:solidFill>
              <w14:schemeClr w14:val="tx1"/>
            </w14:solidFill>
          </w14:textFill>
        </w:rPr>
      </w:pPr>
      <w:r>
        <w:rPr>
          <w:rFonts w:hint="eastAsia" w:hAnsi="宋体"/>
          <w:b/>
          <w:bCs/>
          <w:color w:val="000000" w:themeColor="text1"/>
          <w:sz w:val="24"/>
          <w:szCs w:val="28"/>
          <w:highlight w:val="none"/>
          <w:lang w:eastAsia="zh-CN"/>
          <w14:textFill>
            <w14:solidFill>
              <w14:schemeClr w14:val="tx1"/>
            </w14:solidFill>
          </w14:textFill>
        </w:rPr>
        <w:t>分标</w:t>
      </w:r>
      <w:r>
        <w:rPr>
          <w:rFonts w:hint="eastAsia" w:hAnsi="宋体"/>
          <w:b/>
          <w:bCs/>
          <w:color w:val="000000" w:themeColor="text1"/>
          <w:sz w:val="24"/>
          <w:szCs w:val="28"/>
          <w:highlight w:val="none"/>
          <w:lang w:val="en-US" w:eastAsia="zh-CN"/>
          <w14:textFill>
            <w14:solidFill>
              <w14:schemeClr w14:val="tx1"/>
            </w14:solidFill>
          </w14:textFill>
        </w:rPr>
        <w:t>3：</w:t>
      </w:r>
    </w:p>
    <w:tbl>
      <w:tblPr>
        <w:tblStyle w:val="38"/>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41"/>
        <w:gridCol w:w="5011"/>
        <w:gridCol w:w="674"/>
        <w:gridCol w:w="647"/>
        <w:gridCol w:w="1094"/>
        <w:gridCol w:w="1011"/>
      </w:tblGrid>
      <w:tr w14:paraId="060F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4DA325B">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序号</w:t>
            </w:r>
          </w:p>
        </w:tc>
        <w:tc>
          <w:tcPr>
            <w:tcW w:w="1341" w:type="dxa"/>
            <w:vAlign w:val="center"/>
          </w:tcPr>
          <w:p w14:paraId="1B66B554">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货物名称</w:t>
            </w:r>
          </w:p>
        </w:tc>
        <w:tc>
          <w:tcPr>
            <w:tcW w:w="5011" w:type="dxa"/>
            <w:vAlign w:val="center"/>
          </w:tcPr>
          <w:p w14:paraId="416493A5">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技术参数及性能配置要求</w:t>
            </w:r>
          </w:p>
        </w:tc>
        <w:tc>
          <w:tcPr>
            <w:tcW w:w="674" w:type="dxa"/>
            <w:vAlign w:val="center"/>
          </w:tcPr>
          <w:p w14:paraId="59A8FCDB">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数量</w:t>
            </w:r>
          </w:p>
        </w:tc>
        <w:tc>
          <w:tcPr>
            <w:tcW w:w="647" w:type="dxa"/>
            <w:vAlign w:val="center"/>
          </w:tcPr>
          <w:p w14:paraId="732EBB43">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单位</w:t>
            </w:r>
          </w:p>
        </w:tc>
        <w:tc>
          <w:tcPr>
            <w:tcW w:w="1094" w:type="dxa"/>
            <w:vAlign w:val="center"/>
          </w:tcPr>
          <w:p w14:paraId="3507AF81">
            <w:pPr>
              <w:wordWrap w:val="0"/>
              <w:topLinePunct/>
              <w:spacing w:line="288" w:lineRule="auto"/>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所属行业</w:t>
            </w:r>
          </w:p>
        </w:tc>
        <w:tc>
          <w:tcPr>
            <w:tcW w:w="1011" w:type="dxa"/>
            <w:vAlign w:val="center"/>
          </w:tcPr>
          <w:p w14:paraId="63C13073">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14:paraId="2C13B3C8">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最高单价限价（万元）</w:t>
            </w:r>
          </w:p>
        </w:tc>
      </w:tr>
      <w:tr w14:paraId="2F0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5" w:type="dxa"/>
            <w:vAlign w:val="center"/>
          </w:tcPr>
          <w:p w14:paraId="4D1D4813">
            <w:pPr>
              <w:wordWrap w:val="0"/>
              <w:topLinePunct/>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p>
        </w:tc>
        <w:tc>
          <w:tcPr>
            <w:tcW w:w="1341" w:type="dxa"/>
            <w:vAlign w:val="center"/>
          </w:tcPr>
          <w:p w14:paraId="17DB1885">
            <w:pPr>
              <w:keepNext w:val="0"/>
              <w:keepLines w:val="0"/>
              <w:widowControl w:val="0"/>
              <w:suppressLineNumbers w:val="0"/>
              <w:spacing w:line="288"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基因测序仪</w:t>
            </w:r>
          </w:p>
        </w:tc>
        <w:tc>
          <w:tcPr>
            <w:tcW w:w="5011" w:type="dxa"/>
            <w:vAlign w:val="center"/>
          </w:tcPr>
          <w:p w14:paraId="3A035FB6">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基因</w:t>
            </w:r>
            <w:r>
              <w:rPr>
                <w:rFonts w:hint="eastAsia" w:ascii="宋体" w:hAnsi="宋体" w:eastAsia="宋体" w:cs="宋体"/>
                <w:color w:val="000000" w:themeColor="text1"/>
                <w:sz w:val="21"/>
                <w:szCs w:val="21"/>
                <w:highlight w:val="none"/>
                <w14:textFill>
                  <w14:solidFill>
                    <w14:schemeClr w14:val="tx1"/>
                  </w14:solidFill>
                </w14:textFill>
              </w:rPr>
              <w:t>测序仪应为国产设备，且获得国家药品监督管理局（NMPA）的三类医疗器械注册证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036349">
            <w:pPr>
              <w:pStyle w:val="13"/>
              <w:spacing w:line="288" w:lineRule="auto"/>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一、技术参数</w:t>
            </w:r>
          </w:p>
          <w:p w14:paraId="573254F7">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用途：支持全基因组De novo测序、全长转录本测序、病原微生物宏基因组测序（mNGS）、地中海贫血基因检测、罕见病检测、结构变异检测、目标区域测序、串联重复序列检测、转录组分析等。</w:t>
            </w:r>
          </w:p>
          <w:p w14:paraId="5BF2E0BE">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检测原理：通过合成的方式进行测序，以光学信号的方式直接读取单个碱基信息，每次检测一个碱基，光学信号种类≥2种。</w:t>
            </w:r>
          </w:p>
          <w:p w14:paraId="4845619B">
            <w:pPr>
              <w:spacing w:line="288" w:lineRule="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文库制备：无需经过PCR过程，无GC偏好性，实现对每一条DNA分子的单独测序。</w:t>
            </w:r>
          </w:p>
          <w:p w14:paraId="57A32D02">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测序过程：模板无需经过PCR扩增或线性扩增，无GC偏好性。</w:t>
            </w:r>
          </w:p>
          <w:p w14:paraId="65F43E79">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测序读长：≥100kb。</w:t>
            </w:r>
          </w:p>
          <w:p w14:paraId="5CE69573">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测序质量：在40X的测序深度下，碱基准确度≥QV50。</w:t>
            </w:r>
          </w:p>
          <w:p w14:paraId="7817876C">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基因组覆盖均匀：除基因组一般区域外，可支持高AT或高GC区域、高度重复的序列、长均聚物和回文序列进行测序。</w:t>
            </w:r>
          </w:p>
          <w:p w14:paraId="1F7899C8">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测序模式：≥2种测序模式可供选择。</w:t>
            </w:r>
          </w:p>
          <w:p w14:paraId="65DD0F8F">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支持直接检测天然DNA的甲基化信息，无需测序前进行任何DNA的化学/酶转化和PCR扩增来处理。</w:t>
            </w:r>
          </w:p>
          <w:p w14:paraId="73758364">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不依赖家系验证的情况下</w:t>
            </w:r>
            <w:r>
              <w:rPr>
                <w:rFonts w:hint="eastAsia" w:ascii="宋体" w:hAnsi="宋体" w:eastAsia="宋体" w:cs="宋体"/>
                <w:color w:val="000000" w:themeColor="text1"/>
                <w:sz w:val="21"/>
                <w:szCs w:val="21"/>
                <w:highlight w:val="none"/>
                <w14:textFill>
                  <w14:solidFill>
                    <w14:schemeClr w14:val="tx1"/>
                  </w14:solidFill>
                </w14:textFill>
              </w:rPr>
              <w:t>测序能够同时对母本和父本单倍型的序列进行定相。</w:t>
            </w:r>
          </w:p>
          <w:p w14:paraId="1346F8C6">
            <w:pPr>
              <w:pStyle w:val="13"/>
              <w:spacing w:line="288"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套试剂：可提供≥5种与配套使用的检测试剂盒，包括但不限于地中海贫血、脊髓性肌萎缩症SMA、先天性肾上腺皮质增生症CAH、脆X综合征FXS、新生儿基因筛查等，其中地中海贫血检测配套使用的试剂及分析软件具有医疗器械注册证或备案证，并提供证明材料。</w:t>
            </w:r>
          </w:p>
          <w:p w14:paraId="04D03482">
            <w:pPr>
              <w:spacing w:line="288"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设备配套动态突变检测，可一次性覆盖≥68种疾病、≥63个基因，其中≥20种动态突变相关共济失调疾病。</w:t>
            </w:r>
          </w:p>
          <w:p w14:paraId="71EC1DBF">
            <w:pPr>
              <w:spacing w:line="288"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二、★单台配置清单</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提供承诺函加盖投标单位公章，格式自拟</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bl>
            <w:tblPr>
              <w:tblStyle w:val="38"/>
              <w:tblW w:w="4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697"/>
              <w:gridCol w:w="1249"/>
            </w:tblGrid>
            <w:tr w14:paraId="46EC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3" w:type="dxa"/>
                  <w:vAlign w:val="center"/>
                </w:tcPr>
                <w:p w14:paraId="36E7EAFC">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697" w:type="dxa"/>
                  <w:vAlign w:val="center"/>
                </w:tcPr>
                <w:p w14:paraId="00D02CA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设备名称与规格</w:t>
                  </w:r>
                </w:p>
              </w:tc>
              <w:tc>
                <w:tcPr>
                  <w:tcW w:w="1249" w:type="dxa"/>
                  <w:vAlign w:val="center"/>
                </w:tcPr>
                <w:p w14:paraId="3024F115">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r>
            <w:tr w14:paraId="39AD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33" w:type="dxa"/>
                  <w:shd w:val="clear" w:color="auto" w:fill="auto"/>
                  <w:vAlign w:val="center"/>
                </w:tcPr>
                <w:p w14:paraId="4CD6D0CB">
                  <w:pPr>
                    <w:pStyle w:val="113"/>
                    <w:spacing w:before="66" w:line="188"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w:t>
                  </w:r>
                </w:p>
              </w:tc>
              <w:tc>
                <w:tcPr>
                  <w:tcW w:w="2697" w:type="dxa"/>
                  <w:shd w:val="clear" w:color="auto" w:fill="auto"/>
                  <w:vAlign w:val="center"/>
                </w:tcPr>
                <w:p w14:paraId="1A381639">
                  <w:pPr>
                    <w:keepNext w:val="0"/>
                    <w:keepLines w:val="0"/>
                    <w:widowControl/>
                    <w:suppressLineNumbers w:val="0"/>
                    <w:jc w:val="center"/>
                    <w:textAlignment w:val="center"/>
                    <w:rPr>
                      <w:rStyle w:val="66"/>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基因测序仪</w:t>
                  </w:r>
                </w:p>
              </w:tc>
              <w:tc>
                <w:tcPr>
                  <w:tcW w:w="1249" w:type="dxa"/>
                  <w:shd w:val="clear" w:color="auto" w:fill="auto"/>
                  <w:vAlign w:val="center"/>
                </w:tcPr>
                <w:p w14:paraId="711825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14:textFill>
                        <w14:solidFill>
                          <w14:schemeClr w14:val="tx1"/>
                        </w14:solidFill>
                      </w14:textFill>
                    </w:rPr>
                    <w:t>1</w:t>
                  </w:r>
                </w:p>
              </w:tc>
            </w:tr>
            <w:tr w14:paraId="43F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33" w:type="dxa"/>
                  <w:shd w:val="clear" w:color="auto" w:fill="auto"/>
                  <w:vAlign w:val="center"/>
                </w:tcPr>
                <w:p w14:paraId="54D0ECBB">
                  <w:pPr>
                    <w:pStyle w:val="113"/>
                    <w:spacing w:before="59" w:line="184"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697" w:type="dxa"/>
                  <w:shd w:val="clear" w:color="auto" w:fill="auto"/>
                  <w:vAlign w:val="center"/>
                </w:tcPr>
                <w:p w14:paraId="328B34D8">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各量程单通道移液器</w:t>
                  </w:r>
                </w:p>
              </w:tc>
              <w:tc>
                <w:tcPr>
                  <w:tcW w:w="1249" w:type="dxa"/>
                  <w:shd w:val="clear" w:color="auto" w:fill="auto"/>
                  <w:vAlign w:val="center"/>
                </w:tcPr>
                <w:p w14:paraId="7CAD407E">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10</w:t>
                  </w:r>
                </w:p>
              </w:tc>
            </w:tr>
            <w:tr w14:paraId="0201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33" w:type="dxa"/>
                  <w:shd w:val="clear" w:color="auto" w:fill="auto"/>
                  <w:vAlign w:val="center"/>
                </w:tcPr>
                <w:p w14:paraId="4A18BA20">
                  <w:pPr>
                    <w:pStyle w:val="113"/>
                    <w:spacing w:before="50" w:line="175"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2697" w:type="dxa"/>
                  <w:shd w:val="clear" w:color="auto" w:fill="auto"/>
                  <w:vAlign w:val="center"/>
                </w:tcPr>
                <w:p w14:paraId="03C4EB20">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各量程八通道移液器</w:t>
                  </w:r>
                </w:p>
              </w:tc>
              <w:tc>
                <w:tcPr>
                  <w:tcW w:w="1249" w:type="dxa"/>
                  <w:shd w:val="clear" w:color="auto" w:fill="auto"/>
                  <w:vAlign w:val="center"/>
                </w:tcPr>
                <w:p w14:paraId="71308E8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6</w:t>
                  </w:r>
                </w:p>
              </w:tc>
            </w:tr>
            <w:tr w14:paraId="757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 w:type="dxa"/>
                  <w:shd w:val="clear" w:color="auto" w:fill="auto"/>
                  <w:vAlign w:val="center"/>
                </w:tcPr>
                <w:p w14:paraId="550CE390">
                  <w:pPr>
                    <w:pStyle w:val="113"/>
                    <w:spacing w:before="59" w:line="194"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2697" w:type="dxa"/>
                  <w:shd w:val="clear" w:color="auto" w:fill="auto"/>
                  <w:vAlign w:val="center"/>
                </w:tcPr>
                <w:p w14:paraId="7940E445">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涡旋混合器</w:t>
                  </w:r>
                </w:p>
              </w:tc>
              <w:tc>
                <w:tcPr>
                  <w:tcW w:w="1249" w:type="dxa"/>
                  <w:shd w:val="clear" w:color="auto" w:fill="auto"/>
                  <w:vAlign w:val="center"/>
                </w:tcPr>
                <w:p w14:paraId="4E75015E">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r>
            <w:tr w14:paraId="3C70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33" w:type="dxa"/>
                  <w:shd w:val="clear" w:color="auto" w:fill="auto"/>
                  <w:vAlign w:val="center"/>
                </w:tcPr>
                <w:p w14:paraId="02E744D3">
                  <w:pPr>
                    <w:pStyle w:val="113"/>
                    <w:spacing w:before="60" w:line="183"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2697" w:type="dxa"/>
                  <w:shd w:val="clear" w:color="auto" w:fill="auto"/>
                  <w:vAlign w:val="center"/>
                </w:tcPr>
                <w:p w14:paraId="3F0CAD3B">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各类型离心机</w:t>
                  </w:r>
                </w:p>
              </w:tc>
              <w:tc>
                <w:tcPr>
                  <w:tcW w:w="1249" w:type="dxa"/>
                  <w:shd w:val="clear" w:color="auto" w:fill="auto"/>
                  <w:vAlign w:val="center"/>
                </w:tcPr>
                <w:p w14:paraId="4AB8E2E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4BAB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 w:type="dxa"/>
                  <w:shd w:val="clear" w:color="auto" w:fill="auto"/>
                  <w:vAlign w:val="center"/>
                </w:tcPr>
                <w:p w14:paraId="6CC2F882">
                  <w:pPr>
                    <w:pStyle w:val="113"/>
                    <w:spacing w:before="60" w:line="193"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2697" w:type="dxa"/>
                  <w:shd w:val="clear" w:color="auto" w:fill="auto"/>
                  <w:vAlign w:val="center"/>
                </w:tcPr>
                <w:p w14:paraId="7BC9BD57">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磁力架</w:t>
                  </w:r>
                </w:p>
              </w:tc>
              <w:tc>
                <w:tcPr>
                  <w:tcW w:w="1249" w:type="dxa"/>
                  <w:shd w:val="clear" w:color="auto" w:fill="auto"/>
                  <w:vAlign w:val="center"/>
                </w:tcPr>
                <w:p w14:paraId="044DEE2F">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4</w:t>
                  </w:r>
                </w:p>
              </w:tc>
            </w:tr>
            <w:tr w14:paraId="6DA9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33" w:type="dxa"/>
                  <w:shd w:val="clear" w:color="auto" w:fill="auto"/>
                  <w:vAlign w:val="center"/>
                </w:tcPr>
                <w:p w14:paraId="09ECCDE9">
                  <w:pPr>
                    <w:pStyle w:val="113"/>
                    <w:spacing w:before="60" w:line="183"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2697" w:type="dxa"/>
                  <w:shd w:val="clear" w:color="auto" w:fill="auto"/>
                  <w:vAlign w:val="center"/>
                </w:tcPr>
                <w:p w14:paraId="1FB85896">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14:textFill>
                        <w14:solidFill>
                          <w14:schemeClr w14:val="tx1"/>
                        </w14:solidFill>
                      </w14:textFill>
                    </w:rPr>
                    <w:t xml:space="preserve"> </w:t>
                  </w:r>
                  <w:r>
                    <w:rPr>
                      <w:rStyle w:val="71"/>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w:t>
                  </w: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通道荧光计</w:t>
                  </w:r>
                </w:p>
              </w:tc>
              <w:tc>
                <w:tcPr>
                  <w:tcW w:w="1249" w:type="dxa"/>
                  <w:shd w:val="clear" w:color="auto" w:fill="auto"/>
                  <w:vAlign w:val="center"/>
                </w:tcPr>
                <w:p w14:paraId="1C53E49C">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r>
            <w:tr w14:paraId="2382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3" w:type="dxa"/>
                  <w:shd w:val="clear" w:color="auto" w:fill="auto"/>
                  <w:vAlign w:val="center"/>
                </w:tcPr>
                <w:p w14:paraId="3EB8E02C">
                  <w:pPr>
                    <w:pStyle w:val="113"/>
                    <w:spacing w:before="52" w:line="174"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2697" w:type="dxa"/>
                  <w:shd w:val="clear" w:color="auto" w:fill="auto"/>
                  <w:vAlign w:val="center"/>
                </w:tcPr>
                <w:p w14:paraId="1DF912B7">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71"/>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PCR</w:t>
                  </w: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仪</w:t>
                  </w:r>
                </w:p>
              </w:tc>
              <w:tc>
                <w:tcPr>
                  <w:tcW w:w="1249" w:type="dxa"/>
                  <w:shd w:val="clear" w:color="auto" w:fill="auto"/>
                  <w:vAlign w:val="center"/>
                </w:tcPr>
                <w:p w14:paraId="3493F69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r>
            <w:tr w14:paraId="25E4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33" w:type="dxa"/>
                  <w:shd w:val="clear" w:color="auto" w:fill="auto"/>
                  <w:vAlign w:val="center"/>
                </w:tcPr>
                <w:p w14:paraId="12B6CEED">
                  <w:pPr>
                    <w:pStyle w:val="113"/>
                    <w:spacing w:before="65" w:line="189"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p>
              </w:tc>
              <w:tc>
                <w:tcPr>
                  <w:tcW w:w="2697" w:type="dxa"/>
                  <w:shd w:val="clear" w:color="auto" w:fill="auto"/>
                  <w:vAlign w:val="center"/>
                </w:tcPr>
                <w:p w14:paraId="00EB3F24">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板式混匀器</w:t>
                  </w:r>
                </w:p>
              </w:tc>
              <w:tc>
                <w:tcPr>
                  <w:tcW w:w="1249" w:type="dxa"/>
                  <w:shd w:val="clear" w:color="auto" w:fill="auto"/>
                  <w:vAlign w:val="center"/>
                </w:tcPr>
                <w:p w14:paraId="59425F3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r>
            <w:tr w14:paraId="3C15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33" w:type="dxa"/>
                  <w:shd w:val="clear" w:color="auto" w:fill="auto"/>
                  <w:vAlign w:val="center"/>
                </w:tcPr>
                <w:p w14:paraId="4A27BC51">
                  <w:pPr>
                    <w:pStyle w:val="113"/>
                    <w:spacing w:before="45" w:line="171"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ascii="宋体" w:hAnsi="宋体" w:cs="宋体"/>
                      <w:color w:val="000000" w:themeColor="text1"/>
                      <w:spacing w:val="-6"/>
                      <w:sz w:val="21"/>
                      <w:szCs w:val="21"/>
                      <w:highlight w:val="none"/>
                      <w:lang w:val="en-US" w:eastAsia="zh-CN"/>
                      <w14:textFill>
                        <w14:solidFill>
                          <w14:schemeClr w14:val="tx1"/>
                        </w14:solidFill>
                      </w14:textFill>
                    </w:rPr>
                    <w:t>0</w:t>
                  </w:r>
                </w:p>
              </w:tc>
              <w:tc>
                <w:tcPr>
                  <w:tcW w:w="2697" w:type="dxa"/>
                  <w:shd w:val="clear" w:color="auto" w:fill="auto"/>
                  <w:vAlign w:val="center"/>
                </w:tcPr>
                <w:p w14:paraId="4BBF825E">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14:textFill>
                        <w14:solidFill>
                          <w14:schemeClr w14:val="tx1"/>
                        </w14:solidFill>
                      </w14:textFill>
                    </w:rPr>
                    <w:t xml:space="preserve">PCR-SEALER </w:t>
                  </w: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封膜机</w:t>
                  </w:r>
                </w:p>
              </w:tc>
              <w:tc>
                <w:tcPr>
                  <w:tcW w:w="1249" w:type="dxa"/>
                  <w:shd w:val="clear" w:color="auto" w:fill="auto"/>
                  <w:vAlign w:val="center"/>
                </w:tcPr>
                <w:p w14:paraId="018FAED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r>
            <w:tr w14:paraId="2B5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 w:type="dxa"/>
                  <w:shd w:val="clear" w:color="auto" w:fill="auto"/>
                  <w:vAlign w:val="center"/>
                </w:tcPr>
                <w:p w14:paraId="1F07066E">
                  <w:pPr>
                    <w:pStyle w:val="113"/>
                    <w:spacing w:before="66" w:line="188"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2697" w:type="dxa"/>
                  <w:shd w:val="clear" w:color="auto" w:fill="auto"/>
                  <w:vAlign w:val="center"/>
                </w:tcPr>
                <w:p w14:paraId="4880B1C2">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vertAlign w:val="baseline"/>
                      <w:lang w:val="en-US" w:eastAsia="en-US"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不间断电源</w:t>
                  </w:r>
                  <w:r>
                    <w:rPr>
                      <w:rStyle w:val="71"/>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UPS</w:t>
                  </w:r>
                  <w:r>
                    <w:rPr>
                      <w:rStyle w:val="66"/>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主机</w:t>
                  </w:r>
                </w:p>
              </w:tc>
              <w:tc>
                <w:tcPr>
                  <w:tcW w:w="1249" w:type="dxa"/>
                  <w:shd w:val="clear" w:color="auto" w:fill="auto"/>
                  <w:vAlign w:val="center"/>
                </w:tcPr>
                <w:p w14:paraId="5602C44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r>
            <w:tr w14:paraId="6961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3" w:type="dxa"/>
                  <w:shd w:val="clear" w:color="auto" w:fill="auto"/>
                  <w:vAlign w:val="center"/>
                </w:tcPr>
                <w:p w14:paraId="237346F1">
                  <w:pPr>
                    <w:pStyle w:val="113"/>
                    <w:spacing w:before="76" w:line="188" w:lineRule="auto"/>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p>
              </w:tc>
              <w:tc>
                <w:tcPr>
                  <w:tcW w:w="2697" w:type="dxa"/>
                  <w:shd w:val="clear" w:color="auto" w:fill="auto"/>
                  <w:vAlign w:val="center"/>
                </w:tcPr>
                <w:p w14:paraId="2B2D60D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highlight w:val="none"/>
                      <w:u w:val="none"/>
                      <w:vertAlign w:val="baseline"/>
                      <w:lang w:val="en-US" w:eastAsia="en-US"/>
                      <w14:textFill>
                        <w14:solidFill>
                          <w14:schemeClr w14:val="tx1"/>
                        </w14:solidFill>
                      </w14:textFill>
                    </w:rPr>
                  </w:pPr>
                  <w:r>
                    <w:rPr>
                      <w:rStyle w:val="66"/>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服务器及计算存储设备</w:t>
                  </w:r>
                </w:p>
              </w:tc>
              <w:tc>
                <w:tcPr>
                  <w:tcW w:w="1249" w:type="dxa"/>
                  <w:shd w:val="clear" w:color="auto" w:fill="auto"/>
                  <w:vAlign w:val="center"/>
                </w:tcPr>
                <w:p w14:paraId="54AA18A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r>
          </w:tbl>
          <w:p w14:paraId="3C24B79E">
            <w:pPr>
              <w:spacing w:line="288" w:lineRule="auto"/>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p>
          <w:p w14:paraId="229DA2DB">
            <w:pPr>
              <w:spacing w:line="288" w:lineRule="auto"/>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p>
        </w:tc>
        <w:tc>
          <w:tcPr>
            <w:tcW w:w="674" w:type="dxa"/>
            <w:vAlign w:val="center"/>
          </w:tcPr>
          <w:p w14:paraId="39C08522">
            <w:pPr>
              <w:wordWrap w:val="0"/>
              <w:topLinePunct/>
              <w:spacing w:line="288" w:lineRule="auto"/>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647" w:type="dxa"/>
            <w:vAlign w:val="center"/>
          </w:tcPr>
          <w:p w14:paraId="26BE7D94">
            <w:pPr>
              <w:wordWrap w:val="0"/>
              <w:topLinePunct/>
              <w:spacing w:line="288"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套</w:t>
            </w:r>
          </w:p>
        </w:tc>
        <w:tc>
          <w:tcPr>
            <w:tcW w:w="1094" w:type="dxa"/>
            <w:vAlign w:val="center"/>
          </w:tcPr>
          <w:p w14:paraId="241D2EE8">
            <w:pPr>
              <w:wordWrap w:val="0"/>
              <w:topLinePunct/>
              <w:spacing w:line="28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工业</w:t>
            </w:r>
          </w:p>
        </w:tc>
        <w:tc>
          <w:tcPr>
            <w:tcW w:w="1011" w:type="dxa"/>
            <w:vAlign w:val="center"/>
          </w:tcPr>
          <w:p w14:paraId="392A19DB">
            <w:pPr>
              <w:wordWrap w:val="0"/>
              <w:topLinePunct/>
              <w:spacing w:line="288" w:lineRule="auto"/>
              <w:ind w:firstLine="0" w:firstLineChars="0"/>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210</w:t>
            </w:r>
          </w:p>
        </w:tc>
      </w:tr>
      <w:tr w14:paraId="20BC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423" w:type="dxa"/>
            <w:gridSpan w:val="7"/>
            <w:vAlign w:val="center"/>
          </w:tcPr>
          <w:p w14:paraId="1E556467">
            <w:pPr>
              <w:wordWrap w:val="0"/>
              <w:topLinePunct/>
              <w:spacing w:line="288" w:lineRule="auto"/>
              <w:ind w:firstLine="0" w:firstLineChars="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商务要求</w:t>
            </w:r>
          </w:p>
        </w:tc>
      </w:tr>
      <w:tr w14:paraId="2F06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4999BC50">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（一）声明</w:t>
            </w:r>
          </w:p>
        </w:tc>
        <w:tc>
          <w:tcPr>
            <w:tcW w:w="8437" w:type="dxa"/>
            <w:gridSpan w:val="5"/>
            <w:vAlign w:val="center"/>
          </w:tcPr>
          <w:p w14:paraId="59CF8650">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对投标文件内容所涉及的专利、专有技术承担法律责任，并负责保护采购人的利益不受任何损害。一切由于文字、商标、技术和软件专利授权引起的法律裁决、诉讼和赔偿费用均由成交供应商负责。同时，具有产品专利、专有技术的投标人应在其投标文件中提供与其自有产品专利、专有技术相关的有效证明材料，否则，不能就其产品的专利、专有技术在本项目采购过程中被侵权问题而提出异议。</w:t>
            </w:r>
          </w:p>
        </w:tc>
      </w:tr>
      <w:tr w14:paraId="7BC8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2A71444A">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（二）合同签订期</w:t>
            </w:r>
          </w:p>
        </w:tc>
        <w:tc>
          <w:tcPr>
            <w:tcW w:w="8437" w:type="dxa"/>
            <w:gridSpan w:val="5"/>
            <w:vAlign w:val="center"/>
          </w:tcPr>
          <w:p w14:paraId="024366A8">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自中标通知书发出之日起</w:t>
            </w:r>
            <w:r>
              <w:rPr>
                <w:rFonts w:hint="eastAsia" w:ascii="宋体" w:hAnsi="宋体" w:eastAsia="宋体" w:cs="宋体"/>
                <w:color w:val="000000" w:themeColor="text1"/>
                <w:sz w:val="21"/>
                <w:szCs w:val="21"/>
                <w:highlight w:val="none"/>
                <w:lang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个日历日内。</w:t>
            </w:r>
          </w:p>
        </w:tc>
      </w:tr>
      <w:tr w14:paraId="6B7B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4D6C2D4B">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质保期</w:t>
            </w:r>
          </w:p>
        </w:tc>
        <w:tc>
          <w:tcPr>
            <w:tcW w:w="8437" w:type="dxa"/>
            <w:gridSpan w:val="5"/>
            <w:vAlign w:val="center"/>
          </w:tcPr>
          <w:p w14:paraId="19AA65D9">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按国家有关产品“三包”规定执行“三包”，除非各分项有要求，否则保修期不少于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年，终身维修，保修期内出现故障，需派出技术工程师到达现场处理故障，并承担一切费用；保修期外发生维修只收材料成本费，成本费用以定额、信息价或投标报价为准。</w:t>
            </w:r>
          </w:p>
        </w:tc>
      </w:tr>
      <w:tr w14:paraId="63E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7308F3EC">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）交货时间和交货地点</w:t>
            </w:r>
          </w:p>
        </w:tc>
        <w:tc>
          <w:tcPr>
            <w:tcW w:w="8437" w:type="dxa"/>
            <w:gridSpan w:val="5"/>
            <w:vAlign w:val="center"/>
          </w:tcPr>
          <w:p w14:paraId="63F17892">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交货时间及地点：自签订合同之日起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60天</w:t>
            </w:r>
            <w:r>
              <w:rPr>
                <w:rFonts w:hint="eastAsia" w:ascii="宋体" w:hAnsi="宋体" w:eastAsia="宋体" w:cs="宋体"/>
                <w:color w:val="000000" w:themeColor="text1"/>
                <w:sz w:val="21"/>
                <w:szCs w:val="21"/>
                <w:highlight w:val="none"/>
                <w14:textFill>
                  <w14:solidFill>
                    <w14:schemeClr w14:val="tx1"/>
                  </w14:solidFill>
                </w14:textFill>
              </w:rPr>
              <w:t>内必须到货并安装调试合格。地点：采购人指定位置。</w:t>
            </w:r>
          </w:p>
        </w:tc>
      </w:tr>
      <w:tr w14:paraId="77ED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5D38FABF">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）投标设备要求</w:t>
            </w:r>
          </w:p>
        </w:tc>
        <w:tc>
          <w:tcPr>
            <w:tcW w:w="8437" w:type="dxa"/>
            <w:gridSpan w:val="5"/>
            <w:vAlign w:val="center"/>
          </w:tcPr>
          <w:p w14:paraId="4519FEBE">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投标人提供的产品必须是全新、完整、未使用过的产品，进口设备生产日期在一年内（国产的在半年内），</w:t>
            </w:r>
            <w:r>
              <w:rPr>
                <w:rFonts w:hint="eastAsia" w:ascii="宋体" w:hAnsi="宋体" w:eastAsia="宋体" w:cs="宋体"/>
                <w:color w:val="000000" w:themeColor="text1"/>
                <w:sz w:val="21"/>
                <w:szCs w:val="21"/>
                <w:highlight w:val="none"/>
                <w:lang w:eastAsia="zh-CN"/>
                <w14:textFill>
                  <w14:solidFill>
                    <w14:schemeClr w14:val="tx1"/>
                  </w14:solidFill>
                </w14:textFill>
              </w:rPr>
              <w:t>以及</w:t>
            </w:r>
            <w:r>
              <w:rPr>
                <w:rFonts w:hint="eastAsia" w:ascii="宋体" w:hAnsi="宋体" w:eastAsia="宋体" w:cs="宋体"/>
                <w:color w:val="000000" w:themeColor="text1"/>
                <w:sz w:val="21"/>
                <w:szCs w:val="21"/>
                <w:highlight w:val="none"/>
                <w14:textFill>
                  <w14:solidFill>
                    <w14:schemeClr w14:val="tx1"/>
                  </w14:solidFill>
                </w14:textFill>
              </w:rPr>
              <w:t>所有零部件、配件</w:t>
            </w:r>
            <w:r>
              <w:rPr>
                <w:rFonts w:hint="eastAsia" w:ascii="宋体" w:hAnsi="宋体" w:eastAsia="宋体" w:cs="宋体"/>
                <w:color w:val="000000" w:themeColor="text1"/>
                <w:sz w:val="21"/>
                <w:szCs w:val="21"/>
                <w:highlight w:val="none"/>
                <w:lang w:eastAsia="zh-CN"/>
                <w14:textFill>
                  <w14:solidFill>
                    <w14:schemeClr w14:val="tx1"/>
                  </w14:solidFill>
                </w14:textFill>
              </w:rPr>
              <w:t>均</w:t>
            </w:r>
            <w:r>
              <w:rPr>
                <w:rFonts w:hint="eastAsia" w:ascii="宋体" w:hAnsi="宋体" w:eastAsia="宋体" w:cs="宋体"/>
                <w:color w:val="000000" w:themeColor="text1"/>
                <w:sz w:val="21"/>
                <w:szCs w:val="21"/>
                <w:highlight w:val="none"/>
                <w14:textFill>
                  <w14:solidFill>
                    <w14:schemeClr w14:val="tx1"/>
                  </w14:solidFill>
                </w14:textFill>
              </w:rPr>
              <w:t>必须是全新</w:t>
            </w:r>
            <w:r>
              <w:rPr>
                <w:rFonts w:hint="eastAsia" w:ascii="宋体" w:hAnsi="宋体" w:eastAsia="宋体" w:cs="宋体"/>
                <w:color w:val="000000" w:themeColor="text1"/>
                <w:sz w:val="21"/>
                <w:szCs w:val="21"/>
                <w:highlight w:val="none"/>
                <w:lang w:eastAsia="zh-CN"/>
                <w14:textFill>
                  <w14:solidFill>
                    <w14:schemeClr w14:val="tx1"/>
                  </w14:solidFill>
                </w14:textFill>
              </w:rPr>
              <w:t>未经使用的并符合国家有关质量安全标准的产品。</w:t>
            </w:r>
            <w:r>
              <w:rPr>
                <w:rFonts w:hint="eastAsia" w:ascii="宋体" w:hAnsi="宋体" w:eastAsia="宋体" w:cs="宋体"/>
                <w:color w:val="000000" w:themeColor="text1"/>
                <w:sz w:val="21"/>
                <w:szCs w:val="21"/>
                <w:highlight w:val="none"/>
                <w14:textFill>
                  <w14:solidFill>
                    <w14:schemeClr w14:val="tx1"/>
                  </w14:solidFill>
                </w14:textFill>
              </w:rPr>
              <w:t>在装机、验收、入库期间有质量问题应提供整机更换或退货。</w:t>
            </w:r>
            <w:r>
              <w:rPr>
                <w:rFonts w:hint="eastAsia" w:ascii="宋体" w:hAnsi="宋体" w:eastAsia="宋体" w:cs="宋体"/>
                <w:color w:val="000000" w:themeColor="text1"/>
                <w:sz w:val="21"/>
                <w:szCs w:val="21"/>
                <w:highlight w:val="none"/>
                <w:lang w:eastAsia="zh-CN"/>
                <w14:textFill>
                  <w14:solidFill>
                    <w14:schemeClr w14:val="tx1"/>
                  </w14:solidFill>
                </w14:textFill>
              </w:rPr>
              <w:t>且在正常安装、使用和保养条件下，其使用寿命期内各项指标均达到质量要求。所有货物都提供使用说明书和详细装箱清单及质量合格证。</w:t>
            </w:r>
          </w:p>
          <w:p w14:paraId="6AFD0CB9">
            <w:pPr>
              <w:spacing w:line="288" w:lineRule="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分标</w:t>
            </w:r>
            <w:r>
              <w:rPr>
                <w:rFonts w:hint="eastAsia" w:ascii="宋体" w:hAnsi="宋体" w:eastAsia="宋体" w:cs="宋体"/>
                <w:b/>
                <w:bCs/>
                <w:color w:val="000000" w:themeColor="text1"/>
                <w:sz w:val="21"/>
                <w:szCs w:val="21"/>
                <w:highlight w:val="none"/>
                <w:lang w:eastAsia="zh-CN"/>
                <w14:textFill>
                  <w14:solidFill>
                    <w14:schemeClr w14:val="tx1"/>
                  </w14:solidFill>
                </w14:textFill>
              </w:rPr>
              <w:t>采购货物不接受进口产品参与投标，否则作无效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w:t>
            </w:r>
            <w:r>
              <w:rPr>
                <w:rFonts w:hint="eastAsia" w:ascii="宋体" w:hAnsi="宋体" w:eastAsia="宋体" w:cs="宋体"/>
                <w:b/>
                <w:bCs/>
                <w:color w:val="000000" w:themeColor="text1"/>
                <w:sz w:val="21"/>
                <w:szCs w:val="21"/>
                <w:highlight w:val="none"/>
                <w:lang w:eastAsia="zh-CN"/>
                <w14:textFill>
                  <w14:solidFill>
                    <w14:schemeClr w14:val="tx1"/>
                  </w14:solidFill>
                </w14:textFill>
              </w:rPr>
              <w:t>标处理。</w:t>
            </w:r>
          </w:p>
          <w:p w14:paraId="3D779FE9">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.中标人所提供产品,如有质量监督部门要求对产品进行检测、检验时，必须派出厂方代表协助检查，发现产品如有质量问题，中标人应承担全部费用及相应的责任。</w:t>
            </w:r>
          </w:p>
        </w:tc>
      </w:tr>
      <w:tr w14:paraId="38A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66C30855">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）售后服务要求</w:t>
            </w:r>
          </w:p>
        </w:tc>
        <w:tc>
          <w:tcPr>
            <w:tcW w:w="8437" w:type="dxa"/>
            <w:gridSpan w:val="5"/>
            <w:vAlign w:val="center"/>
          </w:tcPr>
          <w:p w14:paraId="1D0597D2">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⑴按厂家承诺进行；⑵免费送货上门，免费安装调试合格，派出有相应资格的技术工程师到达现场负责设备安装调试，直至正常使用；⑶接故障通知后，2小时内响应，24小时内到达现场提供服务（保修期内免费服务），提供终身维护和保养服务。设备如需接入医院HIS、LIS、PACS系统或互联互通平台，相关费用由中标人负责。</w:t>
            </w:r>
          </w:p>
        </w:tc>
      </w:tr>
      <w:tr w14:paraId="00E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08E4E2A1">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）培训要求</w:t>
            </w:r>
          </w:p>
        </w:tc>
        <w:tc>
          <w:tcPr>
            <w:tcW w:w="8437" w:type="dxa"/>
            <w:gridSpan w:val="5"/>
            <w:vAlign w:val="center"/>
          </w:tcPr>
          <w:p w14:paraId="17A0D367">
            <w:pPr>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验收合格后对采购人技术人员免费进行设备操作及维护培训。主要内容应为设备的基本结构、性能、主要部件的构造及原理，日常使用操作、保养与管理，常见故障的排除，紧急情况的处理等，能达到熟练使用设备及进行日常维护的水平。配件供应迅速，并配备专业售后服务人员</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5E5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7E4ED1D8">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）付款条件</w:t>
            </w:r>
          </w:p>
        </w:tc>
        <w:tc>
          <w:tcPr>
            <w:tcW w:w="8437" w:type="dxa"/>
            <w:gridSpan w:val="5"/>
            <w:vAlign w:val="center"/>
          </w:tcPr>
          <w:p w14:paraId="0157D27E">
            <w:pPr>
              <w:spacing w:line="288"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签订合同后，中标供应商开具全额发票，采购人收到发票一个月内付款合同金额的30%，验收合格后采购人一个月内付款至合同金额的80%，一年内付款至合同金额的95%，合同余款5%二年后付清。</w:t>
            </w:r>
            <w:r>
              <w:rPr>
                <w:rFonts w:hint="eastAsia" w:ascii="宋体" w:hAnsi="宋体" w:eastAsia="宋体" w:cs="宋体"/>
                <w:color w:val="000000" w:themeColor="text1"/>
                <w:sz w:val="21"/>
                <w:szCs w:val="21"/>
                <w:highlight w:val="none"/>
                <w14:textFill>
                  <w14:solidFill>
                    <w14:schemeClr w14:val="tx1"/>
                  </w14:solidFill>
                </w14:textFill>
              </w:rPr>
              <w:t>特殊项目国家另有付款规定的，按国家付款规定执行。</w:t>
            </w:r>
          </w:p>
        </w:tc>
      </w:tr>
      <w:tr w14:paraId="148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65DD929B">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）验收条件及标准</w:t>
            </w:r>
          </w:p>
        </w:tc>
        <w:tc>
          <w:tcPr>
            <w:tcW w:w="8437" w:type="dxa"/>
            <w:gridSpan w:val="5"/>
            <w:vAlign w:val="center"/>
          </w:tcPr>
          <w:p w14:paraId="1CF380D4">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时包装完整无破损，必须提供装箱单、保修单、货物生产厂家出厂合格证书及有关供货说明文件，货物的所有正规手续必须齐全。为防止虚假应标，如有必要，中标供应商需配合院方联合院方指定的第三方或该项目其他投标供应商对中标供应商提供产品的技术参数逐一验收，如发现提供产品的实际技术参数与投标参数不符，则视为虚假应标，取消其中标资格。</w:t>
            </w:r>
          </w:p>
        </w:tc>
      </w:tr>
      <w:tr w14:paraId="74DE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29B453E4">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）验收方法及方案</w:t>
            </w:r>
          </w:p>
        </w:tc>
        <w:tc>
          <w:tcPr>
            <w:tcW w:w="8437" w:type="dxa"/>
            <w:gridSpan w:val="5"/>
            <w:vAlign w:val="center"/>
          </w:tcPr>
          <w:p w14:paraId="6C60C9AB">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时，采购人对中标人所交货物依照中标人的投标文件所承诺的技术规格要求和国家有关标准进行现场验收。性能达到技术要求的给予签收，若有一项指标不满足其投标承诺的不予签收，视为中标人违约并按照政府采购相关法律法规和合同约定条款进行处罚，由此造成的项目延误等所有责任均由中标人承担。</w:t>
            </w:r>
          </w:p>
        </w:tc>
      </w:tr>
      <w:tr w14:paraId="3BE6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3E627EB4">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8437" w:type="dxa"/>
            <w:gridSpan w:val="5"/>
            <w:vAlign w:val="center"/>
          </w:tcPr>
          <w:p w14:paraId="219A5C44">
            <w:pPr>
              <w:spacing w:line="288"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总报价为包含但不限于货物、随配附件、备品备件（详细清单由投标人提供）、专用工具和运输、保险、卸货、保管、安装调试、验收、技术培训、质保等售后服务、税金、利润、间接费的总和。投标人保证所提供的设备正常运行，并能通过采购人及相关部门的项目验收。</w:t>
            </w:r>
          </w:p>
        </w:tc>
      </w:tr>
      <w:tr w14:paraId="56C9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6" w:type="dxa"/>
            <w:gridSpan w:val="2"/>
            <w:vAlign w:val="center"/>
          </w:tcPr>
          <w:p w14:paraId="33A1B2F8">
            <w:pPr>
              <w:spacing w:line="288"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8437" w:type="dxa"/>
            <w:gridSpan w:val="5"/>
            <w:vAlign w:val="center"/>
          </w:tcPr>
          <w:p w14:paraId="54E4BBC8">
            <w:pPr>
              <w:spacing w:line="288" w:lineRule="auto"/>
              <w:jc w:val="left"/>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本分标</w:t>
            </w:r>
            <w:r>
              <w:rPr>
                <w:rFonts w:hint="eastAsia" w:ascii="宋体" w:hAnsi="宋体" w:eastAsia="宋体" w:cs="宋体"/>
                <w:b/>
                <w:bCs/>
                <w:color w:val="000000" w:themeColor="text1"/>
                <w:sz w:val="21"/>
                <w:szCs w:val="21"/>
                <w:highlight w:val="none"/>
                <w:lang w:bidi="ar"/>
                <w14:textFill>
                  <w14:solidFill>
                    <w14:schemeClr w14:val="tx1"/>
                  </w14:solidFill>
                </w14:textFill>
              </w:rPr>
              <w:t>货物一览表中标注“▲”项的内容为实质性响应条款，必须满足或优于，否则投标无效；</w:t>
            </w:r>
            <w:r>
              <w:rPr>
                <w:rFonts w:hint="eastAsia" w:ascii="宋体" w:hAnsi="宋体" w:eastAsia="宋体"/>
                <w:b/>
                <w:bCs/>
                <w:color w:val="000000" w:themeColor="text1"/>
                <w:sz w:val="21"/>
                <w:szCs w:val="21"/>
                <w:highlight w:val="none"/>
                <w:lang w:bidi="ar"/>
                <w14:textFill>
                  <w14:solidFill>
                    <w14:schemeClr w14:val="tx1"/>
                  </w14:solidFill>
                </w14:textFill>
              </w:rPr>
              <w:t>标注“★”的条款为评标时重要评分指标</w:t>
            </w:r>
            <w:r>
              <w:rPr>
                <w:rFonts w:hint="eastAsia" w:ascii="宋体" w:hAnsi="宋体" w:eastAsia="宋体"/>
                <w:b/>
                <w:bCs/>
                <w:color w:val="000000" w:themeColor="text1"/>
                <w:sz w:val="21"/>
                <w:szCs w:val="21"/>
                <w:highlight w:val="none"/>
                <w:lang w:eastAsia="zh-CN" w:bidi="ar"/>
                <w14:textFill>
                  <w14:solidFill>
                    <w14:schemeClr w14:val="tx1"/>
                  </w14:solidFill>
                </w14:textFill>
              </w:rPr>
              <w:t>，</w:t>
            </w:r>
            <w:r>
              <w:rPr>
                <w:rFonts w:hint="eastAsia" w:ascii="宋体" w:hAnsi="宋体" w:eastAsia="宋体"/>
                <w:b/>
                <w:bCs/>
                <w:color w:val="000000" w:themeColor="text1"/>
                <w:sz w:val="21"/>
                <w:szCs w:val="21"/>
                <w:highlight w:val="none"/>
                <w:lang w:bidi="ar"/>
                <w14:textFill>
                  <w14:solidFill>
                    <w14:schemeClr w14:val="tx1"/>
                  </w14:solidFill>
                </w14:textFill>
              </w:rPr>
              <w:t>不作为无效投标条款。</w:t>
            </w:r>
          </w:p>
          <w:p w14:paraId="0EBF9FC5">
            <w:pPr>
              <w:pStyle w:val="27"/>
              <w:spacing w:line="288"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商务条款不允许负偏离，否则投标无效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tc>
      </w:tr>
    </w:tbl>
    <w:p w14:paraId="4AC8792C">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C261313">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191949E7">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46811A96">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51C51662">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219B97D4">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3259F48B">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59B6FC39">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547BB36B">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1AF83527">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3A25C94E">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009CFD5A">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475040F8">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4D6DAE4B">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3E7B21E1">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1DAD2C99">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37D1EE6D">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756F898">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61167C8A">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6661643C">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4785F5CB">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2FFEC889">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6BD46E90">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F5E5340">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0BD69FF0">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519C44FF">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2E2A18EB">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3622708D">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21C58955">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22D101D8">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1E79CD59">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42177060">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DDDA627">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EB52D54">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FD69AA5">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714FCFBB">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3E0A21AA">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57BCFD31">
      <w:pPr>
        <w:pStyle w:val="55"/>
        <w:numPr>
          <w:ilvl w:val="0"/>
          <w:numId w:val="0"/>
        </w:numPr>
        <w:rPr>
          <w:rFonts w:hint="eastAsia" w:ascii="宋体" w:hAnsi="宋体" w:eastAsia="宋体" w:cs="宋体"/>
          <w:b/>
          <w:bCs/>
          <w:color w:val="000000" w:themeColor="text1"/>
          <w:spacing w:val="10"/>
          <w:sz w:val="21"/>
          <w:szCs w:val="21"/>
          <w:highlight w:val="none"/>
          <w:lang w:val="en-US" w:eastAsia="zh-CN" w:bidi="ar-SA"/>
          <w14:textFill>
            <w14:solidFill>
              <w14:schemeClr w14:val="tx1"/>
            </w14:solidFill>
          </w14:textFill>
        </w:rPr>
      </w:pPr>
    </w:p>
    <w:p w14:paraId="435DFF48">
      <w:pPr>
        <w:spacing w:before="63" w:line="224" w:lineRule="auto"/>
        <w:ind w:left="47"/>
        <w:rPr>
          <w:rFonts w:ascii="宋体" w:hAnsi="宋体" w:eastAsia="宋体" w:cs="宋体"/>
          <w:color w:val="000000" w:themeColor="text1"/>
          <w:kern w:val="0"/>
          <w:sz w:val="31"/>
          <w:szCs w:val="31"/>
          <w:highlight w:val="none"/>
          <w:lang w:eastAsia="en-US"/>
          <w14:textFill>
            <w14:solidFill>
              <w14:schemeClr w14:val="tx1"/>
            </w14:solidFill>
          </w14:textFill>
        </w:rPr>
      </w:pPr>
      <w:bookmarkStart w:id="194" w:name="_Toc28447"/>
      <w:bookmarkStart w:id="195" w:name="_Toc27274"/>
      <w:bookmarkStart w:id="196" w:name="_Toc25582_WPSOffice_Level1"/>
      <w:r>
        <w:rPr>
          <w:rFonts w:ascii="宋体" w:hAnsi="宋体" w:eastAsia="宋体" w:cs="宋体"/>
          <w:color w:val="000000" w:themeColor="text1"/>
          <w:spacing w:val="-13"/>
          <w:kern w:val="0"/>
          <w:sz w:val="31"/>
          <w:szCs w:val="31"/>
          <w:highlight w:val="none"/>
          <w:lang w:eastAsia="en-US"/>
          <w14:textFill>
            <w14:solidFill>
              <w14:schemeClr w14:val="tx1"/>
            </w14:solidFill>
          </w14:textFill>
        </w:rPr>
        <w:t>附件</w:t>
      </w:r>
      <w:r>
        <w:rPr>
          <w:rFonts w:ascii="宋体" w:hAnsi="宋体" w:eastAsia="宋体" w:cs="宋体"/>
          <w:color w:val="000000" w:themeColor="text1"/>
          <w:spacing w:val="-37"/>
          <w:kern w:val="0"/>
          <w:sz w:val="31"/>
          <w:szCs w:val="31"/>
          <w:highlight w:val="none"/>
          <w:lang w:eastAsia="en-US"/>
          <w14:textFill>
            <w14:solidFill>
              <w14:schemeClr w14:val="tx1"/>
            </w14:solidFill>
          </w14:textFill>
        </w:rPr>
        <w:t xml:space="preserve"> </w:t>
      </w:r>
      <w:r>
        <w:rPr>
          <w:rFonts w:ascii="宋体" w:hAnsi="宋体" w:eastAsia="宋体" w:cs="宋体"/>
          <w:color w:val="000000" w:themeColor="text1"/>
          <w:spacing w:val="-13"/>
          <w:kern w:val="0"/>
          <w:sz w:val="31"/>
          <w:szCs w:val="31"/>
          <w:highlight w:val="none"/>
          <w:lang w:eastAsia="en-US"/>
          <w14:textFill>
            <w14:solidFill>
              <w14:schemeClr w14:val="tx1"/>
            </w14:solidFill>
          </w14:textFill>
        </w:rPr>
        <w:t>1：</w:t>
      </w:r>
    </w:p>
    <w:p w14:paraId="118553AF">
      <w:pPr>
        <w:spacing w:line="269"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A2D3203">
      <w:pPr>
        <w:spacing w:before="130" w:line="219" w:lineRule="auto"/>
        <w:ind w:left="1895"/>
        <w:rPr>
          <w:rFonts w:ascii="宋体" w:hAnsi="宋体" w:eastAsia="宋体" w:cs="宋体"/>
          <w:color w:val="000000" w:themeColor="text1"/>
          <w:kern w:val="0"/>
          <w:sz w:val="40"/>
          <w:szCs w:val="40"/>
          <w:highlight w:val="none"/>
          <w:lang w:eastAsia="en-US"/>
          <w14:textFill>
            <w14:solidFill>
              <w14:schemeClr w14:val="tx1"/>
            </w14:solidFill>
          </w14:textFill>
        </w:rPr>
      </w:pPr>
      <w:r>
        <w:rPr>
          <w:rFonts w:ascii="宋体" w:hAnsi="宋体" w:eastAsia="宋体" w:cs="宋体"/>
          <w:color w:val="000000" w:themeColor="text1"/>
          <w:spacing w:val="-2"/>
          <w:kern w:val="0"/>
          <w:sz w:val="40"/>
          <w:szCs w:val="40"/>
          <w:highlight w:val="none"/>
          <w:lang w:eastAsia="en-US"/>
          <w14:textFill>
            <w14:solidFill>
              <w14:schemeClr w14:val="tx1"/>
            </w14:solidFill>
          </w14:textFill>
        </w:rPr>
        <w:t>节能产品政府采购品目清单</w:t>
      </w:r>
    </w:p>
    <w:p w14:paraId="475D8613">
      <w:pPr>
        <w:spacing w:before="77"/>
        <w:rPr>
          <w:rFonts w:ascii="Times New Roman" w:hAnsi="Times New Roman" w:eastAsia="Times New Roman" w:cs="宋体"/>
          <w:color w:val="000000" w:themeColor="text1"/>
          <w:kern w:val="0"/>
          <w:sz w:val="20"/>
          <w:szCs w:val="20"/>
          <w:highlight w:val="none"/>
          <w:lang w:eastAsia="en-US"/>
          <w14:textFill>
            <w14:solidFill>
              <w14:schemeClr w14:val="tx1"/>
            </w14:solidFill>
          </w14:textFill>
        </w:rPr>
      </w:pPr>
    </w:p>
    <w:p w14:paraId="30A4A108">
      <w:pPr>
        <w:spacing w:before="77"/>
        <w:rPr>
          <w:rFonts w:ascii="Times New Roman" w:hAnsi="Times New Roman" w:eastAsia="Times New Roman" w:cs="宋体"/>
          <w:color w:val="000000" w:themeColor="text1"/>
          <w:kern w:val="0"/>
          <w:sz w:val="20"/>
          <w:szCs w:val="20"/>
          <w:highlight w:val="none"/>
          <w:lang w:eastAsia="en-US"/>
          <w14:textFill>
            <w14:solidFill>
              <w14:schemeClr w14:val="tx1"/>
            </w14:solidFill>
          </w14:textFill>
        </w:rPr>
      </w:pPr>
    </w:p>
    <w:tbl>
      <w:tblPr>
        <w:tblStyle w:val="124"/>
        <w:tblW w:w="91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33"/>
        <w:gridCol w:w="1831"/>
        <w:gridCol w:w="1784"/>
        <w:gridCol w:w="3810"/>
      </w:tblGrid>
      <w:tr w14:paraId="1BA5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78" w:type="dxa"/>
            <w:noWrap w:val="0"/>
            <w:vAlign w:val="top"/>
          </w:tcPr>
          <w:p w14:paraId="7F4FC892">
            <w:pPr>
              <w:snapToGrid w:val="0"/>
              <w:spacing w:before="134" w:after="80" w:line="231" w:lineRule="auto"/>
              <w:ind w:left="88"/>
              <w:rPr>
                <w:rFonts w:ascii="Arial" w:hAnsi="Arial" w:eastAsia="宋体" w:cs="Times New Roman"/>
                <w:color w:val="000000" w:themeColor="text1"/>
                <w:sz w:val="20"/>
                <w:szCs w:val="20"/>
                <w:highlight w:val="none"/>
                <w:lang w:val="en-US" w:eastAsia="en-US" w:bidi="ar-SA"/>
                <w14:textFill>
                  <w14:solidFill>
                    <w14:schemeClr w14:val="tx1"/>
                  </w14:solidFill>
                </w14:textFill>
              </w:rPr>
            </w:pPr>
            <w:r>
              <w:rPr>
                <w:rFonts w:ascii="Arial" w:hAnsi="Arial" w:eastAsia="宋体" w:cs="Times New Roman"/>
                <w:b/>
                <w:bCs/>
                <w:color w:val="000000" w:themeColor="text1"/>
                <w:spacing w:val="-6"/>
                <w:sz w:val="20"/>
                <w:szCs w:val="20"/>
                <w:highlight w:val="none"/>
                <w:lang w:val="en-US" w:eastAsia="en-US" w:bidi="ar-SA"/>
                <w14:textFill>
                  <w14:solidFill>
                    <w14:schemeClr w14:val="tx1"/>
                  </w14:solidFill>
                </w14:textFill>
              </w:rPr>
              <w:t>品目</w:t>
            </w:r>
          </w:p>
          <w:p w14:paraId="0A787FDC">
            <w:pPr>
              <w:snapToGrid w:val="0"/>
              <w:spacing w:before="103" w:after="80" w:line="229" w:lineRule="auto"/>
              <w:ind w:left="70"/>
              <w:rPr>
                <w:rFonts w:ascii="Arial" w:hAnsi="Arial" w:eastAsia="宋体" w:cs="Times New Roman"/>
                <w:color w:val="000000" w:themeColor="text1"/>
                <w:sz w:val="20"/>
                <w:szCs w:val="20"/>
                <w:highlight w:val="none"/>
                <w:lang w:val="en-US" w:eastAsia="en-US" w:bidi="ar-SA"/>
                <w14:textFill>
                  <w14:solidFill>
                    <w14:schemeClr w14:val="tx1"/>
                  </w14:solidFill>
                </w14:textFill>
              </w:rPr>
            </w:pPr>
            <w:r>
              <w:rPr>
                <w:rFonts w:ascii="Arial" w:hAnsi="Arial" w:eastAsia="宋体" w:cs="Times New Roman"/>
                <w:b/>
                <w:bCs/>
                <w:color w:val="000000" w:themeColor="text1"/>
                <w:spacing w:val="3"/>
                <w:sz w:val="20"/>
                <w:szCs w:val="20"/>
                <w:highlight w:val="none"/>
                <w:lang w:val="en-US" w:eastAsia="en-US" w:bidi="ar-SA"/>
                <w14:textFill>
                  <w14:solidFill>
                    <w14:schemeClr w14:val="tx1"/>
                  </w14:solidFill>
                </w14:textFill>
              </w:rPr>
              <w:t>序号</w:t>
            </w:r>
          </w:p>
        </w:tc>
        <w:tc>
          <w:tcPr>
            <w:tcW w:w="4748" w:type="dxa"/>
            <w:gridSpan w:val="3"/>
            <w:noWrap w:val="0"/>
            <w:vAlign w:val="top"/>
          </w:tcPr>
          <w:p w14:paraId="1D1CFADF">
            <w:pPr>
              <w:spacing w:line="33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A136288">
            <w:pPr>
              <w:snapToGrid w:val="0"/>
              <w:spacing w:before="65" w:after="80" w:line="230" w:lineRule="auto"/>
              <w:ind w:left="2171"/>
              <w:rPr>
                <w:rFonts w:ascii="Arial" w:hAnsi="Arial" w:eastAsia="宋体" w:cs="Times New Roman"/>
                <w:color w:val="000000" w:themeColor="text1"/>
                <w:sz w:val="20"/>
                <w:szCs w:val="20"/>
                <w:highlight w:val="none"/>
                <w:lang w:val="en-US" w:eastAsia="en-US" w:bidi="ar-SA"/>
                <w14:textFill>
                  <w14:solidFill>
                    <w14:schemeClr w14:val="tx1"/>
                  </w14:solidFill>
                </w14:textFill>
              </w:rPr>
            </w:pPr>
            <w:r>
              <w:rPr>
                <w:rFonts w:ascii="Arial" w:hAnsi="Arial" w:eastAsia="宋体" w:cs="Times New Roman"/>
                <w:b/>
                <w:bCs/>
                <w:color w:val="000000" w:themeColor="text1"/>
                <w:spacing w:val="1"/>
                <w:sz w:val="20"/>
                <w:szCs w:val="20"/>
                <w:highlight w:val="none"/>
                <w:lang w:val="en-US" w:eastAsia="en-US" w:bidi="ar-SA"/>
                <w14:textFill>
                  <w14:solidFill>
                    <w14:schemeClr w14:val="tx1"/>
                  </w14:solidFill>
                </w14:textFill>
              </w:rPr>
              <w:t>名称</w:t>
            </w:r>
          </w:p>
        </w:tc>
        <w:tc>
          <w:tcPr>
            <w:tcW w:w="3810" w:type="dxa"/>
            <w:noWrap w:val="0"/>
            <w:vAlign w:val="top"/>
          </w:tcPr>
          <w:p w14:paraId="6B5F6F9F">
            <w:pPr>
              <w:spacing w:line="33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A59565F">
            <w:pPr>
              <w:snapToGrid w:val="0"/>
              <w:spacing w:before="65" w:after="80" w:line="227" w:lineRule="auto"/>
              <w:ind w:left="938"/>
              <w:rPr>
                <w:rFonts w:ascii="Arial" w:hAnsi="Arial" w:eastAsia="宋体" w:cs="Times New Roman"/>
                <w:color w:val="000000" w:themeColor="text1"/>
                <w:sz w:val="20"/>
                <w:szCs w:val="20"/>
                <w:highlight w:val="none"/>
                <w:lang w:val="en-US" w:eastAsia="en-US" w:bidi="ar-SA"/>
                <w14:textFill>
                  <w14:solidFill>
                    <w14:schemeClr w14:val="tx1"/>
                  </w14:solidFill>
                </w14:textFill>
              </w:rPr>
            </w:pPr>
            <w:r>
              <w:rPr>
                <w:rFonts w:ascii="Arial" w:hAnsi="Arial" w:eastAsia="宋体" w:cs="Times New Roman"/>
                <w:b/>
                <w:bCs/>
                <w:color w:val="000000" w:themeColor="text1"/>
                <w:spacing w:val="5"/>
                <w:sz w:val="20"/>
                <w:szCs w:val="20"/>
                <w:highlight w:val="none"/>
                <w:lang w:val="en-US" w:eastAsia="en-US" w:bidi="ar-SA"/>
                <w14:textFill>
                  <w14:solidFill>
                    <w14:schemeClr w14:val="tx1"/>
                  </w14:solidFill>
                </w14:textFill>
              </w:rPr>
              <w:t>依据的标准</w:t>
            </w:r>
          </w:p>
        </w:tc>
      </w:tr>
      <w:tr w14:paraId="061B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restart"/>
            <w:tcBorders>
              <w:bottom w:val="nil"/>
            </w:tcBorders>
            <w:noWrap w:val="0"/>
            <w:vAlign w:val="top"/>
          </w:tcPr>
          <w:p w14:paraId="5E29780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2D6551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F838A0C">
            <w:pPr>
              <w:spacing w:line="24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2CFE014">
            <w:pPr>
              <w:spacing w:line="24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4C9D4D0">
            <w:pPr>
              <w:snapToGrid w:val="0"/>
              <w:spacing w:before="72" w:after="80" w:line="242" w:lineRule="auto"/>
              <w:ind w:left="25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1</w:t>
            </w:r>
          </w:p>
        </w:tc>
        <w:tc>
          <w:tcPr>
            <w:tcW w:w="1133" w:type="dxa"/>
            <w:vMerge w:val="restart"/>
            <w:tcBorders>
              <w:bottom w:val="nil"/>
            </w:tcBorders>
            <w:noWrap w:val="0"/>
            <w:vAlign w:val="top"/>
          </w:tcPr>
          <w:p w14:paraId="64E2DE13">
            <w:pPr>
              <w:spacing w:line="26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21DED26">
            <w:pPr>
              <w:spacing w:line="26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5872509">
            <w:pPr>
              <w:spacing w:line="26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D6E9D15">
            <w:pPr>
              <w:snapToGrid w:val="0"/>
              <w:spacing w:before="71" w:after="80" w:line="280" w:lineRule="auto"/>
              <w:ind w:left="133" w:right="42" w:hanging="9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A020101</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计</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算机设备</w:t>
            </w:r>
          </w:p>
        </w:tc>
        <w:tc>
          <w:tcPr>
            <w:tcW w:w="1831" w:type="dxa"/>
            <w:noWrap w:val="0"/>
            <w:vAlign w:val="top"/>
          </w:tcPr>
          <w:p w14:paraId="2BE3F4CD">
            <w:pPr>
              <w:snapToGrid w:val="0"/>
              <w:spacing w:before="129" w:after="80" w:line="280" w:lineRule="auto"/>
              <w:ind w:left="589" w:right="58" w:hanging="51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4"/>
                <w:sz w:val="18"/>
                <w:highlight w:val="none"/>
                <w:lang w:val="en-US" w:eastAsia="en-US" w:bidi="ar-SA"/>
                <w14:textFill>
                  <w14:solidFill>
                    <w14:schemeClr w14:val="tx1"/>
                  </w14:solidFill>
                </w14:textFill>
              </w:rPr>
              <w:t>★A02010104</w:t>
            </w:r>
            <w:r>
              <w:rPr>
                <w:rFonts w:ascii="Arial" w:hAnsi="Arial" w:eastAsia="宋体" w:cs="Times New Roman"/>
                <w:color w:val="000000" w:themeColor="text1"/>
                <w:spacing w:val="-19"/>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台式</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计算机</w:t>
            </w:r>
          </w:p>
        </w:tc>
        <w:tc>
          <w:tcPr>
            <w:tcW w:w="1784" w:type="dxa"/>
            <w:noWrap w:val="0"/>
            <w:vAlign w:val="top"/>
          </w:tcPr>
          <w:p w14:paraId="5C58FBF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250038DE">
            <w:pPr>
              <w:snapToGrid w:val="0"/>
              <w:spacing w:before="131" w:after="80" w:line="283" w:lineRule="auto"/>
              <w:ind w:left="17" w:right="14"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 xml:space="preserve">《微型计算机能效限定值及能效等级》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（GB28380）</w:t>
            </w:r>
          </w:p>
        </w:tc>
      </w:tr>
      <w:tr w14:paraId="4C3E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noWrap w:val="0"/>
            <w:vAlign w:val="top"/>
          </w:tcPr>
          <w:p w14:paraId="5216735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26DD7668">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7416EFB5">
            <w:pPr>
              <w:snapToGrid w:val="0"/>
              <w:spacing w:before="82" w:after="80" w:line="264" w:lineRule="auto"/>
              <w:ind w:left="485" w:right="58" w:hanging="41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★A02010105</w:t>
            </w:r>
            <w:r>
              <w:rPr>
                <w:rFonts w:ascii="Arial" w:hAnsi="Arial" w:eastAsia="宋体" w:cs="Times New Roman"/>
                <w:color w:val="000000" w:themeColor="text1"/>
                <w:spacing w:val="-4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便携</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式计算机</w:t>
            </w:r>
          </w:p>
        </w:tc>
        <w:tc>
          <w:tcPr>
            <w:tcW w:w="1784" w:type="dxa"/>
            <w:noWrap w:val="0"/>
            <w:vAlign w:val="top"/>
          </w:tcPr>
          <w:p w14:paraId="6C3E9CD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0FBDADD1">
            <w:pPr>
              <w:snapToGrid w:val="0"/>
              <w:spacing w:before="82" w:after="80" w:line="264" w:lineRule="auto"/>
              <w:ind w:left="17" w:right="14"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 xml:space="preserve">《微型计算机能效限定值及能效等级》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（GB28380）</w:t>
            </w:r>
          </w:p>
        </w:tc>
      </w:tr>
      <w:tr w14:paraId="3F3D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noWrap w:val="0"/>
            <w:vAlign w:val="top"/>
          </w:tcPr>
          <w:p w14:paraId="62BF62C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187AD01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46BD7AC5">
            <w:pPr>
              <w:snapToGrid w:val="0"/>
              <w:spacing w:before="102" w:after="80" w:line="271" w:lineRule="auto"/>
              <w:ind w:left="264" w:right="58" w:hanging="19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★A02010107</w:t>
            </w:r>
            <w:r>
              <w:rPr>
                <w:rFonts w:ascii="Arial" w:hAnsi="Arial" w:eastAsia="宋体" w:cs="Times New Roman"/>
                <w:color w:val="000000" w:themeColor="text1"/>
                <w:spacing w:val="-4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平板式微型计算机</w:t>
            </w:r>
          </w:p>
        </w:tc>
        <w:tc>
          <w:tcPr>
            <w:tcW w:w="1784" w:type="dxa"/>
            <w:noWrap w:val="0"/>
            <w:vAlign w:val="top"/>
          </w:tcPr>
          <w:p w14:paraId="0BEF641D">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135DE94D">
            <w:pPr>
              <w:snapToGrid w:val="0"/>
              <w:spacing w:before="102" w:after="80" w:line="271" w:lineRule="auto"/>
              <w:ind w:left="17" w:right="14"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 xml:space="preserve">《微型计算机能效限定值及能效等级》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（GB28380）</w:t>
            </w:r>
          </w:p>
        </w:tc>
      </w:tr>
      <w:tr w14:paraId="07F90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578" w:type="dxa"/>
            <w:vMerge w:val="restart"/>
            <w:tcBorders>
              <w:bottom w:val="nil"/>
            </w:tcBorders>
            <w:noWrap w:val="0"/>
            <w:vAlign w:val="top"/>
          </w:tcPr>
          <w:p w14:paraId="0876B3DC">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972736A">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99B4A8D">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EC5D003">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A38514A">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8A03B77">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C1E7655">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8EA7BBF">
            <w:pPr>
              <w:spacing w:line="2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115D11F">
            <w:pPr>
              <w:snapToGrid w:val="0"/>
              <w:spacing w:before="71" w:after="80" w:line="242" w:lineRule="auto"/>
              <w:ind w:left="24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2</w:t>
            </w:r>
          </w:p>
        </w:tc>
        <w:tc>
          <w:tcPr>
            <w:tcW w:w="1133" w:type="dxa"/>
            <w:vMerge w:val="restart"/>
            <w:tcBorders>
              <w:bottom w:val="nil"/>
            </w:tcBorders>
            <w:noWrap w:val="0"/>
            <w:vAlign w:val="top"/>
          </w:tcPr>
          <w:p w14:paraId="264CB6BA">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4524265">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A2ECF24">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63B4CEC">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68F3446">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3279208">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EBC79AB">
            <w:pPr>
              <w:spacing w:line="2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281561E">
            <w:pPr>
              <w:snapToGrid w:val="0"/>
              <w:spacing w:before="72" w:after="80" w:line="280" w:lineRule="auto"/>
              <w:ind w:left="20" w:right="13" w:firstLine="2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输入输出设备</w:t>
            </w:r>
          </w:p>
        </w:tc>
        <w:tc>
          <w:tcPr>
            <w:tcW w:w="1831" w:type="dxa"/>
            <w:vMerge w:val="restart"/>
            <w:tcBorders>
              <w:bottom w:val="nil"/>
            </w:tcBorders>
            <w:noWrap w:val="0"/>
            <w:vAlign w:val="top"/>
          </w:tcPr>
          <w:p w14:paraId="151C6DE1">
            <w:pPr>
              <w:spacing w:line="34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CF60C91">
            <w:pPr>
              <w:spacing w:line="34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DA70A8B">
            <w:pPr>
              <w:snapToGrid w:val="0"/>
              <w:spacing w:before="71" w:after="80" w:line="281" w:lineRule="auto"/>
              <w:ind w:left="813" w:right="61" w:hanging="75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A02010601</w:t>
            </w:r>
            <w:r>
              <w:rPr>
                <w:rFonts w:ascii="Arial" w:hAnsi="Arial" w:eastAsia="宋体" w:cs="Times New Roman"/>
                <w:color w:val="000000" w:themeColor="text1"/>
                <w:spacing w:val="-35"/>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打印设</w:t>
            </w:r>
            <w:r>
              <w:rPr>
                <w:rFonts w:ascii="Arial" w:hAnsi="Arial" w:eastAsia="宋体" w:cs="Times New Roman"/>
                <w:color w:val="000000" w:themeColor="text1"/>
                <w:sz w:val="18"/>
                <w:highlight w:val="none"/>
                <w:lang w:val="en-US" w:eastAsia="en-US" w:bidi="ar-SA"/>
                <w14:textFill>
                  <w14:solidFill>
                    <w14:schemeClr w14:val="tx1"/>
                  </w14:solidFill>
                </w14:textFill>
              </w:rPr>
              <w:t>备</w:t>
            </w:r>
          </w:p>
        </w:tc>
        <w:tc>
          <w:tcPr>
            <w:tcW w:w="1784" w:type="dxa"/>
            <w:noWrap w:val="0"/>
            <w:vAlign w:val="top"/>
          </w:tcPr>
          <w:p w14:paraId="50825F81">
            <w:pPr>
              <w:snapToGrid w:val="0"/>
              <w:spacing w:before="55" w:after="80" w:line="246" w:lineRule="auto"/>
              <w:ind w:left="571" w:right="35" w:hanging="53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A0201060101</w:t>
            </w:r>
            <w:r>
              <w:rPr>
                <w:rFonts w:ascii="Arial" w:hAnsi="Arial" w:eastAsia="宋体" w:cs="Times New Roman"/>
                <w:color w:val="000000" w:themeColor="text1"/>
                <w:spacing w:val="-3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喷墨</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打印机</w:t>
            </w:r>
          </w:p>
        </w:tc>
        <w:tc>
          <w:tcPr>
            <w:tcW w:w="3810" w:type="dxa"/>
            <w:noWrap w:val="0"/>
            <w:vAlign w:val="top"/>
          </w:tcPr>
          <w:p w14:paraId="080E6CAF">
            <w:pPr>
              <w:snapToGrid w:val="0"/>
              <w:spacing w:before="55" w:after="80" w:line="246" w:lineRule="auto"/>
              <w:ind w:left="10"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《复印机、打印机和传真机能效限定值</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及能效等级》（GB21521）</w:t>
            </w:r>
          </w:p>
        </w:tc>
      </w:tr>
      <w:tr w14:paraId="68EEB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578" w:type="dxa"/>
            <w:vMerge w:val="continue"/>
            <w:tcBorders>
              <w:top w:val="nil"/>
              <w:bottom w:val="nil"/>
            </w:tcBorders>
            <w:noWrap w:val="0"/>
            <w:vAlign w:val="top"/>
          </w:tcPr>
          <w:p w14:paraId="0A132B31">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0E6C7A25">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bottom w:val="nil"/>
            </w:tcBorders>
            <w:noWrap w:val="0"/>
            <w:vAlign w:val="top"/>
          </w:tcPr>
          <w:p w14:paraId="177DD727">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404D4E19">
            <w:pPr>
              <w:snapToGrid w:val="0"/>
              <w:spacing w:before="61" w:after="80" w:line="254" w:lineRule="auto"/>
              <w:ind w:left="460" w:right="35" w:hanging="41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★A0201060102</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激</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光打印机</w:t>
            </w:r>
          </w:p>
        </w:tc>
        <w:tc>
          <w:tcPr>
            <w:tcW w:w="3810" w:type="dxa"/>
            <w:noWrap w:val="0"/>
            <w:vAlign w:val="top"/>
          </w:tcPr>
          <w:p w14:paraId="3B286F43">
            <w:pPr>
              <w:snapToGrid w:val="0"/>
              <w:spacing w:before="61" w:after="80" w:line="254" w:lineRule="auto"/>
              <w:ind w:left="10"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《复印机、打印机和传真机能效限定值</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及能效等级》（GB21521）</w:t>
            </w:r>
          </w:p>
        </w:tc>
      </w:tr>
      <w:tr w14:paraId="5371C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noWrap w:val="0"/>
            <w:vAlign w:val="top"/>
          </w:tcPr>
          <w:p w14:paraId="2EA0DB3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4C118756">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tcBorders>
            <w:noWrap w:val="0"/>
            <w:vAlign w:val="top"/>
          </w:tcPr>
          <w:p w14:paraId="1EB3568D">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2B806BC9">
            <w:pPr>
              <w:snapToGrid w:val="0"/>
              <w:spacing w:before="90" w:after="80" w:line="267" w:lineRule="auto"/>
              <w:ind w:left="462" w:right="35" w:hanging="41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★A0201060104</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针</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式打印机</w:t>
            </w:r>
          </w:p>
        </w:tc>
        <w:tc>
          <w:tcPr>
            <w:tcW w:w="3810" w:type="dxa"/>
            <w:noWrap w:val="0"/>
            <w:vAlign w:val="top"/>
          </w:tcPr>
          <w:p w14:paraId="41B895F2">
            <w:pPr>
              <w:snapToGrid w:val="0"/>
              <w:spacing w:before="90" w:after="80" w:line="267" w:lineRule="auto"/>
              <w:ind w:left="10"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《复印机、打印机和传真机能效限定值</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及能效等级》（GB21521）</w:t>
            </w:r>
          </w:p>
        </w:tc>
      </w:tr>
      <w:tr w14:paraId="1A0A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578" w:type="dxa"/>
            <w:vMerge w:val="continue"/>
            <w:tcBorders>
              <w:top w:val="nil"/>
              <w:bottom w:val="nil"/>
            </w:tcBorders>
            <w:noWrap w:val="0"/>
            <w:vAlign w:val="top"/>
          </w:tcPr>
          <w:p w14:paraId="311641D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3A760B91">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7CE20C8C">
            <w:pPr>
              <w:snapToGrid w:val="0"/>
              <w:spacing w:before="177" w:after="80" w:line="281" w:lineRule="auto"/>
              <w:ind w:left="813" w:right="61" w:hanging="75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A02010604</w:t>
            </w:r>
            <w:r>
              <w:rPr>
                <w:rFonts w:ascii="Arial" w:hAnsi="Arial" w:eastAsia="宋体" w:cs="Times New Roman"/>
                <w:color w:val="000000" w:themeColor="text1"/>
                <w:spacing w:val="-35"/>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显示设</w:t>
            </w:r>
            <w:r>
              <w:rPr>
                <w:rFonts w:ascii="Arial" w:hAnsi="Arial" w:eastAsia="宋体" w:cs="Times New Roman"/>
                <w:color w:val="000000" w:themeColor="text1"/>
                <w:sz w:val="18"/>
                <w:highlight w:val="none"/>
                <w:lang w:val="en-US" w:eastAsia="en-US" w:bidi="ar-SA"/>
                <w14:textFill>
                  <w14:solidFill>
                    <w14:schemeClr w14:val="tx1"/>
                  </w14:solidFill>
                </w14:textFill>
              </w:rPr>
              <w:t>备</w:t>
            </w:r>
          </w:p>
        </w:tc>
        <w:tc>
          <w:tcPr>
            <w:tcW w:w="1784" w:type="dxa"/>
            <w:noWrap w:val="0"/>
            <w:vAlign w:val="top"/>
          </w:tcPr>
          <w:p w14:paraId="093A11BC">
            <w:pPr>
              <w:snapToGrid w:val="0"/>
              <w:spacing w:before="177" w:after="80" w:line="281" w:lineRule="auto"/>
              <w:ind w:left="477" w:right="35" w:hanging="42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★A0201060401</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液</w:t>
            </w:r>
            <w:r>
              <w:rPr>
                <w:rFonts w:ascii="Arial" w:hAnsi="Arial" w:eastAsia="宋体" w:cs="Times New Roman"/>
                <w:color w:val="000000" w:themeColor="text1"/>
                <w:spacing w:val="-7"/>
                <w:sz w:val="18"/>
                <w:highlight w:val="none"/>
                <w:lang w:val="en-US" w:eastAsia="en-US" w:bidi="ar-SA"/>
                <w14:textFill>
                  <w14:solidFill>
                    <w14:schemeClr w14:val="tx1"/>
                  </w14:solidFill>
                </w14:textFill>
              </w:rPr>
              <w:t>晶显示器</w:t>
            </w:r>
          </w:p>
        </w:tc>
        <w:tc>
          <w:tcPr>
            <w:tcW w:w="3810" w:type="dxa"/>
            <w:noWrap w:val="0"/>
            <w:vAlign w:val="top"/>
          </w:tcPr>
          <w:p w14:paraId="12DA9D14">
            <w:pPr>
              <w:snapToGrid w:val="0"/>
              <w:spacing w:before="178" w:after="80" w:line="281"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《计算机显示器能效限定值及能效等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级》（GB21520）</w:t>
            </w:r>
          </w:p>
        </w:tc>
      </w:tr>
      <w:tr w14:paraId="6102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578" w:type="dxa"/>
            <w:vMerge w:val="continue"/>
            <w:tcBorders>
              <w:top w:val="nil"/>
            </w:tcBorders>
            <w:noWrap w:val="0"/>
            <w:vAlign w:val="top"/>
          </w:tcPr>
          <w:p w14:paraId="1EA3D4D1">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7F56CD7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42070E39">
            <w:pPr>
              <w:spacing w:line="28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FC6CD56">
            <w:pPr>
              <w:snapToGrid w:val="0"/>
              <w:spacing w:before="72" w:after="80" w:line="280" w:lineRule="auto"/>
              <w:ind w:left="371" w:right="61" w:hanging="30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A02010609</w:t>
            </w:r>
            <w:r>
              <w:rPr>
                <w:rFonts w:ascii="Arial" w:hAnsi="Arial" w:eastAsia="宋体" w:cs="Times New Roman"/>
                <w:color w:val="000000" w:themeColor="text1"/>
                <w:spacing w:val="-2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图形图</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像输入设备</w:t>
            </w:r>
          </w:p>
        </w:tc>
        <w:tc>
          <w:tcPr>
            <w:tcW w:w="1784" w:type="dxa"/>
            <w:noWrap w:val="0"/>
            <w:vAlign w:val="top"/>
          </w:tcPr>
          <w:p w14:paraId="3BE89C91">
            <w:pPr>
              <w:spacing w:line="28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20D87AE">
            <w:pPr>
              <w:snapToGrid w:val="0"/>
              <w:spacing w:before="72" w:after="80" w:line="280" w:lineRule="auto"/>
              <w:ind w:left="787" w:right="35" w:hanging="74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A0201060901</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扫描</w:t>
            </w:r>
            <w:r>
              <w:rPr>
                <w:rFonts w:ascii="Arial" w:hAnsi="Arial" w:eastAsia="宋体" w:cs="Times New Roman"/>
                <w:color w:val="000000" w:themeColor="text1"/>
                <w:sz w:val="18"/>
                <w:highlight w:val="none"/>
                <w:lang w:val="en-US" w:eastAsia="en-US" w:bidi="ar-SA"/>
                <w14:textFill>
                  <w14:solidFill>
                    <w14:schemeClr w14:val="tx1"/>
                  </w14:solidFill>
                </w14:textFill>
              </w:rPr>
              <w:t>仪</w:t>
            </w:r>
          </w:p>
        </w:tc>
        <w:tc>
          <w:tcPr>
            <w:tcW w:w="3810" w:type="dxa"/>
            <w:noWrap w:val="0"/>
            <w:vAlign w:val="top"/>
          </w:tcPr>
          <w:p w14:paraId="5AFB4B0A">
            <w:pPr>
              <w:snapToGrid w:val="0"/>
              <w:spacing w:before="55" w:after="80" w:line="278" w:lineRule="auto"/>
              <w:ind w:left="15" w:right="5" w:hanging="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参照《复印机、打印机和传真机能效限</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定值及能效等级》（GB21521）</w:t>
            </w:r>
          </w:p>
          <w:p w14:paraId="0B265E9F">
            <w:pPr>
              <w:snapToGrid w:val="0"/>
              <w:spacing w:before="80" w:after="80" w:line="225" w:lineRule="auto"/>
              <w:ind w:left="12"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打印速度为</w:t>
            </w:r>
            <w:r>
              <w:rPr>
                <w:rFonts w:ascii="Arial" w:hAnsi="Arial" w:eastAsia="宋体" w:cs="Times New Roman"/>
                <w:color w:val="000000" w:themeColor="text1"/>
                <w:spacing w:val="-28"/>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z w:val="18"/>
                <w:highlight w:val="none"/>
                <w:lang w:val="en-US" w:eastAsia="en-US" w:bidi="ar-SA"/>
                <w14:textFill>
                  <w14:solidFill>
                    <w14:schemeClr w14:val="tx1"/>
                  </w14:solidFill>
                </w14:textFill>
              </w:rPr>
              <w:t>15</w:t>
            </w:r>
            <w:r>
              <w:rPr>
                <w:rFonts w:ascii="Arial" w:hAnsi="Arial" w:eastAsia="宋体" w:cs="Times New Roman"/>
                <w:color w:val="000000" w:themeColor="text1"/>
                <w:spacing w:val="-39"/>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z w:val="18"/>
                <w:highlight w:val="none"/>
                <w:lang w:val="en-US" w:eastAsia="en-US" w:bidi="ar-SA"/>
                <w14:textFill>
                  <w14:solidFill>
                    <w14:schemeClr w14:val="tx1"/>
                  </w14:solidFill>
                </w14:textFill>
              </w:rPr>
              <w:t>页/分的针式打印机相关</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要求</w:t>
            </w:r>
          </w:p>
        </w:tc>
      </w:tr>
      <w:tr w14:paraId="0D267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noWrap w:val="0"/>
            <w:vAlign w:val="top"/>
          </w:tcPr>
          <w:p w14:paraId="1CECC70B">
            <w:pPr>
              <w:snapToGrid w:val="0"/>
              <w:spacing w:before="228" w:after="80"/>
              <w:ind w:left="24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3</w:t>
            </w:r>
          </w:p>
        </w:tc>
        <w:tc>
          <w:tcPr>
            <w:tcW w:w="1133" w:type="dxa"/>
            <w:noWrap w:val="0"/>
            <w:vAlign w:val="top"/>
          </w:tcPr>
          <w:p w14:paraId="0D90887D">
            <w:pPr>
              <w:snapToGrid w:val="0"/>
              <w:spacing w:before="58" w:after="80" w:line="256" w:lineRule="auto"/>
              <w:ind w:left="460" w:right="42" w:hanging="41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A020202</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投</w:t>
            </w:r>
            <w:r>
              <w:rPr>
                <w:rFonts w:ascii="Arial" w:hAnsi="Arial" w:eastAsia="宋体" w:cs="Times New Roman"/>
                <w:color w:val="000000" w:themeColor="text1"/>
                <w:sz w:val="18"/>
                <w:highlight w:val="none"/>
                <w:lang w:val="en-US" w:eastAsia="en-US" w:bidi="ar-SA"/>
                <w14:textFill>
                  <w14:solidFill>
                    <w14:schemeClr w14:val="tx1"/>
                  </w14:solidFill>
                </w14:textFill>
              </w:rPr>
              <w:t>影</w:t>
            </w:r>
          </w:p>
        </w:tc>
        <w:tc>
          <w:tcPr>
            <w:tcW w:w="1831" w:type="dxa"/>
            <w:noWrap w:val="0"/>
            <w:vAlign w:val="top"/>
          </w:tcPr>
          <w:p w14:paraId="2447BC5F">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3384553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2A8152E7">
            <w:pPr>
              <w:snapToGrid w:val="0"/>
              <w:spacing w:before="63" w:after="80" w:line="254" w:lineRule="auto"/>
              <w:ind w:left="17" w:right="511"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《投影机能效限定值及能效等级》</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（GB32028）</w:t>
            </w:r>
          </w:p>
        </w:tc>
      </w:tr>
      <w:tr w14:paraId="2C6D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78" w:type="dxa"/>
            <w:noWrap w:val="0"/>
            <w:vAlign w:val="top"/>
          </w:tcPr>
          <w:p w14:paraId="03A51EA8">
            <w:pPr>
              <w:spacing w:line="39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D0A9193">
            <w:pPr>
              <w:snapToGrid w:val="0"/>
              <w:spacing w:before="72" w:after="80" w:line="242" w:lineRule="auto"/>
              <w:ind w:left="23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4</w:t>
            </w:r>
          </w:p>
        </w:tc>
        <w:tc>
          <w:tcPr>
            <w:tcW w:w="1133" w:type="dxa"/>
            <w:noWrap w:val="0"/>
            <w:vAlign w:val="top"/>
          </w:tcPr>
          <w:p w14:paraId="03BCEFDF">
            <w:pPr>
              <w:snapToGrid w:val="0"/>
              <w:spacing w:before="138" w:after="80" w:line="280" w:lineRule="auto"/>
              <w:ind w:left="25" w:right="13" w:firstLine="16"/>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A020204</w:t>
            </w:r>
            <w:r>
              <w:rPr>
                <w:rFonts w:ascii="Arial" w:hAnsi="Arial" w:eastAsia="宋体" w:cs="Times New Roman"/>
                <w:color w:val="000000" w:themeColor="text1"/>
                <w:spacing w:val="-3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多功能一体机</w:t>
            </w:r>
          </w:p>
        </w:tc>
        <w:tc>
          <w:tcPr>
            <w:tcW w:w="1831" w:type="dxa"/>
            <w:noWrap w:val="0"/>
            <w:vAlign w:val="top"/>
          </w:tcPr>
          <w:p w14:paraId="5A826742">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1BD2D196">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7B084D80">
            <w:pPr>
              <w:snapToGrid w:val="0"/>
              <w:spacing w:before="139" w:after="80" w:line="280" w:lineRule="auto"/>
              <w:ind w:left="10"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《复印机、打印机和传真机能效限定值</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及能效等级》（GB21521）</w:t>
            </w:r>
          </w:p>
        </w:tc>
      </w:tr>
      <w:tr w14:paraId="3765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578" w:type="dxa"/>
            <w:noWrap w:val="0"/>
            <w:vAlign w:val="top"/>
          </w:tcPr>
          <w:p w14:paraId="3D25D44F">
            <w:pPr>
              <w:snapToGrid w:val="0"/>
              <w:spacing w:before="275" w:after="80"/>
              <w:ind w:left="24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5</w:t>
            </w:r>
          </w:p>
        </w:tc>
        <w:tc>
          <w:tcPr>
            <w:tcW w:w="1133" w:type="dxa"/>
            <w:noWrap w:val="0"/>
            <w:vAlign w:val="top"/>
          </w:tcPr>
          <w:p w14:paraId="12D9EFEA">
            <w:pPr>
              <w:snapToGrid w:val="0"/>
              <w:spacing w:before="275" w:after="80" w:line="220" w:lineRule="auto"/>
              <w:ind w:left="4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A020519</w:t>
            </w:r>
            <w:r>
              <w:rPr>
                <w:rFonts w:ascii="Arial" w:hAnsi="Arial" w:eastAsia="宋体" w:cs="Times New Roman"/>
                <w:color w:val="000000" w:themeColor="text1"/>
                <w:spacing w:val="-4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泵</w:t>
            </w:r>
          </w:p>
        </w:tc>
        <w:tc>
          <w:tcPr>
            <w:tcW w:w="1831" w:type="dxa"/>
            <w:noWrap w:val="0"/>
            <w:vAlign w:val="top"/>
          </w:tcPr>
          <w:p w14:paraId="4040DD75">
            <w:pPr>
              <w:snapToGrid w:val="0"/>
              <w:spacing w:before="275" w:after="80" w:line="220" w:lineRule="auto"/>
              <w:ind w:left="6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A02051901</w:t>
            </w:r>
            <w:r>
              <w:rPr>
                <w:rFonts w:ascii="Arial" w:hAnsi="Arial" w:eastAsia="宋体" w:cs="Times New Roman"/>
                <w:color w:val="000000" w:themeColor="text1"/>
                <w:spacing w:val="-45"/>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离心泵</w:t>
            </w:r>
          </w:p>
        </w:tc>
        <w:tc>
          <w:tcPr>
            <w:tcW w:w="1784" w:type="dxa"/>
            <w:noWrap w:val="0"/>
            <w:vAlign w:val="top"/>
          </w:tcPr>
          <w:p w14:paraId="4762DD0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0CEBB0AD">
            <w:pPr>
              <w:snapToGrid w:val="0"/>
              <w:spacing w:before="112" w:after="80" w:line="272" w:lineRule="auto"/>
              <w:ind w:left="11" w:right="5" w:firstLine="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《清水离心泵能效限定值及节能评价</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值》（GB19762）</w:t>
            </w:r>
          </w:p>
        </w:tc>
      </w:tr>
      <w:tr w14:paraId="06D26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578" w:type="dxa"/>
            <w:vMerge w:val="restart"/>
            <w:tcBorders>
              <w:bottom w:val="nil"/>
            </w:tcBorders>
            <w:noWrap w:val="0"/>
            <w:vAlign w:val="top"/>
          </w:tcPr>
          <w:p w14:paraId="4A932C62">
            <w:pPr>
              <w:spacing w:line="30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A8AFF4D">
            <w:pPr>
              <w:spacing w:line="30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0D898B8">
            <w:pPr>
              <w:spacing w:line="30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CD592D7">
            <w:pPr>
              <w:snapToGrid w:val="0"/>
              <w:spacing w:before="72" w:after="80"/>
              <w:ind w:left="24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6</w:t>
            </w:r>
          </w:p>
        </w:tc>
        <w:tc>
          <w:tcPr>
            <w:tcW w:w="1133" w:type="dxa"/>
            <w:vMerge w:val="restart"/>
            <w:tcBorders>
              <w:bottom w:val="nil"/>
            </w:tcBorders>
            <w:noWrap w:val="0"/>
            <w:vAlign w:val="top"/>
          </w:tcPr>
          <w:p w14:paraId="5932F545">
            <w:pPr>
              <w:spacing w:line="24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AFE32DB">
            <w:pPr>
              <w:spacing w:line="24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0045EF3">
            <w:pPr>
              <w:spacing w:line="24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24C24AC">
            <w:pPr>
              <w:snapToGrid w:val="0"/>
              <w:spacing w:before="72" w:after="80" w:line="281" w:lineRule="auto"/>
              <w:ind w:left="23" w:right="13" w:firstLine="1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A020523</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制冷空调设备</w:t>
            </w:r>
          </w:p>
        </w:tc>
        <w:tc>
          <w:tcPr>
            <w:tcW w:w="1831" w:type="dxa"/>
            <w:vMerge w:val="restart"/>
            <w:tcBorders>
              <w:bottom w:val="nil"/>
            </w:tcBorders>
            <w:noWrap w:val="0"/>
            <w:vAlign w:val="top"/>
          </w:tcPr>
          <w:p w14:paraId="45056762">
            <w:pPr>
              <w:spacing w:line="24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FCFD85B">
            <w:pPr>
              <w:spacing w:line="24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5C3567F">
            <w:pPr>
              <w:spacing w:line="24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0445BDD">
            <w:pPr>
              <w:snapToGrid w:val="0"/>
              <w:spacing w:before="72" w:after="80" w:line="280" w:lineRule="auto"/>
              <w:ind w:left="590" w:right="58" w:hanging="51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★A02052301</w:t>
            </w:r>
            <w:r>
              <w:rPr>
                <w:rFonts w:ascii="Arial" w:hAnsi="Arial" w:eastAsia="宋体" w:cs="Times New Roman"/>
                <w:color w:val="000000" w:themeColor="text1"/>
                <w:spacing w:val="-4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制冷</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压缩机</w:t>
            </w:r>
          </w:p>
        </w:tc>
        <w:tc>
          <w:tcPr>
            <w:tcW w:w="1784" w:type="dxa"/>
            <w:noWrap w:val="0"/>
            <w:vAlign w:val="top"/>
          </w:tcPr>
          <w:p w14:paraId="6CAA629F">
            <w:pPr>
              <w:spacing w:line="26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2197D81">
            <w:pPr>
              <w:spacing w:line="267"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65AD07F">
            <w:pPr>
              <w:snapToGrid w:val="0"/>
              <w:spacing w:before="72" w:after="80" w:line="219" w:lineRule="auto"/>
              <w:ind w:left="46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冷水机组</w:t>
            </w:r>
          </w:p>
        </w:tc>
        <w:tc>
          <w:tcPr>
            <w:tcW w:w="3810" w:type="dxa"/>
            <w:noWrap w:val="0"/>
            <w:vAlign w:val="top"/>
          </w:tcPr>
          <w:p w14:paraId="12DAFEB5">
            <w:pPr>
              <w:snapToGrid w:val="0"/>
              <w:spacing w:before="112" w:after="80" w:line="275" w:lineRule="auto"/>
              <w:ind w:left="17" w:right="3" w:hanging="5"/>
              <w:jc w:val="both"/>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《冷水机组能效限定值及能效等级》</w:t>
            </w:r>
            <w:r>
              <w:rPr>
                <w:rFonts w:ascii="Arial" w:hAnsi="Arial" w:eastAsia="宋体" w:cs="Times New Roman"/>
                <w:color w:val="000000" w:themeColor="text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（GB19577</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《低环境温度空气源热泵</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（冷水）机组能效限定值及能效等级》</w:t>
            </w:r>
            <w:r>
              <w:rPr>
                <w:rFonts w:ascii="Arial" w:hAnsi="Arial" w:eastAsia="宋体" w:cs="Times New Roman"/>
                <w:color w:val="000000" w:themeColor="text1"/>
                <w:spacing w:val="1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（GB37480）</w:t>
            </w:r>
          </w:p>
        </w:tc>
      </w:tr>
      <w:tr w14:paraId="514A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continue"/>
            <w:tcBorders>
              <w:top w:val="nil"/>
            </w:tcBorders>
            <w:noWrap w:val="0"/>
            <w:vAlign w:val="top"/>
          </w:tcPr>
          <w:p w14:paraId="15FA40C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5AF6D542">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tcBorders>
            <w:noWrap w:val="0"/>
            <w:vAlign w:val="top"/>
          </w:tcPr>
          <w:p w14:paraId="48A98E7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4E957351">
            <w:pPr>
              <w:snapToGrid w:val="0"/>
              <w:spacing w:before="262" w:after="80" w:line="219" w:lineRule="auto"/>
              <w:ind w:left="24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水源热泵机组</w:t>
            </w:r>
          </w:p>
        </w:tc>
        <w:tc>
          <w:tcPr>
            <w:tcW w:w="3810" w:type="dxa"/>
            <w:noWrap w:val="0"/>
            <w:vAlign w:val="top"/>
          </w:tcPr>
          <w:p w14:paraId="151FF8FA">
            <w:pPr>
              <w:snapToGrid w:val="0"/>
              <w:spacing w:before="97" w:after="80" w:line="266" w:lineRule="auto"/>
              <w:ind w:left="15" w:right="5" w:hanging="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《水（地）源热泵机组能效限定值及能</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效等级》（GB30721）</w:t>
            </w:r>
          </w:p>
        </w:tc>
      </w:tr>
    </w:tbl>
    <w:p w14:paraId="1C127DA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5156AF4">
      <w:pPr>
        <w:rPr>
          <w:rFonts w:ascii="Arial" w:hAnsi="Arial" w:eastAsia="Arial" w:cs="Arial"/>
          <w:color w:val="000000" w:themeColor="text1"/>
          <w:sz w:val="21"/>
          <w:szCs w:val="21"/>
          <w:highlight w:val="none"/>
          <w14:textFill>
            <w14:solidFill>
              <w14:schemeClr w14:val="tx1"/>
            </w14:solidFill>
          </w14:textFill>
        </w:rPr>
        <w:sectPr>
          <w:footerReference r:id="rId9" w:type="default"/>
          <w:pgSz w:w="11906" w:h="16839"/>
          <w:pgMar w:top="1194" w:right="1385" w:bottom="1091" w:left="1379" w:header="0" w:footer="929" w:gutter="0"/>
          <w:pgNumType w:fmt="decimal"/>
          <w:cols w:space="720" w:num="1"/>
        </w:sectPr>
      </w:pPr>
    </w:p>
    <w:tbl>
      <w:tblPr>
        <w:tblStyle w:val="124"/>
        <w:tblW w:w="91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33"/>
        <w:gridCol w:w="1831"/>
        <w:gridCol w:w="1784"/>
        <w:gridCol w:w="3810"/>
      </w:tblGrid>
      <w:tr w14:paraId="34BF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578" w:type="dxa"/>
            <w:vMerge w:val="restart"/>
            <w:tcBorders>
              <w:bottom w:val="nil"/>
            </w:tcBorders>
            <w:noWrap w:val="0"/>
            <w:vAlign w:val="top"/>
          </w:tcPr>
          <w:p w14:paraId="1EBD8E5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restart"/>
            <w:tcBorders>
              <w:bottom w:val="nil"/>
            </w:tcBorders>
            <w:noWrap w:val="0"/>
            <w:vAlign w:val="top"/>
          </w:tcPr>
          <w:p w14:paraId="4ADDA006">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2B2BC56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0086547B">
            <w:pPr>
              <w:snapToGrid w:val="0"/>
              <w:spacing w:before="119" w:after="80" w:line="278" w:lineRule="auto"/>
              <w:ind w:left="677" w:right="6" w:hanging="65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溴化锂吸收式冷水</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机组</w:t>
            </w:r>
          </w:p>
        </w:tc>
        <w:tc>
          <w:tcPr>
            <w:tcW w:w="3810" w:type="dxa"/>
            <w:noWrap w:val="0"/>
            <w:vAlign w:val="top"/>
          </w:tcPr>
          <w:p w14:paraId="280E4618">
            <w:pPr>
              <w:snapToGrid w:val="0"/>
              <w:spacing w:before="119" w:after="80" w:line="278" w:lineRule="auto"/>
              <w:ind w:left="19" w:right="5" w:hanging="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《溴化锂吸收式冷水机组能效限定值及</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能效等级》（GB29540）</w:t>
            </w:r>
          </w:p>
        </w:tc>
      </w:tr>
      <w:tr w14:paraId="2158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578" w:type="dxa"/>
            <w:vMerge w:val="continue"/>
            <w:tcBorders>
              <w:top w:val="nil"/>
              <w:bottom w:val="nil"/>
            </w:tcBorders>
            <w:noWrap w:val="0"/>
            <w:vAlign w:val="top"/>
          </w:tcPr>
          <w:p w14:paraId="7502893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5FE7548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restart"/>
            <w:tcBorders>
              <w:bottom w:val="nil"/>
            </w:tcBorders>
            <w:noWrap w:val="0"/>
            <w:vAlign w:val="top"/>
          </w:tcPr>
          <w:p w14:paraId="7AA41DDF">
            <w:pPr>
              <w:spacing w:line="25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DAC6F3A">
            <w:pPr>
              <w:spacing w:line="25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A3BD272">
            <w:pPr>
              <w:spacing w:line="25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A2B7387">
            <w:pPr>
              <w:snapToGrid w:val="0"/>
              <w:spacing w:before="72" w:after="80" w:line="280" w:lineRule="auto"/>
              <w:ind w:left="698" w:right="58" w:hanging="626"/>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★A02052305</w:t>
            </w:r>
            <w:r>
              <w:rPr>
                <w:rFonts w:ascii="Arial" w:hAnsi="Arial" w:eastAsia="宋体" w:cs="Times New Roman"/>
                <w:color w:val="000000" w:themeColor="text1"/>
                <w:spacing w:val="-3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空调机组</w:t>
            </w:r>
          </w:p>
        </w:tc>
        <w:tc>
          <w:tcPr>
            <w:tcW w:w="1784" w:type="dxa"/>
            <w:noWrap w:val="0"/>
            <w:vAlign w:val="top"/>
          </w:tcPr>
          <w:p w14:paraId="496BC366">
            <w:pPr>
              <w:snapToGrid w:val="0"/>
              <w:spacing w:before="131" w:after="80" w:line="220" w:lineRule="auto"/>
              <w:jc w:val="right"/>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5"/>
                <w:sz w:val="18"/>
                <w:highlight w:val="none"/>
                <w:lang w:val="en-US" w:eastAsia="en-US" w:bidi="ar-SA"/>
                <w14:textFill>
                  <w14:solidFill>
                    <w14:schemeClr w14:val="tx1"/>
                  </w14:solidFill>
                </w14:textFill>
              </w:rPr>
              <w:t>多联式空调（热泵）</w:t>
            </w:r>
          </w:p>
          <w:p w14:paraId="72C857F6">
            <w:pPr>
              <w:snapToGrid w:val="0"/>
              <w:spacing w:before="69" w:after="80" w:line="219" w:lineRule="auto"/>
              <w:ind w:left="34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机组（制冷</w:t>
            </w:r>
          </w:p>
          <w:p w14:paraId="119C7049">
            <w:pPr>
              <w:snapToGrid w:val="0"/>
              <w:spacing w:before="69" w:after="80" w:line="226" w:lineRule="auto"/>
              <w:ind w:left="29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量&gt;14000W）</w:t>
            </w:r>
          </w:p>
        </w:tc>
        <w:tc>
          <w:tcPr>
            <w:tcW w:w="3810" w:type="dxa"/>
            <w:noWrap w:val="0"/>
            <w:vAlign w:val="top"/>
          </w:tcPr>
          <w:p w14:paraId="33BDB2F8">
            <w:pPr>
              <w:snapToGrid w:val="0"/>
              <w:spacing w:before="297" w:after="80" w:line="280" w:lineRule="auto"/>
              <w:ind w:left="10"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《多联式空调（热泵）机组能效限定值</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及能源效率等级》（GB21454）</w:t>
            </w:r>
          </w:p>
        </w:tc>
      </w:tr>
      <w:tr w14:paraId="7488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78" w:type="dxa"/>
            <w:vMerge w:val="continue"/>
            <w:tcBorders>
              <w:top w:val="nil"/>
              <w:bottom w:val="nil"/>
            </w:tcBorders>
            <w:noWrap w:val="0"/>
            <w:vAlign w:val="top"/>
          </w:tcPr>
          <w:p w14:paraId="0FC5C91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0D848E4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tcBorders>
            <w:noWrap w:val="0"/>
            <w:vAlign w:val="top"/>
          </w:tcPr>
          <w:p w14:paraId="7E753F8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31917231">
            <w:pPr>
              <w:spacing w:line="35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2AFDB71">
            <w:pPr>
              <w:snapToGrid w:val="0"/>
              <w:spacing w:before="71" w:after="80" w:line="269" w:lineRule="auto"/>
              <w:ind w:left="18"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1"/>
                <w:sz w:val="18"/>
                <w:highlight w:val="none"/>
                <w:lang w:val="en-US" w:eastAsia="en-US" w:bidi="ar-SA"/>
                <w14:textFill>
                  <w14:solidFill>
                    <w14:schemeClr w14:val="tx1"/>
                  </w14:solidFill>
                </w14:textFill>
              </w:rPr>
              <w:t>单元式空气调节机</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（制冷量&gt;14000W）</w:t>
            </w:r>
          </w:p>
        </w:tc>
        <w:tc>
          <w:tcPr>
            <w:tcW w:w="3810" w:type="dxa"/>
            <w:noWrap w:val="0"/>
            <w:vAlign w:val="top"/>
          </w:tcPr>
          <w:p w14:paraId="573B722C">
            <w:pPr>
              <w:snapToGrid w:val="0"/>
              <w:spacing w:before="95" w:after="80" w:line="272" w:lineRule="auto"/>
              <w:ind w:left="12"/>
              <w:jc w:val="both"/>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《单元式空气调节机能效限定值及能效</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等级》（GB19576）《风管送风式空调机</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组能效限定值及能效等级》（GB37479）</w:t>
            </w:r>
          </w:p>
        </w:tc>
      </w:tr>
      <w:tr w14:paraId="5CE5F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78" w:type="dxa"/>
            <w:vMerge w:val="continue"/>
            <w:tcBorders>
              <w:top w:val="nil"/>
              <w:bottom w:val="nil"/>
            </w:tcBorders>
            <w:noWrap w:val="0"/>
            <w:vAlign w:val="top"/>
          </w:tcPr>
          <w:p w14:paraId="44BCFC8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71DCD44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2FCB7DA6">
            <w:pPr>
              <w:snapToGrid w:val="0"/>
              <w:spacing w:before="56" w:after="80" w:line="270" w:lineRule="auto"/>
              <w:ind w:left="810" w:right="58" w:hanging="73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★A02052309</w:t>
            </w:r>
            <w:r>
              <w:rPr>
                <w:rFonts w:ascii="Arial" w:hAnsi="Arial" w:eastAsia="宋体" w:cs="Times New Roman"/>
                <w:color w:val="000000" w:themeColor="text1"/>
                <w:spacing w:val="-4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专用</w:t>
            </w:r>
            <w:r>
              <w:rPr>
                <w:rFonts w:ascii="Arial" w:hAnsi="Arial" w:eastAsia="宋体" w:cs="Times New Roman"/>
                <w:color w:val="000000" w:themeColor="text1"/>
                <w:sz w:val="18"/>
                <w:highlight w:val="none"/>
                <w:lang w:val="en-US" w:eastAsia="en-US" w:bidi="ar-SA"/>
                <w14:textFill>
                  <w14:solidFill>
                    <w14:schemeClr w14:val="tx1"/>
                  </w14:solidFill>
                </w14:textFill>
              </w:rPr>
              <w:t>制</w:t>
            </w:r>
          </w:p>
        </w:tc>
        <w:tc>
          <w:tcPr>
            <w:tcW w:w="1784" w:type="dxa"/>
            <w:noWrap w:val="0"/>
            <w:vAlign w:val="top"/>
          </w:tcPr>
          <w:p w14:paraId="6BD622AD">
            <w:pPr>
              <w:snapToGrid w:val="0"/>
              <w:spacing w:before="244" w:after="80" w:line="219" w:lineRule="auto"/>
              <w:ind w:left="45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机房空调</w:t>
            </w:r>
          </w:p>
        </w:tc>
        <w:tc>
          <w:tcPr>
            <w:tcW w:w="3810" w:type="dxa"/>
            <w:noWrap w:val="0"/>
            <w:vAlign w:val="top"/>
          </w:tcPr>
          <w:p w14:paraId="346F22F0">
            <w:pPr>
              <w:snapToGrid w:val="0"/>
              <w:spacing w:before="77" w:after="80" w:line="261" w:lineRule="auto"/>
              <w:ind w:left="12" w:right="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《单元式空气调节机能效限定值及能效</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等级》（GB19576）</w:t>
            </w:r>
          </w:p>
        </w:tc>
      </w:tr>
      <w:tr w14:paraId="69EA9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578" w:type="dxa"/>
            <w:vMerge w:val="continue"/>
            <w:tcBorders>
              <w:top w:val="nil"/>
            </w:tcBorders>
            <w:noWrap w:val="0"/>
            <w:vAlign w:val="top"/>
          </w:tcPr>
          <w:p w14:paraId="287D1AB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33C91A6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7C633A09">
            <w:pPr>
              <w:spacing w:line="338"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71DADF2">
            <w:pPr>
              <w:snapToGrid w:val="0"/>
              <w:spacing w:before="71" w:after="80" w:line="281" w:lineRule="auto"/>
              <w:ind w:left="373" w:right="61" w:hanging="31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A02052399</w:t>
            </w:r>
            <w:r>
              <w:rPr>
                <w:rFonts w:ascii="Arial" w:hAnsi="Arial" w:eastAsia="宋体" w:cs="Times New Roman"/>
                <w:color w:val="000000" w:themeColor="text1"/>
                <w:spacing w:val="-47"/>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其他制</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冷空调设备</w:t>
            </w:r>
          </w:p>
        </w:tc>
        <w:tc>
          <w:tcPr>
            <w:tcW w:w="1784" w:type="dxa"/>
            <w:noWrap w:val="0"/>
            <w:vAlign w:val="top"/>
          </w:tcPr>
          <w:p w14:paraId="0E5C0264">
            <w:pPr>
              <w:spacing w:line="25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537FB77">
            <w:pPr>
              <w:spacing w:line="25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9FB5CCD">
            <w:pPr>
              <w:snapToGrid w:val="0"/>
              <w:spacing w:before="72" w:after="80" w:line="222" w:lineRule="auto"/>
              <w:ind w:left="57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冷却塔</w:t>
            </w:r>
          </w:p>
        </w:tc>
        <w:tc>
          <w:tcPr>
            <w:tcW w:w="3810" w:type="dxa"/>
            <w:noWrap w:val="0"/>
            <w:vAlign w:val="top"/>
          </w:tcPr>
          <w:p w14:paraId="4A598188">
            <w:pPr>
              <w:snapToGrid w:val="0"/>
              <w:spacing w:before="78" w:after="80" w:line="270" w:lineRule="auto"/>
              <w:ind w:left="12" w:right="514"/>
              <w:jc w:val="both"/>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4"/>
                <w:sz w:val="18"/>
                <w:highlight w:val="none"/>
                <w:lang w:val="en-US" w:eastAsia="en-US" w:bidi="ar-SA"/>
                <w14:textFill>
                  <w14:solidFill>
                    <w14:schemeClr w14:val="tx1"/>
                  </w14:solidFill>
                </w14:textFill>
              </w:rPr>
              <w:t>《机械通风冷却塔第</w:t>
            </w:r>
            <w:r>
              <w:rPr>
                <w:rFonts w:ascii="Arial" w:hAnsi="Arial" w:eastAsia="宋体" w:cs="Times New Roman"/>
                <w:color w:val="000000" w:themeColor="text1"/>
                <w:spacing w:val="-2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1</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部分：中</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小型开式冷却塔》（GB/T7190.1）</w:t>
            </w:r>
            <w:r>
              <w:rPr>
                <w:rFonts w:ascii="Arial" w:hAnsi="Arial" w:eastAsia="宋体" w:cs="Times New Roman"/>
                <w:color w:val="000000" w:themeColor="text1"/>
                <w:spacing w:val="16"/>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《机械通风冷却塔第</w:t>
            </w:r>
            <w:r>
              <w:rPr>
                <w:rFonts w:ascii="Arial" w:hAnsi="Arial" w:eastAsia="宋体" w:cs="Times New Roman"/>
                <w:color w:val="000000" w:themeColor="text1"/>
                <w:spacing w:val="-3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2</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部分：大</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型开式冷却塔》（GB/T7190.2）</w:t>
            </w:r>
          </w:p>
        </w:tc>
      </w:tr>
      <w:tr w14:paraId="67CB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noWrap w:val="0"/>
            <w:vAlign w:val="top"/>
          </w:tcPr>
          <w:p w14:paraId="48797CE3">
            <w:pPr>
              <w:snapToGrid w:val="0"/>
              <w:spacing w:before="258" w:after="80"/>
              <w:ind w:left="24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7</w:t>
            </w:r>
          </w:p>
        </w:tc>
        <w:tc>
          <w:tcPr>
            <w:tcW w:w="1133" w:type="dxa"/>
            <w:noWrap w:val="0"/>
            <w:vAlign w:val="top"/>
          </w:tcPr>
          <w:p w14:paraId="04E48221">
            <w:pPr>
              <w:snapToGrid w:val="0"/>
              <w:spacing w:before="93" w:after="80" w:line="266" w:lineRule="auto"/>
              <w:ind w:left="459" w:right="42" w:hanging="41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5"/>
                <w:sz w:val="18"/>
                <w:highlight w:val="none"/>
                <w:lang w:val="en-US" w:eastAsia="en-US" w:bidi="ar-SA"/>
                <w14:textFill>
                  <w14:solidFill>
                    <w14:schemeClr w14:val="tx1"/>
                  </w14:solidFill>
                </w14:textFill>
              </w:rPr>
              <w:t>A020601</w:t>
            </w:r>
            <w:r>
              <w:rPr>
                <w:rFonts w:ascii="Arial" w:hAnsi="Arial" w:eastAsia="宋体" w:cs="Times New Roman"/>
                <w:color w:val="000000" w:themeColor="text1"/>
                <w:spacing w:val="-17"/>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电</w:t>
            </w:r>
            <w:r>
              <w:rPr>
                <w:rFonts w:ascii="Arial" w:hAnsi="Arial" w:eastAsia="宋体" w:cs="Times New Roman"/>
                <w:color w:val="000000" w:themeColor="text1"/>
                <w:sz w:val="18"/>
                <w:highlight w:val="none"/>
                <w:lang w:val="en-US" w:eastAsia="en-US" w:bidi="ar-SA"/>
                <w14:textFill>
                  <w14:solidFill>
                    <w14:schemeClr w14:val="tx1"/>
                  </w14:solidFill>
                </w14:textFill>
              </w:rPr>
              <w:t>机</w:t>
            </w:r>
          </w:p>
        </w:tc>
        <w:tc>
          <w:tcPr>
            <w:tcW w:w="1831" w:type="dxa"/>
            <w:noWrap w:val="0"/>
            <w:vAlign w:val="top"/>
          </w:tcPr>
          <w:p w14:paraId="791C69C2">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0863B07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5D74DBC6">
            <w:pPr>
              <w:snapToGrid w:val="0"/>
              <w:spacing w:before="93" w:after="80" w:line="266" w:lineRule="auto"/>
              <w:ind w:left="19" w:right="5" w:hanging="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《中小型三相异步电动机能效限定值及</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能效等级》（GB18613）</w:t>
            </w:r>
          </w:p>
        </w:tc>
      </w:tr>
      <w:tr w14:paraId="537F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78" w:type="dxa"/>
            <w:noWrap w:val="0"/>
            <w:vAlign w:val="top"/>
          </w:tcPr>
          <w:p w14:paraId="688AF5C4">
            <w:pPr>
              <w:snapToGrid w:val="0"/>
              <w:spacing w:before="243" w:after="80"/>
              <w:ind w:left="24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8</w:t>
            </w:r>
          </w:p>
        </w:tc>
        <w:tc>
          <w:tcPr>
            <w:tcW w:w="1133" w:type="dxa"/>
            <w:noWrap w:val="0"/>
            <w:vAlign w:val="top"/>
          </w:tcPr>
          <w:p w14:paraId="036EAA51">
            <w:pPr>
              <w:snapToGrid w:val="0"/>
              <w:spacing w:before="74" w:after="80" w:line="260" w:lineRule="auto"/>
              <w:ind w:left="351" w:right="42" w:hanging="31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A020602</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变</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压器</w:t>
            </w:r>
          </w:p>
        </w:tc>
        <w:tc>
          <w:tcPr>
            <w:tcW w:w="1831" w:type="dxa"/>
            <w:noWrap w:val="0"/>
            <w:vAlign w:val="top"/>
          </w:tcPr>
          <w:p w14:paraId="501C3818">
            <w:pPr>
              <w:snapToGrid w:val="0"/>
              <w:spacing w:before="242" w:after="80" w:line="222" w:lineRule="auto"/>
              <w:ind w:left="37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配电变压器</w:t>
            </w:r>
          </w:p>
        </w:tc>
        <w:tc>
          <w:tcPr>
            <w:tcW w:w="1784" w:type="dxa"/>
            <w:noWrap w:val="0"/>
            <w:vAlign w:val="top"/>
          </w:tcPr>
          <w:p w14:paraId="5AC3DD8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2E10C1ED">
            <w:pPr>
              <w:snapToGrid w:val="0"/>
              <w:spacing w:before="74" w:after="80" w:line="260"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《三相配电变压器能效限定值及能效等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级》（GB20052）</w:t>
            </w:r>
          </w:p>
        </w:tc>
      </w:tr>
      <w:tr w14:paraId="4CFDE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578" w:type="dxa"/>
            <w:noWrap w:val="0"/>
            <w:vAlign w:val="top"/>
          </w:tcPr>
          <w:p w14:paraId="4E96C893">
            <w:pPr>
              <w:spacing w:line="418"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538D016">
            <w:pPr>
              <w:snapToGrid w:val="0"/>
              <w:spacing w:before="71" w:after="80"/>
              <w:ind w:left="24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9</w:t>
            </w:r>
          </w:p>
        </w:tc>
        <w:tc>
          <w:tcPr>
            <w:tcW w:w="1133" w:type="dxa"/>
            <w:noWrap w:val="0"/>
            <w:vAlign w:val="top"/>
          </w:tcPr>
          <w:p w14:paraId="6A0B5567">
            <w:pPr>
              <w:snapToGrid w:val="0"/>
              <w:spacing w:before="160" w:after="80" w:line="280" w:lineRule="auto"/>
              <w:ind w:left="242" w:right="70" w:hanging="16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★A020609</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镇流器</w:t>
            </w:r>
          </w:p>
        </w:tc>
        <w:tc>
          <w:tcPr>
            <w:tcW w:w="1831" w:type="dxa"/>
            <w:noWrap w:val="0"/>
            <w:vAlign w:val="top"/>
          </w:tcPr>
          <w:p w14:paraId="1FC2361C">
            <w:pPr>
              <w:spacing w:line="417"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4BFEAAE">
            <w:pPr>
              <w:snapToGrid w:val="0"/>
              <w:spacing w:before="72" w:after="80" w:line="220" w:lineRule="auto"/>
              <w:ind w:left="4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管型荧光灯镇流器</w:t>
            </w:r>
          </w:p>
        </w:tc>
        <w:tc>
          <w:tcPr>
            <w:tcW w:w="1784" w:type="dxa"/>
            <w:noWrap w:val="0"/>
            <w:vAlign w:val="top"/>
          </w:tcPr>
          <w:p w14:paraId="6364D9B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1CCEDA43">
            <w:pPr>
              <w:snapToGrid w:val="0"/>
              <w:spacing w:before="160" w:after="80" w:line="280" w:lineRule="auto"/>
              <w:ind w:left="12" w:right="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《管形荧光灯镇流器能效限定值及能效</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等级》（GB17896）</w:t>
            </w:r>
          </w:p>
        </w:tc>
      </w:tr>
      <w:tr w14:paraId="56D1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78" w:type="dxa"/>
            <w:vMerge w:val="restart"/>
            <w:tcBorders>
              <w:bottom w:val="nil"/>
            </w:tcBorders>
            <w:noWrap w:val="0"/>
            <w:vAlign w:val="top"/>
          </w:tcPr>
          <w:p w14:paraId="4CAA50B1">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432E08F">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4E19AF3">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6501EFB">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827FF3C">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8F73D49">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EA57327">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D58FB17">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8FDE434">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889BEDD">
            <w:pPr>
              <w:spacing w:line="26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D767994">
            <w:pPr>
              <w:snapToGrid w:val="0"/>
              <w:spacing w:before="72" w:after="80"/>
              <w:ind w:left="20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10</w:t>
            </w:r>
          </w:p>
        </w:tc>
        <w:tc>
          <w:tcPr>
            <w:tcW w:w="1133" w:type="dxa"/>
            <w:vMerge w:val="restart"/>
            <w:tcBorders>
              <w:bottom w:val="nil"/>
            </w:tcBorders>
            <w:noWrap w:val="0"/>
            <w:vAlign w:val="top"/>
          </w:tcPr>
          <w:p w14:paraId="2986E658">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137C48B">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8360131">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49ABBE3">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DCCE2D0">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A2CDA9B">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AAD3060">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1E09FBA">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D242C17">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2489021">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0EBAF3D">
            <w:pPr>
              <w:spacing w:line="25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92CB3EB">
            <w:pPr>
              <w:snapToGrid w:val="0"/>
              <w:spacing w:before="71" w:after="80" w:line="278" w:lineRule="auto"/>
              <w:ind w:left="135" w:right="42" w:hanging="9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A020618</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生</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活用电器</w:t>
            </w:r>
          </w:p>
        </w:tc>
        <w:tc>
          <w:tcPr>
            <w:tcW w:w="1831" w:type="dxa"/>
            <w:noWrap w:val="0"/>
            <w:vAlign w:val="top"/>
          </w:tcPr>
          <w:p w14:paraId="14841855">
            <w:pPr>
              <w:snapToGrid w:val="0"/>
              <w:spacing w:before="113" w:after="80" w:line="277" w:lineRule="auto"/>
              <w:ind w:left="812" w:right="58" w:hanging="75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A0206180101</w:t>
            </w:r>
            <w:r>
              <w:rPr>
                <w:rFonts w:ascii="Arial" w:hAnsi="Arial" w:eastAsia="宋体" w:cs="Times New Roman"/>
                <w:color w:val="000000" w:themeColor="text1"/>
                <w:spacing w:val="-18"/>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电冰</w:t>
            </w:r>
            <w:r>
              <w:rPr>
                <w:rFonts w:ascii="Arial" w:hAnsi="Arial" w:eastAsia="宋体" w:cs="Times New Roman"/>
                <w:color w:val="000000" w:themeColor="text1"/>
                <w:sz w:val="18"/>
                <w:highlight w:val="none"/>
                <w:lang w:val="en-US" w:eastAsia="en-US" w:bidi="ar-SA"/>
                <w14:textFill>
                  <w14:solidFill>
                    <w14:schemeClr w14:val="tx1"/>
                  </w14:solidFill>
                </w14:textFill>
              </w:rPr>
              <w:t>箱</w:t>
            </w:r>
          </w:p>
        </w:tc>
        <w:tc>
          <w:tcPr>
            <w:tcW w:w="1784" w:type="dxa"/>
            <w:noWrap w:val="0"/>
            <w:vAlign w:val="top"/>
          </w:tcPr>
          <w:p w14:paraId="582E5FA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2584F258">
            <w:pPr>
              <w:snapToGrid w:val="0"/>
              <w:spacing w:before="113" w:after="80" w:line="277"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《家用电冰箱耗电量限定值及能效等</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级》（GB</w:t>
            </w:r>
            <w:r>
              <w:rPr>
                <w:rFonts w:ascii="Arial" w:hAnsi="Arial" w:eastAsia="宋体" w:cs="Times New Roman"/>
                <w:color w:val="000000" w:themeColor="text1"/>
                <w:spacing w:val="25"/>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12021.2）</w:t>
            </w:r>
          </w:p>
        </w:tc>
      </w:tr>
      <w:tr w14:paraId="7B4A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578" w:type="dxa"/>
            <w:vMerge w:val="continue"/>
            <w:tcBorders>
              <w:top w:val="nil"/>
              <w:bottom w:val="nil"/>
            </w:tcBorders>
            <w:noWrap w:val="0"/>
            <w:vAlign w:val="top"/>
          </w:tcPr>
          <w:p w14:paraId="2D0414A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2A80F0C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restart"/>
            <w:tcBorders>
              <w:bottom w:val="nil"/>
            </w:tcBorders>
            <w:noWrap w:val="0"/>
            <w:vAlign w:val="top"/>
          </w:tcPr>
          <w:p w14:paraId="6B407707">
            <w:pPr>
              <w:spacing w:line="27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E6A2128">
            <w:pPr>
              <w:spacing w:line="27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8B61869">
            <w:pPr>
              <w:spacing w:line="27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8128616">
            <w:pPr>
              <w:spacing w:line="27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A6A9E92">
            <w:pPr>
              <w:spacing w:line="27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47B84AA">
            <w:pPr>
              <w:spacing w:line="27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3168C6C7">
            <w:pPr>
              <w:snapToGrid w:val="0"/>
              <w:spacing w:before="71" w:after="80" w:line="280" w:lineRule="auto"/>
              <w:ind w:left="701" w:right="61" w:hanging="62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★A0206180203</w:t>
            </w:r>
            <w:r>
              <w:rPr>
                <w:rFonts w:ascii="Arial" w:hAnsi="Arial" w:eastAsia="宋体" w:cs="Times New Roman"/>
                <w:color w:val="000000" w:themeColor="text1"/>
                <w:spacing w:val="-3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空</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调机</w:t>
            </w:r>
          </w:p>
        </w:tc>
        <w:tc>
          <w:tcPr>
            <w:tcW w:w="1784" w:type="dxa"/>
            <w:noWrap w:val="0"/>
            <w:vAlign w:val="top"/>
          </w:tcPr>
          <w:p w14:paraId="51BF8C26">
            <w:pPr>
              <w:spacing w:line="32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1D1B7EF">
            <w:pPr>
              <w:spacing w:line="32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EDBE9F5">
            <w:pPr>
              <w:snapToGrid w:val="0"/>
              <w:spacing w:before="71" w:after="80" w:line="221" w:lineRule="auto"/>
              <w:ind w:left="1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房间空气调节器</w:t>
            </w:r>
          </w:p>
        </w:tc>
        <w:tc>
          <w:tcPr>
            <w:tcW w:w="3810" w:type="dxa"/>
            <w:noWrap w:val="0"/>
            <w:vAlign w:val="top"/>
          </w:tcPr>
          <w:p w14:paraId="013C0227">
            <w:pPr>
              <w:snapToGrid w:val="0"/>
              <w:spacing w:before="59" w:after="80" w:line="266" w:lineRule="auto"/>
              <w:ind w:left="8" w:right="3" w:firstLine="4"/>
              <w:jc w:val="both"/>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《转速可控型房间空气调节器能效限定</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值及能效等级》（</w:t>
            </w:r>
            <w:r>
              <w:rPr>
                <w:rFonts w:ascii="Arial" w:hAnsi="Arial" w:eastAsia="宋体" w:cs="Times New Roman"/>
                <w:color w:val="000000" w:themeColor="text1"/>
                <w:sz w:val="18"/>
                <w:highlight w:val="none"/>
                <w:lang w:val="en-US" w:eastAsia="en-US" w:bidi="ar-SA"/>
                <w14:textFill>
                  <w14:solidFill>
                    <w14:schemeClr w14:val="tx1"/>
                  </w14:solidFill>
                </w14:textFill>
              </w:rPr>
              <w:t>GB</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21455-2013</w:t>
            </w:r>
            <w:r>
              <w:rPr>
                <w:rFonts w:ascii="Arial" w:hAnsi="Arial" w:eastAsia="宋体" w:cs="Times New Roman"/>
                <w:color w:val="000000" w:themeColor="text1"/>
                <w:spacing w:val="15"/>
                <w:sz w:val="18"/>
                <w:highlight w:val="none"/>
                <w:lang w:val="en-US" w:eastAsia="en-US" w:bidi="ar-SA"/>
                <w14:textFill>
                  <w14:solidFill>
                    <w14:schemeClr w14:val="tx1"/>
                  </w14:solidFill>
                </w14:textFill>
              </w:rPr>
              <w:t>），</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待</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2019</w:t>
            </w:r>
            <w:r>
              <w:rPr>
                <w:rFonts w:ascii="Arial" w:hAnsi="Arial" w:eastAsia="宋体" w:cs="Times New Roman"/>
                <w:color w:val="000000" w:themeColor="text1"/>
                <w:spacing w:val="-39"/>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年修订发布后，按《房间空气调节</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器 能</w:t>
            </w:r>
            <w:r>
              <w:rPr>
                <w:rFonts w:ascii="Arial" w:hAnsi="Arial" w:eastAsia="宋体" w:cs="Times New Roman"/>
                <w:color w:val="000000" w:themeColor="text1"/>
                <w:spacing w:val="9"/>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效</w:t>
            </w:r>
            <w:r>
              <w:rPr>
                <w:rFonts w:ascii="Arial" w:hAnsi="Arial" w:eastAsia="宋体" w:cs="Times New Roman"/>
                <w:color w:val="000000" w:themeColor="text1"/>
                <w:spacing w:val="17"/>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限</w:t>
            </w:r>
            <w:r>
              <w:rPr>
                <w:rFonts w:ascii="Arial" w:hAnsi="Arial" w:eastAsia="宋体" w:cs="Times New Roman"/>
                <w:color w:val="000000" w:themeColor="text1"/>
                <w:spacing w:val="9"/>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定 值</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及</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能</w:t>
            </w:r>
            <w:r>
              <w:rPr>
                <w:rFonts w:ascii="Arial" w:hAnsi="Arial" w:eastAsia="宋体" w:cs="Times New Roman"/>
                <w:color w:val="000000" w:themeColor="text1"/>
                <w:spacing w:val="9"/>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效</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等</w:t>
            </w:r>
            <w:r>
              <w:rPr>
                <w:rFonts w:ascii="Arial" w:hAnsi="Arial" w:eastAsia="宋体" w:cs="Times New Roman"/>
                <w:color w:val="000000" w:themeColor="text1"/>
                <w:spacing w:val="7"/>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级</w:t>
            </w:r>
            <w:r>
              <w:rPr>
                <w:rFonts w:ascii="Arial" w:hAnsi="Arial" w:eastAsia="宋体" w:cs="Times New Roman"/>
                <w:color w:val="000000" w:themeColor="text1"/>
                <w:spacing w:val="1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w:t>
            </w:r>
            <w:r>
              <w:rPr>
                <w:rFonts w:ascii="Arial" w:hAnsi="Arial" w:eastAsia="宋体" w:cs="Times New Roman"/>
                <w:color w:val="000000" w:themeColor="text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GB21455-2019</w:t>
            </w:r>
            <w:r>
              <w:rPr>
                <w:rFonts w:ascii="Arial" w:hAnsi="Arial" w:eastAsia="宋体" w:cs="Times New Roman"/>
                <w:color w:val="000000" w:themeColor="text1"/>
                <w:spacing w:val="-3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实施。</w:t>
            </w:r>
          </w:p>
        </w:tc>
      </w:tr>
      <w:tr w14:paraId="2876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578" w:type="dxa"/>
            <w:vMerge w:val="continue"/>
            <w:tcBorders>
              <w:top w:val="nil"/>
              <w:bottom w:val="nil"/>
            </w:tcBorders>
            <w:noWrap w:val="0"/>
            <w:vAlign w:val="top"/>
          </w:tcPr>
          <w:p w14:paraId="6BD62BC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5460AC4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bottom w:val="nil"/>
            </w:tcBorders>
            <w:noWrap w:val="0"/>
            <w:vAlign w:val="top"/>
          </w:tcPr>
          <w:p w14:paraId="727BA512">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5B96F1BA">
            <w:pPr>
              <w:snapToGrid w:val="0"/>
              <w:spacing w:before="76" w:after="80" w:line="220" w:lineRule="auto"/>
              <w:jc w:val="right"/>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5"/>
                <w:sz w:val="18"/>
                <w:highlight w:val="none"/>
                <w:lang w:val="en-US" w:eastAsia="en-US" w:bidi="ar-SA"/>
                <w14:textFill>
                  <w14:solidFill>
                    <w14:schemeClr w14:val="tx1"/>
                  </w14:solidFill>
                </w14:textFill>
              </w:rPr>
              <w:t>多联式空调（热泵）</w:t>
            </w:r>
          </w:p>
          <w:p w14:paraId="1E173A39">
            <w:pPr>
              <w:snapToGrid w:val="0"/>
              <w:spacing w:before="69" w:after="80" w:line="219" w:lineRule="auto"/>
              <w:ind w:left="126"/>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机组（制冷量≤</w:t>
            </w:r>
          </w:p>
          <w:p w14:paraId="716883D4">
            <w:pPr>
              <w:snapToGrid w:val="0"/>
              <w:spacing w:before="70" w:after="80" w:line="232" w:lineRule="auto"/>
              <w:ind w:left="47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4"/>
                <w:sz w:val="18"/>
                <w:highlight w:val="none"/>
                <w:lang w:val="en-US" w:eastAsia="en-US" w:bidi="ar-SA"/>
                <w14:textFill>
                  <w14:solidFill>
                    <w14:schemeClr w14:val="tx1"/>
                  </w14:solidFill>
                </w14:textFill>
              </w:rPr>
              <w:t>14000W）</w:t>
            </w:r>
          </w:p>
        </w:tc>
        <w:tc>
          <w:tcPr>
            <w:tcW w:w="3810" w:type="dxa"/>
            <w:noWrap w:val="0"/>
            <w:vAlign w:val="top"/>
          </w:tcPr>
          <w:p w14:paraId="3689E9DC">
            <w:pPr>
              <w:snapToGrid w:val="0"/>
              <w:spacing w:before="241" w:after="80" w:line="280" w:lineRule="auto"/>
              <w:ind w:left="10" w:right="5" w:firstLine="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《多联式空调（热泵）机组能效限定值</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及能源效率等级》（GB21454）</w:t>
            </w:r>
          </w:p>
        </w:tc>
      </w:tr>
      <w:tr w14:paraId="0FBA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578" w:type="dxa"/>
            <w:vMerge w:val="continue"/>
            <w:tcBorders>
              <w:top w:val="nil"/>
              <w:bottom w:val="nil"/>
            </w:tcBorders>
            <w:noWrap w:val="0"/>
            <w:vAlign w:val="top"/>
          </w:tcPr>
          <w:p w14:paraId="3DC0F76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0DD0CCA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tcBorders>
            <w:noWrap w:val="0"/>
            <w:vAlign w:val="top"/>
          </w:tcPr>
          <w:p w14:paraId="532CCC1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450AB6EF">
            <w:pPr>
              <w:snapToGrid w:val="0"/>
              <w:spacing w:before="217" w:after="80" w:line="219" w:lineRule="auto"/>
              <w:ind w:left="2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单元式空气调节机</w:t>
            </w:r>
          </w:p>
          <w:p w14:paraId="47717D21">
            <w:pPr>
              <w:snapToGrid w:val="0"/>
              <w:spacing w:before="69" w:after="80" w:line="221" w:lineRule="auto"/>
              <w:ind w:left="35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（制冷量≤</w:t>
            </w:r>
          </w:p>
          <w:p w14:paraId="34915D3D">
            <w:pPr>
              <w:snapToGrid w:val="0"/>
              <w:spacing w:before="68" w:after="80" w:line="232" w:lineRule="auto"/>
              <w:ind w:left="474"/>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4"/>
                <w:sz w:val="18"/>
                <w:highlight w:val="none"/>
                <w:lang w:val="en-US" w:eastAsia="en-US" w:bidi="ar-SA"/>
                <w14:textFill>
                  <w14:solidFill>
                    <w14:schemeClr w14:val="tx1"/>
                  </w14:solidFill>
                </w14:textFill>
              </w:rPr>
              <w:t>14000W）</w:t>
            </w:r>
          </w:p>
        </w:tc>
        <w:tc>
          <w:tcPr>
            <w:tcW w:w="3810" w:type="dxa"/>
            <w:noWrap w:val="0"/>
            <w:vAlign w:val="top"/>
          </w:tcPr>
          <w:p w14:paraId="7CB90762">
            <w:pPr>
              <w:snapToGrid w:val="0"/>
              <w:spacing w:before="60" w:after="80" w:line="261" w:lineRule="auto"/>
              <w:ind w:left="12" w:right="3"/>
              <w:jc w:val="both"/>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《单元式空气调节机能效限定值及能源</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效率等级》（GB19576）《风管送风式空</w:t>
            </w:r>
            <w:r>
              <w:rPr>
                <w:rFonts w:ascii="Arial" w:hAnsi="Arial" w:eastAsia="宋体" w:cs="Times New Roman"/>
                <w:color w:val="000000" w:themeColor="text1"/>
                <w:spacing w:val="45"/>
                <w:sz w:val="18"/>
                <w:highlight w:val="none"/>
                <w:lang w:val="en-US" w:eastAsia="en-US" w:bidi="ar-SA"/>
                <w14:textFill>
                  <w14:solidFill>
                    <w14:schemeClr w14:val="tx1"/>
                  </w14:solidFill>
                </w14:textFill>
              </w:rPr>
              <w:t>调机组能效限定值及能效等级</w:t>
            </w:r>
            <w:r>
              <w:rPr>
                <w:rFonts w:ascii="Arial" w:hAnsi="Arial" w:eastAsia="宋体" w:cs="Times New Roman"/>
                <w:color w:val="000000" w:themeColor="text1"/>
                <w:spacing w:val="-3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45"/>
                <w:sz w:val="18"/>
                <w:highlight w:val="none"/>
                <w:lang w:val="en-US" w:eastAsia="en-US" w:bidi="ar-SA"/>
                <w14:textFill>
                  <w14:solidFill>
                    <w14:schemeClr w14:val="tx1"/>
                  </w14:solidFill>
                </w14:textFill>
              </w:rPr>
              <w:t>》</w:t>
            </w:r>
            <w:r>
              <w:rPr>
                <w:rFonts w:ascii="Arial" w:hAnsi="Arial" w:eastAsia="宋体" w:cs="Times New Roman"/>
                <w:color w:val="000000" w:themeColor="text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（GB37479）</w:t>
            </w:r>
          </w:p>
        </w:tc>
      </w:tr>
      <w:tr w14:paraId="293F1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578" w:type="dxa"/>
            <w:vMerge w:val="continue"/>
            <w:tcBorders>
              <w:top w:val="nil"/>
            </w:tcBorders>
            <w:noWrap w:val="0"/>
            <w:vAlign w:val="top"/>
          </w:tcPr>
          <w:p w14:paraId="1D6934C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789FFBA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09368E7A">
            <w:pPr>
              <w:snapToGrid w:val="0"/>
              <w:spacing w:before="120" w:after="80" w:line="276" w:lineRule="auto"/>
              <w:ind w:left="809" w:right="58" w:hanging="74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A0206180301</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洗衣</w:t>
            </w:r>
            <w:r>
              <w:rPr>
                <w:rFonts w:ascii="Arial" w:hAnsi="Arial" w:eastAsia="宋体" w:cs="Times New Roman"/>
                <w:color w:val="000000" w:themeColor="text1"/>
                <w:sz w:val="18"/>
                <w:highlight w:val="none"/>
                <w:lang w:val="en-US" w:eastAsia="en-US" w:bidi="ar-SA"/>
                <w14:textFill>
                  <w14:solidFill>
                    <w14:schemeClr w14:val="tx1"/>
                  </w14:solidFill>
                </w14:textFill>
              </w:rPr>
              <w:t>机</w:t>
            </w:r>
          </w:p>
        </w:tc>
        <w:tc>
          <w:tcPr>
            <w:tcW w:w="1784" w:type="dxa"/>
            <w:noWrap w:val="0"/>
            <w:vAlign w:val="top"/>
          </w:tcPr>
          <w:p w14:paraId="24895258">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0AE913A3">
            <w:pPr>
              <w:snapToGrid w:val="0"/>
              <w:spacing w:before="120" w:after="80" w:line="276" w:lineRule="auto"/>
              <w:ind w:left="17" w:right="14"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 xml:space="preserve">《电动洗衣机能效水效限定值及等级》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（GB12021.4）</w:t>
            </w:r>
          </w:p>
        </w:tc>
      </w:tr>
      <w:tr w14:paraId="01E2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noWrap w:val="0"/>
            <w:vAlign w:val="top"/>
          </w:tcPr>
          <w:p w14:paraId="1AFF74A7">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5B76D00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63095AE8">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2A0538AE">
            <w:pPr>
              <w:snapToGrid w:val="0"/>
              <w:spacing w:before="259" w:after="80" w:line="220" w:lineRule="auto"/>
              <w:ind w:left="35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★电热水器</w:t>
            </w:r>
          </w:p>
        </w:tc>
        <w:tc>
          <w:tcPr>
            <w:tcW w:w="3810" w:type="dxa"/>
            <w:noWrap w:val="0"/>
            <w:vAlign w:val="top"/>
          </w:tcPr>
          <w:p w14:paraId="6664B595">
            <w:pPr>
              <w:snapToGrid w:val="0"/>
              <w:spacing w:before="95" w:after="80" w:line="266"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《储水式电热水器能效限定值及能效等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级》（GB21519）</w:t>
            </w:r>
          </w:p>
        </w:tc>
      </w:tr>
    </w:tbl>
    <w:p w14:paraId="563878B1">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9BC3B8C">
      <w:pPr>
        <w:rPr>
          <w:rFonts w:ascii="Arial" w:hAnsi="Arial" w:eastAsia="Arial" w:cs="Arial"/>
          <w:color w:val="000000" w:themeColor="text1"/>
          <w:sz w:val="21"/>
          <w:szCs w:val="21"/>
          <w:highlight w:val="none"/>
          <w14:textFill>
            <w14:solidFill>
              <w14:schemeClr w14:val="tx1"/>
            </w14:solidFill>
          </w14:textFill>
        </w:rPr>
        <w:sectPr>
          <w:footerReference r:id="rId10" w:type="default"/>
          <w:pgSz w:w="11906" w:h="16839"/>
          <w:pgMar w:top="1190" w:right="1385" w:bottom="1091" w:left="1379" w:header="0" w:footer="929" w:gutter="0"/>
          <w:pgNumType w:fmt="decimal"/>
          <w:cols w:space="720" w:num="1"/>
        </w:sectPr>
      </w:pPr>
    </w:p>
    <w:tbl>
      <w:tblPr>
        <w:tblStyle w:val="124"/>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133"/>
        <w:gridCol w:w="1831"/>
        <w:gridCol w:w="1784"/>
        <w:gridCol w:w="3810"/>
      </w:tblGrid>
      <w:tr w14:paraId="60C5C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73" w:type="dxa"/>
            <w:vMerge w:val="restart"/>
            <w:tcBorders>
              <w:bottom w:val="nil"/>
            </w:tcBorders>
            <w:noWrap w:val="0"/>
            <w:vAlign w:val="top"/>
          </w:tcPr>
          <w:p w14:paraId="76597A9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restart"/>
            <w:tcBorders>
              <w:bottom w:val="nil"/>
            </w:tcBorders>
            <w:noWrap w:val="0"/>
            <w:vAlign w:val="top"/>
          </w:tcPr>
          <w:p w14:paraId="31BC45A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restart"/>
            <w:tcBorders>
              <w:bottom w:val="nil"/>
            </w:tcBorders>
            <w:noWrap w:val="0"/>
            <w:vAlign w:val="top"/>
          </w:tcPr>
          <w:p w14:paraId="6B76281D">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3DA2A69A">
            <w:pPr>
              <w:snapToGrid w:val="0"/>
              <w:spacing w:before="278" w:after="80" w:line="220" w:lineRule="auto"/>
              <w:ind w:left="34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燃气热水器</w:t>
            </w:r>
          </w:p>
        </w:tc>
        <w:tc>
          <w:tcPr>
            <w:tcW w:w="3810" w:type="dxa"/>
            <w:noWrap w:val="0"/>
            <w:vAlign w:val="top"/>
          </w:tcPr>
          <w:p w14:paraId="7C5E09F9">
            <w:pPr>
              <w:snapToGrid w:val="0"/>
              <w:spacing w:before="112" w:after="80" w:line="274" w:lineRule="auto"/>
              <w:ind w:left="13" w:hanging="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z w:val="18"/>
                <w:highlight w:val="none"/>
                <w:lang w:val="en-US" w:eastAsia="en-US" w:bidi="ar-SA"/>
                <w14:textFill>
                  <w14:solidFill>
                    <w14:schemeClr w14:val="tx1"/>
                  </w14:solidFill>
                </w14:textFill>
              </w:rPr>
              <w:t>《家用燃气快速热水器和燃气采暖热水</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炉能效限定值及能效等级》（GB20665）</w:t>
            </w:r>
          </w:p>
        </w:tc>
      </w:tr>
      <w:tr w14:paraId="2DC0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73" w:type="dxa"/>
            <w:vMerge w:val="continue"/>
            <w:tcBorders>
              <w:top w:val="nil"/>
              <w:bottom w:val="nil"/>
            </w:tcBorders>
            <w:noWrap w:val="0"/>
            <w:vAlign w:val="top"/>
          </w:tcPr>
          <w:p w14:paraId="2DF7C47D">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39512B06">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bottom w:val="nil"/>
            </w:tcBorders>
            <w:noWrap w:val="0"/>
            <w:vAlign w:val="top"/>
          </w:tcPr>
          <w:p w14:paraId="12F14C9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27170621">
            <w:pPr>
              <w:spacing w:line="388"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655F26B">
            <w:pPr>
              <w:snapToGrid w:val="0"/>
              <w:spacing w:before="71" w:after="80" w:line="220" w:lineRule="auto"/>
              <w:ind w:left="35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热泵热水器</w:t>
            </w:r>
          </w:p>
        </w:tc>
        <w:tc>
          <w:tcPr>
            <w:tcW w:w="3810" w:type="dxa"/>
            <w:noWrap w:val="0"/>
            <w:vAlign w:val="top"/>
          </w:tcPr>
          <w:p w14:paraId="138E223A">
            <w:pPr>
              <w:snapToGrid w:val="0"/>
              <w:spacing w:before="130" w:after="80" w:line="280" w:lineRule="auto"/>
              <w:ind w:left="12" w:right="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《热泵热水机（器）能效限定值及能效</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等级》（GB29541）</w:t>
            </w:r>
          </w:p>
        </w:tc>
      </w:tr>
      <w:tr w14:paraId="0D9D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3" w:type="dxa"/>
            <w:vMerge w:val="continue"/>
            <w:tcBorders>
              <w:top w:val="nil"/>
            </w:tcBorders>
            <w:noWrap w:val="0"/>
            <w:vAlign w:val="top"/>
          </w:tcPr>
          <w:p w14:paraId="4E1030A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7CB6BBD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vMerge w:val="continue"/>
            <w:tcBorders>
              <w:top w:val="nil"/>
            </w:tcBorders>
            <w:noWrap w:val="0"/>
            <w:vAlign w:val="top"/>
          </w:tcPr>
          <w:p w14:paraId="6500812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267B77B8">
            <w:pPr>
              <w:spacing w:line="349"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7F8F41F">
            <w:pPr>
              <w:snapToGrid w:val="0"/>
              <w:spacing w:before="71" w:after="80" w:line="220" w:lineRule="auto"/>
              <w:ind w:left="12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太阳能热水系统</w:t>
            </w:r>
          </w:p>
        </w:tc>
        <w:tc>
          <w:tcPr>
            <w:tcW w:w="3810" w:type="dxa"/>
            <w:noWrap w:val="0"/>
            <w:vAlign w:val="top"/>
          </w:tcPr>
          <w:p w14:paraId="1839DD46">
            <w:pPr>
              <w:snapToGrid w:val="0"/>
              <w:spacing w:before="90" w:after="80" w:line="267" w:lineRule="auto"/>
              <w:ind w:left="15" w:right="5" w:hanging="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《家用太阳能热水系统能效限定值及能</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效等级》（GB26969）</w:t>
            </w:r>
          </w:p>
        </w:tc>
      </w:tr>
      <w:tr w14:paraId="39F1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73" w:type="dxa"/>
            <w:vMerge w:val="restart"/>
            <w:tcBorders>
              <w:bottom w:val="nil"/>
            </w:tcBorders>
            <w:noWrap w:val="0"/>
            <w:vAlign w:val="top"/>
          </w:tcPr>
          <w:p w14:paraId="79E6AB88">
            <w:pPr>
              <w:spacing w:line="282"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746EFF0">
            <w:pPr>
              <w:spacing w:line="28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FDC2F15">
            <w:pPr>
              <w:spacing w:line="28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F818720">
            <w:pPr>
              <w:spacing w:line="28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DB272A1">
            <w:pPr>
              <w:spacing w:line="283"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01A284C">
            <w:pPr>
              <w:snapToGrid w:val="0"/>
              <w:spacing w:before="72" w:after="80" w:line="242" w:lineRule="auto"/>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11</w:t>
            </w:r>
          </w:p>
        </w:tc>
        <w:tc>
          <w:tcPr>
            <w:tcW w:w="1133" w:type="dxa"/>
            <w:vMerge w:val="restart"/>
            <w:tcBorders>
              <w:bottom w:val="nil"/>
            </w:tcBorders>
            <w:noWrap w:val="0"/>
            <w:vAlign w:val="top"/>
          </w:tcPr>
          <w:p w14:paraId="6B13707B">
            <w:pPr>
              <w:spacing w:line="25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09217F6">
            <w:pPr>
              <w:spacing w:line="25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F59812D">
            <w:pPr>
              <w:spacing w:line="250"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CC5302F">
            <w:pPr>
              <w:spacing w:line="25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8A7F848">
            <w:pPr>
              <w:spacing w:line="251"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1CA8AC6">
            <w:pPr>
              <w:snapToGrid w:val="0"/>
              <w:spacing w:before="71" w:after="80" w:line="280" w:lineRule="auto"/>
              <w:ind w:left="263" w:right="42" w:hanging="22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A020619</w:t>
            </w:r>
            <w:r>
              <w:rPr>
                <w:rFonts w:ascii="Arial" w:hAnsi="Arial" w:eastAsia="宋体" w:cs="Times New Roman"/>
                <w:color w:val="000000" w:themeColor="text1"/>
                <w:spacing w:val="-4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照</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明设备</w:t>
            </w:r>
          </w:p>
        </w:tc>
        <w:tc>
          <w:tcPr>
            <w:tcW w:w="1831" w:type="dxa"/>
            <w:noWrap w:val="0"/>
            <w:vAlign w:val="top"/>
          </w:tcPr>
          <w:p w14:paraId="0077CBD2">
            <w:pPr>
              <w:snapToGrid w:val="0"/>
              <w:spacing w:before="172" w:after="80" w:line="280" w:lineRule="auto"/>
              <w:ind w:left="596" w:right="32" w:hanging="55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★普通照明用双端</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荧光灯</w:t>
            </w:r>
          </w:p>
        </w:tc>
        <w:tc>
          <w:tcPr>
            <w:tcW w:w="1784" w:type="dxa"/>
            <w:noWrap w:val="0"/>
            <w:vAlign w:val="top"/>
          </w:tcPr>
          <w:p w14:paraId="778845C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5185C1F2">
            <w:pPr>
              <w:snapToGrid w:val="0"/>
              <w:spacing w:before="172" w:after="80" w:line="280" w:lineRule="auto"/>
              <w:ind w:left="19" w:right="5" w:hanging="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《普通照明用双端荧光灯能效限定值及</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能效等级》（GB19043）</w:t>
            </w:r>
          </w:p>
        </w:tc>
      </w:tr>
      <w:tr w14:paraId="5C42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73" w:type="dxa"/>
            <w:vMerge w:val="continue"/>
            <w:tcBorders>
              <w:top w:val="nil"/>
              <w:bottom w:val="nil"/>
            </w:tcBorders>
            <w:noWrap w:val="0"/>
            <w:vAlign w:val="top"/>
          </w:tcPr>
          <w:p w14:paraId="58314A6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4A13FFD8">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0DCDEDC1">
            <w:pPr>
              <w:snapToGrid w:val="0"/>
              <w:spacing w:before="120" w:after="80" w:line="277" w:lineRule="auto"/>
              <w:ind w:left="700" w:right="5" w:hanging="68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LED</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道路/隧道照明</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产品</w:t>
            </w:r>
          </w:p>
        </w:tc>
        <w:tc>
          <w:tcPr>
            <w:tcW w:w="1784" w:type="dxa"/>
            <w:noWrap w:val="0"/>
            <w:vAlign w:val="top"/>
          </w:tcPr>
          <w:p w14:paraId="331A1979">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5C063EE8">
            <w:pPr>
              <w:snapToGrid w:val="0"/>
              <w:spacing w:before="120" w:after="80" w:line="277" w:lineRule="auto"/>
              <w:ind w:left="11" w:right="5" w:firstLine="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《道路和隧道照明用</w:t>
            </w:r>
            <w:r>
              <w:rPr>
                <w:rFonts w:ascii="Arial" w:hAnsi="Arial" w:eastAsia="宋体" w:cs="Times New Roman"/>
                <w:color w:val="000000" w:themeColor="text1"/>
                <w:spacing w:val="-3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z w:val="18"/>
                <w:highlight w:val="none"/>
                <w:lang w:val="en-US" w:eastAsia="en-US" w:bidi="ar-SA"/>
                <w14:textFill>
                  <w14:solidFill>
                    <w14:schemeClr w14:val="tx1"/>
                  </w14:solidFill>
                </w14:textFill>
              </w:rPr>
              <w:t>LED</w:t>
            </w:r>
            <w:r>
              <w:rPr>
                <w:rFonts w:ascii="Arial" w:hAnsi="Arial" w:eastAsia="宋体" w:cs="Times New Roman"/>
                <w:color w:val="000000" w:themeColor="text1"/>
                <w:spacing w:val="-46"/>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灯具能效限定</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值及能效等级》（GB37478）</w:t>
            </w:r>
          </w:p>
        </w:tc>
      </w:tr>
      <w:tr w14:paraId="311E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73" w:type="dxa"/>
            <w:vMerge w:val="continue"/>
            <w:tcBorders>
              <w:top w:val="nil"/>
              <w:bottom w:val="nil"/>
            </w:tcBorders>
            <w:noWrap w:val="0"/>
            <w:vAlign w:val="top"/>
          </w:tcPr>
          <w:p w14:paraId="4452FA30">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415CA06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7ADDD6D1">
            <w:pPr>
              <w:snapToGrid w:val="0"/>
              <w:spacing w:before="290" w:after="80" w:line="220" w:lineRule="auto"/>
              <w:ind w:left="506"/>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4"/>
                <w:sz w:val="18"/>
                <w:highlight w:val="none"/>
                <w:lang w:val="en-US" w:eastAsia="en-US" w:bidi="ar-SA"/>
                <w14:textFill>
                  <w14:solidFill>
                    <w14:schemeClr w14:val="tx1"/>
                  </w14:solidFill>
                </w14:textFill>
              </w:rPr>
              <w:t>LED</w:t>
            </w:r>
            <w:r>
              <w:rPr>
                <w:rFonts w:ascii="Arial" w:hAnsi="Arial" w:eastAsia="宋体" w:cs="Times New Roman"/>
                <w:color w:val="000000" w:themeColor="text1"/>
                <w:spacing w:val="-4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筒灯</w:t>
            </w:r>
          </w:p>
        </w:tc>
        <w:tc>
          <w:tcPr>
            <w:tcW w:w="1784" w:type="dxa"/>
            <w:noWrap w:val="0"/>
            <w:vAlign w:val="top"/>
          </w:tcPr>
          <w:p w14:paraId="1FE1A28E">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3B431936">
            <w:pPr>
              <w:snapToGrid w:val="0"/>
              <w:spacing w:before="125" w:after="80" w:line="278" w:lineRule="auto"/>
              <w:ind w:left="15" w:right="3" w:hanging="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《室内照明用</w:t>
            </w:r>
            <w:r>
              <w:rPr>
                <w:rFonts w:ascii="Arial" w:hAnsi="Arial" w:eastAsia="宋体" w:cs="Times New Roman"/>
                <w:color w:val="000000" w:themeColor="text1"/>
                <w:spacing w:val="-3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z w:val="18"/>
                <w:highlight w:val="none"/>
                <w:lang w:val="en-US" w:eastAsia="en-US" w:bidi="ar-SA"/>
                <w14:textFill>
                  <w14:solidFill>
                    <w14:schemeClr w14:val="tx1"/>
                  </w14:solidFill>
                </w14:textFill>
              </w:rPr>
              <w:t>LED</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产品能效限定值及能</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效等级》（GB30255）</w:t>
            </w:r>
          </w:p>
        </w:tc>
      </w:tr>
      <w:tr w14:paraId="2048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73" w:type="dxa"/>
            <w:vMerge w:val="continue"/>
            <w:tcBorders>
              <w:top w:val="nil"/>
            </w:tcBorders>
            <w:noWrap w:val="0"/>
            <w:vAlign w:val="top"/>
          </w:tcPr>
          <w:p w14:paraId="337DECF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3BF8B8E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59EE1CD8">
            <w:pPr>
              <w:snapToGrid w:val="0"/>
              <w:spacing w:before="83" w:after="80" w:line="260" w:lineRule="auto"/>
              <w:ind w:left="296" w:right="32" w:hanging="25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普通照明用非定向</w:t>
            </w:r>
            <w:r>
              <w:rPr>
                <w:rFonts w:ascii="Arial" w:hAnsi="Arial" w:eastAsia="宋体" w:cs="Times New Roman"/>
                <w:color w:val="000000" w:themeColor="text1"/>
                <w:spacing w:val="-8"/>
                <w:sz w:val="18"/>
                <w:highlight w:val="none"/>
                <w:lang w:val="en-US" w:eastAsia="en-US" w:bidi="ar-SA"/>
                <w14:textFill>
                  <w14:solidFill>
                    <w14:schemeClr w14:val="tx1"/>
                  </w14:solidFill>
                </w14:textFill>
              </w:rPr>
              <w:t>自镇流</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8"/>
                <w:sz w:val="18"/>
                <w:highlight w:val="none"/>
                <w:lang w:val="en-US" w:eastAsia="en-US" w:bidi="ar-SA"/>
                <w14:textFill>
                  <w14:solidFill>
                    <w14:schemeClr w14:val="tx1"/>
                  </w14:solidFill>
                </w14:textFill>
              </w:rPr>
              <w:t>LED</w:t>
            </w:r>
            <w:r>
              <w:rPr>
                <w:rFonts w:ascii="Arial" w:hAnsi="Arial" w:eastAsia="宋体" w:cs="Times New Roman"/>
                <w:color w:val="000000" w:themeColor="text1"/>
                <w:spacing w:val="-48"/>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8"/>
                <w:sz w:val="18"/>
                <w:highlight w:val="none"/>
                <w:lang w:val="en-US" w:eastAsia="en-US" w:bidi="ar-SA"/>
                <w14:textFill>
                  <w14:solidFill>
                    <w14:schemeClr w14:val="tx1"/>
                  </w14:solidFill>
                </w14:textFill>
              </w:rPr>
              <w:t>灯</w:t>
            </w:r>
          </w:p>
        </w:tc>
        <w:tc>
          <w:tcPr>
            <w:tcW w:w="1784" w:type="dxa"/>
            <w:noWrap w:val="0"/>
            <w:vAlign w:val="top"/>
          </w:tcPr>
          <w:p w14:paraId="2975D9A2">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537EA24D">
            <w:pPr>
              <w:snapToGrid w:val="0"/>
              <w:spacing w:before="83" w:after="80" w:line="260" w:lineRule="auto"/>
              <w:ind w:left="15" w:right="3" w:hanging="3"/>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《室内照明用</w:t>
            </w:r>
            <w:r>
              <w:rPr>
                <w:rFonts w:ascii="Arial" w:hAnsi="Arial" w:eastAsia="宋体" w:cs="Times New Roman"/>
                <w:color w:val="000000" w:themeColor="text1"/>
                <w:spacing w:val="-3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z w:val="18"/>
                <w:highlight w:val="none"/>
                <w:lang w:val="en-US" w:eastAsia="en-US" w:bidi="ar-SA"/>
                <w14:textFill>
                  <w14:solidFill>
                    <w14:schemeClr w14:val="tx1"/>
                  </w14:solidFill>
                </w14:textFill>
              </w:rPr>
              <w:t>LED</w:t>
            </w:r>
            <w:r>
              <w:rPr>
                <w:rFonts w:ascii="Arial" w:hAnsi="Arial" w:eastAsia="宋体" w:cs="Times New Roman"/>
                <w:color w:val="000000" w:themeColor="text1"/>
                <w:spacing w:val="-44"/>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产品能效限定值及能</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效等级》（GB30255）</w:t>
            </w:r>
          </w:p>
        </w:tc>
      </w:tr>
      <w:tr w14:paraId="4CA3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73" w:type="dxa"/>
            <w:noWrap w:val="0"/>
            <w:vAlign w:val="top"/>
          </w:tcPr>
          <w:p w14:paraId="6EC86F33">
            <w:pPr>
              <w:snapToGrid w:val="0"/>
              <w:spacing w:before="287" w:after="80" w:line="242" w:lineRule="auto"/>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12</w:t>
            </w:r>
          </w:p>
        </w:tc>
        <w:tc>
          <w:tcPr>
            <w:tcW w:w="1133" w:type="dxa"/>
            <w:noWrap w:val="0"/>
            <w:vAlign w:val="top"/>
          </w:tcPr>
          <w:p w14:paraId="10F9B475">
            <w:pPr>
              <w:snapToGrid w:val="0"/>
              <w:spacing w:before="124" w:after="80" w:line="278" w:lineRule="auto"/>
              <w:ind w:left="157" w:right="70" w:hanging="77"/>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★A020910</w:t>
            </w:r>
            <w:r>
              <w:rPr>
                <w:rFonts w:ascii="Arial" w:hAnsi="Arial" w:eastAsia="宋体" w:cs="Times New Roman"/>
                <w:color w:val="000000" w:themeColor="text1"/>
                <w:spacing w:val="-9"/>
                <w:sz w:val="18"/>
                <w:highlight w:val="none"/>
                <w:lang w:val="en-US" w:eastAsia="en-US" w:bidi="ar-SA"/>
                <w14:textFill>
                  <w14:solidFill>
                    <w14:schemeClr w14:val="tx1"/>
                  </w14:solidFill>
                </w14:textFill>
              </w:rPr>
              <w:t>电视设备</w:t>
            </w:r>
          </w:p>
        </w:tc>
        <w:tc>
          <w:tcPr>
            <w:tcW w:w="1831" w:type="dxa"/>
            <w:noWrap w:val="0"/>
            <w:vAlign w:val="top"/>
          </w:tcPr>
          <w:p w14:paraId="429375D2">
            <w:pPr>
              <w:snapToGrid w:val="0"/>
              <w:spacing w:before="124" w:after="80" w:line="278" w:lineRule="auto"/>
              <w:ind w:left="39" w:right="47" w:firstLine="2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A02091001</w:t>
            </w:r>
            <w:r>
              <w:rPr>
                <w:rFonts w:ascii="Arial" w:hAnsi="Arial" w:eastAsia="宋体" w:cs="Times New Roman"/>
                <w:color w:val="000000" w:themeColor="text1"/>
                <w:spacing w:val="-47"/>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普通电</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视设备（电视机）</w:t>
            </w:r>
          </w:p>
        </w:tc>
        <w:tc>
          <w:tcPr>
            <w:tcW w:w="1784" w:type="dxa"/>
            <w:noWrap w:val="0"/>
            <w:vAlign w:val="top"/>
          </w:tcPr>
          <w:p w14:paraId="78B3A37C">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4A4E27AE">
            <w:pPr>
              <w:snapToGrid w:val="0"/>
              <w:spacing w:before="124" w:after="80" w:line="278" w:lineRule="auto"/>
              <w:ind w:left="17" w:right="14"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《平板电视能效限定值及能效等级》</w:t>
            </w:r>
            <w:r>
              <w:rPr>
                <w:rFonts w:ascii="Arial" w:hAnsi="Arial" w:eastAsia="宋体" w:cs="Times New Roman"/>
                <w:color w:val="000000" w:themeColor="text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（GB24850）</w:t>
            </w:r>
          </w:p>
        </w:tc>
      </w:tr>
      <w:tr w14:paraId="4AA53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573" w:type="dxa"/>
            <w:noWrap w:val="0"/>
            <w:vAlign w:val="top"/>
          </w:tcPr>
          <w:p w14:paraId="7D173B99">
            <w:pPr>
              <w:spacing w:line="337"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7F6D913">
            <w:pPr>
              <w:spacing w:line="338"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FDA665F">
            <w:pPr>
              <w:snapToGrid w:val="0"/>
              <w:spacing w:before="72" w:after="80"/>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13</w:t>
            </w:r>
          </w:p>
        </w:tc>
        <w:tc>
          <w:tcPr>
            <w:tcW w:w="1133" w:type="dxa"/>
            <w:noWrap w:val="0"/>
            <w:vAlign w:val="top"/>
          </w:tcPr>
          <w:p w14:paraId="6A90AA11">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70731614">
            <w:pPr>
              <w:spacing w:line="25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484CC2C">
            <w:pPr>
              <w:snapToGrid w:val="0"/>
              <w:spacing w:before="71" w:after="80" w:line="280" w:lineRule="auto"/>
              <w:ind w:left="130" w:right="70" w:hanging="5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★A020911视频设备</w:t>
            </w:r>
          </w:p>
        </w:tc>
        <w:tc>
          <w:tcPr>
            <w:tcW w:w="1831" w:type="dxa"/>
            <w:noWrap w:val="0"/>
            <w:vAlign w:val="top"/>
          </w:tcPr>
          <w:p w14:paraId="62AA5805">
            <w:pPr>
              <w:spacing w:line="25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43E59F0">
            <w:pPr>
              <w:spacing w:line="256"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126E8FEA">
            <w:pPr>
              <w:snapToGrid w:val="0"/>
              <w:spacing w:before="71" w:after="80" w:line="280" w:lineRule="auto"/>
              <w:ind w:left="588" w:right="61" w:hanging="526"/>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
                <w:sz w:val="18"/>
                <w:highlight w:val="none"/>
                <w:lang w:val="en-US" w:eastAsia="en-US" w:bidi="ar-SA"/>
                <w14:textFill>
                  <w14:solidFill>
                    <w14:schemeClr w14:val="tx1"/>
                  </w14:solidFill>
                </w14:textFill>
              </w:rPr>
              <w:t>A02091107</w:t>
            </w:r>
            <w:r>
              <w:rPr>
                <w:rFonts w:ascii="Arial" w:hAnsi="Arial" w:eastAsia="宋体" w:cs="Times New Roman"/>
                <w:color w:val="000000" w:themeColor="text1"/>
                <w:spacing w:val="-47"/>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视频监</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控设备</w:t>
            </w:r>
          </w:p>
        </w:tc>
        <w:tc>
          <w:tcPr>
            <w:tcW w:w="1784" w:type="dxa"/>
            <w:noWrap w:val="0"/>
            <w:vAlign w:val="top"/>
          </w:tcPr>
          <w:p w14:paraId="3D02271E">
            <w:pPr>
              <w:spacing w:line="337"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365D08D">
            <w:pPr>
              <w:spacing w:line="338"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9DB8C2B">
            <w:pPr>
              <w:snapToGrid w:val="0"/>
              <w:spacing w:before="71" w:after="80" w:line="221" w:lineRule="auto"/>
              <w:ind w:left="56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监视器</w:t>
            </w:r>
          </w:p>
        </w:tc>
        <w:tc>
          <w:tcPr>
            <w:tcW w:w="3810" w:type="dxa"/>
            <w:noWrap w:val="0"/>
            <w:vAlign w:val="top"/>
          </w:tcPr>
          <w:p w14:paraId="31B0287E">
            <w:pPr>
              <w:snapToGrid w:val="0"/>
              <w:spacing w:before="90" w:after="80" w:line="272" w:lineRule="auto"/>
              <w:ind w:left="10" w:firstLine="25"/>
              <w:jc w:val="both"/>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5"/>
                <w:sz w:val="18"/>
                <w:highlight w:val="none"/>
                <w:lang w:val="en-US" w:eastAsia="en-US" w:bidi="ar-SA"/>
                <w14:textFill>
                  <w14:solidFill>
                    <w14:schemeClr w14:val="tx1"/>
                  </w14:solidFill>
                </w14:textFill>
              </w:rPr>
              <w:t>以射频信号为主要信号输入的监视器应</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符合《平板电视能效限定值及能效等级》</w:t>
            </w:r>
            <w:r>
              <w:rPr>
                <w:rFonts w:ascii="Arial" w:hAnsi="Arial" w:eastAsia="宋体" w:cs="Times New Roman"/>
                <w:color w:val="000000" w:themeColor="text1"/>
                <w:spacing w:val="13"/>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7"/>
                <w:sz w:val="18"/>
                <w:highlight w:val="none"/>
                <w:lang w:val="en-US" w:eastAsia="en-US" w:bidi="ar-SA"/>
                <w14:textFill>
                  <w14:solidFill>
                    <w14:schemeClr w14:val="tx1"/>
                  </w14:solidFill>
                </w14:textFill>
              </w:rPr>
              <w:t>（GB24850</w:t>
            </w:r>
            <w:r>
              <w:rPr>
                <w:rFonts w:ascii="Arial" w:hAnsi="Arial" w:eastAsia="宋体" w:cs="Times New Roman"/>
                <w:color w:val="000000" w:themeColor="text1"/>
                <w:spacing w:val="-12"/>
                <w:sz w:val="18"/>
                <w:highlight w:val="none"/>
                <w:lang w:val="en-US" w:eastAsia="en-US" w:bidi="ar-SA"/>
                <w14:textFill>
                  <w14:solidFill>
                    <w14:schemeClr w14:val="tx1"/>
                  </w14:solidFill>
                </w14:textFill>
              </w:rPr>
              <w:t>），</w:t>
            </w:r>
            <w:r>
              <w:rPr>
                <w:rFonts w:ascii="Arial" w:hAnsi="Arial" w:eastAsia="宋体" w:cs="Times New Roman"/>
                <w:color w:val="000000" w:themeColor="text1"/>
                <w:spacing w:val="-7"/>
                <w:sz w:val="18"/>
                <w:highlight w:val="none"/>
                <w:lang w:val="en-US" w:eastAsia="en-US" w:bidi="ar-SA"/>
                <w14:textFill>
                  <w14:solidFill>
                    <w14:schemeClr w14:val="tx1"/>
                  </w14:solidFill>
                </w14:textFill>
              </w:rPr>
              <w:t>以数字信号为主要信号输</w:t>
            </w:r>
            <w:r>
              <w:rPr>
                <w:rFonts w:ascii="Arial" w:hAnsi="Arial" w:eastAsia="宋体" w:cs="Times New Roman"/>
                <w:color w:val="000000" w:themeColor="text1"/>
                <w:spacing w:val="-3"/>
                <w:sz w:val="18"/>
                <w:highlight w:val="none"/>
                <w:lang w:val="en-US" w:eastAsia="en-US" w:bidi="ar-SA"/>
                <w14:textFill>
                  <w14:solidFill>
                    <w14:schemeClr w14:val="tx1"/>
                  </w14:solidFill>
                </w14:textFill>
              </w:rPr>
              <w:t>入的监视器应符合《计算机显示器能效</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限定值及能效等级》（GB21520）</w:t>
            </w:r>
          </w:p>
        </w:tc>
      </w:tr>
      <w:tr w14:paraId="34F3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3" w:type="dxa"/>
            <w:noWrap w:val="0"/>
            <w:vAlign w:val="top"/>
          </w:tcPr>
          <w:p w14:paraId="0BC2AE9F">
            <w:pPr>
              <w:snapToGrid w:val="0"/>
              <w:spacing w:before="282" w:after="80" w:line="242" w:lineRule="auto"/>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14</w:t>
            </w:r>
          </w:p>
        </w:tc>
        <w:tc>
          <w:tcPr>
            <w:tcW w:w="1133" w:type="dxa"/>
            <w:noWrap w:val="0"/>
            <w:vAlign w:val="top"/>
          </w:tcPr>
          <w:p w14:paraId="21501614">
            <w:pPr>
              <w:snapToGrid w:val="0"/>
              <w:spacing w:before="116" w:after="80" w:line="275" w:lineRule="auto"/>
              <w:ind w:left="21" w:right="13" w:firstLine="1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A031210</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饮食炊事机械</w:t>
            </w:r>
          </w:p>
        </w:tc>
        <w:tc>
          <w:tcPr>
            <w:tcW w:w="1831" w:type="dxa"/>
            <w:noWrap w:val="0"/>
            <w:vAlign w:val="top"/>
          </w:tcPr>
          <w:p w14:paraId="4D0053FD">
            <w:pPr>
              <w:snapToGrid w:val="0"/>
              <w:spacing w:before="282" w:after="80" w:line="221" w:lineRule="auto"/>
              <w:ind w:left="26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商用燃气灶具</w:t>
            </w:r>
          </w:p>
        </w:tc>
        <w:tc>
          <w:tcPr>
            <w:tcW w:w="1784" w:type="dxa"/>
            <w:noWrap w:val="0"/>
            <w:vAlign w:val="top"/>
          </w:tcPr>
          <w:p w14:paraId="4BFF922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08F59199">
            <w:pPr>
              <w:snapToGrid w:val="0"/>
              <w:spacing w:before="116" w:after="80" w:line="275"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《商用燃气灶具能效限定值及能效等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级》（GB30531）</w:t>
            </w:r>
          </w:p>
        </w:tc>
      </w:tr>
      <w:tr w14:paraId="30B8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573" w:type="dxa"/>
            <w:vMerge w:val="restart"/>
            <w:tcBorders>
              <w:bottom w:val="nil"/>
            </w:tcBorders>
            <w:noWrap w:val="0"/>
            <w:vAlign w:val="top"/>
          </w:tcPr>
          <w:p w14:paraId="0B1C0FFE">
            <w:pPr>
              <w:spacing w:line="26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5B77B38C">
            <w:pPr>
              <w:spacing w:line="26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4B5C5479">
            <w:pPr>
              <w:spacing w:line="26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230A5C82">
            <w:pPr>
              <w:snapToGrid w:val="0"/>
              <w:spacing w:before="71" w:after="80"/>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15</w:t>
            </w:r>
          </w:p>
        </w:tc>
        <w:tc>
          <w:tcPr>
            <w:tcW w:w="1133" w:type="dxa"/>
            <w:vMerge w:val="restart"/>
            <w:tcBorders>
              <w:bottom w:val="nil"/>
            </w:tcBorders>
            <w:noWrap w:val="0"/>
            <w:vAlign w:val="top"/>
          </w:tcPr>
          <w:p w14:paraId="254D0664">
            <w:pPr>
              <w:spacing w:line="314"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6342ECA1">
            <w:pPr>
              <w:spacing w:line="315" w:lineRule="auto"/>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p w14:paraId="066C7EC7">
            <w:pPr>
              <w:snapToGrid w:val="0"/>
              <w:spacing w:before="72" w:after="80" w:line="278" w:lineRule="auto"/>
              <w:ind w:left="350" w:right="70" w:hanging="27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★A060805</w:t>
            </w:r>
            <w:r>
              <w:rPr>
                <w:rFonts w:ascii="Arial" w:hAnsi="Arial" w:eastAsia="宋体" w:cs="Times New Roman"/>
                <w:color w:val="000000" w:themeColor="text1"/>
                <w:spacing w:val="-4"/>
                <w:sz w:val="18"/>
                <w:highlight w:val="none"/>
                <w:lang w:val="en-US" w:eastAsia="en-US" w:bidi="ar-SA"/>
                <w14:textFill>
                  <w14:solidFill>
                    <w14:schemeClr w14:val="tx1"/>
                  </w14:solidFill>
                </w14:textFill>
              </w:rPr>
              <w:t>便器</w:t>
            </w:r>
          </w:p>
        </w:tc>
        <w:tc>
          <w:tcPr>
            <w:tcW w:w="1831" w:type="dxa"/>
            <w:noWrap w:val="0"/>
            <w:vAlign w:val="top"/>
          </w:tcPr>
          <w:p w14:paraId="154342A8">
            <w:pPr>
              <w:snapToGrid w:val="0"/>
              <w:spacing w:before="232" w:after="80" w:line="220" w:lineRule="auto"/>
              <w:ind w:left="59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3"/>
                <w:sz w:val="18"/>
                <w:highlight w:val="none"/>
                <w:lang w:val="en-US" w:eastAsia="en-US" w:bidi="ar-SA"/>
                <w14:textFill>
                  <w14:solidFill>
                    <w14:schemeClr w14:val="tx1"/>
                  </w14:solidFill>
                </w14:textFill>
              </w:rPr>
              <w:t>坐便器</w:t>
            </w:r>
          </w:p>
        </w:tc>
        <w:tc>
          <w:tcPr>
            <w:tcW w:w="1784" w:type="dxa"/>
            <w:noWrap w:val="0"/>
            <w:vAlign w:val="top"/>
          </w:tcPr>
          <w:p w14:paraId="4B1FC661">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0453AA13">
            <w:pPr>
              <w:snapToGrid w:val="0"/>
              <w:spacing w:before="65" w:after="80" w:line="254" w:lineRule="auto"/>
              <w:ind w:left="17" w:right="511" w:hanging="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《坐便器水效限定值及水效等级》</w:t>
            </w:r>
            <w:r>
              <w:rPr>
                <w:rFonts w:ascii="Arial" w:hAnsi="Arial" w:eastAsia="宋体" w:cs="Times New Roman"/>
                <w:color w:val="000000" w:themeColor="text1"/>
                <w:spacing w:val="10"/>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（GB25502）</w:t>
            </w:r>
          </w:p>
        </w:tc>
      </w:tr>
      <w:tr w14:paraId="60F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73" w:type="dxa"/>
            <w:vMerge w:val="continue"/>
            <w:tcBorders>
              <w:top w:val="nil"/>
              <w:bottom w:val="nil"/>
            </w:tcBorders>
            <w:noWrap w:val="0"/>
            <w:vAlign w:val="top"/>
          </w:tcPr>
          <w:p w14:paraId="4444DD23">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bottom w:val="nil"/>
            </w:tcBorders>
            <w:noWrap w:val="0"/>
            <w:vAlign w:val="top"/>
          </w:tcPr>
          <w:p w14:paraId="055E2BC1">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15674E87">
            <w:pPr>
              <w:snapToGrid w:val="0"/>
              <w:spacing w:before="206" w:after="80" w:line="220" w:lineRule="auto"/>
              <w:ind w:left="589"/>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蹲便器</w:t>
            </w:r>
          </w:p>
        </w:tc>
        <w:tc>
          <w:tcPr>
            <w:tcW w:w="1784" w:type="dxa"/>
            <w:noWrap w:val="0"/>
            <w:vAlign w:val="top"/>
          </w:tcPr>
          <w:p w14:paraId="2A8C20A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18368810">
            <w:pPr>
              <w:snapToGrid w:val="0"/>
              <w:spacing w:before="60" w:after="80" w:line="235"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《蹲便器用水效率限定值及用水效率等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级》（GB30717）</w:t>
            </w:r>
          </w:p>
        </w:tc>
      </w:tr>
      <w:tr w14:paraId="78D4D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73" w:type="dxa"/>
            <w:vMerge w:val="continue"/>
            <w:tcBorders>
              <w:top w:val="nil"/>
            </w:tcBorders>
            <w:noWrap w:val="0"/>
            <w:vAlign w:val="top"/>
          </w:tcPr>
          <w:p w14:paraId="4BEEDD42">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133" w:type="dxa"/>
            <w:vMerge w:val="continue"/>
            <w:tcBorders>
              <w:top w:val="nil"/>
            </w:tcBorders>
            <w:noWrap w:val="0"/>
            <w:vAlign w:val="top"/>
          </w:tcPr>
          <w:p w14:paraId="0C675A1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831" w:type="dxa"/>
            <w:noWrap w:val="0"/>
            <w:vAlign w:val="top"/>
          </w:tcPr>
          <w:p w14:paraId="24E701A2">
            <w:pPr>
              <w:snapToGrid w:val="0"/>
              <w:spacing w:before="208" w:after="80" w:line="220" w:lineRule="auto"/>
              <w:ind w:left="596"/>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5"/>
                <w:sz w:val="18"/>
                <w:highlight w:val="none"/>
                <w:lang w:val="en-US" w:eastAsia="en-US" w:bidi="ar-SA"/>
                <w14:textFill>
                  <w14:solidFill>
                    <w14:schemeClr w14:val="tx1"/>
                  </w14:solidFill>
                </w14:textFill>
              </w:rPr>
              <w:t>小便器</w:t>
            </w:r>
          </w:p>
        </w:tc>
        <w:tc>
          <w:tcPr>
            <w:tcW w:w="1784" w:type="dxa"/>
            <w:noWrap w:val="0"/>
            <w:vAlign w:val="top"/>
          </w:tcPr>
          <w:p w14:paraId="35969B5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0E98AD95">
            <w:pPr>
              <w:snapToGrid w:val="0"/>
              <w:spacing w:before="60" w:after="80" w:line="236"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《小便器用水效率限定值及用水效率等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级》（GB28377）</w:t>
            </w:r>
          </w:p>
        </w:tc>
      </w:tr>
      <w:tr w14:paraId="01C1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73" w:type="dxa"/>
            <w:noWrap w:val="0"/>
            <w:vAlign w:val="top"/>
          </w:tcPr>
          <w:p w14:paraId="07273CB6">
            <w:pPr>
              <w:snapToGrid w:val="0"/>
              <w:spacing w:before="247" w:after="80"/>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16</w:t>
            </w:r>
          </w:p>
        </w:tc>
        <w:tc>
          <w:tcPr>
            <w:tcW w:w="1133" w:type="dxa"/>
            <w:noWrap w:val="0"/>
            <w:vAlign w:val="top"/>
          </w:tcPr>
          <w:p w14:paraId="3BA6C23E">
            <w:pPr>
              <w:snapToGrid w:val="0"/>
              <w:spacing w:before="80" w:after="80" w:line="261" w:lineRule="auto"/>
              <w:ind w:left="352" w:right="70" w:hanging="27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★A060806</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水嘴</w:t>
            </w:r>
          </w:p>
        </w:tc>
        <w:tc>
          <w:tcPr>
            <w:tcW w:w="1831" w:type="dxa"/>
            <w:noWrap w:val="0"/>
            <w:vAlign w:val="top"/>
          </w:tcPr>
          <w:p w14:paraId="4278404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6A2B5594">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76E2F1E3">
            <w:pPr>
              <w:snapToGrid w:val="0"/>
              <w:spacing w:before="80" w:after="80" w:line="261"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6"/>
                <w:sz w:val="18"/>
                <w:highlight w:val="none"/>
                <w:lang w:val="en-US" w:eastAsia="en-US" w:bidi="ar-SA"/>
                <w14:textFill>
                  <w14:solidFill>
                    <w14:schemeClr w14:val="tx1"/>
                  </w14:solidFill>
                </w14:textFill>
              </w:rPr>
              <w:t>《水嘴用水效率限定值及用水效率等</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级》（GB 25501）</w:t>
            </w:r>
          </w:p>
        </w:tc>
      </w:tr>
      <w:tr w14:paraId="5E45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73" w:type="dxa"/>
            <w:noWrap w:val="0"/>
            <w:vAlign w:val="top"/>
          </w:tcPr>
          <w:p w14:paraId="0854941E">
            <w:pPr>
              <w:snapToGrid w:val="0"/>
              <w:spacing w:before="228" w:after="80"/>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17</w:t>
            </w:r>
          </w:p>
        </w:tc>
        <w:tc>
          <w:tcPr>
            <w:tcW w:w="1133" w:type="dxa"/>
            <w:noWrap w:val="0"/>
            <w:vAlign w:val="top"/>
          </w:tcPr>
          <w:p w14:paraId="5939F0B0">
            <w:pPr>
              <w:snapToGrid w:val="0"/>
              <w:spacing w:before="62" w:after="80" w:line="252" w:lineRule="auto"/>
              <w:ind w:left="131" w:right="42" w:hanging="90"/>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A060807</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便器冲洗阀</w:t>
            </w:r>
          </w:p>
        </w:tc>
        <w:tc>
          <w:tcPr>
            <w:tcW w:w="1831" w:type="dxa"/>
            <w:noWrap w:val="0"/>
            <w:vAlign w:val="top"/>
          </w:tcPr>
          <w:p w14:paraId="556FE67B">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6AF57C4F">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79532B6F">
            <w:pPr>
              <w:snapToGrid w:val="0"/>
              <w:spacing w:before="62" w:after="80" w:line="252" w:lineRule="auto"/>
              <w:ind w:left="12" w:right="5"/>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《便器冲洗阀用水效率限定值及用水效</w:t>
            </w:r>
            <w:r>
              <w:rPr>
                <w:rFonts w:ascii="Arial" w:hAnsi="Arial" w:eastAsia="宋体" w:cs="Times New Roman"/>
                <w:color w:val="000000" w:themeColor="text1"/>
                <w:spacing w:val="-1"/>
                <w:sz w:val="18"/>
                <w:highlight w:val="none"/>
                <w:lang w:val="en-US" w:eastAsia="en-US" w:bidi="ar-SA"/>
                <w14:textFill>
                  <w14:solidFill>
                    <w14:schemeClr w14:val="tx1"/>
                  </w14:solidFill>
                </w14:textFill>
              </w:rPr>
              <w:t>率等级》（GB28379）</w:t>
            </w:r>
          </w:p>
        </w:tc>
      </w:tr>
      <w:tr w14:paraId="352C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73" w:type="dxa"/>
            <w:noWrap w:val="0"/>
            <w:vAlign w:val="top"/>
          </w:tcPr>
          <w:p w14:paraId="04D0F83B">
            <w:pPr>
              <w:snapToGrid w:val="0"/>
              <w:spacing w:before="301" w:after="80"/>
              <w:ind w:left="198"/>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13"/>
                <w:sz w:val="18"/>
                <w:highlight w:val="none"/>
                <w:lang w:val="en-US" w:eastAsia="en-US" w:bidi="ar-SA"/>
                <w14:textFill>
                  <w14:solidFill>
                    <w14:schemeClr w14:val="tx1"/>
                  </w14:solidFill>
                </w14:textFill>
              </w:rPr>
              <w:t>18</w:t>
            </w:r>
          </w:p>
        </w:tc>
        <w:tc>
          <w:tcPr>
            <w:tcW w:w="1133" w:type="dxa"/>
            <w:noWrap w:val="0"/>
            <w:vAlign w:val="top"/>
          </w:tcPr>
          <w:p w14:paraId="25C5E337">
            <w:pPr>
              <w:snapToGrid w:val="0"/>
              <w:spacing w:before="136" w:after="80" w:line="281" w:lineRule="auto"/>
              <w:ind w:left="352" w:right="42" w:hanging="311"/>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A060810</w:t>
            </w:r>
            <w:r>
              <w:rPr>
                <w:rFonts w:ascii="Arial" w:hAnsi="Arial" w:eastAsia="宋体" w:cs="Times New Roman"/>
                <w:color w:val="000000" w:themeColor="text1"/>
                <w:spacing w:val="-41"/>
                <w:sz w:val="18"/>
                <w:highlight w:val="none"/>
                <w:lang w:val="en-US" w:eastAsia="en-US" w:bidi="ar-SA"/>
                <w14:textFill>
                  <w14:solidFill>
                    <w14:schemeClr w14:val="tx1"/>
                  </w14:solidFill>
                </w14:textFill>
              </w:rPr>
              <w:t xml:space="preserve"> </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淋</w:t>
            </w:r>
            <w:r>
              <w:rPr>
                <w:rFonts w:ascii="Arial" w:hAnsi="Arial" w:eastAsia="宋体" w:cs="Times New Roman"/>
                <w:color w:val="000000" w:themeColor="text1"/>
                <w:spacing w:val="-5"/>
                <w:sz w:val="18"/>
                <w:highlight w:val="none"/>
                <w:lang w:val="en-US" w:eastAsia="en-US" w:bidi="ar-SA"/>
                <w14:textFill>
                  <w14:solidFill>
                    <w14:schemeClr w14:val="tx1"/>
                  </w14:solidFill>
                </w14:textFill>
              </w:rPr>
              <w:t>浴器</w:t>
            </w:r>
          </w:p>
        </w:tc>
        <w:tc>
          <w:tcPr>
            <w:tcW w:w="1831" w:type="dxa"/>
            <w:noWrap w:val="0"/>
            <w:vAlign w:val="top"/>
          </w:tcPr>
          <w:p w14:paraId="67AD500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1784" w:type="dxa"/>
            <w:noWrap w:val="0"/>
            <w:vAlign w:val="top"/>
          </w:tcPr>
          <w:p w14:paraId="374CEF9A">
            <w:pPr>
              <w:rPr>
                <w:rFonts w:ascii="Arial" w:hAnsi="Times New Roman" w:eastAsia="Times New Roman" w:cs="宋体"/>
                <w:color w:val="000000" w:themeColor="text1"/>
                <w:kern w:val="0"/>
                <w:sz w:val="21"/>
                <w:szCs w:val="20"/>
                <w:highlight w:val="none"/>
                <w:lang w:eastAsia="en-US"/>
                <w14:textFill>
                  <w14:solidFill>
                    <w14:schemeClr w14:val="tx1"/>
                  </w14:solidFill>
                </w14:textFill>
              </w:rPr>
            </w:pPr>
          </w:p>
        </w:tc>
        <w:tc>
          <w:tcPr>
            <w:tcW w:w="3810" w:type="dxa"/>
            <w:noWrap w:val="0"/>
            <w:vAlign w:val="top"/>
          </w:tcPr>
          <w:p w14:paraId="7C0F7FC3">
            <w:pPr>
              <w:snapToGrid w:val="0"/>
              <w:spacing w:before="135" w:after="80" w:line="281" w:lineRule="auto"/>
              <w:ind w:left="14" w:right="5" w:hanging="2"/>
              <w:rPr>
                <w:rFonts w:ascii="Arial" w:hAnsi="Arial" w:eastAsia="宋体" w:cs="Times New Roman"/>
                <w:color w:val="000000" w:themeColor="text1"/>
                <w:sz w:val="18"/>
                <w:highlight w:val="none"/>
                <w:lang w:val="en-US" w:eastAsia="en-US" w:bidi="ar-SA"/>
                <w14:textFill>
                  <w14:solidFill>
                    <w14:schemeClr w14:val="tx1"/>
                  </w14:solidFill>
                </w14:textFill>
              </w:rPr>
            </w:pPr>
            <w:r>
              <w:rPr>
                <w:rFonts w:ascii="Arial" w:hAnsi="Arial" w:eastAsia="宋体" w:cs="Times New Roman"/>
                <w:color w:val="000000" w:themeColor="text1"/>
                <w:spacing w:val="2"/>
                <w:sz w:val="18"/>
                <w:highlight w:val="none"/>
                <w:lang w:val="en-US" w:eastAsia="en-US" w:bidi="ar-SA"/>
                <w14:textFill>
                  <w14:solidFill>
                    <w14:schemeClr w14:val="tx1"/>
                  </w14:solidFill>
                </w14:textFill>
              </w:rPr>
              <w:t>《淋浴器用水效率限定值及用水效率等</w:t>
            </w:r>
            <w:r>
              <w:rPr>
                <w:rFonts w:ascii="Arial" w:hAnsi="Arial" w:eastAsia="宋体" w:cs="Times New Roman"/>
                <w:color w:val="000000" w:themeColor="text1"/>
                <w:spacing w:val="-2"/>
                <w:sz w:val="18"/>
                <w:highlight w:val="none"/>
                <w:lang w:val="en-US" w:eastAsia="en-US" w:bidi="ar-SA"/>
                <w14:textFill>
                  <w14:solidFill>
                    <w14:schemeClr w14:val="tx1"/>
                  </w14:solidFill>
                </w14:textFill>
              </w:rPr>
              <w:t>级》（GB28378）</w:t>
            </w:r>
          </w:p>
        </w:tc>
      </w:tr>
    </w:tbl>
    <w:p w14:paraId="06CD3BCE">
      <w:pPr>
        <w:spacing w:before="54" w:line="219" w:lineRule="auto"/>
        <w:ind w:left="14"/>
        <w:rPr>
          <w:rFonts w:ascii="宋体" w:hAnsi="宋体" w:eastAsia="宋体" w:cs="宋体"/>
          <w:color w:val="000000" w:themeColor="text1"/>
          <w:kern w:val="0"/>
          <w:sz w:val="22"/>
          <w:szCs w:val="22"/>
          <w:highlight w:val="none"/>
          <w:lang w:eastAsia="en-US"/>
          <w14:textFill>
            <w14:solidFill>
              <w14:schemeClr w14:val="tx1"/>
            </w14:solidFill>
          </w14:textFill>
        </w:rPr>
      </w:pPr>
      <w:r>
        <w:rPr>
          <w:rFonts w:ascii="宋体" w:hAnsi="宋体" w:eastAsia="宋体" w:cs="宋体"/>
          <w:color w:val="000000" w:themeColor="text1"/>
          <w:spacing w:val="-6"/>
          <w:kern w:val="0"/>
          <w:sz w:val="22"/>
          <w:szCs w:val="22"/>
          <w:highlight w:val="none"/>
          <w:lang w:eastAsia="en-US"/>
          <w14:textFill>
            <w14:solidFill>
              <w14:schemeClr w14:val="tx1"/>
            </w14:solidFill>
          </w14:textFill>
        </w:rPr>
        <w:t>注：</w:t>
      </w:r>
      <w:r>
        <w:rPr>
          <w:rFonts w:ascii="Times New Roman" w:hAnsi="Times New Roman" w:eastAsia="Times New Roman" w:cs="Times New Roman"/>
          <w:color w:val="000000" w:themeColor="text1"/>
          <w:spacing w:val="-6"/>
          <w:kern w:val="0"/>
          <w:sz w:val="22"/>
          <w:szCs w:val="22"/>
          <w:highlight w:val="none"/>
          <w:lang w:eastAsia="en-US"/>
          <w14:textFill>
            <w14:solidFill>
              <w14:schemeClr w14:val="tx1"/>
            </w14:solidFill>
          </w14:textFill>
        </w:rPr>
        <w:t>1.</w:t>
      </w:r>
      <w:r>
        <w:rPr>
          <w:rFonts w:ascii="宋体" w:hAnsi="宋体" w:eastAsia="宋体" w:cs="宋体"/>
          <w:color w:val="000000" w:themeColor="text1"/>
          <w:spacing w:val="-6"/>
          <w:kern w:val="0"/>
          <w:sz w:val="22"/>
          <w:szCs w:val="22"/>
          <w:highlight w:val="none"/>
          <w:lang w:eastAsia="en-US"/>
          <w14:textFill>
            <w14:solidFill>
              <w14:schemeClr w14:val="tx1"/>
            </w14:solidFill>
          </w14:textFill>
        </w:rPr>
        <w:t>节能产品认证应依据相关国家标准的最新版本，依据国家标准中二级能效（水效）指标。</w:t>
      </w:r>
    </w:p>
    <w:p w14:paraId="3D1A53DC">
      <w:pPr>
        <w:jc w:val="left"/>
        <w:rPr>
          <w:rFonts w:ascii="宋体" w:hAnsi="宋体" w:eastAsia="宋体" w:cs="宋体"/>
          <w:b/>
          <w:bCs/>
          <w:color w:val="000000" w:themeColor="text1"/>
          <w:spacing w:val="-4"/>
          <w:kern w:val="0"/>
          <w:sz w:val="22"/>
          <w:szCs w:val="22"/>
          <w:highlight w:val="none"/>
          <w:lang w:eastAsia="en-US"/>
          <w14:textFill>
            <w14:solidFill>
              <w14:schemeClr w14:val="tx1"/>
            </w14:solidFill>
          </w14:textFill>
        </w:rPr>
      </w:pPr>
      <w:r>
        <w:rPr>
          <w:rFonts w:ascii="Times New Roman" w:hAnsi="Times New Roman" w:eastAsia="Times New Roman" w:cs="Times New Roman"/>
          <w:color w:val="000000" w:themeColor="text1"/>
          <w:spacing w:val="-4"/>
          <w:kern w:val="0"/>
          <w:sz w:val="22"/>
          <w:szCs w:val="22"/>
          <w:highlight w:val="none"/>
          <w:lang w:eastAsia="en-US"/>
          <w14:textFill>
            <w14:solidFill>
              <w14:schemeClr w14:val="tx1"/>
            </w14:solidFill>
          </w14:textFill>
        </w:rPr>
        <w:t>2</w:t>
      </w:r>
      <w:r>
        <w:rPr>
          <w:rFonts w:ascii="Times New Roman" w:hAnsi="Times New Roman" w:eastAsia="Times New Roman" w:cs="Times New Roman"/>
          <w:b/>
          <w:bCs/>
          <w:color w:val="000000" w:themeColor="text1"/>
          <w:spacing w:val="-4"/>
          <w:kern w:val="0"/>
          <w:sz w:val="22"/>
          <w:szCs w:val="22"/>
          <w:highlight w:val="none"/>
          <w:lang w:eastAsia="en-US"/>
          <w14:textFill>
            <w14:solidFill>
              <w14:schemeClr w14:val="tx1"/>
            </w14:solidFill>
          </w14:textFill>
        </w:rPr>
        <w:t>.</w:t>
      </w:r>
      <w:r>
        <w:rPr>
          <w:rFonts w:ascii="Times New Roman" w:hAnsi="Times New Roman" w:eastAsia="Times New Roman" w:cs="Times New Roman"/>
          <w:b/>
          <w:bCs/>
          <w:color w:val="000000" w:themeColor="text1"/>
          <w:spacing w:val="-7"/>
          <w:kern w:val="0"/>
          <w:sz w:val="22"/>
          <w:szCs w:val="22"/>
          <w:highlight w:val="none"/>
          <w:lang w:eastAsia="en-US"/>
          <w14:textFill>
            <w14:solidFill>
              <w14:schemeClr w14:val="tx1"/>
            </w14:solidFill>
          </w14:textFill>
        </w:rPr>
        <w:t xml:space="preserve"> </w:t>
      </w:r>
      <w:r>
        <w:rPr>
          <w:rFonts w:ascii="宋体" w:hAnsi="宋体" w:eastAsia="宋体" w:cs="宋体"/>
          <w:b/>
          <w:bCs/>
          <w:color w:val="000000" w:themeColor="text1"/>
          <w:spacing w:val="-4"/>
          <w:kern w:val="0"/>
          <w:sz w:val="22"/>
          <w:szCs w:val="22"/>
          <w:highlight w:val="none"/>
          <w:lang w:eastAsia="en-US"/>
          <w14:textFill>
            <w14:solidFill>
              <w14:schemeClr w14:val="tx1"/>
            </w14:solidFill>
          </w14:textFill>
        </w:rPr>
        <w:t>以</w:t>
      </w:r>
      <w:r>
        <w:rPr>
          <w:rFonts w:ascii="Times New Roman" w:hAnsi="Times New Roman" w:eastAsia="Times New Roman" w:cs="Times New Roman"/>
          <w:b/>
          <w:bCs/>
          <w:color w:val="000000" w:themeColor="text1"/>
          <w:spacing w:val="-4"/>
          <w:kern w:val="0"/>
          <w:sz w:val="22"/>
          <w:szCs w:val="22"/>
          <w:highlight w:val="none"/>
          <w:lang w:eastAsia="en-US"/>
          <w14:textFill>
            <w14:solidFill>
              <w14:schemeClr w14:val="tx1"/>
            </w14:solidFill>
          </w14:textFill>
        </w:rPr>
        <w:t>“</w:t>
      </w:r>
      <w:r>
        <w:rPr>
          <w:rFonts w:ascii="宋体" w:hAnsi="宋体" w:eastAsia="宋体" w:cs="宋体"/>
          <w:color w:val="000000" w:themeColor="text1"/>
          <w:spacing w:val="-4"/>
          <w:kern w:val="0"/>
          <w:sz w:val="22"/>
          <w:szCs w:val="22"/>
          <w:highlight w:val="none"/>
          <w:lang w:eastAsia="en-US"/>
          <w14:textFill>
            <w14:solidFill>
              <w14:schemeClr w14:val="tx1"/>
            </w14:solidFill>
          </w14:textFill>
        </w:rPr>
        <w:t>★</w:t>
      </w:r>
      <w:r>
        <w:rPr>
          <w:rFonts w:ascii="Times New Roman" w:hAnsi="Times New Roman" w:eastAsia="Times New Roman" w:cs="Times New Roman"/>
          <w:b/>
          <w:bCs/>
          <w:color w:val="000000" w:themeColor="text1"/>
          <w:spacing w:val="-4"/>
          <w:kern w:val="0"/>
          <w:sz w:val="22"/>
          <w:szCs w:val="22"/>
          <w:highlight w:val="none"/>
          <w:lang w:eastAsia="en-US"/>
          <w14:textFill>
            <w14:solidFill>
              <w14:schemeClr w14:val="tx1"/>
            </w14:solidFill>
          </w14:textFill>
        </w:rPr>
        <w:t>”</w:t>
      </w:r>
      <w:r>
        <w:rPr>
          <w:rFonts w:ascii="宋体" w:hAnsi="宋体" w:eastAsia="宋体" w:cs="宋体"/>
          <w:b/>
          <w:bCs/>
          <w:color w:val="000000" w:themeColor="text1"/>
          <w:spacing w:val="-4"/>
          <w:kern w:val="0"/>
          <w:sz w:val="22"/>
          <w:szCs w:val="22"/>
          <w:highlight w:val="none"/>
          <w:lang w:eastAsia="en-US"/>
          <w14:textFill>
            <w14:solidFill>
              <w14:schemeClr w14:val="tx1"/>
            </w14:solidFill>
          </w14:textFill>
        </w:rPr>
        <w:t>标注的为政府强制采购产品。</w:t>
      </w:r>
    </w:p>
    <w:p w14:paraId="521ECEB1">
      <w:pPr>
        <w:jc w:val="left"/>
        <w:rPr>
          <w:rFonts w:hint="eastAsia" w:ascii="宋体" w:hAnsi="宋体" w:eastAsia="宋体" w:cs="宋体"/>
          <w:b/>
          <w:bCs/>
          <w:color w:val="000000" w:themeColor="text1"/>
          <w:spacing w:val="-4"/>
          <w:kern w:val="0"/>
          <w:sz w:val="22"/>
          <w:szCs w:val="22"/>
          <w:highlight w:val="none"/>
          <w:lang w:eastAsia="zh-CN"/>
          <w14:textFill>
            <w14:solidFill>
              <w14:schemeClr w14:val="tx1"/>
            </w14:solidFill>
          </w14:textFill>
        </w:rPr>
      </w:pPr>
    </w:p>
    <w:p w14:paraId="15516B04">
      <w:pPr>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附件2：</w:t>
      </w:r>
    </w:p>
    <w:p w14:paraId="6C8828B9">
      <w:pPr>
        <w:spacing w:line="528" w:lineRule="exact"/>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中小微企业划型标准</w:t>
      </w:r>
    </w:p>
    <w:tbl>
      <w:tblPr>
        <w:tblStyle w:val="38"/>
        <w:tblW w:w="8997" w:type="dxa"/>
        <w:jc w:val="center"/>
        <w:tblLayout w:type="fixed"/>
        <w:tblCellMar>
          <w:top w:w="0" w:type="dxa"/>
          <w:left w:w="108" w:type="dxa"/>
          <w:bottom w:w="0" w:type="dxa"/>
          <w:right w:w="108" w:type="dxa"/>
        </w:tblCellMar>
      </w:tblPr>
      <w:tblGrid>
        <w:gridCol w:w="1917"/>
        <w:gridCol w:w="1392"/>
        <w:gridCol w:w="1197"/>
        <w:gridCol w:w="1826"/>
        <w:gridCol w:w="1623"/>
        <w:gridCol w:w="1042"/>
      </w:tblGrid>
      <w:tr w14:paraId="7C5E43C3">
        <w:tblPrEx>
          <w:tblCellMar>
            <w:top w:w="0" w:type="dxa"/>
            <w:left w:w="108" w:type="dxa"/>
            <w:bottom w:w="0" w:type="dxa"/>
            <w:right w:w="108" w:type="dxa"/>
          </w:tblCellMar>
        </w:tblPrEx>
        <w:trPr>
          <w:trHeight w:val="34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3813366D">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行业名称</w:t>
            </w:r>
          </w:p>
        </w:tc>
        <w:tc>
          <w:tcPr>
            <w:tcW w:w="1392" w:type="dxa"/>
            <w:tcBorders>
              <w:top w:val="single" w:color="auto" w:sz="4" w:space="0"/>
              <w:left w:val="nil"/>
              <w:bottom w:val="single" w:color="auto" w:sz="4" w:space="0"/>
              <w:right w:val="single" w:color="auto" w:sz="4" w:space="0"/>
            </w:tcBorders>
            <w:noWrap w:val="0"/>
            <w:vAlign w:val="center"/>
          </w:tcPr>
          <w:p w14:paraId="70CC66F3">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指标名称</w:t>
            </w:r>
          </w:p>
        </w:tc>
        <w:tc>
          <w:tcPr>
            <w:tcW w:w="1197" w:type="dxa"/>
            <w:tcBorders>
              <w:top w:val="single" w:color="auto" w:sz="4" w:space="0"/>
              <w:left w:val="nil"/>
              <w:bottom w:val="single" w:color="auto" w:sz="4" w:space="0"/>
              <w:right w:val="single" w:color="auto" w:sz="4" w:space="0"/>
            </w:tcBorders>
            <w:noWrap w:val="0"/>
            <w:vAlign w:val="center"/>
          </w:tcPr>
          <w:p w14:paraId="14F587BA">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计量单位</w:t>
            </w:r>
          </w:p>
        </w:tc>
        <w:tc>
          <w:tcPr>
            <w:tcW w:w="1826" w:type="dxa"/>
            <w:tcBorders>
              <w:top w:val="single" w:color="auto" w:sz="4" w:space="0"/>
              <w:left w:val="nil"/>
              <w:bottom w:val="single" w:color="auto" w:sz="4" w:space="0"/>
              <w:right w:val="single" w:color="auto" w:sz="4" w:space="0"/>
            </w:tcBorders>
            <w:noWrap w:val="0"/>
            <w:vAlign w:val="center"/>
          </w:tcPr>
          <w:p w14:paraId="117491B3">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中型</w:t>
            </w:r>
          </w:p>
        </w:tc>
        <w:tc>
          <w:tcPr>
            <w:tcW w:w="1623" w:type="dxa"/>
            <w:tcBorders>
              <w:top w:val="single" w:color="auto" w:sz="4" w:space="0"/>
              <w:left w:val="nil"/>
              <w:bottom w:val="single" w:color="auto" w:sz="4" w:space="0"/>
              <w:right w:val="single" w:color="auto" w:sz="4" w:space="0"/>
            </w:tcBorders>
            <w:noWrap w:val="0"/>
            <w:vAlign w:val="center"/>
          </w:tcPr>
          <w:p w14:paraId="0D4A9650">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小型</w:t>
            </w:r>
          </w:p>
        </w:tc>
        <w:tc>
          <w:tcPr>
            <w:tcW w:w="1042" w:type="dxa"/>
            <w:tcBorders>
              <w:top w:val="single" w:color="auto" w:sz="4" w:space="0"/>
              <w:left w:val="nil"/>
              <w:bottom w:val="single" w:color="auto" w:sz="4" w:space="0"/>
              <w:right w:val="single" w:color="auto" w:sz="4" w:space="0"/>
            </w:tcBorders>
            <w:noWrap w:val="0"/>
            <w:vAlign w:val="center"/>
          </w:tcPr>
          <w:p w14:paraId="26F28B69">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微型</w:t>
            </w:r>
          </w:p>
        </w:tc>
      </w:tr>
      <w:tr w14:paraId="338C32FD">
        <w:tblPrEx>
          <w:tblCellMar>
            <w:top w:w="0" w:type="dxa"/>
            <w:left w:w="108" w:type="dxa"/>
            <w:bottom w:w="0" w:type="dxa"/>
            <w:right w:w="108" w:type="dxa"/>
          </w:tblCellMar>
        </w:tblPrEx>
        <w:trPr>
          <w:trHeight w:val="340" w:hRule="atLeast"/>
          <w:jc w:val="center"/>
        </w:trPr>
        <w:tc>
          <w:tcPr>
            <w:tcW w:w="1917" w:type="dxa"/>
            <w:tcBorders>
              <w:top w:val="nil"/>
              <w:left w:val="single" w:color="auto" w:sz="4" w:space="0"/>
              <w:bottom w:val="single" w:color="auto" w:sz="4" w:space="0"/>
              <w:right w:val="single" w:color="auto" w:sz="4" w:space="0"/>
            </w:tcBorders>
            <w:noWrap w:val="0"/>
            <w:vAlign w:val="bottom"/>
          </w:tcPr>
          <w:p w14:paraId="61F45BC1">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农、林、牧、渔</w:t>
            </w:r>
          </w:p>
        </w:tc>
        <w:tc>
          <w:tcPr>
            <w:tcW w:w="1392" w:type="dxa"/>
            <w:tcBorders>
              <w:top w:val="nil"/>
              <w:left w:val="nil"/>
              <w:bottom w:val="single" w:color="auto" w:sz="4" w:space="0"/>
              <w:right w:val="single" w:color="auto" w:sz="4" w:space="0"/>
            </w:tcBorders>
            <w:noWrap w:val="0"/>
            <w:vAlign w:val="center"/>
          </w:tcPr>
          <w:p w14:paraId="57B5298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65637E6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454444A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500≤Y＜20000</w:t>
            </w:r>
          </w:p>
        </w:tc>
        <w:tc>
          <w:tcPr>
            <w:tcW w:w="1623" w:type="dxa"/>
            <w:tcBorders>
              <w:top w:val="nil"/>
              <w:left w:val="nil"/>
              <w:bottom w:val="single" w:color="auto" w:sz="4" w:space="0"/>
              <w:right w:val="single" w:color="auto" w:sz="4" w:space="0"/>
            </w:tcBorders>
            <w:noWrap w:val="0"/>
            <w:vAlign w:val="center"/>
          </w:tcPr>
          <w:p w14:paraId="6C3F4DE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50≤Y＜500</w:t>
            </w:r>
          </w:p>
        </w:tc>
        <w:tc>
          <w:tcPr>
            <w:tcW w:w="1042" w:type="dxa"/>
            <w:tcBorders>
              <w:top w:val="nil"/>
              <w:left w:val="nil"/>
              <w:bottom w:val="single" w:color="auto" w:sz="4" w:space="0"/>
              <w:right w:val="single" w:color="auto" w:sz="4" w:space="0"/>
            </w:tcBorders>
            <w:noWrap w:val="0"/>
            <w:vAlign w:val="center"/>
          </w:tcPr>
          <w:p w14:paraId="35D1414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w:t>
            </w:r>
          </w:p>
        </w:tc>
      </w:tr>
      <w:tr w14:paraId="3D017EA4">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648DE4B3">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工业</w:t>
            </w:r>
          </w:p>
        </w:tc>
        <w:tc>
          <w:tcPr>
            <w:tcW w:w="1392" w:type="dxa"/>
            <w:tcBorders>
              <w:top w:val="nil"/>
              <w:left w:val="nil"/>
              <w:bottom w:val="single" w:color="auto" w:sz="4" w:space="0"/>
              <w:right w:val="single" w:color="auto" w:sz="4" w:space="0"/>
            </w:tcBorders>
            <w:noWrap w:val="0"/>
            <w:vAlign w:val="center"/>
          </w:tcPr>
          <w:p w14:paraId="1BBCC24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38EA134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5186BD1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623" w:type="dxa"/>
            <w:tcBorders>
              <w:top w:val="nil"/>
              <w:left w:val="nil"/>
              <w:bottom w:val="single" w:color="auto" w:sz="4" w:space="0"/>
              <w:right w:val="single" w:color="auto" w:sz="4" w:space="0"/>
            </w:tcBorders>
            <w:noWrap w:val="0"/>
            <w:vAlign w:val="center"/>
          </w:tcPr>
          <w:p w14:paraId="21F41A8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20≤X＜300</w:t>
            </w:r>
          </w:p>
        </w:tc>
        <w:tc>
          <w:tcPr>
            <w:tcW w:w="1042" w:type="dxa"/>
            <w:tcBorders>
              <w:top w:val="nil"/>
              <w:left w:val="nil"/>
              <w:bottom w:val="single" w:color="auto" w:sz="4" w:space="0"/>
              <w:right w:val="single" w:color="auto" w:sz="4" w:space="0"/>
            </w:tcBorders>
            <w:noWrap w:val="0"/>
            <w:vAlign w:val="center"/>
          </w:tcPr>
          <w:p w14:paraId="1CD23E2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14:paraId="0B91D52E">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42BC6F0D">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6543FD3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6B6A586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3EE13C4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2000≤Y＜40000</w:t>
            </w:r>
          </w:p>
        </w:tc>
        <w:tc>
          <w:tcPr>
            <w:tcW w:w="1623" w:type="dxa"/>
            <w:tcBorders>
              <w:top w:val="nil"/>
              <w:left w:val="nil"/>
              <w:bottom w:val="single" w:color="auto" w:sz="4" w:space="0"/>
              <w:right w:val="single" w:color="auto" w:sz="4" w:space="0"/>
            </w:tcBorders>
            <w:noWrap w:val="0"/>
            <w:vAlign w:val="center"/>
          </w:tcPr>
          <w:p w14:paraId="6D5E542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300≤Y＜2000</w:t>
            </w:r>
          </w:p>
        </w:tc>
        <w:tc>
          <w:tcPr>
            <w:tcW w:w="1042" w:type="dxa"/>
            <w:tcBorders>
              <w:top w:val="nil"/>
              <w:left w:val="nil"/>
              <w:bottom w:val="single" w:color="auto" w:sz="4" w:space="0"/>
              <w:right w:val="single" w:color="auto" w:sz="4" w:space="0"/>
            </w:tcBorders>
            <w:noWrap w:val="0"/>
            <w:vAlign w:val="center"/>
          </w:tcPr>
          <w:p w14:paraId="36B80C5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w:t>
            </w:r>
          </w:p>
        </w:tc>
      </w:tr>
      <w:tr w14:paraId="737849F1">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6625C12B">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建筑业</w:t>
            </w:r>
          </w:p>
        </w:tc>
        <w:tc>
          <w:tcPr>
            <w:tcW w:w="1392" w:type="dxa"/>
            <w:tcBorders>
              <w:top w:val="nil"/>
              <w:left w:val="nil"/>
              <w:bottom w:val="single" w:color="auto" w:sz="4" w:space="0"/>
              <w:right w:val="single" w:color="auto" w:sz="4" w:space="0"/>
            </w:tcBorders>
            <w:noWrap w:val="0"/>
            <w:vAlign w:val="center"/>
          </w:tcPr>
          <w:p w14:paraId="1A2A59E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26190B1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32F7E1B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6000≤Y＜80000</w:t>
            </w:r>
          </w:p>
        </w:tc>
        <w:tc>
          <w:tcPr>
            <w:tcW w:w="1623" w:type="dxa"/>
            <w:tcBorders>
              <w:top w:val="nil"/>
              <w:left w:val="nil"/>
              <w:bottom w:val="single" w:color="auto" w:sz="4" w:space="0"/>
              <w:right w:val="single" w:color="auto" w:sz="4" w:space="0"/>
            </w:tcBorders>
            <w:noWrap w:val="0"/>
            <w:vAlign w:val="center"/>
          </w:tcPr>
          <w:p w14:paraId="292791D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300≤Y＜6000</w:t>
            </w:r>
          </w:p>
        </w:tc>
        <w:tc>
          <w:tcPr>
            <w:tcW w:w="1042" w:type="dxa"/>
            <w:tcBorders>
              <w:top w:val="nil"/>
              <w:left w:val="nil"/>
              <w:bottom w:val="single" w:color="auto" w:sz="4" w:space="0"/>
              <w:right w:val="single" w:color="auto" w:sz="4" w:space="0"/>
            </w:tcBorders>
            <w:noWrap w:val="0"/>
            <w:vAlign w:val="center"/>
          </w:tcPr>
          <w:p w14:paraId="3C5D76B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Y＜300</w:t>
            </w:r>
          </w:p>
        </w:tc>
      </w:tr>
      <w:tr w14:paraId="1E9225EC">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66C9F278">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140C3A6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资产总额</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Z）</w:t>
            </w:r>
          </w:p>
        </w:tc>
        <w:tc>
          <w:tcPr>
            <w:tcW w:w="1197" w:type="dxa"/>
            <w:tcBorders>
              <w:top w:val="nil"/>
              <w:left w:val="nil"/>
              <w:bottom w:val="single" w:color="auto" w:sz="4" w:space="0"/>
              <w:right w:val="single" w:color="auto" w:sz="4" w:space="0"/>
            </w:tcBorders>
            <w:noWrap w:val="0"/>
            <w:vAlign w:val="center"/>
          </w:tcPr>
          <w:p w14:paraId="5CE96E7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49860E8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5000≤Z＜80000</w:t>
            </w:r>
          </w:p>
        </w:tc>
        <w:tc>
          <w:tcPr>
            <w:tcW w:w="1623" w:type="dxa"/>
            <w:tcBorders>
              <w:top w:val="nil"/>
              <w:left w:val="nil"/>
              <w:bottom w:val="single" w:color="auto" w:sz="4" w:space="0"/>
              <w:right w:val="single" w:color="auto" w:sz="4" w:space="0"/>
            </w:tcBorders>
            <w:noWrap w:val="0"/>
            <w:vAlign w:val="center"/>
          </w:tcPr>
          <w:p w14:paraId="3216EB3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300≤Z＜5000</w:t>
            </w:r>
          </w:p>
        </w:tc>
        <w:tc>
          <w:tcPr>
            <w:tcW w:w="1042" w:type="dxa"/>
            <w:tcBorders>
              <w:top w:val="nil"/>
              <w:left w:val="nil"/>
              <w:bottom w:val="single" w:color="auto" w:sz="4" w:space="0"/>
              <w:right w:val="single" w:color="auto" w:sz="4" w:space="0"/>
            </w:tcBorders>
            <w:noWrap w:val="0"/>
            <w:vAlign w:val="center"/>
          </w:tcPr>
          <w:p w14:paraId="381B251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Z＜300</w:t>
            </w:r>
          </w:p>
        </w:tc>
      </w:tr>
      <w:tr w14:paraId="437A1E6F">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7971AE8B">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批发业</w:t>
            </w:r>
          </w:p>
        </w:tc>
        <w:tc>
          <w:tcPr>
            <w:tcW w:w="1392" w:type="dxa"/>
            <w:tcBorders>
              <w:top w:val="nil"/>
              <w:left w:val="nil"/>
              <w:bottom w:val="single" w:color="auto" w:sz="4" w:space="0"/>
              <w:right w:val="single" w:color="auto" w:sz="4" w:space="0"/>
            </w:tcBorders>
            <w:noWrap w:val="0"/>
            <w:vAlign w:val="center"/>
          </w:tcPr>
          <w:p w14:paraId="4146189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7714E28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6E79DFE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20≤X＜200</w:t>
            </w:r>
          </w:p>
        </w:tc>
        <w:tc>
          <w:tcPr>
            <w:tcW w:w="1623" w:type="dxa"/>
            <w:tcBorders>
              <w:top w:val="nil"/>
              <w:left w:val="nil"/>
              <w:bottom w:val="single" w:color="auto" w:sz="4" w:space="0"/>
              <w:right w:val="single" w:color="auto" w:sz="4" w:space="0"/>
            </w:tcBorders>
            <w:noWrap w:val="0"/>
            <w:vAlign w:val="center"/>
          </w:tcPr>
          <w:p w14:paraId="2651AF6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5≤X＜20</w:t>
            </w:r>
          </w:p>
        </w:tc>
        <w:tc>
          <w:tcPr>
            <w:tcW w:w="1042" w:type="dxa"/>
            <w:tcBorders>
              <w:top w:val="nil"/>
              <w:left w:val="nil"/>
              <w:bottom w:val="single" w:color="auto" w:sz="4" w:space="0"/>
              <w:right w:val="single" w:color="auto" w:sz="4" w:space="0"/>
            </w:tcBorders>
            <w:noWrap w:val="0"/>
            <w:vAlign w:val="center"/>
          </w:tcPr>
          <w:p w14:paraId="41BD28C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X＜5</w:t>
            </w:r>
          </w:p>
        </w:tc>
      </w:tr>
      <w:tr w14:paraId="54F7311D">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07DDEAF0">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24874B7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3658196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35F3172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5000≤Y＜40000</w:t>
            </w:r>
          </w:p>
        </w:tc>
        <w:tc>
          <w:tcPr>
            <w:tcW w:w="1623" w:type="dxa"/>
            <w:tcBorders>
              <w:top w:val="nil"/>
              <w:left w:val="nil"/>
              <w:bottom w:val="single" w:color="auto" w:sz="4" w:space="0"/>
              <w:right w:val="single" w:color="auto" w:sz="4" w:space="0"/>
            </w:tcBorders>
            <w:noWrap w:val="0"/>
            <w:vAlign w:val="center"/>
          </w:tcPr>
          <w:p w14:paraId="4C4B6B4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1000≤Y＜5000</w:t>
            </w:r>
          </w:p>
        </w:tc>
        <w:tc>
          <w:tcPr>
            <w:tcW w:w="1042" w:type="dxa"/>
            <w:tcBorders>
              <w:top w:val="nil"/>
              <w:left w:val="nil"/>
              <w:bottom w:val="single" w:color="auto" w:sz="4" w:space="0"/>
              <w:right w:val="single" w:color="auto" w:sz="4" w:space="0"/>
            </w:tcBorders>
            <w:noWrap w:val="0"/>
            <w:vAlign w:val="center"/>
          </w:tcPr>
          <w:p w14:paraId="559F034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Y＜1000</w:t>
            </w:r>
          </w:p>
        </w:tc>
      </w:tr>
      <w:tr w14:paraId="4F1488A4">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1059C190">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零售业</w:t>
            </w:r>
          </w:p>
        </w:tc>
        <w:tc>
          <w:tcPr>
            <w:tcW w:w="1392" w:type="dxa"/>
            <w:tcBorders>
              <w:top w:val="nil"/>
              <w:left w:val="nil"/>
              <w:bottom w:val="single" w:color="auto" w:sz="4" w:space="0"/>
              <w:right w:val="single" w:color="auto" w:sz="4" w:space="0"/>
            </w:tcBorders>
            <w:noWrap w:val="0"/>
            <w:vAlign w:val="center"/>
          </w:tcPr>
          <w:p w14:paraId="73BD425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21DD003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37EE1D4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50≤X＜300</w:t>
            </w:r>
          </w:p>
        </w:tc>
        <w:tc>
          <w:tcPr>
            <w:tcW w:w="1623" w:type="dxa"/>
            <w:tcBorders>
              <w:top w:val="nil"/>
              <w:left w:val="nil"/>
              <w:bottom w:val="single" w:color="auto" w:sz="4" w:space="0"/>
              <w:right w:val="single" w:color="auto" w:sz="4" w:space="0"/>
            </w:tcBorders>
            <w:noWrap w:val="0"/>
            <w:vAlign w:val="center"/>
          </w:tcPr>
          <w:p w14:paraId="7EE982F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10≤X＜50</w:t>
            </w:r>
          </w:p>
        </w:tc>
        <w:tc>
          <w:tcPr>
            <w:tcW w:w="1042" w:type="dxa"/>
            <w:tcBorders>
              <w:top w:val="nil"/>
              <w:left w:val="nil"/>
              <w:bottom w:val="single" w:color="auto" w:sz="4" w:space="0"/>
              <w:right w:val="single" w:color="auto" w:sz="4" w:space="0"/>
            </w:tcBorders>
            <w:noWrap w:val="0"/>
            <w:vAlign w:val="center"/>
          </w:tcPr>
          <w:p w14:paraId="5FD3A50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14:paraId="364F06CA">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6C0055C2">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2420AB6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47DD6DC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57FBDA5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500≤Y＜20000</w:t>
            </w:r>
          </w:p>
        </w:tc>
        <w:tc>
          <w:tcPr>
            <w:tcW w:w="1623" w:type="dxa"/>
            <w:tcBorders>
              <w:top w:val="nil"/>
              <w:left w:val="nil"/>
              <w:bottom w:val="single" w:color="auto" w:sz="4" w:space="0"/>
              <w:right w:val="single" w:color="auto" w:sz="4" w:space="0"/>
            </w:tcBorders>
            <w:noWrap w:val="0"/>
            <w:vAlign w:val="center"/>
          </w:tcPr>
          <w:p w14:paraId="6A8F5F2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100≤Y＜500</w:t>
            </w:r>
          </w:p>
        </w:tc>
        <w:tc>
          <w:tcPr>
            <w:tcW w:w="1042" w:type="dxa"/>
            <w:tcBorders>
              <w:top w:val="nil"/>
              <w:left w:val="nil"/>
              <w:bottom w:val="single" w:color="auto" w:sz="4" w:space="0"/>
              <w:right w:val="single" w:color="auto" w:sz="4" w:space="0"/>
            </w:tcBorders>
            <w:noWrap w:val="0"/>
            <w:vAlign w:val="center"/>
          </w:tcPr>
          <w:p w14:paraId="0DBDBBB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1A772FAC">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72AC514D">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交通运输业</w:t>
            </w:r>
          </w:p>
        </w:tc>
        <w:tc>
          <w:tcPr>
            <w:tcW w:w="1392" w:type="dxa"/>
            <w:tcBorders>
              <w:top w:val="nil"/>
              <w:left w:val="nil"/>
              <w:bottom w:val="single" w:color="auto" w:sz="4" w:space="0"/>
              <w:right w:val="single" w:color="auto" w:sz="4" w:space="0"/>
            </w:tcBorders>
            <w:noWrap w:val="0"/>
            <w:vAlign w:val="center"/>
          </w:tcPr>
          <w:p w14:paraId="1ED69AC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3B4DA22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3C5B90F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623" w:type="dxa"/>
            <w:tcBorders>
              <w:top w:val="nil"/>
              <w:left w:val="nil"/>
              <w:bottom w:val="single" w:color="auto" w:sz="4" w:space="0"/>
              <w:right w:val="single" w:color="auto" w:sz="4" w:space="0"/>
            </w:tcBorders>
            <w:noWrap w:val="0"/>
            <w:vAlign w:val="center"/>
          </w:tcPr>
          <w:p w14:paraId="11E20E5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20≤X＜300</w:t>
            </w:r>
          </w:p>
        </w:tc>
        <w:tc>
          <w:tcPr>
            <w:tcW w:w="1042" w:type="dxa"/>
            <w:tcBorders>
              <w:top w:val="nil"/>
              <w:left w:val="nil"/>
              <w:bottom w:val="single" w:color="auto" w:sz="4" w:space="0"/>
              <w:right w:val="single" w:color="auto" w:sz="4" w:space="0"/>
            </w:tcBorders>
            <w:noWrap w:val="0"/>
            <w:vAlign w:val="center"/>
          </w:tcPr>
          <w:p w14:paraId="4FB1E41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14:paraId="4C5A96BA">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26D3843D">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7460986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6F49353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48B18C9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3000≤Y＜30000</w:t>
            </w:r>
          </w:p>
        </w:tc>
        <w:tc>
          <w:tcPr>
            <w:tcW w:w="1623" w:type="dxa"/>
            <w:tcBorders>
              <w:top w:val="nil"/>
              <w:left w:val="nil"/>
              <w:bottom w:val="single" w:color="auto" w:sz="4" w:space="0"/>
              <w:right w:val="single" w:color="auto" w:sz="4" w:space="0"/>
            </w:tcBorders>
            <w:noWrap w:val="0"/>
            <w:vAlign w:val="center"/>
          </w:tcPr>
          <w:p w14:paraId="03BAD6C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200≤Y＜3000</w:t>
            </w:r>
          </w:p>
        </w:tc>
        <w:tc>
          <w:tcPr>
            <w:tcW w:w="1042" w:type="dxa"/>
            <w:tcBorders>
              <w:top w:val="nil"/>
              <w:left w:val="nil"/>
              <w:bottom w:val="single" w:color="auto" w:sz="4" w:space="0"/>
              <w:right w:val="single" w:color="auto" w:sz="4" w:space="0"/>
            </w:tcBorders>
            <w:noWrap w:val="0"/>
            <w:vAlign w:val="center"/>
          </w:tcPr>
          <w:p w14:paraId="4BA1F88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Y＜200</w:t>
            </w:r>
          </w:p>
        </w:tc>
      </w:tr>
      <w:tr w14:paraId="14320D25">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249BCC5A">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仓储业</w:t>
            </w:r>
          </w:p>
        </w:tc>
        <w:tc>
          <w:tcPr>
            <w:tcW w:w="1392" w:type="dxa"/>
            <w:tcBorders>
              <w:top w:val="nil"/>
              <w:left w:val="nil"/>
              <w:bottom w:val="single" w:color="auto" w:sz="4" w:space="0"/>
              <w:right w:val="single" w:color="auto" w:sz="4" w:space="0"/>
            </w:tcBorders>
            <w:noWrap w:val="0"/>
            <w:vAlign w:val="center"/>
          </w:tcPr>
          <w:p w14:paraId="39DA1FD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67D5E13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5915B99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100≤X＜200</w:t>
            </w:r>
          </w:p>
        </w:tc>
        <w:tc>
          <w:tcPr>
            <w:tcW w:w="1623" w:type="dxa"/>
            <w:tcBorders>
              <w:top w:val="nil"/>
              <w:left w:val="nil"/>
              <w:bottom w:val="single" w:color="auto" w:sz="4" w:space="0"/>
              <w:right w:val="single" w:color="auto" w:sz="4" w:space="0"/>
            </w:tcBorders>
            <w:noWrap w:val="0"/>
            <w:vAlign w:val="center"/>
          </w:tcPr>
          <w:p w14:paraId="41A3D7B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20≤X＜100</w:t>
            </w:r>
          </w:p>
        </w:tc>
        <w:tc>
          <w:tcPr>
            <w:tcW w:w="1042" w:type="dxa"/>
            <w:tcBorders>
              <w:top w:val="nil"/>
              <w:left w:val="nil"/>
              <w:bottom w:val="single" w:color="auto" w:sz="4" w:space="0"/>
              <w:right w:val="single" w:color="auto" w:sz="4" w:space="0"/>
            </w:tcBorders>
            <w:noWrap w:val="0"/>
            <w:vAlign w:val="center"/>
          </w:tcPr>
          <w:p w14:paraId="2FCB4A8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14:paraId="6D5E6B14">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0790A4A0">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458F086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3877C6F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346B25A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1000≤Y＜30000</w:t>
            </w:r>
          </w:p>
        </w:tc>
        <w:tc>
          <w:tcPr>
            <w:tcW w:w="1623" w:type="dxa"/>
            <w:tcBorders>
              <w:top w:val="nil"/>
              <w:left w:val="nil"/>
              <w:bottom w:val="single" w:color="auto" w:sz="4" w:space="0"/>
              <w:right w:val="single" w:color="auto" w:sz="4" w:space="0"/>
            </w:tcBorders>
            <w:noWrap w:val="0"/>
            <w:vAlign w:val="center"/>
          </w:tcPr>
          <w:p w14:paraId="2D6124D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100≤Y＜1000</w:t>
            </w:r>
          </w:p>
        </w:tc>
        <w:tc>
          <w:tcPr>
            <w:tcW w:w="1042" w:type="dxa"/>
            <w:tcBorders>
              <w:top w:val="nil"/>
              <w:left w:val="nil"/>
              <w:bottom w:val="single" w:color="auto" w:sz="4" w:space="0"/>
              <w:right w:val="single" w:color="auto" w:sz="4" w:space="0"/>
            </w:tcBorders>
            <w:noWrap w:val="0"/>
            <w:vAlign w:val="center"/>
          </w:tcPr>
          <w:p w14:paraId="6EEE43F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4BC0E079">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3E66D408">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邮政业</w:t>
            </w:r>
          </w:p>
        </w:tc>
        <w:tc>
          <w:tcPr>
            <w:tcW w:w="1392" w:type="dxa"/>
            <w:tcBorders>
              <w:top w:val="nil"/>
              <w:left w:val="nil"/>
              <w:bottom w:val="single" w:color="auto" w:sz="4" w:space="0"/>
              <w:right w:val="single" w:color="auto" w:sz="4" w:space="0"/>
            </w:tcBorders>
            <w:noWrap w:val="0"/>
            <w:vAlign w:val="center"/>
          </w:tcPr>
          <w:p w14:paraId="0F1BE7B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492058B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69F0DCC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623" w:type="dxa"/>
            <w:tcBorders>
              <w:top w:val="nil"/>
              <w:left w:val="nil"/>
              <w:bottom w:val="single" w:color="auto" w:sz="4" w:space="0"/>
              <w:right w:val="single" w:color="auto" w:sz="4" w:space="0"/>
            </w:tcBorders>
            <w:noWrap w:val="0"/>
            <w:vAlign w:val="center"/>
          </w:tcPr>
          <w:p w14:paraId="7BAAD5E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20≤X＜300</w:t>
            </w:r>
          </w:p>
        </w:tc>
        <w:tc>
          <w:tcPr>
            <w:tcW w:w="1042" w:type="dxa"/>
            <w:tcBorders>
              <w:top w:val="nil"/>
              <w:left w:val="nil"/>
              <w:bottom w:val="single" w:color="auto" w:sz="4" w:space="0"/>
              <w:right w:val="single" w:color="auto" w:sz="4" w:space="0"/>
            </w:tcBorders>
            <w:noWrap w:val="0"/>
            <w:vAlign w:val="center"/>
          </w:tcPr>
          <w:p w14:paraId="153F8FD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X＜20</w:t>
            </w:r>
          </w:p>
        </w:tc>
      </w:tr>
      <w:tr w14:paraId="6F18D13B">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71F8C04D">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3A23AA1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7C1D19D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289F7EA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2000≤Y＜30000</w:t>
            </w:r>
          </w:p>
        </w:tc>
        <w:tc>
          <w:tcPr>
            <w:tcW w:w="1623" w:type="dxa"/>
            <w:tcBorders>
              <w:top w:val="nil"/>
              <w:left w:val="nil"/>
              <w:bottom w:val="single" w:color="auto" w:sz="4" w:space="0"/>
              <w:right w:val="single" w:color="auto" w:sz="4" w:space="0"/>
            </w:tcBorders>
            <w:noWrap w:val="0"/>
            <w:vAlign w:val="center"/>
          </w:tcPr>
          <w:p w14:paraId="0D4374A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100≤Y＜2000</w:t>
            </w:r>
          </w:p>
        </w:tc>
        <w:tc>
          <w:tcPr>
            <w:tcW w:w="1042" w:type="dxa"/>
            <w:tcBorders>
              <w:top w:val="nil"/>
              <w:left w:val="nil"/>
              <w:bottom w:val="single" w:color="auto" w:sz="4" w:space="0"/>
              <w:right w:val="single" w:color="auto" w:sz="4" w:space="0"/>
            </w:tcBorders>
            <w:noWrap w:val="0"/>
            <w:vAlign w:val="center"/>
          </w:tcPr>
          <w:p w14:paraId="014079E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0E68B9C7">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15859EA8">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住宿业</w:t>
            </w:r>
          </w:p>
        </w:tc>
        <w:tc>
          <w:tcPr>
            <w:tcW w:w="1392" w:type="dxa"/>
            <w:tcBorders>
              <w:top w:val="nil"/>
              <w:left w:val="nil"/>
              <w:bottom w:val="single" w:color="auto" w:sz="4" w:space="0"/>
              <w:right w:val="single" w:color="auto" w:sz="4" w:space="0"/>
            </w:tcBorders>
            <w:noWrap w:val="0"/>
            <w:vAlign w:val="center"/>
          </w:tcPr>
          <w:p w14:paraId="4F81BEF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5B91AD9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0DBCD95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623" w:type="dxa"/>
            <w:tcBorders>
              <w:top w:val="nil"/>
              <w:left w:val="nil"/>
              <w:bottom w:val="single" w:color="auto" w:sz="4" w:space="0"/>
              <w:right w:val="single" w:color="auto" w:sz="4" w:space="0"/>
            </w:tcBorders>
            <w:noWrap w:val="0"/>
            <w:vAlign w:val="center"/>
          </w:tcPr>
          <w:p w14:paraId="1A20A8F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1042" w:type="dxa"/>
            <w:tcBorders>
              <w:top w:val="nil"/>
              <w:left w:val="nil"/>
              <w:bottom w:val="single" w:color="auto" w:sz="4" w:space="0"/>
              <w:right w:val="single" w:color="auto" w:sz="4" w:space="0"/>
            </w:tcBorders>
            <w:noWrap w:val="0"/>
            <w:vAlign w:val="center"/>
          </w:tcPr>
          <w:p w14:paraId="0F0F81D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14:paraId="6AE4E35C">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050562BC">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6C34F4B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46DF21F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2627E88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2000≤Y＜10000</w:t>
            </w:r>
          </w:p>
        </w:tc>
        <w:tc>
          <w:tcPr>
            <w:tcW w:w="1623" w:type="dxa"/>
            <w:tcBorders>
              <w:top w:val="nil"/>
              <w:left w:val="nil"/>
              <w:bottom w:val="single" w:color="auto" w:sz="4" w:space="0"/>
              <w:right w:val="single" w:color="auto" w:sz="4" w:space="0"/>
            </w:tcBorders>
            <w:noWrap w:val="0"/>
            <w:vAlign w:val="center"/>
          </w:tcPr>
          <w:p w14:paraId="6C08B96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100≤Y＜2000</w:t>
            </w:r>
          </w:p>
        </w:tc>
        <w:tc>
          <w:tcPr>
            <w:tcW w:w="1042" w:type="dxa"/>
            <w:tcBorders>
              <w:top w:val="nil"/>
              <w:left w:val="nil"/>
              <w:bottom w:val="single" w:color="auto" w:sz="4" w:space="0"/>
              <w:right w:val="single" w:color="auto" w:sz="4" w:space="0"/>
            </w:tcBorders>
            <w:noWrap w:val="0"/>
            <w:vAlign w:val="center"/>
          </w:tcPr>
          <w:p w14:paraId="50A548C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71F82D50">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22DDE577">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餐饮业</w:t>
            </w:r>
          </w:p>
        </w:tc>
        <w:tc>
          <w:tcPr>
            <w:tcW w:w="1392" w:type="dxa"/>
            <w:tcBorders>
              <w:top w:val="nil"/>
              <w:left w:val="nil"/>
              <w:bottom w:val="single" w:color="auto" w:sz="4" w:space="0"/>
              <w:right w:val="single" w:color="auto" w:sz="4" w:space="0"/>
            </w:tcBorders>
            <w:noWrap w:val="0"/>
            <w:vAlign w:val="center"/>
          </w:tcPr>
          <w:p w14:paraId="458EB77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317C328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332E77A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623" w:type="dxa"/>
            <w:tcBorders>
              <w:top w:val="nil"/>
              <w:left w:val="nil"/>
              <w:bottom w:val="single" w:color="auto" w:sz="4" w:space="0"/>
              <w:right w:val="single" w:color="auto" w:sz="4" w:space="0"/>
            </w:tcBorders>
            <w:noWrap w:val="0"/>
            <w:vAlign w:val="center"/>
          </w:tcPr>
          <w:p w14:paraId="7E9F624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1042" w:type="dxa"/>
            <w:tcBorders>
              <w:top w:val="nil"/>
              <w:left w:val="nil"/>
              <w:bottom w:val="single" w:color="auto" w:sz="4" w:space="0"/>
              <w:right w:val="single" w:color="auto" w:sz="4" w:space="0"/>
            </w:tcBorders>
            <w:noWrap w:val="0"/>
            <w:vAlign w:val="center"/>
          </w:tcPr>
          <w:p w14:paraId="51ECED3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14:paraId="0FA26C76">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33636570">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61DFC00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5CA8382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1B18FD5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2000≤Y＜10000</w:t>
            </w:r>
          </w:p>
        </w:tc>
        <w:tc>
          <w:tcPr>
            <w:tcW w:w="1623" w:type="dxa"/>
            <w:tcBorders>
              <w:top w:val="nil"/>
              <w:left w:val="nil"/>
              <w:bottom w:val="single" w:color="auto" w:sz="4" w:space="0"/>
              <w:right w:val="single" w:color="auto" w:sz="4" w:space="0"/>
            </w:tcBorders>
            <w:noWrap w:val="0"/>
            <w:vAlign w:val="center"/>
          </w:tcPr>
          <w:p w14:paraId="79B9F59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100≤Y＜2000</w:t>
            </w:r>
          </w:p>
        </w:tc>
        <w:tc>
          <w:tcPr>
            <w:tcW w:w="1042" w:type="dxa"/>
            <w:tcBorders>
              <w:top w:val="nil"/>
              <w:left w:val="nil"/>
              <w:bottom w:val="single" w:color="auto" w:sz="4" w:space="0"/>
              <w:right w:val="single" w:color="auto" w:sz="4" w:space="0"/>
            </w:tcBorders>
            <w:noWrap w:val="0"/>
            <w:vAlign w:val="center"/>
          </w:tcPr>
          <w:p w14:paraId="6CB482A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2C0F16FD">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7EAB0227">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信息传输业</w:t>
            </w:r>
          </w:p>
        </w:tc>
        <w:tc>
          <w:tcPr>
            <w:tcW w:w="1392" w:type="dxa"/>
            <w:tcBorders>
              <w:top w:val="nil"/>
              <w:left w:val="nil"/>
              <w:bottom w:val="single" w:color="auto" w:sz="4" w:space="0"/>
              <w:right w:val="single" w:color="auto" w:sz="4" w:space="0"/>
            </w:tcBorders>
            <w:noWrap w:val="0"/>
            <w:vAlign w:val="center"/>
          </w:tcPr>
          <w:p w14:paraId="4F9EBA9D">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5A22831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57508D4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100≤X＜2000</w:t>
            </w:r>
          </w:p>
        </w:tc>
        <w:tc>
          <w:tcPr>
            <w:tcW w:w="1623" w:type="dxa"/>
            <w:tcBorders>
              <w:top w:val="nil"/>
              <w:left w:val="nil"/>
              <w:bottom w:val="single" w:color="auto" w:sz="4" w:space="0"/>
              <w:right w:val="single" w:color="auto" w:sz="4" w:space="0"/>
            </w:tcBorders>
            <w:noWrap w:val="0"/>
            <w:vAlign w:val="center"/>
          </w:tcPr>
          <w:p w14:paraId="68623D6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1042" w:type="dxa"/>
            <w:tcBorders>
              <w:top w:val="nil"/>
              <w:left w:val="nil"/>
              <w:bottom w:val="single" w:color="auto" w:sz="4" w:space="0"/>
              <w:right w:val="single" w:color="auto" w:sz="4" w:space="0"/>
            </w:tcBorders>
            <w:noWrap w:val="0"/>
            <w:vAlign w:val="center"/>
          </w:tcPr>
          <w:p w14:paraId="6107EBD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14:paraId="2AD774B6">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486C8558">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72FD3B7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1F2A32D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38708D0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1000≤Y＜100000</w:t>
            </w:r>
          </w:p>
        </w:tc>
        <w:tc>
          <w:tcPr>
            <w:tcW w:w="1623" w:type="dxa"/>
            <w:tcBorders>
              <w:top w:val="nil"/>
              <w:left w:val="nil"/>
              <w:bottom w:val="single" w:color="auto" w:sz="4" w:space="0"/>
              <w:right w:val="single" w:color="auto" w:sz="4" w:space="0"/>
            </w:tcBorders>
            <w:noWrap w:val="0"/>
            <w:vAlign w:val="center"/>
          </w:tcPr>
          <w:p w14:paraId="4BC4052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100≤Y＜1000</w:t>
            </w:r>
          </w:p>
        </w:tc>
        <w:tc>
          <w:tcPr>
            <w:tcW w:w="1042" w:type="dxa"/>
            <w:tcBorders>
              <w:top w:val="nil"/>
              <w:left w:val="nil"/>
              <w:bottom w:val="single" w:color="auto" w:sz="4" w:space="0"/>
              <w:right w:val="single" w:color="auto" w:sz="4" w:space="0"/>
            </w:tcBorders>
            <w:noWrap w:val="0"/>
            <w:vAlign w:val="center"/>
          </w:tcPr>
          <w:p w14:paraId="0963CFC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0EE37D78">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54453954">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软件和信息技术服务业</w:t>
            </w:r>
          </w:p>
        </w:tc>
        <w:tc>
          <w:tcPr>
            <w:tcW w:w="1392" w:type="dxa"/>
            <w:tcBorders>
              <w:top w:val="nil"/>
              <w:left w:val="nil"/>
              <w:bottom w:val="single" w:color="auto" w:sz="4" w:space="0"/>
              <w:right w:val="single" w:color="auto" w:sz="4" w:space="0"/>
            </w:tcBorders>
            <w:noWrap w:val="0"/>
            <w:vAlign w:val="center"/>
          </w:tcPr>
          <w:p w14:paraId="327B126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758A001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4CE58FE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623" w:type="dxa"/>
            <w:tcBorders>
              <w:top w:val="nil"/>
              <w:left w:val="nil"/>
              <w:bottom w:val="single" w:color="auto" w:sz="4" w:space="0"/>
              <w:right w:val="single" w:color="auto" w:sz="4" w:space="0"/>
            </w:tcBorders>
            <w:noWrap w:val="0"/>
            <w:vAlign w:val="center"/>
          </w:tcPr>
          <w:p w14:paraId="45B6E3C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1042" w:type="dxa"/>
            <w:tcBorders>
              <w:top w:val="nil"/>
              <w:left w:val="nil"/>
              <w:bottom w:val="single" w:color="auto" w:sz="4" w:space="0"/>
              <w:right w:val="single" w:color="auto" w:sz="4" w:space="0"/>
            </w:tcBorders>
            <w:noWrap w:val="0"/>
            <w:vAlign w:val="center"/>
          </w:tcPr>
          <w:p w14:paraId="3677D4E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14:paraId="10D4515B">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7B08D276">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32CC7B9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3E77941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014AC14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1000≤Y＜10000</w:t>
            </w:r>
          </w:p>
        </w:tc>
        <w:tc>
          <w:tcPr>
            <w:tcW w:w="1623" w:type="dxa"/>
            <w:tcBorders>
              <w:top w:val="nil"/>
              <w:left w:val="nil"/>
              <w:bottom w:val="single" w:color="auto" w:sz="4" w:space="0"/>
              <w:right w:val="single" w:color="auto" w:sz="4" w:space="0"/>
            </w:tcBorders>
            <w:noWrap w:val="0"/>
            <w:vAlign w:val="center"/>
          </w:tcPr>
          <w:p w14:paraId="5D2BD5B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50≤Y＜1000</w:t>
            </w:r>
          </w:p>
        </w:tc>
        <w:tc>
          <w:tcPr>
            <w:tcW w:w="1042" w:type="dxa"/>
            <w:tcBorders>
              <w:top w:val="nil"/>
              <w:left w:val="nil"/>
              <w:bottom w:val="single" w:color="auto" w:sz="4" w:space="0"/>
              <w:right w:val="single" w:color="auto" w:sz="4" w:space="0"/>
            </w:tcBorders>
            <w:noWrap w:val="0"/>
            <w:vAlign w:val="center"/>
          </w:tcPr>
          <w:p w14:paraId="43C010A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w:t>
            </w:r>
          </w:p>
        </w:tc>
      </w:tr>
      <w:tr w14:paraId="3F9A2330">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3BE31F3F">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房地产开发经营</w:t>
            </w:r>
          </w:p>
        </w:tc>
        <w:tc>
          <w:tcPr>
            <w:tcW w:w="1392" w:type="dxa"/>
            <w:tcBorders>
              <w:top w:val="nil"/>
              <w:left w:val="nil"/>
              <w:bottom w:val="single" w:color="auto" w:sz="4" w:space="0"/>
              <w:right w:val="single" w:color="auto" w:sz="4" w:space="0"/>
            </w:tcBorders>
            <w:noWrap w:val="0"/>
            <w:vAlign w:val="center"/>
          </w:tcPr>
          <w:p w14:paraId="5663C9A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420569C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7B2BAFF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1000≤Y＜200000</w:t>
            </w:r>
          </w:p>
        </w:tc>
        <w:tc>
          <w:tcPr>
            <w:tcW w:w="1623" w:type="dxa"/>
            <w:tcBorders>
              <w:top w:val="nil"/>
              <w:left w:val="nil"/>
              <w:bottom w:val="single" w:color="auto" w:sz="4" w:space="0"/>
              <w:right w:val="single" w:color="auto" w:sz="4" w:space="0"/>
            </w:tcBorders>
            <w:noWrap w:val="0"/>
            <w:vAlign w:val="center"/>
          </w:tcPr>
          <w:p w14:paraId="772D955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100≤X＜1000</w:t>
            </w:r>
          </w:p>
        </w:tc>
        <w:tc>
          <w:tcPr>
            <w:tcW w:w="1042" w:type="dxa"/>
            <w:tcBorders>
              <w:top w:val="nil"/>
              <w:left w:val="nil"/>
              <w:bottom w:val="single" w:color="auto" w:sz="4" w:space="0"/>
              <w:right w:val="single" w:color="auto" w:sz="4" w:space="0"/>
            </w:tcBorders>
            <w:noWrap w:val="0"/>
            <w:vAlign w:val="center"/>
          </w:tcPr>
          <w:p w14:paraId="6911D8A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w:t>
            </w:r>
          </w:p>
        </w:tc>
      </w:tr>
      <w:tr w14:paraId="6140292C">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127E116D">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631C900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资产总额</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Z）</w:t>
            </w:r>
          </w:p>
        </w:tc>
        <w:tc>
          <w:tcPr>
            <w:tcW w:w="1197" w:type="dxa"/>
            <w:tcBorders>
              <w:top w:val="nil"/>
              <w:left w:val="nil"/>
              <w:bottom w:val="single" w:color="auto" w:sz="4" w:space="0"/>
              <w:right w:val="single" w:color="auto" w:sz="4" w:space="0"/>
            </w:tcBorders>
            <w:noWrap w:val="0"/>
            <w:vAlign w:val="center"/>
          </w:tcPr>
          <w:p w14:paraId="0EBE747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3085987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5000≤Z＜10000</w:t>
            </w:r>
          </w:p>
        </w:tc>
        <w:tc>
          <w:tcPr>
            <w:tcW w:w="1623" w:type="dxa"/>
            <w:tcBorders>
              <w:top w:val="nil"/>
              <w:left w:val="nil"/>
              <w:bottom w:val="single" w:color="auto" w:sz="4" w:space="0"/>
              <w:right w:val="single" w:color="auto" w:sz="4" w:space="0"/>
            </w:tcBorders>
            <w:noWrap w:val="0"/>
            <w:vAlign w:val="center"/>
          </w:tcPr>
          <w:p w14:paraId="0002751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2000≤Y＜5000</w:t>
            </w:r>
          </w:p>
        </w:tc>
        <w:tc>
          <w:tcPr>
            <w:tcW w:w="1042" w:type="dxa"/>
            <w:tcBorders>
              <w:top w:val="nil"/>
              <w:left w:val="nil"/>
              <w:bottom w:val="single" w:color="auto" w:sz="4" w:space="0"/>
              <w:right w:val="single" w:color="auto" w:sz="4" w:space="0"/>
            </w:tcBorders>
            <w:noWrap w:val="0"/>
            <w:vAlign w:val="center"/>
          </w:tcPr>
          <w:p w14:paraId="726DEAA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Y＜2000</w:t>
            </w:r>
          </w:p>
        </w:tc>
      </w:tr>
      <w:tr w14:paraId="3E1FEA72">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11EECE80">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物业管理</w:t>
            </w:r>
          </w:p>
        </w:tc>
        <w:tc>
          <w:tcPr>
            <w:tcW w:w="1392" w:type="dxa"/>
            <w:tcBorders>
              <w:top w:val="nil"/>
              <w:left w:val="nil"/>
              <w:bottom w:val="single" w:color="auto" w:sz="4" w:space="0"/>
              <w:right w:val="single" w:color="auto" w:sz="4" w:space="0"/>
            </w:tcBorders>
            <w:noWrap w:val="0"/>
            <w:vAlign w:val="center"/>
          </w:tcPr>
          <w:p w14:paraId="76E9C3B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7B87CBDF">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53F781A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300≤X＜1000</w:t>
            </w:r>
          </w:p>
        </w:tc>
        <w:tc>
          <w:tcPr>
            <w:tcW w:w="1623" w:type="dxa"/>
            <w:tcBorders>
              <w:top w:val="nil"/>
              <w:left w:val="nil"/>
              <w:bottom w:val="single" w:color="auto" w:sz="4" w:space="0"/>
              <w:right w:val="single" w:color="auto" w:sz="4" w:space="0"/>
            </w:tcBorders>
            <w:noWrap w:val="0"/>
            <w:vAlign w:val="center"/>
          </w:tcPr>
          <w:p w14:paraId="582E065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042" w:type="dxa"/>
            <w:tcBorders>
              <w:top w:val="nil"/>
              <w:left w:val="nil"/>
              <w:bottom w:val="single" w:color="auto" w:sz="4" w:space="0"/>
              <w:right w:val="single" w:color="auto" w:sz="4" w:space="0"/>
            </w:tcBorders>
            <w:noWrap w:val="0"/>
            <w:vAlign w:val="center"/>
          </w:tcPr>
          <w:p w14:paraId="6524009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X＜100</w:t>
            </w:r>
          </w:p>
        </w:tc>
      </w:tr>
      <w:tr w14:paraId="3E2B3833">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25607596">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0D4FB6E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营业收入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Y）</w:t>
            </w:r>
          </w:p>
        </w:tc>
        <w:tc>
          <w:tcPr>
            <w:tcW w:w="1197" w:type="dxa"/>
            <w:tcBorders>
              <w:top w:val="nil"/>
              <w:left w:val="nil"/>
              <w:bottom w:val="single" w:color="auto" w:sz="4" w:space="0"/>
              <w:right w:val="single" w:color="auto" w:sz="4" w:space="0"/>
            </w:tcBorders>
            <w:noWrap w:val="0"/>
            <w:vAlign w:val="center"/>
          </w:tcPr>
          <w:p w14:paraId="45C8825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16FF023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1000≤Y＜5000</w:t>
            </w:r>
          </w:p>
        </w:tc>
        <w:tc>
          <w:tcPr>
            <w:tcW w:w="1623" w:type="dxa"/>
            <w:tcBorders>
              <w:top w:val="nil"/>
              <w:left w:val="nil"/>
              <w:bottom w:val="single" w:color="auto" w:sz="4" w:space="0"/>
              <w:right w:val="single" w:color="auto" w:sz="4" w:space="0"/>
            </w:tcBorders>
            <w:noWrap w:val="0"/>
            <w:vAlign w:val="center"/>
          </w:tcPr>
          <w:p w14:paraId="22E9B21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500≤Y＜1000</w:t>
            </w:r>
          </w:p>
        </w:tc>
        <w:tc>
          <w:tcPr>
            <w:tcW w:w="1042" w:type="dxa"/>
            <w:tcBorders>
              <w:top w:val="nil"/>
              <w:left w:val="nil"/>
              <w:bottom w:val="single" w:color="auto" w:sz="4" w:space="0"/>
              <w:right w:val="single" w:color="auto" w:sz="4" w:space="0"/>
            </w:tcBorders>
            <w:noWrap w:val="0"/>
            <w:vAlign w:val="center"/>
          </w:tcPr>
          <w:p w14:paraId="77B12CA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Y＜500</w:t>
            </w:r>
          </w:p>
        </w:tc>
      </w:tr>
      <w:tr w14:paraId="11A95466">
        <w:tblPrEx>
          <w:tblCellMar>
            <w:top w:w="0" w:type="dxa"/>
            <w:left w:w="108" w:type="dxa"/>
            <w:bottom w:w="0" w:type="dxa"/>
            <w:right w:w="108" w:type="dxa"/>
          </w:tblCellMar>
        </w:tblPrEx>
        <w:trPr>
          <w:trHeight w:val="340"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5877BDCB">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租赁和商务服务业</w:t>
            </w:r>
          </w:p>
        </w:tc>
        <w:tc>
          <w:tcPr>
            <w:tcW w:w="1392" w:type="dxa"/>
            <w:tcBorders>
              <w:top w:val="nil"/>
              <w:left w:val="nil"/>
              <w:bottom w:val="single" w:color="auto" w:sz="4" w:space="0"/>
              <w:right w:val="single" w:color="auto" w:sz="4" w:space="0"/>
            </w:tcBorders>
            <w:noWrap w:val="0"/>
            <w:vAlign w:val="center"/>
          </w:tcPr>
          <w:p w14:paraId="1F67511C">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0E78555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40D4F43A">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623" w:type="dxa"/>
            <w:tcBorders>
              <w:top w:val="nil"/>
              <w:left w:val="nil"/>
              <w:bottom w:val="single" w:color="auto" w:sz="4" w:space="0"/>
              <w:right w:val="single" w:color="auto" w:sz="4" w:space="0"/>
            </w:tcBorders>
            <w:noWrap w:val="0"/>
            <w:vAlign w:val="center"/>
          </w:tcPr>
          <w:p w14:paraId="6FEB9A9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1042" w:type="dxa"/>
            <w:tcBorders>
              <w:top w:val="nil"/>
              <w:left w:val="nil"/>
              <w:bottom w:val="single" w:color="auto" w:sz="4" w:space="0"/>
              <w:right w:val="single" w:color="auto" w:sz="4" w:space="0"/>
            </w:tcBorders>
            <w:noWrap w:val="0"/>
            <w:vAlign w:val="center"/>
          </w:tcPr>
          <w:p w14:paraId="48F3CB2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r w14:paraId="5EB6CC47">
        <w:tblPrEx>
          <w:tblCellMar>
            <w:top w:w="0" w:type="dxa"/>
            <w:left w:w="108" w:type="dxa"/>
            <w:bottom w:w="0" w:type="dxa"/>
            <w:right w:w="108" w:type="dxa"/>
          </w:tblCellMar>
        </w:tblPrEx>
        <w:trPr>
          <w:trHeight w:val="340"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2B998069">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1392" w:type="dxa"/>
            <w:tcBorders>
              <w:top w:val="nil"/>
              <w:left w:val="nil"/>
              <w:bottom w:val="single" w:color="auto" w:sz="4" w:space="0"/>
              <w:right w:val="single" w:color="auto" w:sz="4" w:space="0"/>
            </w:tcBorders>
            <w:noWrap w:val="0"/>
            <w:vAlign w:val="center"/>
          </w:tcPr>
          <w:p w14:paraId="14E82F3B">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资产总额</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Z）</w:t>
            </w:r>
          </w:p>
        </w:tc>
        <w:tc>
          <w:tcPr>
            <w:tcW w:w="1197" w:type="dxa"/>
            <w:tcBorders>
              <w:top w:val="nil"/>
              <w:left w:val="nil"/>
              <w:bottom w:val="single" w:color="auto" w:sz="4" w:space="0"/>
              <w:right w:val="single" w:color="auto" w:sz="4" w:space="0"/>
            </w:tcBorders>
            <w:noWrap w:val="0"/>
            <w:vAlign w:val="center"/>
          </w:tcPr>
          <w:p w14:paraId="4706DC38">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万元</w:t>
            </w:r>
          </w:p>
        </w:tc>
        <w:tc>
          <w:tcPr>
            <w:tcW w:w="1826" w:type="dxa"/>
            <w:tcBorders>
              <w:top w:val="nil"/>
              <w:left w:val="nil"/>
              <w:bottom w:val="single" w:color="auto" w:sz="4" w:space="0"/>
              <w:right w:val="single" w:color="auto" w:sz="4" w:space="0"/>
            </w:tcBorders>
            <w:noWrap w:val="0"/>
            <w:vAlign w:val="center"/>
          </w:tcPr>
          <w:p w14:paraId="6FB0C846">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8000≤Z＜120000</w:t>
            </w:r>
          </w:p>
        </w:tc>
        <w:tc>
          <w:tcPr>
            <w:tcW w:w="1623" w:type="dxa"/>
            <w:tcBorders>
              <w:top w:val="nil"/>
              <w:left w:val="nil"/>
              <w:bottom w:val="single" w:color="auto" w:sz="4" w:space="0"/>
              <w:right w:val="single" w:color="auto" w:sz="4" w:space="0"/>
            </w:tcBorders>
            <w:noWrap w:val="0"/>
            <w:vAlign w:val="center"/>
          </w:tcPr>
          <w:p w14:paraId="1E37E96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100≤Z＜8000</w:t>
            </w:r>
          </w:p>
        </w:tc>
        <w:tc>
          <w:tcPr>
            <w:tcW w:w="1042" w:type="dxa"/>
            <w:tcBorders>
              <w:top w:val="nil"/>
              <w:left w:val="nil"/>
              <w:bottom w:val="single" w:color="auto" w:sz="4" w:space="0"/>
              <w:right w:val="single" w:color="auto" w:sz="4" w:space="0"/>
            </w:tcBorders>
            <w:noWrap w:val="0"/>
            <w:vAlign w:val="center"/>
          </w:tcPr>
          <w:p w14:paraId="4DF645C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Y＜100</w:t>
            </w:r>
          </w:p>
        </w:tc>
      </w:tr>
      <w:tr w14:paraId="390E9EF2">
        <w:tblPrEx>
          <w:tblCellMar>
            <w:top w:w="0" w:type="dxa"/>
            <w:left w:w="108" w:type="dxa"/>
            <w:bottom w:w="0" w:type="dxa"/>
            <w:right w:w="108" w:type="dxa"/>
          </w:tblCellMar>
        </w:tblPrEx>
        <w:trPr>
          <w:trHeight w:val="340" w:hRule="atLeast"/>
          <w:jc w:val="center"/>
        </w:trPr>
        <w:tc>
          <w:tcPr>
            <w:tcW w:w="1917" w:type="dxa"/>
            <w:tcBorders>
              <w:top w:val="nil"/>
              <w:left w:val="single" w:color="auto" w:sz="4" w:space="0"/>
              <w:bottom w:val="single" w:color="auto" w:sz="4" w:space="0"/>
              <w:right w:val="single" w:color="auto" w:sz="4" w:space="0"/>
            </w:tcBorders>
            <w:noWrap w:val="0"/>
            <w:vAlign w:val="bottom"/>
          </w:tcPr>
          <w:p w14:paraId="532E19FB">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其他未列明行业</w:t>
            </w:r>
          </w:p>
        </w:tc>
        <w:tc>
          <w:tcPr>
            <w:tcW w:w="1392" w:type="dxa"/>
            <w:tcBorders>
              <w:top w:val="nil"/>
              <w:left w:val="nil"/>
              <w:bottom w:val="single" w:color="auto" w:sz="4" w:space="0"/>
              <w:right w:val="single" w:color="auto" w:sz="4" w:space="0"/>
            </w:tcBorders>
            <w:noWrap w:val="0"/>
            <w:vAlign w:val="center"/>
          </w:tcPr>
          <w:p w14:paraId="48DC6C91">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X）</w:t>
            </w:r>
          </w:p>
        </w:tc>
        <w:tc>
          <w:tcPr>
            <w:tcW w:w="1197" w:type="dxa"/>
            <w:tcBorders>
              <w:top w:val="nil"/>
              <w:left w:val="nil"/>
              <w:bottom w:val="single" w:color="auto" w:sz="4" w:space="0"/>
              <w:right w:val="single" w:color="auto" w:sz="4" w:space="0"/>
            </w:tcBorders>
            <w:noWrap w:val="0"/>
            <w:vAlign w:val="center"/>
          </w:tcPr>
          <w:p w14:paraId="517F982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w:t>
            </w:r>
          </w:p>
        </w:tc>
        <w:tc>
          <w:tcPr>
            <w:tcW w:w="1826" w:type="dxa"/>
            <w:tcBorders>
              <w:top w:val="nil"/>
              <w:left w:val="nil"/>
              <w:bottom w:val="single" w:color="auto" w:sz="4" w:space="0"/>
              <w:right w:val="single" w:color="auto" w:sz="4" w:space="0"/>
            </w:tcBorders>
            <w:noWrap w:val="0"/>
            <w:vAlign w:val="center"/>
          </w:tcPr>
          <w:p w14:paraId="3110CDA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100≤X＜300</w:t>
            </w:r>
          </w:p>
        </w:tc>
        <w:tc>
          <w:tcPr>
            <w:tcW w:w="1623" w:type="dxa"/>
            <w:tcBorders>
              <w:top w:val="nil"/>
              <w:left w:val="nil"/>
              <w:bottom w:val="single" w:color="auto" w:sz="4" w:space="0"/>
              <w:right w:val="single" w:color="auto" w:sz="4" w:space="0"/>
            </w:tcBorders>
            <w:noWrap w:val="0"/>
            <w:vAlign w:val="center"/>
          </w:tcPr>
          <w:p w14:paraId="236793F4">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10≤X＜100</w:t>
            </w:r>
          </w:p>
        </w:tc>
        <w:tc>
          <w:tcPr>
            <w:tcW w:w="1042" w:type="dxa"/>
            <w:tcBorders>
              <w:top w:val="nil"/>
              <w:left w:val="nil"/>
              <w:bottom w:val="single" w:color="auto" w:sz="4" w:space="0"/>
              <w:right w:val="single" w:color="auto" w:sz="4" w:space="0"/>
            </w:tcBorders>
            <w:noWrap w:val="0"/>
            <w:vAlign w:val="center"/>
          </w:tcPr>
          <w:p w14:paraId="304D3DE5">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X＜10</w:t>
            </w:r>
          </w:p>
        </w:tc>
      </w:tr>
    </w:tbl>
    <w:p w14:paraId="1D1441CF">
      <w:pPr>
        <w:spacing w:line="360" w:lineRule="auto"/>
        <w:ind w:firstLine="420" w:firstLineChars="200"/>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说明：上述标准参照《关于印发中小企业划型标准规定的通知》</w:t>
      </w:r>
      <w:r>
        <w:rPr>
          <w:rFonts w:hint="eastAsia" w:ascii="宋体" w:hAnsi="宋体" w:eastAsia="宋体" w:cs="宋体"/>
          <w:color w:val="000000" w:themeColor="text1"/>
          <w:sz w:val="21"/>
          <w:szCs w:val="22"/>
          <w:highlight w:val="none"/>
          <w:lang w:eastAsia="zh-CN"/>
          <w14:textFill>
            <w14:solidFill>
              <w14:schemeClr w14:val="tx1"/>
            </w14:solidFill>
          </w14:textFill>
        </w:rPr>
        <w:t>（</w:t>
      </w:r>
      <w:r>
        <w:rPr>
          <w:rFonts w:hint="eastAsia" w:ascii="宋体" w:hAnsi="宋体" w:eastAsia="宋体" w:cs="宋体"/>
          <w:color w:val="000000" w:themeColor="text1"/>
          <w:sz w:val="21"/>
          <w:szCs w:val="22"/>
          <w:highlight w:val="none"/>
          <w14:textFill>
            <w14:solidFill>
              <w14:schemeClr w14:val="tx1"/>
            </w14:solidFill>
          </w14:textFill>
        </w:rPr>
        <w:t>工信部联企业[2011]300号），大型、中型和小型企业须同时满足所列指标的下限，否则下划一档；微型企业只须满足所列指标中的一项即可。</w:t>
      </w:r>
    </w:p>
    <w:p w14:paraId="7D3571A6">
      <w:pPr>
        <w:ind w:firstLine="400" w:firstLineChars="200"/>
        <w:rPr>
          <w:rFonts w:hint="eastAsia" w:ascii="宋体" w:hAnsi="宋体" w:eastAsia="宋体" w:cs="宋体"/>
          <w:color w:val="000000" w:themeColor="text1"/>
          <w:szCs w:val="21"/>
          <w:highlight w:val="none"/>
          <w14:textFill>
            <w14:solidFill>
              <w14:schemeClr w14:val="tx1"/>
            </w14:solidFill>
          </w14:textFill>
        </w:rPr>
      </w:pPr>
    </w:p>
    <w:p w14:paraId="50402833">
      <w:pPr>
        <w:ind w:firstLine="400" w:firstLineChars="200"/>
        <w:rPr>
          <w:rFonts w:hint="eastAsia" w:ascii="宋体" w:hAnsi="宋体" w:eastAsia="宋体" w:cs="宋体"/>
          <w:color w:val="000000" w:themeColor="text1"/>
          <w:szCs w:val="21"/>
          <w:highlight w:val="none"/>
          <w14:textFill>
            <w14:solidFill>
              <w14:schemeClr w14:val="tx1"/>
            </w14:solidFill>
          </w14:textFill>
        </w:rPr>
      </w:pPr>
    </w:p>
    <w:p w14:paraId="57D239B7">
      <w:pPr>
        <w:ind w:firstLine="400" w:firstLineChars="200"/>
        <w:rPr>
          <w:rFonts w:hint="eastAsia" w:ascii="宋体" w:hAnsi="宋体" w:eastAsia="宋体" w:cs="宋体"/>
          <w:color w:val="000000" w:themeColor="text1"/>
          <w:szCs w:val="21"/>
          <w:highlight w:val="none"/>
          <w14:textFill>
            <w14:solidFill>
              <w14:schemeClr w14:val="tx1"/>
            </w14:solidFill>
          </w14:textFill>
        </w:rPr>
      </w:pPr>
    </w:p>
    <w:p w14:paraId="54C8B09A">
      <w:pPr>
        <w:ind w:firstLine="400" w:firstLineChars="200"/>
        <w:rPr>
          <w:rFonts w:hint="eastAsia" w:ascii="宋体" w:hAnsi="宋体" w:eastAsia="宋体" w:cs="宋体"/>
          <w:color w:val="000000" w:themeColor="text1"/>
          <w:szCs w:val="21"/>
          <w:highlight w:val="none"/>
          <w14:textFill>
            <w14:solidFill>
              <w14:schemeClr w14:val="tx1"/>
            </w14:solidFill>
          </w14:textFill>
        </w:rPr>
      </w:pPr>
    </w:p>
    <w:p w14:paraId="1EC4B571">
      <w:pPr>
        <w:pStyle w:val="21"/>
        <w:spacing w:line="360" w:lineRule="exact"/>
        <w:jc w:val="center"/>
        <w:outlineLvl w:val="0"/>
        <w:rPr>
          <w:rStyle w:val="59"/>
          <w:rFonts w:hint="eastAsia" w:hAnsi="宋体" w:eastAsia="宋体" w:cs="宋体"/>
          <w:color w:val="000000" w:themeColor="text1"/>
          <w:highlight w:val="none"/>
          <w:lang w:eastAsia="zh-CN"/>
          <w14:textFill>
            <w14:solidFill>
              <w14:schemeClr w14:val="tx1"/>
            </w14:solidFill>
          </w14:textFill>
        </w:rPr>
      </w:pPr>
      <w:bookmarkStart w:id="197" w:name="_Toc4788"/>
      <w:bookmarkStart w:id="198" w:name="_Toc16429"/>
      <w:r>
        <w:rPr>
          <w:rStyle w:val="59"/>
          <w:rFonts w:hint="eastAsia" w:hAnsi="宋体" w:cs="宋体"/>
          <w:color w:val="000000" w:themeColor="text1"/>
          <w:highlight w:val="none"/>
          <w14:textFill>
            <w14:solidFill>
              <w14:schemeClr w14:val="tx1"/>
            </w14:solidFill>
          </w14:textFill>
        </w:rPr>
        <w:t xml:space="preserve">第四章 </w:t>
      </w:r>
      <w:bookmarkEnd w:id="188"/>
      <w:bookmarkEnd w:id="189"/>
      <w:bookmarkEnd w:id="190"/>
      <w:bookmarkEnd w:id="191"/>
      <w:bookmarkEnd w:id="192"/>
      <w:bookmarkEnd w:id="193"/>
      <w:bookmarkEnd w:id="194"/>
      <w:bookmarkEnd w:id="195"/>
      <w:r>
        <w:rPr>
          <w:rStyle w:val="59"/>
          <w:rFonts w:hint="eastAsia" w:hAnsi="宋体" w:cs="宋体"/>
          <w:color w:val="000000" w:themeColor="text1"/>
          <w:highlight w:val="none"/>
          <w14:textFill>
            <w14:solidFill>
              <w14:schemeClr w14:val="tx1"/>
            </w14:solidFill>
          </w14:textFill>
        </w:rPr>
        <w:t>合同</w:t>
      </w:r>
      <w:bookmarkEnd w:id="196"/>
      <w:r>
        <w:rPr>
          <w:rStyle w:val="59"/>
          <w:rFonts w:hint="eastAsia" w:hAnsi="宋体" w:cs="宋体"/>
          <w:color w:val="000000" w:themeColor="text1"/>
          <w:highlight w:val="none"/>
          <w:lang w:eastAsia="zh-CN"/>
          <w14:textFill>
            <w14:solidFill>
              <w14:schemeClr w14:val="tx1"/>
            </w14:solidFill>
          </w14:textFill>
        </w:rPr>
        <w:t>格式</w:t>
      </w:r>
      <w:bookmarkEnd w:id="197"/>
      <w:bookmarkEnd w:id="198"/>
    </w:p>
    <w:p w14:paraId="0A1D034E">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bookmarkStart w:id="199" w:name="_Toc147250553"/>
      <w:bookmarkStart w:id="200" w:name="_Toc147250397"/>
      <w:bookmarkStart w:id="201" w:name="_Toc147250351"/>
    </w:p>
    <w:p w14:paraId="30367BCF">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p>
    <w:p w14:paraId="5D9AD0ED">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p>
    <w:p w14:paraId="4EA93533">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p>
    <w:p w14:paraId="19067BAB">
      <w:pPr>
        <w:jc w:val="center"/>
        <w:rPr>
          <w:rFonts w:ascii="宋体" w:hAnsi="宋体"/>
          <w:b/>
          <w:color w:val="000000" w:themeColor="text1"/>
          <w:sz w:val="84"/>
          <w:szCs w:val="84"/>
          <w:highlight w:val="none"/>
          <w:lang w:eastAsia="zh-CN"/>
          <w14:textFill>
            <w14:solidFill>
              <w14:schemeClr w14:val="tx1"/>
            </w14:solidFill>
          </w14:textFill>
        </w:rPr>
      </w:pPr>
      <w:r>
        <w:rPr>
          <w:rFonts w:hint="eastAsia" w:ascii="宋体" w:hAnsi="宋体"/>
          <w:b/>
          <w:color w:val="000000" w:themeColor="text1"/>
          <w:sz w:val="84"/>
          <w:szCs w:val="84"/>
          <w:highlight w:val="none"/>
          <w:lang w:eastAsia="zh-CN"/>
          <w14:textFill>
            <w14:solidFill>
              <w14:schemeClr w14:val="tx1"/>
            </w14:solidFill>
          </w14:textFill>
        </w:rPr>
        <w:t>政府采购合同书</w:t>
      </w:r>
    </w:p>
    <w:p w14:paraId="3C324C25">
      <w:pPr>
        <w:jc w:val="left"/>
        <w:rPr>
          <w:rFonts w:ascii="宋体" w:hAnsi="宋体"/>
          <w:color w:val="000000" w:themeColor="text1"/>
          <w:sz w:val="28"/>
          <w:szCs w:val="28"/>
          <w:highlight w:val="none"/>
          <w:lang w:eastAsia="zh-CN"/>
          <w14:textFill>
            <w14:solidFill>
              <w14:schemeClr w14:val="tx1"/>
            </w14:solidFill>
          </w14:textFill>
        </w:rPr>
      </w:pPr>
    </w:p>
    <w:p w14:paraId="6FAEB9ED">
      <w:pPr>
        <w:pStyle w:val="55"/>
        <w:rPr>
          <w:rFonts w:ascii="宋体" w:hAnsi="宋体"/>
          <w:color w:val="000000" w:themeColor="text1"/>
          <w:sz w:val="28"/>
          <w:szCs w:val="28"/>
          <w:highlight w:val="none"/>
          <w:lang w:eastAsia="zh-CN"/>
          <w14:textFill>
            <w14:solidFill>
              <w14:schemeClr w14:val="tx1"/>
            </w14:solidFill>
          </w14:textFill>
        </w:rPr>
      </w:pPr>
    </w:p>
    <w:p w14:paraId="50D59622">
      <w:pPr>
        <w:jc w:val="left"/>
        <w:rPr>
          <w:rFonts w:ascii="宋体" w:hAnsi="宋体"/>
          <w:color w:val="000000" w:themeColor="text1"/>
          <w:sz w:val="28"/>
          <w:szCs w:val="28"/>
          <w:highlight w:val="none"/>
          <w:lang w:eastAsia="zh-CN"/>
          <w14:textFill>
            <w14:solidFill>
              <w14:schemeClr w14:val="tx1"/>
            </w14:solidFill>
          </w14:textFill>
        </w:rPr>
      </w:pPr>
    </w:p>
    <w:p w14:paraId="2B135D76">
      <w:pPr>
        <w:spacing w:line="360" w:lineRule="auto"/>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p>
    <w:p w14:paraId="16A361AA">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p>
    <w:p w14:paraId="37211633">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 xml:space="preserve">项目名称： </w:t>
      </w:r>
    </w:p>
    <w:p w14:paraId="05A325C3">
      <w:pPr>
        <w:spacing w:line="700" w:lineRule="exact"/>
        <w:ind w:left="1200" w:leftChars="6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项目编号：</w:t>
      </w:r>
    </w:p>
    <w:p w14:paraId="64C4FC58">
      <w:pPr>
        <w:spacing w:line="700" w:lineRule="exact"/>
        <w:ind w:left="1200" w:leftChars="6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分标号：</w:t>
      </w:r>
    </w:p>
    <w:p w14:paraId="5C503052">
      <w:pPr>
        <w:spacing w:line="700" w:lineRule="exact"/>
        <w:ind w:left="2801" w:leftChars="600" w:hanging="1601" w:hangingChars="5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采购单位（甲方）：钦州市妇幼保健院</w:t>
      </w:r>
    </w:p>
    <w:p w14:paraId="1528E137">
      <w:pPr>
        <w:widowControl/>
        <w:spacing w:line="700" w:lineRule="exact"/>
        <w:ind w:left="2801" w:leftChars="600" w:hanging="1601" w:hangingChars="5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供应商（乙方）：</w:t>
      </w:r>
    </w:p>
    <w:p w14:paraId="41D20DFC">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签订合同地点：  钦州市妇幼保健院</w:t>
      </w:r>
    </w:p>
    <w:p w14:paraId="343E7165">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签订合同时间：</w:t>
      </w:r>
    </w:p>
    <w:p w14:paraId="7DABDFFD">
      <w:pPr>
        <w:pStyle w:val="21"/>
        <w:jc w:val="center"/>
        <w:rPr>
          <w:rFonts w:hAnsi="宋体" w:cs="宋体"/>
          <w:color w:val="000000" w:themeColor="text1"/>
          <w:highlight w:val="none"/>
          <w14:textFill>
            <w14:solidFill>
              <w14:schemeClr w14:val="tx1"/>
            </w14:solidFill>
          </w14:textFill>
        </w:rPr>
      </w:pPr>
    </w:p>
    <w:p w14:paraId="7F84D384">
      <w:pPr>
        <w:rPr>
          <w:rFonts w:hAnsi="宋体"/>
          <w:color w:val="000000" w:themeColor="text1"/>
          <w:highlight w:val="none"/>
          <w:lang w:eastAsia="zh-CN"/>
          <w14:textFill>
            <w14:solidFill>
              <w14:schemeClr w14:val="tx1"/>
            </w14:solidFill>
          </w14:textFill>
        </w:rPr>
      </w:pPr>
    </w:p>
    <w:p w14:paraId="7DBB65AD">
      <w:pPr>
        <w:pStyle w:val="27"/>
        <w:rPr>
          <w:rFonts w:hAnsi="宋体"/>
          <w:color w:val="000000" w:themeColor="text1"/>
          <w:highlight w:val="none"/>
          <w:lang w:eastAsia="zh-CN"/>
          <w14:textFill>
            <w14:solidFill>
              <w14:schemeClr w14:val="tx1"/>
            </w14:solidFill>
          </w14:textFill>
        </w:rPr>
      </w:pPr>
    </w:p>
    <w:p w14:paraId="6E15030C">
      <w:pPr>
        <w:rPr>
          <w:color w:val="000000" w:themeColor="text1"/>
          <w:highlight w:val="none"/>
          <w:lang w:eastAsia="zh-CN"/>
          <w14:textFill>
            <w14:solidFill>
              <w14:schemeClr w14:val="tx1"/>
            </w14:solidFill>
          </w14:textFill>
        </w:rPr>
      </w:pPr>
    </w:p>
    <w:p w14:paraId="6A3518D7">
      <w:pPr>
        <w:pStyle w:val="27"/>
        <w:rPr>
          <w:color w:val="000000" w:themeColor="text1"/>
          <w:highlight w:val="none"/>
          <w:lang w:eastAsia="zh-CN"/>
          <w14:textFill>
            <w14:solidFill>
              <w14:schemeClr w14:val="tx1"/>
            </w14:solidFill>
          </w14:textFill>
        </w:rPr>
      </w:pPr>
    </w:p>
    <w:p w14:paraId="1BD5ECFC">
      <w:pPr>
        <w:spacing w:line="240" w:lineRule="auto"/>
        <w:ind w:firstLine="2241" w:firstLineChars="700"/>
        <w:jc w:val="both"/>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广西壮族自治区政府采购合同（格式）</w:t>
      </w:r>
    </w:p>
    <w:p w14:paraId="17DBD13C">
      <w:pPr>
        <w:spacing w:line="240" w:lineRule="auto"/>
        <w:jc w:val="center"/>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（钦州市妇幼保健院货物采购合同范本）</w:t>
      </w:r>
    </w:p>
    <w:p w14:paraId="0FAEAD3A">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合同编号：</w:t>
      </w:r>
    </w:p>
    <w:p w14:paraId="10C5FEE4">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采购人（甲方）：                                  采 购 计 划 号：                         </w:t>
      </w:r>
    </w:p>
    <w:p w14:paraId="64A6441A">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供应商（乙方）：                                  采购项目名称和编号：                       </w:t>
      </w:r>
    </w:p>
    <w:p w14:paraId="50CF59CB">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签  订  地  点：                                  签 订 时 间：                       </w:t>
      </w:r>
    </w:p>
    <w:p w14:paraId="51889EF9">
      <w:pPr>
        <w:spacing w:line="400" w:lineRule="exact"/>
        <w:ind w:left="798"/>
        <w:rPr>
          <w:rFonts w:ascii="宋体" w:hAnsi="宋体"/>
          <w:color w:val="000000" w:themeColor="text1"/>
          <w:sz w:val="22"/>
          <w:highlight w:val="none"/>
          <w:lang w:eastAsia="zh-CN"/>
          <w14:textFill>
            <w14:solidFill>
              <w14:schemeClr w14:val="tx1"/>
            </w14:solidFill>
          </w14:textFill>
        </w:rPr>
      </w:pPr>
    </w:p>
    <w:p w14:paraId="7FA225F3">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根据《中华人民共和国政府采购法》《中华人民共和国民法典》之合同编等法律、法规规定，按照</w:t>
      </w:r>
      <w:r>
        <w:rPr>
          <w:rFonts w:hint="eastAsia" w:ascii="宋体" w:hAnsi="宋体" w:eastAsia="宋体"/>
          <w:color w:val="000000" w:themeColor="text1"/>
          <w:sz w:val="22"/>
          <w:highlight w:val="none"/>
          <w:lang w:eastAsia="zh-CN"/>
          <w14:textFill>
            <w14:solidFill>
              <w14:schemeClr w14:val="tx1"/>
            </w14:solidFill>
          </w14:textFill>
        </w:rPr>
        <w:t>公开招标文件</w:t>
      </w:r>
      <w:r>
        <w:rPr>
          <w:rFonts w:hint="eastAsia" w:ascii="宋体" w:hAnsi="宋体"/>
          <w:color w:val="000000" w:themeColor="text1"/>
          <w:sz w:val="22"/>
          <w:highlight w:val="none"/>
          <w:lang w:eastAsia="zh-CN"/>
          <w14:textFill>
            <w14:solidFill>
              <w14:schemeClr w14:val="tx1"/>
            </w14:solidFill>
          </w14:textFill>
        </w:rPr>
        <w:t>（以下简称“</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”）规定条款和乙方</w:t>
      </w:r>
      <w:r>
        <w:rPr>
          <w:rFonts w:hint="eastAsia" w:ascii="宋体" w:hAnsi="宋体" w:eastAsia="宋体"/>
          <w:color w:val="000000" w:themeColor="text1"/>
          <w:sz w:val="22"/>
          <w:highlight w:val="none"/>
          <w:lang w:eastAsia="zh-CN"/>
          <w14:textFill>
            <w14:solidFill>
              <w14:schemeClr w14:val="tx1"/>
            </w14:solidFill>
          </w14:textFill>
        </w:rPr>
        <w:t>投标响应文件</w:t>
      </w:r>
      <w:r>
        <w:rPr>
          <w:rFonts w:hint="eastAsia" w:ascii="宋体" w:hAnsi="宋体"/>
          <w:color w:val="000000" w:themeColor="text1"/>
          <w:sz w:val="22"/>
          <w:highlight w:val="none"/>
          <w:lang w:eastAsia="zh-CN"/>
          <w14:textFill>
            <w14:solidFill>
              <w14:schemeClr w14:val="tx1"/>
            </w14:solidFill>
          </w14:textFill>
        </w:rPr>
        <w:t>（以下简称“响应文件”）及其承诺，甲乙双方签订本合同。</w:t>
      </w:r>
    </w:p>
    <w:p w14:paraId="7190F30E">
      <w:pPr>
        <w:spacing w:line="440" w:lineRule="exact"/>
        <w:rPr>
          <w:rFonts w:ascii="宋体" w:hAnsi="宋体"/>
          <w:b/>
          <w:bCs/>
          <w:color w:val="000000" w:themeColor="text1"/>
          <w:sz w:val="22"/>
          <w:highlight w:val="none"/>
          <w:lang w:eastAsia="zh-CN"/>
          <w14:textFill>
            <w14:solidFill>
              <w14:schemeClr w14:val="tx1"/>
            </w14:solidFill>
          </w14:textFill>
        </w:rPr>
      </w:pPr>
      <w:r>
        <w:rPr>
          <w:rFonts w:hint="eastAsia" w:ascii="宋体" w:hAnsi="宋体"/>
          <w:b/>
          <w:bCs/>
          <w:color w:val="000000" w:themeColor="text1"/>
          <w:sz w:val="22"/>
          <w:highlight w:val="none"/>
          <w:lang w:eastAsia="zh-CN"/>
          <w14:textFill>
            <w14:solidFill>
              <w14:schemeClr w14:val="tx1"/>
            </w14:solidFill>
          </w14:textFill>
        </w:rPr>
        <w:t xml:space="preserve"> 第一条　合同标的</w:t>
      </w:r>
    </w:p>
    <w:p w14:paraId="4FDCD9AC">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val="en-US" w:eastAsia="zh-CN"/>
          <w14:textFill>
            <w14:solidFill>
              <w14:schemeClr w14:val="tx1"/>
            </w14:solidFill>
          </w14:textFill>
        </w:rPr>
        <w:t>1、</w:t>
      </w:r>
      <w:r>
        <w:rPr>
          <w:rFonts w:hint="eastAsia" w:ascii="宋体" w:hAnsi="宋体"/>
          <w:color w:val="000000" w:themeColor="text1"/>
          <w:sz w:val="22"/>
          <w:highlight w:val="none"/>
          <w:lang w:eastAsia="zh-CN"/>
          <w14:textFill>
            <w14:solidFill>
              <w14:schemeClr w14:val="tx1"/>
            </w14:solidFill>
          </w14:textFill>
        </w:rPr>
        <w:t>供货一览表</w:t>
      </w:r>
    </w:p>
    <w:tbl>
      <w:tblPr>
        <w:tblStyle w:val="38"/>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72FD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59152D6E">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序号</w:t>
            </w:r>
          </w:p>
        </w:tc>
        <w:tc>
          <w:tcPr>
            <w:tcW w:w="1555" w:type="dxa"/>
            <w:vAlign w:val="center"/>
          </w:tcPr>
          <w:p w14:paraId="3C714F45">
            <w:pPr>
              <w:spacing w:line="440" w:lineRule="exact"/>
              <w:ind w:left="200" w:leftChars="10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产品名称</w:t>
            </w:r>
          </w:p>
        </w:tc>
        <w:tc>
          <w:tcPr>
            <w:tcW w:w="992" w:type="dxa"/>
            <w:vAlign w:val="center"/>
          </w:tcPr>
          <w:p w14:paraId="0CA49836">
            <w:pPr>
              <w:spacing w:line="440" w:lineRule="exact"/>
              <w:ind w:left="200" w:leftChars="10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商标品牌</w:t>
            </w:r>
          </w:p>
        </w:tc>
        <w:tc>
          <w:tcPr>
            <w:tcW w:w="1276" w:type="dxa"/>
            <w:vAlign w:val="center"/>
          </w:tcPr>
          <w:p w14:paraId="4FC9BBE0">
            <w:pPr>
              <w:spacing w:line="440" w:lineRule="exact"/>
              <w:ind w:left="200" w:leftChars="10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规格型号</w:t>
            </w:r>
          </w:p>
        </w:tc>
        <w:tc>
          <w:tcPr>
            <w:tcW w:w="745" w:type="dxa"/>
            <w:vAlign w:val="center"/>
          </w:tcPr>
          <w:p w14:paraId="4E7B0563">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生产厂家</w:t>
            </w:r>
          </w:p>
        </w:tc>
        <w:tc>
          <w:tcPr>
            <w:tcW w:w="531" w:type="dxa"/>
            <w:vAlign w:val="center"/>
          </w:tcPr>
          <w:p w14:paraId="03158EA2">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数量</w:t>
            </w:r>
          </w:p>
        </w:tc>
        <w:tc>
          <w:tcPr>
            <w:tcW w:w="567" w:type="dxa"/>
            <w:vAlign w:val="center"/>
          </w:tcPr>
          <w:p w14:paraId="73F2B66A">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单位</w:t>
            </w:r>
          </w:p>
        </w:tc>
        <w:tc>
          <w:tcPr>
            <w:tcW w:w="850" w:type="dxa"/>
            <w:vAlign w:val="center"/>
          </w:tcPr>
          <w:p w14:paraId="09F93F7F">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单价（元）</w:t>
            </w:r>
          </w:p>
        </w:tc>
        <w:tc>
          <w:tcPr>
            <w:tcW w:w="851" w:type="dxa"/>
            <w:vAlign w:val="center"/>
          </w:tcPr>
          <w:p w14:paraId="4E38399B">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金额（元）</w:t>
            </w:r>
          </w:p>
        </w:tc>
        <w:tc>
          <w:tcPr>
            <w:tcW w:w="1436" w:type="dxa"/>
            <w:vAlign w:val="center"/>
          </w:tcPr>
          <w:p w14:paraId="21BABE77">
            <w:pPr>
              <w:spacing w:line="440" w:lineRule="exact"/>
              <w:jc w:val="center"/>
              <w:rPr>
                <w:rFonts w:ascii="宋体" w:hAnsi="宋体"/>
                <w:color w:val="000000" w:themeColor="text1"/>
                <w:sz w:val="22"/>
                <w:highlight w:val="none"/>
                <w:lang w:eastAsia="zh-CN"/>
                <w14:textFill>
                  <w14:solidFill>
                    <w14:schemeClr w14:val="tx1"/>
                  </w14:solidFill>
                </w14:textFill>
              </w:rPr>
            </w:pPr>
            <w:r>
              <w:rPr>
                <w:rFonts w:ascii="宋体" w:hAnsi="宋体"/>
                <w:color w:val="000000" w:themeColor="text1"/>
                <w:sz w:val="22"/>
                <w:highlight w:val="none"/>
                <w:lang w:eastAsia="zh-CN"/>
                <w14:textFill>
                  <w14:solidFill>
                    <w14:schemeClr w14:val="tx1"/>
                  </w14:solidFill>
                </w14:textFill>
              </w:rPr>
              <w:t>产品医疗设备注册证号</w:t>
            </w:r>
          </w:p>
        </w:tc>
      </w:tr>
      <w:tr w14:paraId="7D55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27296619">
            <w:pPr>
              <w:spacing w:line="440" w:lineRule="exact"/>
              <w:ind w:left="798"/>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w:t>
            </w:r>
          </w:p>
        </w:tc>
        <w:tc>
          <w:tcPr>
            <w:tcW w:w="1555" w:type="dxa"/>
            <w:vAlign w:val="center"/>
          </w:tcPr>
          <w:p w14:paraId="6EEA4181">
            <w:pPr>
              <w:spacing w:line="440" w:lineRule="exact"/>
              <w:rPr>
                <w:rFonts w:ascii="宋体" w:hAnsi="宋体"/>
                <w:color w:val="000000" w:themeColor="text1"/>
                <w:sz w:val="22"/>
                <w:highlight w:val="none"/>
                <w:lang w:eastAsia="zh-CN"/>
                <w14:textFill>
                  <w14:solidFill>
                    <w14:schemeClr w14:val="tx1"/>
                  </w14:solidFill>
                </w14:textFill>
              </w:rPr>
            </w:pPr>
            <w:r>
              <w:rPr>
                <w:rFonts w:ascii="宋体" w:hAnsi="宋体"/>
                <w:color w:val="000000" w:themeColor="text1"/>
                <w:sz w:val="22"/>
                <w:highlight w:val="none"/>
                <w:lang w:eastAsia="zh-CN"/>
                <w14:textFill>
                  <w14:solidFill>
                    <w14:schemeClr w14:val="tx1"/>
                  </w14:solidFill>
                </w14:textFill>
              </w:rPr>
              <w:t>招标货物名称</w:t>
            </w:r>
            <w:r>
              <w:rPr>
                <w:rFonts w:hint="eastAsia" w:ascii="宋体" w:hAnsi="宋体"/>
                <w:color w:val="000000" w:themeColor="text1"/>
                <w:sz w:val="22"/>
                <w:highlight w:val="none"/>
                <w:lang w:eastAsia="zh-CN"/>
                <w14:textFill>
                  <w14:solidFill>
                    <w14:schemeClr w14:val="tx1"/>
                  </w14:solidFill>
                </w14:textFill>
              </w:rPr>
              <w:t>（货物注册证名称）</w:t>
            </w:r>
          </w:p>
        </w:tc>
        <w:tc>
          <w:tcPr>
            <w:tcW w:w="992" w:type="dxa"/>
            <w:vAlign w:val="center"/>
          </w:tcPr>
          <w:p w14:paraId="76A02F19">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276" w:type="dxa"/>
            <w:vAlign w:val="center"/>
          </w:tcPr>
          <w:p w14:paraId="10F25CFA">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745" w:type="dxa"/>
            <w:vAlign w:val="center"/>
          </w:tcPr>
          <w:p w14:paraId="556FF788">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31" w:type="dxa"/>
            <w:vAlign w:val="center"/>
          </w:tcPr>
          <w:p w14:paraId="5AD27BA2">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67" w:type="dxa"/>
            <w:vAlign w:val="center"/>
          </w:tcPr>
          <w:p w14:paraId="6FCBC70B">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0" w:type="dxa"/>
            <w:vAlign w:val="center"/>
          </w:tcPr>
          <w:p w14:paraId="1D4D71E2">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1" w:type="dxa"/>
            <w:vAlign w:val="center"/>
          </w:tcPr>
          <w:p w14:paraId="6FAEE66D">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436" w:type="dxa"/>
            <w:vAlign w:val="center"/>
          </w:tcPr>
          <w:p w14:paraId="2F527E0A">
            <w:pPr>
              <w:spacing w:line="440" w:lineRule="exact"/>
              <w:ind w:left="798"/>
              <w:rPr>
                <w:rFonts w:ascii="宋体" w:hAnsi="宋体"/>
                <w:color w:val="000000" w:themeColor="text1"/>
                <w:sz w:val="22"/>
                <w:highlight w:val="none"/>
                <w:lang w:eastAsia="zh-CN"/>
                <w14:textFill>
                  <w14:solidFill>
                    <w14:schemeClr w14:val="tx1"/>
                  </w14:solidFill>
                </w14:textFill>
              </w:rPr>
            </w:pPr>
          </w:p>
        </w:tc>
      </w:tr>
      <w:tr w14:paraId="211A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12A52DCC">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555" w:type="dxa"/>
            <w:vAlign w:val="center"/>
          </w:tcPr>
          <w:p w14:paraId="5F65F6D6">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992" w:type="dxa"/>
            <w:vAlign w:val="center"/>
          </w:tcPr>
          <w:p w14:paraId="46DEAD68">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276" w:type="dxa"/>
            <w:vAlign w:val="center"/>
          </w:tcPr>
          <w:p w14:paraId="4FB18D01">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745" w:type="dxa"/>
            <w:vAlign w:val="center"/>
          </w:tcPr>
          <w:p w14:paraId="239F4859">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31" w:type="dxa"/>
            <w:vAlign w:val="center"/>
          </w:tcPr>
          <w:p w14:paraId="109CA68C">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67" w:type="dxa"/>
            <w:vAlign w:val="center"/>
          </w:tcPr>
          <w:p w14:paraId="2D67C8F2">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0" w:type="dxa"/>
            <w:vAlign w:val="center"/>
          </w:tcPr>
          <w:p w14:paraId="5ADD447E">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1" w:type="dxa"/>
            <w:vAlign w:val="center"/>
          </w:tcPr>
          <w:p w14:paraId="38561B48">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436" w:type="dxa"/>
            <w:vAlign w:val="center"/>
          </w:tcPr>
          <w:p w14:paraId="24B71A98">
            <w:pPr>
              <w:spacing w:line="440" w:lineRule="exact"/>
              <w:ind w:left="798"/>
              <w:rPr>
                <w:rFonts w:ascii="宋体" w:hAnsi="宋体"/>
                <w:color w:val="000000" w:themeColor="text1"/>
                <w:sz w:val="22"/>
                <w:highlight w:val="none"/>
                <w:lang w:eastAsia="zh-CN"/>
                <w14:textFill>
                  <w14:solidFill>
                    <w14:schemeClr w14:val="tx1"/>
                  </w14:solidFill>
                </w14:textFill>
              </w:rPr>
            </w:pPr>
          </w:p>
        </w:tc>
      </w:tr>
      <w:tr w14:paraId="7B52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448B3381">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555" w:type="dxa"/>
            <w:vAlign w:val="center"/>
          </w:tcPr>
          <w:p w14:paraId="28CD50BE">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992" w:type="dxa"/>
            <w:vAlign w:val="center"/>
          </w:tcPr>
          <w:p w14:paraId="7AEDB3FE">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276" w:type="dxa"/>
            <w:vAlign w:val="center"/>
          </w:tcPr>
          <w:p w14:paraId="7A968AC7">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745" w:type="dxa"/>
            <w:vAlign w:val="center"/>
          </w:tcPr>
          <w:p w14:paraId="3A21D90A">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31" w:type="dxa"/>
            <w:vAlign w:val="center"/>
          </w:tcPr>
          <w:p w14:paraId="077ABAE0">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67" w:type="dxa"/>
            <w:vAlign w:val="center"/>
          </w:tcPr>
          <w:p w14:paraId="3E35EB06">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0" w:type="dxa"/>
            <w:vAlign w:val="center"/>
          </w:tcPr>
          <w:p w14:paraId="727CFB39">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1" w:type="dxa"/>
            <w:vAlign w:val="center"/>
          </w:tcPr>
          <w:p w14:paraId="061B1316">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436" w:type="dxa"/>
            <w:vAlign w:val="center"/>
          </w:tcPr>
          <w:p w14:paraId="6DAAE526">
            <w:pPr>
              <w:spacing w:line="440" w:lineRule="exact"/>
              <w:ind w:left="798"/>
              <w:rPr>
                <w:rFonts w:ascii="宋体" w:hAnsi="宋体"/>
                <w:color w:val="000000" w:themeColor="text1"/>
                <w:sz w:val="22"/>
                <w:highlight w:val="none"/>
                <w:lang w:eastAsia="zh-CN"/>
                <w14:textFill>
                  <w14:solidFill>
                    <w14:schemeClr w14:val="tx1"/>
                  </w14:solidFill>
                </w14:textFill>
              </w:rPr>
            </w:pPr>
          </w:p>
        </w:tc>
      </w:tr>
      <w:tr w14:paraId="19A3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715FE17E">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人民币合计金额（大写）                          （小写）                 </w:t>
            </w:r>
          </w:p>
        </w:tc>
      </w:tr>
    </w:tbl>
    <w:p w14:paraId="7876A9F1">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w:t>
      </w:r>
      <w:r>
        <w:rPr>
          <w:rFonts w:hint="eastAsia" w:ascii="宋体" w:hAnsi="宋体"/>
          <w:color w:val="000000" w:themeColor="text1"/>
          <w:sz w:val="22"/>
          <w:highlight w:val="none"/>
          <w:lang w:val="en-US"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2、合同合计金额包括货物价款，备件、专用工具、安装、调试、检验、技术培训及技术资料和包装、运输等全部费用。</w:t>
      </w:r>
    </w:p>
    <w:p w14:paraId="3962ACAD">
      <w:pPr>
        <w:pStyle w:val="55"/>
        <w:ind w:firstLine="520" w:firstLineChars="200"/>
        <w:rPr>
          <w:rFonts w:eastAsia="仿宋_GB2312"/>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r>
        <w:rPr>
          <w:rFonts w:hint="eastAsia" w:ascii="宋体" w:hAnsi="宋体"/>
          <w:color w:val="000000" w:themeColor="text1"/>
          <w:spacing w:val="0"/>
          <w:kern w:val="2"/>
          <w:sz w:val="22"/>
          <w:szCs w:val="22"/>
          <w:highlight w:val="none"/>
          <w:lang w:eastAsia="zh-CN"/>
          <w14:textFill>
            <w14:solidFill>
              <w14:schemeClr w14:val="tx1"/>
            </w14:solidFill>
          </w14:textFill>
        </w:rPr>
        <w:t>设备如需接入医院HIS、LIS、PACS系统或互联互通平台，相关费用由中标供应商负责。</w:t>
      </w:r>
    </w:p>
    <w:p w14:paraId="5E559558">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第二条　质量保证</w:t>
      </w:r>
    </w:p>
    <w:p w14:paraId="3297240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1、乙方所提供的货物型号、技术规格、技术参数等质量必须与招标文件、响应文件和承诺相一致。乙方提供的节能和环保产品必须是列入政府采购清单的产品。</w:t>
      </w:r>
    </w:p>
    <w:p w14:paraId="54B5BA1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所提供的货物必须是全新、未经使用的原装产品，进口设备生产日期在一年内（国产的在半年内），以及所有零部件、配件均必须是全新未经使用的并符合国家有关质量安全标准的产品。在装机、验收、入库期间有质量问题应提供整机更换或退货。且在正常安装、使用和保养条件下，其使用寿命期内各项指标均达到质量要求。所有货物都提供使用说明书和详细装箱清单及质量合格证。</w:t>
      </w:r>
    </w:p>
    <w:p w14:paraId="06431C7D">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第三条　权利保证</w:t>
      </w:r>
    </w:p>
    <w:p w14:paraId="086A65D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乙方应保证所提供货物在使用时不会侵犯任何第三方的专利权、商标权、工业设计权或其他权利。</w:t>
      </w:r>
    </w:p>
    <w:p w14:paraId="41CCA74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乙方应按招标文件规定的时间或响应文件承诺的时间向甲方提供使用货物的有关技术资料。</w:t>
      </w:r>
    </w:p>
    <w:p w14:paraId="7BDEF826">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17373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乙方保证所交付的货物的所有权完全属于乙方且无任何抵押、质押、查封等产权瑕疵。</w:t>
      </w:r>
    </w:p>
    <w:p w14:paraId="3F05D89E">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第四条　包装和运输</w:t>
      </w:r>
    </w:p>
    <w:p w14:paraId="486CE396">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1、乙方提供的货物均应按招标文件、响应文件要求的包装材料、包装标准、包装方式进行包装，每一包装单元内应附详细的装箱单和质量合格证。</w:t>
      </w:r>
    </w:p>
    <w:p w14:paraId="52C834E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2、货物的运输方式：</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由乙方负责</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14:paraId="2BB6EE1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3、乙方负责货物运输，货物运输合理损耗及计算方法：</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由乙方承担</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14:paraId="17CD5BDB">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第五条　交付和验收</w:t>
      </w:r>
    </w:p>
    <w:p w14:paraId="1526745D">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1、交付使用时间：按乙方响应文件中所承诺的时间；地点：采购人指定地点 。</w:t>
      </w:r>
    </w:p>
    <w:p w14:paraId="4497974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2、乙方提供不符合招标文件、响应文件和本合同规定的货物，甲方有权拒绝接受。</w:t>
      </w:r>
    </w:p>
    <w:p w14:paraId="5904BBEA">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3、乙方应将所提供货物的装箱清单、用户手册、原厂保修卡、随机资料、工具和备品、备件等交付给甲方，如有缺失应及时补齐，否则视为逾期交货。</w:t>
      </w:r>
    </w:p>
    <w:p w14:paraId="5A1CF308">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4、甲方应当在到货（安装、调试完毕）后七个工作日内进行验收，逾期不验收的，</w:t>
      </w:r>
      <w:r>
        <w:rPr>
          <w:rFonts w:hint="eastAsia"/>
          <w:color w:val="000000" w:themeColor="text1"/>
          <w:sz w:val="24"/>
          <w:highlight w:val="none"/>
          <w:lang w:eastAsia="zh-CN"/>
          <w14:textFill>
            <w14:solidFill>
              <w14:schemeClr w14:val="tx1"/>
            </w14:solidFill>
          </w14:textFill>
        </w:rPr>
        <w:t>不</w:t>
      </w:r>
      <w:r>
        <w:rPr>
          <w:rFonts w:hint="eastAsia"/>
          <w:color w:val="000000" w:themeColor="text1"/>
          <w:sz w:val="24"/>
          <w:highlight w:val="none"/>
          <w14:textFill>
            <w14:solidFill>
              <w14:schemeClr w14:val="tx1"/>
            </w14:solidFill>
          </w14:textFill>
        </w:rPr>
        <w:t>视</w:t>
      </w:r>
      <w:r>
        <w:rPr>
          <w:rFonts w:hint="eastAsia"/>
          <w:color w:val="000000" w:themeColor="text1"/>
          <w:sz w:val="24"/>
          <w:highlight w:val="none"/>
          <w:lang w:eastAsia="zh-CN"/>
          <w14:textFill>
            <w14:solidFill>
              <w14:schemeClr w14:val="tx1"/>
            </w14:solidFill>
          </w14:textFill>
        </w:rPr>
        <w:t>为</w:t>
      </w:r>
      <w:r>
        <w:rPr>
          <w:rFonts w:hint="eastAsia"/>
          <w:color w:val="000000" w:themeColor="text1"/>
          <w:sz w:val="24"/>
          <w:highlight w:val="none"/>
          <w14:textFill>
            <w14:solidFill>
              <w14:schemeClr w14:val="tx1"/>
            </w14:solidFill>
          </w14:textFill>
        </w:rPr>
        <w:t>验收合格</w:t>
      </w:r>
      <w:r>
        <w:rPr>
          <w:rFonts w:hint="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需另行约定验收时间，</w:t>
      </w:r>
      <w:r>
        <w:rPr>
          <w:rFonts w:hint="eastAsia"/>
          <w:color w:val="000000" w:themeColor="text1"/>
          <w:sz w:val="24"/>
          <w:highlight w:val="none"/>
          <w14:textFill>
            <w14:solidFill>
              <w14:schemeClr w14:val="tx1"/>
            </w14:solidFill>
          </w14:textFill>
        </w:rPr>
        <w:t>验收合格后由甲乙双方签署货物验收单并加盖采购人公章，甲乙双方各执一份。</w:t>
      </w:r>
    </w:p>
    <w:p w14:paraId="5B9EF445">
      <w:pPr>
        <w:spacing w:line="360" w:lineRule="auto"/>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1075414">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6、甲方对验收有异议的，在验收后五个工作日内以书面形式向乙方提出，乙方应自收到甲方书面异议后</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7</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日内及时予以解决。</w:t>
      </w:r>
    </w:p>
    <w:p w14:paraId="466C6A42">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第六条　安装和培训</w:t>
      </w:r>
    </w:p>
    <w:p w14:paraId="315A8E68">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1、甲方应提供</w:t>
      </w:r>
      <w:r>
        <w:rPr>
          <w:rFonts w:hint="eastAsia"/>
          <w:color w:val="000000" w:themeColor="text1"/>
          <w:sz w:val="24"/>
          <w:highlight w:val="none"/>
          <w:lang w:eastAsia="zh-CN"/>
          <w14:textFill>
            <w14:solidFill>
              <w14:schemeClr w14:val="tx1"/>
            </w14:solidFill>
          </w14:textFill>
        </w:rPr>
        <w:t>合理的</w:t>
      </w:r>
      <w:r>
        <w:rPr>
          <w:rFonts w:hint="eastAsia"/>
          <w:color w:val="000000" w:themeColor="text1"/>
          <w:sz w:val="24"/>
          <w:highlight w:val="none"/>
          <w14:textFill>
            <w14:solidFill>
              <w14:schemeClr w14:val="tx1"/>
            </w14:solidFill>
          </w14:textFill>
        </w:rPr>
        <w:t>安装条件（如场地、电源、水源等）。</w:t>
      </w:r>
      <w:r>
        <w:rPr>
          <w:rFonts w:hint="eastAsia" w:ascii="宋体" w:hAnsi="宋体" w:cs="宋体"/>
          <w:color w:val="000000" w:themeColor="text1"/>
          <w:sz w:val="24"/>
          <w:szCs w:val="24"/>
          <w:highlight w:val="none"/>
          <w:lang w:eastAsia="zh-CN"/>
          <w14:textFill>
            <w14:solidFill>
              <w14:schemeClr w14:val="tx1"/>
            </w14:solidFill>
          </w14:textFill>
        </w:rPr>
        <w:t>如需特殊条件的，乙方在安装前提前告知，否则造成不能按时使用的，当逾期交货处理。</w:t>
      </w:r>
    </w:p>
    <w:p w14:paraId="197710D4">
      <w:pPr>
        <w:spacing w:line="360" w:lineRule="auto"/>
        <w:ind w:firstLine="480"/>
        <w:rPr>
          <w:rFonts w:hint="eastAsia"/>
          <w:color w:val="000000" w:themeColor="text1"/>
          <w:sz w:val="24"/>
          <w:highlight w:val="none"/>
          <w:u w:val="none"/>
          <w14:textFill>
            <w14:solidFill>
              <w14:schemeClr w14:val="tx1"/>
            </w14:solidFill>
          </w14:textFill>
        </w:rPr>
      </w:pPr>
      <w:r>
        <w:rPr>
          <w:rFonts w:hint="eastAsia"/>
          <w:color w:val="000000" w:themeColor="text1"/>
          <w:sz w:val="24"/>
          <w:highlight w:val="none"/>
          <w14:textFill>
            <w14:solidFill>
              <w14:schemeClr w14:val="tx1"/>
            </w14:solidFill>
          </w14:textFill>
        </w:rPr>
        <w:t>2、乙方负责甲方有关人员的培训。培训时间、地点：由甲方根据情况合理安排</w:t>
      </w:r>
      <w:r>
        <w:rPr>
          <w:rFonts w:hint="eastAsia"/>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乙方无条件予以配合</w:t>
      </w:r>
      <w:r>
        <w:rPr>
          <w:rFonts w:hint="eastAsia"/>
          <w:color w:val="000000" w:themeColor="text1"/>
          <w:sz w:val="24"/>
          <w:highlight w:val="none"/>
          <w:u w:val="none"/>
          <w14:textFill>
            <w14:solidFill>
              <w14:schemeClr w14:val="tx1"/>
            </w14:solidFill>
          </w14:textFill>
        </w:rPr>
        <w:t xml:space="preserve"> 。</w:t>
      </w:r>
    </w:p>
    <w:p w14:paraId="17273C2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乙方如对安装、调试、技术培训等有特殊要求的，应当提前告知，否则由乙方承担造成的交付延误。</w:t>
      </w:r>
    </w:p>
    <w:p w14:paraId="21052F62">
      <w:pPr>
        <w:spacing w:line="360" w:lineRule="auto"/>
        <w:ind w:firstLine="480" w:firstLineChars="200"/>
        <w:rPr>
          <w:rFonts w:hint="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4、如因乙方安装、调试、技术培训不到位造成货物损坏，由乙方承担维修、更换责任；造成任何人员伤亡或财产损害的，由乙方承担赔偿责任</w:t>
      </w:r>
      <w:r>
        <w:rPr>
          <w:rFonts w:hint="eastAsia" w:ascii="宋体" w:hAnsi="宋体" w:cs="宋体"/>
          <w:color w:val="000000" w:themeColor="text1"/>
          <w:sz w:val="24"/>
          <w:szCs w:val="24"/>
          <w:highlight w:val="none"/>
          <w:lang w:eastAsia="zh-CN"/>
          <w14:textFill>
            <w14:solidFill>
              <w14:schemeClr w14:val="tx1"/>
            </w14:solidFill>
          </w14:textFill>
        </w:rPr>
        <w:t>。</w:t>
      </w:r>
    </w:p>
    <w:p w14:paraId="7E1E4CA3">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第七条  售后服务、保修期</w:t>
      </w:r>
    </w:p>
    <w:p w14:paraId="3984FAAD">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1、乙方应按照国家有关法律法规和“三包”规定以及招标文件、响应文件和本合同所附的《服务承诺》，为甲方提供售后服务。</w:t>
      </w:r>
    </w:p>
    <w:p w14:paraId="4C75B587">
      <w:pPr>
        <w:spacing w:line="360" w:lineRule="auto"/>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2、货物保修期：按响应文件的承诺。</w:t>
      </w:r>
    </w:p>
    <w:p w14:paraId="28554D2F">
      <w:pPr>
        <w:spacing w:line="360" w:lineRule="auto"/>
        <w:ind w:firstLine="240" w:firstLineChars="1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3、乙方提供的服务承诺和售后服务及保修期责任等其他具体约定事项。（见合同附件）</w:t>
      </w:r>
    </w:p>
    <w:p w14:paraId="5241D5EF">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第八条　付款方式和保证金</w:t>
      </w:r>
    </w:p>
    <w:p w14:paraId="7CB0FED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1、当采购数量与实际使用数量不一致时，乙方应根据实际使用量供货，合同的最终结算金额按实际使用量乘以成交单价进行计算。</w:t>
      </w:r>
    </w:p>
    <w:p w14:paraId="38ACA59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2、资金性质：</w:t>
      </w:r>
      <w:r>
        <w:rPr>
          <w:rFonts w:hint="eastAsia"/>
          <w:color w:val="000000" w:themeColor="text1"/>
          <w:sz w:val="24"/>
          <w:highlight w:val="none"/>
          <w:u w:val="single"/>
          <w14:textFill>
            <w14:solidFill>
              <w14:schemeClr w14:val="tx1"/>
            </w14:solidFill>
          </w14:textFill>
        </w:rPr>
        <w:t xml:space="preserve">  自筹资金    </w:t>
      </w:r>
      <w:r>
        <w:rPr>
          <w:rFonts w:hint="eastAsia"/>
          <w:color w:val="000000" w:themeColor="text1"/>
          <w:sz w:val="24"/>
          <w:highlight w:val="none"/>
          <w14:textFill>
            <w14:solidFill>
              <w14:schemeClr w14:val="tx1"/>
            </w14:solidFill>
          </w14:textFill>
        </w:rPr>
        <w:t>。</w:t>
      </w:r>
    </w:p>
    <w:p w14:paraId="5A02E07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3、付款方式：</w:t>
      </w:r>
    </w:p>
    <w:p w14:paraId="413FEA7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签订合同后，</w:t>
      </w:r>
      <w:r>
        <w:rPr>
          <w:rFonts w:hint="eastAsia" w:eastAsia="宋体"/>
          <w:color w:val="000000" w:themeColor="text1"/>
          <w:sz w:val="24"/>
          <w:highlight w:val="none"/>
          <w:lang w:val="en-US" w:eastAsia="zh-CN"/>
          <w14:textFill>
            <w14:solidFill>
              <w14:schemeClr w14:val="tx1"/>
            </w14:solidFill>
          </w14:textFill>
        </w:rPr>
        <w:t>乙方</w:t>
      </w:r>
      <w:r>
        <w:rPr>
          <w:rFonts w:hint="eastAsia"/>
          <w:color w:val="000000" w:themeColor="text1"/>
          <w:sz w:val="24"/>
          <w:highlight w:val="none"/>
          <w14:textFill>
            <w14:solidFill>
              <w14:schemeClr w14:val="tx1"/>
            </w14:solidFill>
          </w14:textFill>
        </w:rPr>
        <w:t>开具全额发票，</w:t>
      </w:r>
      <w:r>
        <w:rPr>
          <w:rFonts w:hint="eastAsia" w:eastAsia="宋体"/>
          <w:color w:val="000000" w:themeColor="text1"/>
          <w:sz w:val="24"/>
          <w:highlight w:val="none"/>
          <w:lang w:val="en-US" w:eastAsia="zh-CN"/>
          <w14:textFill>
            <w14:solidFill>
              <w14:schemeClr w14:val="tx1"/>
            </w14:solidFill>
          </w14:textFill>
        </w:rPr>
        <w:t>甲方</w:t>
      </w:r>
      <w:r>
        <w:rPr>
          <w:rFonts w:hint="eastAsia"/>
          <w:color w:val="000000" w:themeColor="text1"/>
          <w:sz w:val="24"/>
          <w:highlight w:val="none"/>
          <w14:textFill>
            <w14:solidFill>
              <w14:schemeClr w14:val="tx1"/>
            </w14:solidFill>
          </w14:textFill>
        </w:rPr>
        <w:t>收到发票一个月内付款合同金额的30%，验收合格后</w:t>
      </w:r>
      <w:r>
        <w:rPr>
          <w:rFonts w:hint="eastAsia" w:eastAsia="宋体"/>
          <w:color w:val="000000" w:themeColor="text1"/>
          <w:sz w:val="24"/>
          <w:highlight w:val="none"/>
          <w:lang w:val="en-US" w:eastAsia="zh-CN"/>
          <w14:textFill>
            <w14:solidFill>
              <w14:schemeClr w14:val="tx1"/>
            </w14:solidFill>
          </w14:textFill>
        </w:rPr>
        <w:t>甲方</w:t>
      </w:r>
      <w:r>
        <w:rPr>
          <w:rFonts w:hint="eastAsia"/>
          <w:color w:val="000000" w:themeColor="text1"/>
          <w:sz w:val="24"/>
          <w:highlight w:val="none"/>
          <w14:textFill>
            <w14:solidFill>
              <w14:schemeClr w14:val="tx1"/>
            </w14:solidFill>
          </w14:textFill>
        </w:rPr>
        <w:t>一个月内付款至合同金额的80%，一年内付款至合同金额的95%，合同余款5%二年后付清。特殊项目国家另有付款规定的，按国家付款规定执行。</w:t>
      </w:r>
    </w:p>
    <w:p w14:paraId="1B93D671">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第九条　履约保证金</w:t>
      </w:r>
    </w:p>
    <w:p w14:paraId="621AE90D">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无。</w:t>
      </w:r>
    </w:p>
    <w:p w14:paraId="745C4E08">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第十条  税费</w:t>
      </w:r>
    </w:p>
    <w:p w14:paraId="15519AC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1、本合同执行中相关的一切税费均由乙方负担。</w:t>
      </w:r>
    </w:p>
    <w:p w14:paraId="3501194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、设备如需接入医院HIS、LIS、PACS系统或互联互通平台，相关费用由中标人负责。</w:t>
      </w:r>
    </w:p>
    <w:p w14:paraId="27EC4DEF">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第十一条  质量保证及售后服务</w:t>
      </w:r>
    </w:p>
    <w:p w14:paraId="777EBA5A">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应按招标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72067223">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（1）更换：由乙方承担所发生的全部费用。</w:t>
      </w:r>
    </w:p>
    <w:p w14:paraId="5CD20866">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（2）贬值处理：由甲乙双方合议定价。</w:t>
      </w:r>
    </w:p>
    <w:p w14:paraId="72CD9583">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（3）退货处理：乙方应退还甲方支付的合同款，同时应承担该货物的直接费用（运输、保险、检验、货款利息及银行手续费等）。</w:t>
      </w:r>
    </w:p>
    <w:p w14:paraId="34AAC47B">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2、如在使用过程中发生质量问题，乙方在接到甲方通知后在</w:t>
      </w:r>
      <w:r>
        <w:rPr>
          <w:rFonts w:hint="eastAsia"/>
          <w:color w:val="000000" w:themeColor="text1"/>
          <w:sz w:val="24"/>
          <w:highlight w:val="none"/>
          <w:lang w:val="en-US" w:eastAsia="zh-CN"/>
          <w14:textFill>
            <w14:solidFill>
              <w14:schemeClr w14:val="tx1"/>
            </w14:solidFill>
          </w14:textFill>
        </w:rPr>
        <w:t>24</w:t>
      </w:r>
      <w:r>
        <w:rPr>
          <w:rFonts w:hint="eastAsia"/>
          <w:color w:val="000000" w:themeColor="text1"/>
          <w:sz w:val="24"/>
          <w:highlight w:val="none"/>
          <w14:textFill>
            <w14:solidFill>
              <w14:schemeClr w14:val="tx1"/>
            </w14:solidFill>
          </w14:textFill>
        </w:rPr>
        <w:t>小时内到达甲方现场。</w:t>
      </w:r>
      <w:r>
        <w:rPr>
          <w:rFonts w:hint="eastAsia" w:ascii="宋体" w:hAnsi="宋体" w:cs="宋体"/>
          <w:b w:val="0"/>
          <w:bCs w:val="0"/>
          <w:color w:val="000000" w:themeColor="text1"/>
          <w:sz w:val="24"/>
          <w:szCs w:val="24"/>
          <w:highlight w:val="none"/>
          <w14:textFill>
            <w14:solidFill>
              <w14:schemeClr w14:val="tx1"/>
            </w14:solidFill>
          </w14:textFill>
        </w:rPr>
        <w:t>并在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cs="宋体"/>
          <w:b w:val="0"/>
          <w:bCs w:val="0"/>
          <w:color w:val="000000" w:themeColor="text1"/>
          <w:sz w:val="24"/>
          <w:szCs w:val="24"/>
          <w:highlight w:val="none"/>
          <w14:textFill>
            <w14:solidFill>
              <w14:schemeClr w14:val="tx1"/>
            </w14:solidFill>
          </w14:textFill>
        </w:rPr>
        <w:t>日内排除故障；如果不能按时赶到或无法按时排除故障的，每发生一次，处以1000元违约金；发生五次以上不能按时赶到或者按时排除故障的，甲方可以要求退货并退还全部已付合同款的同时，要求乙方按违约金额的20%支付违约金；该违约金可以从未结的合同款中扣除。</w:t>
      </w:r>
    </w:p>
    <w:p w14:paraId="019422DA">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3、在质保期内，乙方应对货物出现的质量及安全问题负责处理解决并承担一切费用。</w:t>
      </w:r>
      <w:r>
        <w:rPr>
          <w:rFonts w:hint="eastAsia" w:ascii="宋体" w:hAnsi="宋体" w:cs="宋体"/>
          <w:b w:val="0"/>
          <w:bCs w:val="0"/>
          <w:color w:val="000000" w:themeColor="text1"/>
          <w:sz w:val="24"/>
          <w:szCs w:val="24"/>
          <w:highlight w:val="none"/>
          <w14:textFill>
            <w14:solidFill>
              <w14:schemeClr w14:val="tx1"/>
            </w14:solidFill>
          </w14:textFill>
        </w:rPr>
        <w:t>如果因乙方提供的货物造成甲方或者任何第三方生命财产损害的，由乙方承担赔偿责任的同时，甲方有权要求退货并退还全部已付合同款的同时，要求乙方按违约金额的20%支付违约金；该违约金可以从未结的合同款中扣除。</w:t>
      </w:r>
    </w:p>
    <w:p w14:paraId="7754AF8E">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4、产品质量保证期应当包括但不限于：质保期不少于</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年，质保期内，乙方</w:t>
      </w:r>
      <w:r>
        <w:rPr>
          <w:rFonts w:hint="eastAsia" w:eastAsia="宋体"/>
          <w:color w:val="000000" w:themeColor="text1"/>
          <w:sz w:val="24"/>
          <w:highlight w:val="none"/>
          <w:lang w:val="en-US" w:eastAsia="zh-CN"/>
          <w14:textFill>
            <w14:solidFill>
              <w14:schemeClr w14:val="tx1"/>
            </w14:solidFill>
          </w14:textFill>
        </w:rPr>
        <w:t>承诺</w:t>
      </w:r>
      <w:r>
        <w:rPr>
          <w:rFonts w:hint="eastAsia"/>
          <w:color w:val="000000" w:themeColor="text1"/>
          <w:sz w:val="24"/>
          <w:highlight w:val="none"/>
          <w14:textFill>
            <w14:solidFill>
              <w14:schemeClr w14:val="tx1"/>
            </w14:solidFill>
          </w14:textFill>
        </w:rPr>
        <w:t>负责对其提供的设备进行上门维修，不收取额外费用，所涉及的</w:t>
      </w:r>
      <w:r>
        <w:rPr>
          <w:rFonts w:hint="eastAsia" w:eastAsia="宋体"/>
          <w:color w:val="000000" w:themeColor="text1"/>
          <w:sz w:val="24"/>
          <w:highlight w:val="none"/>
          <w:lang w:val="en-US" w:eastAsia="zh-CN"/>
          <w14:textFill>
            <w14:solidFill>
              <w14:schemeClr w14:val="tx1"/>
            </w14:solidFill>
          </w14:textFill>
        </w:rPr>
        <w:t>所有零件</w:t>
      </w:r>
      <w:r>
        <w:rPr>
          <w:rFonts w:hint="eastAsia"/>
          <w:color w:val="000000" w:themeColor="text1"/>
          <w:sz w:val="24"/>
          <w:highlight w:val="none"/>
          <w14:textFill>
            <w14:solidFill>
              <w14:schemeClr w14:val="tx1"/>
            </w14:solidFill>
          </w14:textFill>
        </w:rPr>
        <w:t>质保期内免费更换。</w:t>
      </w:r>
    </w:p>
    <w:p w14:paraId="0A96D37F">
      <w:pPr>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5、本合同项下乙方的质保义务为独立存续条款，不因合同款项的结清而免除或终止。质保其内的任何质量问题，乙方均应无条件履约本合同约定的维修、更换等义务。</w:t>
      </w:r>
    </w:p>
    <w:p w14:paraId="59BF5F4B">
      <w:pPr>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6、</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乙方承诺，在质保期内，其法人主体资格将合法存续。若因任何原因导致公司注销、破产或被收购，乙方应在变更前30日内书面通知甲方，并确保其权利义务的承继方（如母公司、股东、收购方）书面承诺继续履行本合同项下的全部质保义务。</w:t>
      </w:r>
    </w:p>
    <w:p w14:paraId="7CDAB999">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第十二条  调试和验收</w:t>
      </w:r>
    </w:p>
    <w:p w14:paraId="36597C6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毕）后七个工作日内进行验收。</w:t>
      </w:r>
    </w:p>
    <w:p w14:paraId="6225AA0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45A1B5B5">
      <w:pPr>
        <w:spacing w:line="360" w:lineRule="auto"/>
        <w:ind w:firstLine="240" w:firstLineChars="1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3、甲方对乙方提供的货物在使用前进行调试时，乙方需负责安装并培训甲方的使用操作人员，并协助甲方一起调试，直到符合技术要求，甲方才做最终验收。</w:t>
      </w:r>
    </w:p>
    <w:p w14:paraId="7B7EB079">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4、对技术复杂的货物，甲方应请国家认可的专业检测机构参与初步验收及最终验收，并由其出具质量检测报告。</w:t>
      </w:r>
    </w:p>
    <w:p w14:paraId="307ADB11">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5、验收时乙方必须在现场，验收完毕后作出验收结果报告；验收费用由乙方负责。</w:t>
      </w:r>
    </w:p>
    <w:p w14:paraId="4A95398F">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 第十三条  货物包装、发运及运输</w:t>
      </w:r>
    </w:p>
    <w:p w14:paraId="02937C71">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1、乙方应在货物发运前对其进行满足运输距离、防潮、防震、防锈和防破损装卸等要求包装，以保证货物安全运达甲方指定地点。</w:t>
      </w:r>
    </w:p>
    <w:p w14:paraId="66CF4D7A">
      <w:pPr>
        <w:spacing w:line="360" w:lineRule="auto"/>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2、乙方应提供设备的随机附件、技术资料，可包括相应的安装配件、图纸、操作手册、维护手册、质量保证文件、服务指南、清单等一并附于货物内。</w:t>
      </w:r>
    </w:p>
    <w:p w14:paraId="205AF8D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3、乙方在货物发运手续办理完毕后二十四小时内或货到甲方四十八小时前通知甲方，以准备接货。</w:t>
      </w:r>
    </w:p>
    <w:p w14:paraId="433ECC10">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4、货物在</w:t>
      </w:r>
      <w:r>
        <w:rPr>
          <w:rFonts w:hint="eastAsia"/>
          <w:color w:val="000000" w:themeColor="text1"/>
          <w:sz w:val="24"/>
          <w:highlight w:val="none"/>
          <w:lang w:eastAsia="zh-CN"/>
          <w14:textFill>
            <w14:solidFill>
              <w14:schemeClr w14:val="tx1"/>
            </w14:solidFill>
          </w14:textFill>
        </w:rPr>
        <w:t>验收合格</w:t>
      </w:r>
      <w:r>
        <w:rPr>
          <w:rFonts w:hint="eastAsia"/>
          <w:color w:val="000000" w:themeColor="text1"/>
          <w:sz w:val="24"/>
          <w:highlight w:val="none"/>
          <w14:textFill>
            <w14:solidFill>
              <w14:schemeClr w14:val="tx1"/>
            </w14:solidFill>
          </w14:textFill>
        </w:rPr>
        <w:t>前发生的损毁、灭失等风险均由乙方负责。</w:t>
      </w:r>
    </w:p>
    <w:p w14:paraId="23577360">
      <w:pPr>
        <w:spacing w:line="360" w:lineRule="auto"/>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5、货物在规定的交付期限内由乙方送达甲方指定的地点</w:t>
      </w:r>
      <w:r>
        <w:rPr>
          <w:rFonts w:hint="eastAsia" w:ascii="宋体" w:hAnsi="宋体" w:cs="宋体"/>
          <w:b w:val="0"/>
          <w:bCs w:val="0"/>
          <w:color w:val="000000" w:themeColor="text1"/>
          <w:sz w:val="24"/>
          <w:szCs w:val="24"/>
          <w:highlight w:val="none"/>
          <w14:textFill>
            <w14:solidFill>
              <w14:schemeClr w14:val="tx1"/>
            </w14:solidFill>
          </w14:textFill>
        </w:rPr>
        <w:t>并安全卸货的</w:t>
      </w:r>
      <w:r>
        <w:rPr>
          <w:rFonts w:hint="eastAsia" w:ascii="宋体" w:hAnsi="宋体" w:cs="宋体"/>
          <w:b w:val="0"/>
          <w:bCs w:val="0"/>
          <w:color w:val="000000" w:themeColor="text1"/>
          <w:sz w:val="22"/>
          <w:szCs w:val="22"/>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视为交付，乙方同时需通知甲方货物已送达。</w:t>
      </w:r>
    </w:p>
    <w:p w14:paraId="60727947">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b/>
          <w:bCs/>
          <w:color w:val="000000" w:themeColor="text1"/>
          <w:sz w:val="24"/>
          <w:highlight w:val="none"/>
          <w14:textFill>
            <w14:solidFill>
              <w14:schemeClr w14:val="tx1"/>
            </w14:solidFill>
          </w14:textFill>
        </w:rPr>
        <w:t>第十四条　 违约责任</w:t>
      </w:r>
    </w:p>
    <w:p w14:paraId="303FC58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32905F2E">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2、乙方提供的货物如侵犯了第三方合法权益而引发的任何纠纷或诉讼，均由乙方负责交涉并承担全部责任，且乙方须按合同总额的5%向甲方支付违约金。</w:t>
      </w:r>
      <w:r>
        <w:rPr>
          <w:rFonts w:hint="eastAsia" w:ascii="宋体" w:hAnsi="宋体" w:cs="宋体"/>
          <w:b w:val="0"/>
          <w:bCs w:val="0"/>
          <w:color w:val="000000" w:themeColor="text1"/>
          <w:sz w:val="24"/>
          <w:szCs w:val="24"/>
          <w:highlight w:val="none"/>
          <w14:textFill>
            <w14:solidFill>
              <w14:schemeClr w14:val="tx1"/>
            </w14:solidFill>
          </w14:textFill>
        </w:rPr>
        <w:t>该违约金可以从未结的合同款中扣除；如果造成甲方无法使用该货物的，甲方可以同时要求解除合同的同时要求退还已付的全部货款。</w:t>
      </w:r>
    </w:p>
    <w:p w14:paraId="10852B58">
      <w:pPr>
        <w:spacing w:line="360" w:lineRule="auto"/>
        <w:ind w:firstLine="360" w:firstLineChars="1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3、因包装、运输引起的货物损坏，按质量不合格处理。</w:t>
      </w:r>
    </w:p>
    <w:p w14:paraId="312ABAED">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乙方所提供货物型号、规格、指标、质量不符合约定的，应立即更换。由此导致货物无法按时使用的，按逾期交货处理；因包装、运输引起的货物损坏造成无法按时交货的，按逾期交货处理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甲方无故延期接收货物、乙方逾期交货的，每天向对方偿付违约货款额3‰违约金，超过</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30</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天对方有权解除合同，违约方承担因此给对方造成经济损失。</w:t>
      </w:r>
    </w:p>
    <w:p w14:paraId="01CD61AA">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若乙方在质保期内拒绝履行或拖延履行质保义务，每发生一次</w:t>
      </w:r>
      <w:r>
        <w:rPr>
          <w:rFonts w:hint="eastAsia"/>
          <w:color w:val="000000" w:themeColor="text1"/>
          <w:sz w:val="24"/>
          <w:highlight w:val="none"/>
          <w14:textFill>
            <w14:solidFill>
              <w14:schemeClr w14:val="tx1"/>
            </w14:solidFill>
          </w14:textFill>
        </w:rPr>
        <w:t>，乙方应按本合同合计金额5%向甲方支付违约金，</w:t>
      </w: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逾期超过15日的，甲方有权自行或委托第三方进行维修，所产生的一切费用由乙方承担</w:t>
      </w:r>
      <w:r>
        <w:rPr>
          <w:rFonts w:hint="eastAsia"/>
          <w:color w:val="000000" w:themeColor="text1"/>
          <w:sz w:val="24"/>
          <w:highlight w:val="none"/>
          <w14:textFill>
            <w14:solidFill>
              <w14:schemeClr w14:val="tx1"/>
            </w14:solidFill>
          </w14:textFill>
        </w:rPr>
        <w:t>。</w:t>
      </w:r>
    </w:p>
    <w:p w14:paraId="4F929B06">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color w:val="000000" w:themeColor="text1"/>
          <w:sz w:val="24"/>
          <w:szCs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、其他违约行为按合同金额5%收取违约金</w:t>
      </w:r>
      <w:r>
        <w:rPr>
          <w:rFonts w:hint="eastAsia"/>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该违约金可以从未结的合同款中扣除；造成甲方或第三人损失的，由乙方负责赔偿。</w:t>
      </w:r>
    </w:p>
    <w:p w14:paraId="7988EFB5">
      <w:pPr>
        <w:spacing w:line="360" w:lineRule="auto"/>
        <w:ind w:firstLine="480" w:firstLineChars="200"/>
        <w:rPr>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7</w:t>
      </w:r>
      <w:r>
        <w:rPr>
          <w:rFonts w:hint="eastAsia"/>
          <w:color w:val="000000" w:themeColor="text1"/>
          <w:sz w:val="24"/>
          <w:highlight w:val="none"/>
          <w14:textFill>
            <w14:solidFill>
              <w14:schemeClr w14:val="tx1"/>
            </w14:solidFill>
          </w14:textFill>
        </w:rPr>
        <w:t>、乙方支付的违约金不足以弥补甲方损失的，还应承担赔偿责任。</w:t>
      </w:r>
    </w:p>
    <w:p w14:paraId="00456753">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 第十五条  不可抗力事件处理</w:t>
      </w:r>
    </w:p>
    <w:p w14:paraId="243D5B66">
      <w:pPr>
        <w:spacing w:line="360" w:lineRule="auto"/>
        <w:ind w:firstLine="336" w:firstLineChars="1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1、在合同有效期内，任何一方因不可抗力事件导致不能履行合同，则合同履行期可延长，其延长期与不可抗力影响期相同。</w:t>
      </w:r>
      <w:r>
        <w:rPr>
          <w:rFonts w:hint="eastAsia" w:ascii="宋体" w:hAnsi="宋体" w:cs="宋体"/>
          <w:color w:val="000000" w:themeColor="text1"/>
          <w:sz w:val="24"/>
          <w:szCs w:val="24"/>
          <w:highlight w:val="none"/>
          <w14:textFill>
            <w14:solidFill>
              <w14:schemeClr w14:val="tx1"/>
            </w14:solidFill>
          </w14:textFill>
        </w:rPr>
        <w:t>因政策原因或者财政拨款原因导致合同款不能按时支付的，视为不可抗力。</w:t>
      </w:r>
    </w:p>
    <w:p w14:paraId="667536C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2、不可抗力事件发生后，应立即通知对方，并寄送有关权威机构出具的证明。</w:t>
      </w:r>
    </w:p>
    <w:p w14:paraId="315C6834">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3、不可抗力事件延续一百二十天以上，双方应通过友好协商，确定是否继续履行合同。</w:t>
      </w:r>
    </w:p>
    <w:p w14:paraId="08DDC750">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第十六条  合同争议解决</w:t>
      </w:r>
    </w:p>
    <w:p w14:paraId="56C2D1B8">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1、因货物质量问题发生争议的，应邀请国家认可的质量检测机构对货物质量进行鉴定。货物符合标准的，鉴定费由甲方承担；货物不符合标准的，鉴定费由乙方承担。</w:t>
      </w:r>
    </w:p>
    <w:p w14:paraId="69251FD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2、因履行本合同引起的或与本合同有关的争议，甲乙双方应首先通过友好协商解决，如果协商不能解决，向甲方所在地人民法院提起诉讼。</w:t>
      </w:r>
    </w:p>
    <w:p w14:paraId="3B8E04C4">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3、诉讼期间，本合同继续履行。</w:t>
      </w:r>
    </w:p>
    <w:p w14:paraId="750F7339">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第十七条  合同生效及其他</w:t>
      </w:r>
    </w:p>
    <w:p w14:paraId="1E2BD28D">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1、合同经双方法定代表人或授权代表（委托代理人）签字并加盖单位公章后生效。</w:t>
      </w:r>
    </w:p>
    <w:p w14:paraId="2C6D9815">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w:t>
      </w:r>
      <w:r>
        <w:rPr>
          <w:rFonts w:hint="eastAsia" w:ascii="宋体" w:hAnsi="宋体" w:cs="宋体"/>
          <w:color w:val="000000" w:themeColor="text1"/>
          <w:sz w:val="24"/>
          <w:szCs w:val="24"/>
          <w:highlight w:val="none"/>
          <w14:textFill>
            <w14:solidFill>
              <w14:schemeClr w14:val="tx1"/>
            </w14:solidFill>
          </w14:textFill>
        </w:rPr>
        <w:t>本合同生效以后，如任何一方违约，守护方为维护权益，向违约方追偿的一切费用，（包括但不限于律师费、诉讼费、保全费、担保费、交通费、鉴定费、差旅费），由违约方承担。</w:t>
      </w:r>
    </w:p>
    <w:p w14:paraId="680BB273">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3、本合同未尽事宜，遵照《中华人民共和国民法典》之合同编的有关条文执行。</w:t>
      </w:r>
    </w:p>
    <w:p w14:paraId="4D1378D5">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 第十八条　 合同的变更、终止与转让</w:t>
      </w:r>
    </w:p>
    <w:p w14:paraId="0C0609D1">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1、除《中华人民共和国政府采购法》第五十条规定的情形外，本合同一经签订，甲乙双方不得擅自变更、中止或终止。</w:t>
      </w:r>
    </w:p>
    <w:p w14:paraId="38E01805">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2、乙方不得擅自转让（无进口资格的供应商委托进口货物除外）其应履行的合同义务。</w:t>
      </w:r>
    </w:p>
    <w:p w14:paraId="30132E69">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第十九条　 签订本合同依据</w:t>
      </w:r>
    </w:p>
    <w:p w14:paraId="733FC48F">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1、招标文件；</w:t>
      </w:r>
    </w:p>
    <w:p w14:paraId="4A495E1B">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2、乙方提供的响应文件；</w:t>
      </w:r>
    </w:p>
    <w:p w14:paraId="3D3E219A">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3、投标函； </w:t>
      </w:r>
    </w:p>
    <w:p w14:paraId="7375A733">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4、中标通知书。</w:t>
      </w:r>
    </w:p>
    <w:p w14:paraId="649B8DFD">
      <w:pPr>
        <w:spacing w:line="360" w:lineRule="auto"/>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第二十条</w:t>
      </w:r>
      <w:r>
        <w:rPr>
          <w:rFonts w:hint="eastAsia"/>
          <w:color w:val="000000" w:themeColor="text1"/>
          <w:sz w:val="24"/>
          <w:highlight w:val="none"/>
          <w14:textFill>
            <w14:solidFill>
              <w14:schemeClr w14:val="tx1"/>
            </w14:solidFill>
          </w14:textFill>
        </w:rPr>
        <w:t>　本合同一式伍份，具有同等法律效力，甲方执叁份，乙方执壹份，采购代理机构执壹份。</w:t>
      </w:r>
    </w:p>
    <w:p w14:paraId="02A15AB0">
      <w:pPr>
        <w:pStyle w:val="55"/>
        <w:rPr>
          <w:color w:val="000000" w:themeColor="text1"/>
          <w:highlight w:val="none"/>
          <w:lang w:eastAsia="zh-CN"/>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第二十一条 </w:t>
      </w:r>
      <w:r>
        <w:rPr>
          <w:rFonts w:hint="eastAsia"/>
          <w:color w:val="000000" w:themeColor="text1"/>
          <w:sz w:val="24"/>
          <w:highlight w:val="none"/>
          <w14:textFill>
            <w14:solidFill>
              <w14:schemeClr w14:val="tx1"/>
            </w14:solidFill>
          </w14:textFill>
        </w:rPr>
        <w:t xml:space="preserve"> 本合同甲乙双方签字盖章后生效，自签订之日起两个工作日内，采购人或采购代理机构应当将合同上传广西政府采购云平台备案公示。</w:t>
      </w:r>
    </w:p>
    <w:tbl>
      <w:tblPr>
        <w:tblStyle w:val="38"/>
        <w:tblpPr w:leftFromText="180" w:rightFromText="180" w:vertAnchor="text" w:horzAnchor="page" w:tblpX="1162" w:tblpY="429"/>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3"/>
        <w:gridCol w:w="4826"/>
      </w:tblGrid>
      <w:tr w14:paraId="115B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4933" w:type="dxa"/>
            <w:tcBorders>
              <w:top w:val="single" w:color="auto" w:sz="4" w:space="0"/>
              <w:left w:val="single" w:color="auto" w:sz="4" w:space="0"/>
              <w:bottom w:val="single" w:color="auto" w:sz="4" w:space="0"/>
              <w:right w:val="single" w:color="auto" w:sz="4" w:space="0"/>
            </w:tcBorders>
            <w:vAlign w:val="center"/>
          </w:tcPr>
          <w:p w14:paraId="3A194816">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甲方（章）</w:t>
            </w:r>
            <w:r>
              <w:rPr>
                <w:rFonts w:hint="eastAsia"/>
                <w:color w:val="000000" w:themeColor="text1"/>
                <w:sz w:val="21"/>
                <w:szCs w:val="21"/>
                <w:highlight w:val="none"/>
                <w:lang w:eastAsia="zh-CN"/>
                <w14:textFill>
                  <w14:solidFill>
                    <w14:schemeClr w14:val="tx1"/>
                  </w14:solidFill>
                </w14:textFill>
              </w:rPr>
              <w:t>钦州市妇幼保健院</w:t>
            </w:r>
            <w:r>
              <w:rPr>
                <w:rFonts w:hint="eastAsia" w:ascii="宋体" w:hAnsi="宋体"/>
                <w:color w:val="000000" w:themeColor="text1"/>
                <w:sz w:val="21"/>
                <w:szCs w:val="21"/>
                <w:highlight w:val="none"/>
                <w14:textFill>
                  <w14:solidFill>
                    <w14:schemeClr w14:val="tx1"/>
                  </w14:solidFill>
                </w14:textFill>
              </w:rPr>
              <w:t xml:space="preserve">           </w:t>
            </w:r>
          </w:p>
          <w:p w14:paraId="2C793704">
            <w:pPr>
              <w:snapToGrid w:val="0"/>
              <w:spacing w:line="400" w:lineRule="exact"/>
              <w:rPr>
                <w:rFonts w:ascii="宋体" w:hAnsi="宋体"/>
                <w:color w:val="000000" w:themeColor="text1"/>
                <w:sz w:val="21"/>
                <w:szCs w:val="21"/>
                <w:highlight w:val="none"/>
                <w14:textFill>
                  <w14:solidFill>
                    <w14:schemeClr w14:val="tx1"/>
                  </w14:solidFill>
                </w14:textFill>
              </w:rPr>
            </w:pPr>
          </w:p>
          <w:p w14:paraId="21983234">
            <w:pPr>
              <w:snapToGrid w:val="0"/>
              <w:spacing w:line="400" w:lineRule="exact"/>
              <w:ind w:firstLine="945" w:firstLineChars="450"/>
              <w:jc w:val="righ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   月   日</w:t>
            </w:r>
          </w:p>
        </w:tc>
        <w:tc>
          <w:tcPr>
            <w:tcW w:w="4826" w:type="dxa"/>
            <w:tcBorders>
              <w:top w:val="single" w:color="auto" w:sz="4" w:space="0"/>
              <w:left w:val="nil"/>
              <w:bottom w:val="single" w:color="auto" w:sz="4" w:space="0"/>
              <w:right w:val="single" w:color="auto" w:sz="4" w:space="0"/>
            </w:tcBorders>
            <w:vAlign w:val="center"/>
          </w:tcPr>
          <w:p w14:paraId="55F23ED2">
            <w:pPr>
              <w:widowControl/>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乙方（章）           </w:t>
            </w:r>
          </w:p>
          <w:p w14:paraId="14653C3A">
            <w:pPr>
              <w:snapToGrid w:val="0"/>
              <w:spacing w:line="400" w:lineRule="exact"/>
              <w:rPr>
                <w:rFonts w:ascii="宋体" w:hAnsi="宋体"/>
                <w:color w:val="000000" w:themeColor="text1"/>
                <w:sz w:val="21"/>
                <w:szCs w:val="21"/>
                <w:highlight w:val="none"/>
                <w14:textFill>
                  <w14:solidFill>
                    <w14:schemeClr w14:val="tx1"/>
                  </w14:solidFill>
                </w14:textFill>
              </w:rPr>
            </w:pPr>
          </w:p>
          <w:p w14:paraId="4E606898">
            <w:pPr>
              <w:snapToGrid w:val="0"/>
              <w:spacing w:line="400" w:lineRule="exact"/>
              <w:jc w:val="righ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年   月   日</w:t>
            </w:r>
          </w:p>
        </w:tc>
      </w:tr>
      <w:tr w14:paraId="502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4933" w:type="dxa"/>
            <w:tcBorders>
              <w:top w:val="single" w:color="auto" w:sz="4" w:space="0"/>
              <w:left w:val="single" w:color="auto" w:sz="4" w:space="0"/>
              <w:bottom w:val="single" w:color="auto" w:sz="4" w:space="0"/>
              <w:right w:val="single" w:color="auto" w:sz="4" w:space="0"/>
            </w:tcBorders>
            <w:vAlign w:val="center"/>
          </w:tcPr>
          <w:p w14:paraId="413DA977">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单位地址：钦州市</w:t>
            </w:r>
            <w:r>
              <w:rPr>
                <w:rFonts w:ascii="宋体" w:hAnsi="宋体"/>
                <w:color w:val="000000" w:themeColor="text1"/>
                <w:sz w:val="21"/>
                <w:szCs w:val="21"/>
                <w:highlight w:val="none"/>
                <w14:textFill>
                  <w14:solidFill>
                    <w14:schemeClr w14:val="tx1"/>
                  </w14:solidFill>
                </w14:textFill>
              </w:rPr>
              <w:t>安州大道1号</w:t>
            </w:r>
          </w:p>
        </w:tc>
        <w:tc>
          <w:tcPr>
            <w:tcW w:w="4826" w:type="dxa"/>
            <w:tcBorders>
              <w:top w:val="single" w:color="auto" w:sz="4" w:space="0"/>
              <w:left w:val="nil"/>
              <w:bottom w:val="single" w:color="auto" w:sz="4" w:space="0"/>
              <w:right w:val="single" w:color="auto" w:sz="4" w:space="0"/>
            </w:tcBorders>
            <w:vAlign w:val="center"/>
          </w:tcPr>
          <w:p w14:paraId="3467BAF1">
            <w:pPr>
              <w:widowControl/>
              <w:ind w:left="1050" w:hanging="1050" w:hangingChars="5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单位地址：</w:t>
            </w:r>
          </w:p>
        </w:tc>
      </w:tr>
      <w:tr w14:paraId="7DB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14:paraId="54536C0D">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w:t>
            </w:r>
          </w:p>
        </w:tc>
        <w:tc>
          <w:tcPr>
            <w:tcW w:w="4826" w:type="dxa"/>
            <w:tcBorders>
              <w:top w:val="single" w:color="auto" w:sz="4" w:space="0"/>
              <w:left w:val="nil"/>
              <w:bottom w:val="single" w:color="auto" w:sz="4" w:space="0"/>
              <w:right w:val="single" w:color="auto" w:sz="4" w:space="0"/>
            </w:tcBorders>
            <w:vAlign w:val="center"/>
          </w:tcPr>
          <w:p w14:paraId="2FAB4D60">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w:t>
            </w:r>
          </w:p>
        </w:tc>
      </w:tr>
      <w:tr w14:paraId="55B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14:paraId="1B32B185">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或委托代理人：</w:t>
            </w:r>
          </w:p>
        </w:tc>
        <w:tc>
          <w:tcPr>
            <w:tcW w:w="4826" w:type="dxa"/>
            <w:tcBorders>
              <w:top w:val="single" w:color="auto" w:sz="4" w:space="0"/>
              <w:left w:val="nil"/>
              <w:bottom w:val="single" w:color="auto" w:sz="4" w:space="0"/>
              <w:right w:val="single" w:color="auto" w:sz="4" w:space="0"/>
            </w:tcBorders>
            <w:vAlign w:val="center"/>
          </w:tcPr>
          <w:p w14:paraId="46986B7F">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或委托代理人：</w:t>
            </w:r>
          </w:p>
        </w:tc>
      </w:tr>
      <w:tr w14:paraId="7E71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14:paraId="7730DBFA">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w:t>
            </w:r>
            <w:r>
              <w:rPr>
                <w:rFonts w:hint="eastAsia"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话</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0777-2399083</w:t>
            </w:r>
          </w:p>
        </w:tc>
        <w:tc>
          <w:tcPr>
            <w:tcW w:w="4826" w:type="dxa"/>
            <w:tcBorders>
              <w:top w:val="single" w:color="auto" w:sz="4" w:space="0"/>
              <w:left w:val="nil"/>
              <w:bottom w:val="single" w:color="auto" w:sz="4" w:space="0"/>
              <w:right w:val="single" w:color="auto" w:sz="4" w:space="0"/>
            </w:tcBorders>
            <w:vAlign w:val="center"/>
          </w:tcPr>
          <w:p w14:paraId="42EFEB08">
            <w:pPr>
              <w:widowControl/>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w:t>
            </w:r>
            <w:r>
              <w:rPr>
                <w:rFonts w:hint="eastAsia" w:ascii="宋体" w:hAnsi="宋体" w:eastAsia="宋体" w:cs="Times New Roman"/>
                <w:color w:val="000000" w:themeColor="text1"/>
                <w:sz w:val="21"/>
                <w:szCs w:val="21"/>
                <w:highlight w:val="none"/>
                <w:lang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话：</w:t>
            </w:r>
          </w:p>
        </w:tc>
      </w:tr>
      <w:tr w14:paraId="64E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14:paraId="10BCDA7F">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电子邮箱：</w:t>
            </w:r>
          </w:p>
        </w:tc>
        <w:tc>
          <w:tcPr>
            <w:tcW w:w="4826" w:type="dxa"/>
            <w:tcBorders>
              <w:top w:val="single" w:color="auto" w:sz="4" w:space="0"/>
              <w:left w:val="nil"/>
              <w:bottom w:val="single" w:color="auto" w:sz="4" w:space="0"/>
              <w:right w:val="single" w:color="auto" w:sz="4" w:space="0"/>
            </w:tcBorders>
            <w:vAlign w:val="center"/>
          </w:tcPr>
          <w:p w14:paraId="41C4680B">
            <w:pPr>
              <w:snapToGrid w:val="0"/>
              <w:spacing w:line="400" w:lineRule="exact"/>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电子邮箱：</w:t>
            </w:r>
          </w:p>
        </w:tc>
      </w:tr>
      <w:tr w14:paraId="6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14:paraId="7C79E637">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开户银行</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农业银行钦州江南支行</w:t>
            </w:r>
          </w:p>
        </w:tc>
        <w:tc>
          <w:tcPr>
            <w:tcW w:w="4826" w:type="dxa"/>
            <w:tcBorders>
              <w:top w:val="single" w:color="auto" w:sz="4" w:space="0"/>
              <w:left w:val="nil"/>
              <w:bottom w:val="single" w:color="auto" w:sz="4" w:space="0"/>
              <w:right w:val="single" w:color="auto" w:sz="4" w:space="0"/>
            </w:tcBorders>
            <w:vAlign w:val="center"/>
          </w:tcPr>
          <w:p w14:paraId="5C83CCB4">
            <w:pPr>
              <w:widowControl/>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开户银行：</w:t>
            </w:r>
          </w:p>
        </w:tc>
      </w:tr>
      <w:tr w14:paraId="5FB9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14:paraId="517072C7">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账</w:t>
            </w:r>
            <w:r>
              <w:rPr>
                <w:rFonts w:hint="eastAsia"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号</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20732801040011831</w:t>
            </w:r>
          </w:p>
        </w:tc>
        <w:tc>
          <w:tcPr>
            <w:tcW w:w="4826" w:type="dxa"/>
            <w:tcBorders>
              <w:top w:val="single" w:color="auto" w:sz="4" w:space="0"/>
              <w:left w:val="nil"/>
              <w:bottom w:val="single" w:color="auto" w:sz="4" w:space="0"/>
              <w:right w:val="single" w:color="auto" w:sz="4" w:space="0"/>
            </w:tcBorders>
            <w:vAlign w:val="center"/>
          </w:tcPr>
          <w:p w14:paraId="511FD348">
            <w:pPr>
              <w:widowControl/>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账    号：</w:t>
            </w:r>
          </w:p>
        </w:tc>
      </w:tr>
      <w:tr w14:paraId="64C5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14:paraId="4E40CFF7">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纳税人识别号：450700499708138</w:t>
            </w:r>
          </w:p>
        </w:tc>
        <w:tc>
          <w:tcPr>
            <w:tcW w:w="4826" w:type="dxa"/>
            <w:tcBorders>
              <w:top w:val="single" w:color="auto" w:sz="4" w:space="0"/>
              <w:left w:val="nil"/>
              <w:bottom w:val="single" w:color="auto" w:sz="4" w:space="0"/>
              <w:right w:val="single" w:color="auto" w:sz="4" w:space="0"/>
            </w:tcBorders>
            <w:vAlign w:val="center"/>
          </w:tcPr>
          <w:p w14:paraId="4A596185">
            <w:pPr>
              <w:snapToGrid w:val="0"/>
              <w:spacing w:line="400" w:lineRule="exac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纳税人识别号：</w:t>
            </w:r>
          </w:p>
        </w:tc>
      </w:tr>
      <w:tr w14:paraId="1E3B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14:paraId="08175E5F">
            <w:pPr>
              <w:snapToGrid w:val="0"/>
              <w:spacing w:line="400" w:lineRule="exact"/>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统一社会信用代码：12450700499708138H</w:t>
            </w:r>
          </w:p>
        </w:tc>
        <w:tc>
          <w:tcPr>
            <w:tcW w:w="4826" w:type="dxa"/>
            <w:tcBorders>
              <w:top w:val="single" w:color="auto" w:sz="4" w:space="0"/>
              <w:left w:val="nil"/>
              <w:bottom w:val="single" w:color="auto" w:sz="4" w:space="0"/>
              <w:right w:val="single" w:color="auto" w:sz="4" w:space="0"/>
            </w:tcBorders>
            <w:vAlign w:val="center"/>
          </w:tcPr>
          <w:p w14:paraId="61404B15">
            <w:pPr>
              <w:snapToGrid w:val="0"/>
              <w:spacing w:line="400" w:lineRule="exac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统一社会信用代码：</w:t>
            </w:r>
          </w:p>
        </w:tc>
      </w:tr>
      <w:tr w14:paraId="5866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14:paraId="22480198">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邮政编码：</w:t>
            </w:r>
            <w:r>
              <w:rPr>
                <w:rFonts w:hint="eastAsia" w:ascii="宋体" w:hAnsi="宋体" w:eastAsia="宋体"/>
                <w:color w:val="000000" w:themeColor="text1"/>
                <w:sz w:val="21"/>
                <w:szCs w:val="21"/>
                <w:highlight w:val="none"/>
                <w:lang w:eastAsia="zh-CN"/>
                <w14:textFill>
                  <w14:solidFill>
                    <w14:schemeClr w14:val="tx1"/>
                  </w14:solidFill>
                </w14:textFill>
              </w:rPr>
              <w:t>535000</w:t>
            </w:r>
          </w:p>
        </w:tc>
        <w:tc>
          <w:tcPr>
            <w:tcW w:w="4826" w:type="dxa"/>
            <w:tcBorders>
              <w:top w:val="single" w:color="auto" w:sz="4" w:space="0"/>
              <w:left w:val="nil"/>
              <w:bottom w:val="single" w:color="auto" w:sz="4" w:space="0"/>
              <w:right w:val="single" w:color="auto" w:sz="4" w:space="0"/>
            </w:tcBorders>
            <w:vAlign w:val="center"/>
          </w:tcPr>
          <w:p w14:paraId="1D7B8920">
            <w:pPr>
              <w:snapToGrid w:val="0"/>
              <w:spacing w:line="400" w:lineRule="exac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邮政编码：</w:t>
            </w:r>
          </w:p>
        </w:tc>
      </w:tr>
    </w:tbl>
    <w:p w14:paraId="79E80D8B">
      <w:pPr>
        <w:pStyle w:val="55"/>
        <w:rPr>
          <w:color w:val="000000" w:themeColor="text1"/>
          <w:highlight w:val="none"/>
          <w:lang w:eastAsia="zh-CN"/>
          <w14:textFill>
            <w14:solidFill>
              <w14:schemeClr w14:val="tx1"/>
            </w14:solidFill>
          </w14:textFill>
        </w:rPr>
      </w:pPr>
    </w:p>
    <w:p w14:paraId="6E5A11B6">
      <w:pPr>
        <w:pStyle w:val="55"/>
        <w:rPr>
          <w:color w:val="000000" w:themeColor="text1"/>
          <w:highlight w:val="none"/>
          <w:lang w:eastAsia="zh-CN"/>
          <w14:textFill>
            <w14:solidFill>
              <w14:schemeClr w14:val="tx1"/>
            </w14:solidFill>
          </w14:textFill>
        </w:rPr>
      </w:pPr>
    </w:p>
    <w:p w14:paraId="1BFF3292">
      <w:pPr>
        <w:spacing w:line="300" w:lineRule="exact"/>
        <w:ind w:left="798"/>
        <w:rPr>
          <w:rFonts w:ascii="宋体" w:hAnsi="宋体"/>
          <w:color w:val="000000" w:themeColor="text1"/>
          <w:sz w:val="22"/>
          <w:highlight w:val="none"/>
          <w14:textFill>
            <w14:solidFill>
              <w14:schemeClr w14:val="tx1"/>
            </w14:solidFill>
          </w14:textFill>
        </w:rPr>
      </w:pPr>
    </w:p>
    <w:p w14:paraId="2271554E">
      <w:pPr>
        <w:pStyle w:val="55"/>
        <w:rPr>
          <w:color w:val="000000" w:themeColor="text1"/>
          <w:highlight w:val="none"/>
          <w14:textFill>
            <w14:solidFill>
              <w14:schemeClr w14:val="tx1"/>
            </w14:solidFill>
          </w14:textFill>
        </w:rPr>
      </w:pPr>
    </w:p>
    <w:p w14:paraId="658BAF35">
      <w:pPr>
        <w:pStyle w:val="55"/>
        <w:rPr>
          <w:color w:val="000000" w:themeColor="text1"/>
          <w:highlight w:val="none"/>
          <w14:textFill>
            <w14:solidFill>
              <w14:schemeClr w14:val="tx1"/>
            </w14:solidFill>
          </w14:textFill>
        </w:rPr>
      </w:pPr>
    </w:p>
    <w:p w14:paraId="4D0F8588">
      <w:pPr>
        <w:snapToGrid w:val="0"/>
        <w:spacing w:line="400" w:lineRule="exact"/>
        <w:rPr>
          <w:rFonts w:ascii="宋体" w:hAnsi="宋体" w:eastAsia="宋体"/>
          <w:b/>
          <w:bCs/>
          <w:color w:val="000000" w:themeColor="text1"/>
          <w:sz w:val="32"/>
          <w:szCs w:val="32"/>
          <w:highlight w:val="none"/>
          <w:lang w:eastAsia="zh-CN"/>
          <w14:textFill>
            <w14:solidFill>
              <w14:schemeClr w14:val="tx1"/>
            </w14:solidFill>
          </w14:textFill>
        </w:rPr>
      </w:pPr>
    </w:p>
    <w:p w14:paraId="6965652A">
      <w:pPr>
        <w:pStyle w:val="27"/>
        <w:rPr>
          <w:rFonts w:ascii="宋体" w:hAnsi="宋体"/>
          <w:color w:val="000000" w:themeColor="text1"/>
          <w:sz w:val="21"/>
          <w:szCs w:val="21"/>
          <w:highlight w:val="none"/>
          <w:lang w:eastAsia="zh-CN"/>
          <w14:textFill>
            <w14:solidFill>
              <w14:schemeClr w14:val="tx1"/>
            </w14:solidFill>
          </w14:textFill>
        </w:rPr>
      </w:pPr>
    </w:p>
    <w:p w14:paraId="60A1B66A">
      <w:pPr>
        <w:rPr>
          <w:rFonts w:ascii="宋体" w:hAnsi="宋体"/>
          <w:color w:val="000000" w:themeColor="text1"/>
          <w:sz w:val="21"/>
          <w:szCs w:val="21"/>
          <w:highlight w:val="none"/>
          <w:lang w:eastAsia="zh-CN"/>
          <w14:textFill>
            <w14:solidFill>
              <w14:schemeClr w14:val="tx1"/>
            </w14:solidFill>
          </w14:textFill>
        </w:rPr>
      </w:pPr>
    </w:p>
    <w:p w14:paraId="58032EED">
      <w:pPr>
        <w:pStyle w:val="27"/>
        <w:rPr>
          <w:rFonts w:ascii="宋体" w:hAnsi="宋体"/>
          <w:color w:val="000000" w:themeColor="text1"/>
          <w:sz w:val="21"/>
          <w:szCs w:val="21"/>
          <w:highlight w:val="none"/>
          <w:lang w:eastAsia="zh-CN"/>
          <w14:textFill>
            <w14:solidFill>
              <w14:schemeClr w14:val="tx1"/>
            </w14:solidFill>
          </w14:textFill>
        </w:rPr>
      </w:pPr>
    </w:p>
    <w:bookmarkEnd w:id="199"/>
    <w:bookmarkEnd w:id="200"/>
    <w:bookmarkEnd w:id="201"/>
    <w:p w14:paraId="538DCBC3">
      <w:pPr>
        <w:pStyle w:val="21"/>
        <w:numPr>
          <w:ilvl w:val="0"/>
          <w:numId w:val="5"/>
        </w:numPr>
        <w:spacing w:line="360" w:lineRule="auto"/>
        <w:jc w:val="center"/>
        <w:outlineLvl w:val="0"/>
        <w:rPr>
          <w:rStyle w:val="62"/>
          <w:color w:val="000000" w:themeColor="text1"/>
          <w:sz w:val="32"/>
          <w:szCs w:val="32"/>
          <w:highlight w:val="none"/>
          <w14:textFill>
            <w14:solidFill>
              <w14:schemeClr w14:val="tx1"/>
            </w14:solidFill>
          </w14:textFill>
        </w:rPr>
      </w:pPr>
      <w:bookmarkStart w:id="202" w:name="_Toc7006"/>
      <w:bookmarkStart w:id="203" w:name="_Toc20317"/>
      <w:bookmarkStart w:id="204" w:name="_Toc21828"/>
      <w:bookmarkStart w:id="205" w:name="_Toc10644_WPSOffice_Level1"/>
      <w:bookmarkStart w:id="206" w:name="_Toc7859"/>
      <w:r>
        <w:rPr>
          <w:rFonts w:hint="eastAsia" w:ascii="宋体" w:hAnsi="宋体" w:eastAsia="宋体" w:cs="宋体"/>
          <w:b/>
          <w:color w:val="000000" w:themeColor="text1"/>
          <w:sz w:val="32"/>
          <w:szCs w:val="18"/>
          <w:highlight w:val="none"/>
          <w14:textFill>
            <w14:solidFill>
              <w14:schemeClr w14:val="tx1"/>
            </w14:solidFill>
          </w14:textFill>
        </w:rPr>
        <w:t>评标方法及评分标准</w:t>
      </w:r>
      <w:bookmarkEnd w:id="202"/>
      <w:bookmarkEnd w:id="203"/>
      <w:bookmarkEnd w:id="204"/>
      <w:bookmarkEnd w:id="205"/>
      <w:bookmarkEnd w:id="206"/>
    </w:p>
    <w:p w14:paraId="04759A35">
      <w:pPr>
        <w:keepNext w:val="0"/>
        <w:keepLines w:val="0"/>
        <w:pageBreakBefore w:val="0"/>
        <w:widowControl w:val="0"/>
        <w:kinsoku/>
        <w:wordWrap/>
        <w:overflowPunct/>
        <w:topLinePunct w:val="0"/>
        <w:bidi w:val="0"/>
        <w:snapToGrid/>
        <w:spacing w:line="400" w:lineRule="exact"/>
        <w:jc w:val="center"/>
        <w:textAlignment w:val="auto"/>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207" w:name="_Toc26441"/>
      <w:r>
        <w:rPr>
          <w:rFonts w:hint="eastAsia" w:ascii="宋体" w:hAnsi="宋体" w:eastAsia="宋体" w:cs="宋体"/>
          <w:b/>
          <w:bCs/>
          <w:color w:val="000000" w:themeColor="text1"/>
          <w:sz w:val="32"/>
          <w:szCs w:val="32"/>
          <w:highlight w:val="none"/>
          <w14:textFill>
            <w14:solidFill>
              <w14:schemeClr w14:val="tx1"/>
            </w14:solidFill>
          </w14:textFill>
        </w:rPr>
        <w:t>第一节 评标方法</w:t>
      </w:r>
      <w:bookmarkEnd w:id="207"/>
    </w:p>
    <w:p w14:paraId="622DBA1C">
      <w:pPr>
        <w:keepNext w:val="0"/>
        <w:keepLines w:val="0"/>
        <w:pageBreakBefore w:val="0"/>
        <w:widowControl w:val="0"/>
        <w:tabs>
          <w:tab w:val="left" w:pos="2472"/>
        </w:tabs>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以下勾选的方式</w:t>
      </w:r>
      <w:r>
        <w:rPr>
          <w:rFonts w:hint="eastAsia" w:ascii="宋体" w:hAnsi="宋体" w:eastAsia="宋体" w:cs="宋体"/>
          <w:color w:val="000000" w:themeColor="text1"/>
          <w:sz w:val="21"/>
          <w:szCs w:val="21"/>
          <w:highlight w:val="none"/>
          <w14:textFill>
            <w14:solidFill>
              <w14:schemeClr w14:val="tx1"/>
            </w14:solidFill>
          </w14:textFill>
        </w:rPr>
        <w:t>进行评审。</w:t>
      </w:r>
    </w:p>
    <w:p w14:paraId="4978AD7B">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最低评标价法，是指投标文件满足招标文件全部实质性要求，且投标报价最低的投标人为中标候选人的评标方法。</w:t>
      </w:r>
    </w:p>
    <w:p w14:paraId="2DD5392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6FE8A826">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eastAsia="宋体" w:cs="宋体"/>
          <w:color w:val="000000" w:themeColor="text1"/>
          <w:szCs w:val="20"/>
          <w:highlight w:val="none"/>
          <w14:textFill>
            <w14:solidFill>
              <w14:schemeClr w14:val="tx1"/>
            </w14:solidFill>
          </w14:textFill>
        </w:rPr>
      </w:pPr>
    </w:p>
    <w:p w14:paraId="6F341E10">
      <w:pPr>
        <w:keepNext w:val="0"/>
        <w:keepLines w:val="0"/>
        <w:pageBreakBefore w:val="0"/>
        <w:widowControl w:val="0"/>
        <w:tabs>
          <w:tab w:val="left" w:pos="2472"/>
        </w:tabs>
        <w:kinsoku/>
        <w:wordWrap/>
        <w:overflowPunct/>
        <w:topLinePunct w:val="0"/>
        <w:bidi w:val="0"/>
        <w:snapToGrid/>
        <w:spacing w:line="400" w:lineRule="exact"/>
        <w:jc w:val="center"/>
        <w:textAlignment w:val="auto"/>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208" w:name="_Toc9387"/>
      <w:r>
        <w:rPr>
          <w:rFonts w:hint="eastAsia" w:ascii="宋体" w:hAnsi="宋体" w:eastAsia="宋体" w:cs="宋体"/>
          <w:b/>
          <w:bCs/>
          <w:color w:val="000000" w:themeColor="text1"/>
          <w:sz w:val="32"/>
          <w:szCs w:val="32"/>
          <w:highlight w:val="none"/>
          <w14:textFill>
            <w14:solidFill>
              <w14:schemeClr w14:val="tx1"/>
            </w14:solidFill>
          </w14:textFill>
        </w:rPr>
        <w:t>第二节 评标程序</w:t>
      </w:r>
      <w:bookmarkEnd w:id="208"/>
    </w:p>
    <w:p w14:paraId="2F30B100">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1.符合性审查</w:t>
      </w:r>
    </w:p>
    <w:p w14:paraId="0EB3D015">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6ACA7BAC">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2.符合性审查不通过而导致投标无效的情形</w:t>
      </w:r>
    </w:p>
    <w:p w14:paraId="29A6F2F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投标人的投标文件中存在对招标文件的任何实质性要求和条件的负偏离，将被视为投标无效。</w:t>
      </w:r>
    </w:p>
    <w:p w14:paraId="4242B2A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2.1在报价评审时，如发现下列情形之一的，将被视为投标无效：</w:t>
      </w:r>
    </w:p>
    <w:p w14:paraId="7D3A22D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1）投标文件未提供“投标人须知前附表”第13.1条规定中“必须提供”的文件资料的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27846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2）未采用人民币报价或者未按照招标文件标明的币种报价的；</w:t>
      </w:r>
    </w:p>
    <w:p w14:paraId="366431F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3）报价超出招标文件规定最高限价，或者超出采购预算金额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包括分项预算）的；</w:t>
      </w:r>
    </w:p>
    <w:p w14:paraId="5447EEF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4）投标人未就所投分标进行报价或者存在漏项报价；投标人未就所投分标的单项内容作唯一报价；投标人未就所投分标的全部内容作唯一总价报价；存在有选择、有条件报价的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招标文件允许有备选方案或者其他约定的除外）；</w:t>
      </w:r>
    </w:p>
    <w:p w14:paraId="3C2F017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5）修正后的报价，投标人不确认的；</w:t>
      </w:r>
    </w:p>
    <w:p w14:paraId="30338282">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6）投标人属于本章第5条第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2）项情形的。</w:t>
      </w:r>
    </w:p>
    <w:p w14:paraId="32D3725C">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2.2在商务评审时，如发现下列情形之一的，将被视为投标无效：</w:t>
      </w:r>
    </w:p>
    <w:p w14:paraId="7D4821F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1）投标文件未按招标文件要求签署、盖章的；</w:t>
      </w:r>
    </w:p>
    <w:p w14:paraId="63D6C5B7">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2）委托代理人未能出具有效身份证明或者出具的身份证明与授权委托书中的信息不符的； </w:t>
      </w:r>
    </w:p>
    <w:p w14:paraId="65564E1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3）投标文件未提供“投标人须知前附表”第13.1条规定中“必须提供”或者“委托时必须提供”的文件资料的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D8FD02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4）投标有效期、项目完成时间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交货时间、货物完成时间或者货物期等）、质保期、售后货物等招标文件中标“▲”的商务条款发生负偏离的；</w:t>
      </w:r>
    </w:p>
    <w:p w14:paraId="4F0C7C05">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5）商务条款评审允许负偏离的条款数超过“投标人须知前附表”规定项数的。</w:t>
      </w:r>
    </w:p>
    <w:p w14:paraId="2D09A88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6）投标文件的实质性内容未使用中文表述、使用计量单位不符合招标文件要求的；</w:t>
      </w:r>
    </w:p>
    <w:p w14:paraId="6E6BA8F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7）投标文件中的文件资料因填写不齐全或者内容虚假或者出现其他情形而导致被评标委员会认定无效的；</w:t>
      </w:r>
    </w:p>
    <w:p w14:paraId="7A5FCE2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8）投标文件含有采购人不能接受的附加条件的；</w:t>
      </w:r>
    </w:p>
    <w:p w14:paraId="3D9E9B3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9）未响应招标文件实质性要求的；</w:t>
      </w:r>
    </w:p>
    <w:p w14:paraId="191D694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10）属于投标人须知正文第9.2条情形的；</w:t>
      </w:r>
    </w:p>
    <w:p w14:paraId="2EF6B5CC">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11）法律、法规和招标文件规定的其他无效情形。</w:t>
      </w:r>
    </w:p>
    <w:p w14:paraId="6CCD253E">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2.3在技术评审时，如发现下列情形之一的，将被视为投标无效：</w:t>
      </w:r>
    </w:p>
    <w:p w14:paraId="6F07BF4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1）不满足招标文件要求的货物内容、</w:t>
      </w:r>
      <w:r>
        <w:rPr>
          <w:rFonts w:hint="eastAsia" w:ascii="宋体" w:hAnsi="宋体" w:eastAsia="宋体" w:cs="宋体"/>
          <w:color w:val="000000" w:themeColor="text1"/>
          <w:sz w:val="21"/>
          <w:szCs w:val="21"/>
          <w:highlight w:val="none"/>
          <w:lang w:eastAsia="zh-CN"/>
          <w14:textFill>
            <w14:solidFill>
              <w14:schemeClr w14:val="tx1"/>
            </w14:solidFill>
          </w14:textFill>
        </w:rPr>
        <w:t>技术参数要求</w:t>
      </w:r>
      <w:r>
        <w:rPr>
          <w:rFonts w:hint="eastAsia" w:ascii="宋体" w:hAnsi="宋体" w:eastAsia="宋体" w:cs="宋体"/>
          <w:color w:val="000000" w:themeColor="text1"/>
          <w:sz w:val="21"/>
          <w:szCs w:val="21"/>
          <w:highlight w:val="none"/>
          <w14:textFill>
            <w14:solidFill>
              <w14:schemeClr w14:val="tx1"/>
            </w14:solidFill>
          </w14:textFill>
        </w:rPr>
        <w:t>、安全、质量标准，或者与招标文件中标“▲”的技术需求发生负偏离的；</w:t>
      </w:r>
    </w:p>
    <w:p w14:paraId="4FEA999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2）技术需求评审允许负偏离的条款数超过“投标人须知前附表”规定项数的；</w:t>
      </w:r>
    </w:p>
    <w:p w14:paraId="474C49B5">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3）投标文件未提供“投标人须知前附表”第13.1条规定中“必须提供”的文件资料的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B40BBE">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4）虚假投标，或者出现其他情形而导致被评标委员会认定无效的；</w:t>
      </w:r>
    </w:p>
    <w:p w14:paraId="71BAC4B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5）投标技术方案不明确，招标文件未允许但存在一个或者一个以上备选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替代）投标方案的。</w:t>
      </w:r>
    </w:p>
    <w:p w14:paraId="167F82E7">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3.澄清补正、说明或者补正</w:t>
      </w:r>
    </w:p>
    <w:p w14:paraId="717CEF17">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对投标文件中含义不明确、同类问题表述不一致或者有明显文字和计算错误的内容，评标委员会应在</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发布电子澄清函，要求投标人在规定时间内作出必要的澄清、说明或者补正。投标人在</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7D5D3CE">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170984F">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4.投标文件修正</w:t>
      </w:r>
    </w:p>
    <w:p w14:paraId="3C3A744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4.1投标文件报价出现前后不一致的，按照下列规定修正</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87D64A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1）报价文件中“开标一览表”内容与投标文件中相应内容不一致的，以“开标一览表”为准；</w:t>
      </w:r>
    </w:p>
    <w:p w14:paraId="1002C33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2）大写金额和小写金额不一致的，以大写金额为准；</w:t>
      </w:r>
    </w:p>
    <w:p w14:paraId="57BD581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B3E8A65">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4）总价金额与按单价汇总金额不一致的，以单价金额计算结果为准。</w:t>
      </w:r>
    </w:p>
    <w:p w14:paraId="4CDB3FB4">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同时出现两种以上不一致的，按照以上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4）规定的顺序修正。修正后的报价经投标人确认后产生约束力，投标人不确认的，其投标无效。</w:t>
      </w:r>
    </w:p>
    <w:p w14:paraId="5A5CBA92">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4.2经投标人确认修正后的报价若超过采购预算金额或者最高限价，投标人的投标文件作无效投标处理。</w:t>
      </w:r>
    </w:p>
    <w:p w14:paraId="1E01D08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4.3经投标人确认修正后的报价作为签订合同的依据，并以此报价计算价格分。</w:t>
      </w:r>
    </w:p>
    <w:p w14:paraId="54EEDB4C">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5.比较与评价</w:t>
      </w:r>
    </w:p>
    <w:p w14:paraId="202E247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w:t>
      </w:r>
      <w:r>
        <w:rPr>
          <w:rFonts w:hint="eastAsia" w:ascii="宋体" w:hAnsi="宋体" w:eastAsia="宋体" w:cs="宋体"/>
          <w:color w:val="000000" w:themeColor="text1"/>
          <w:sz w:val="21"/>
          <w:szCs w:val="21"/>
          <w:highlight w:val="none"/>
          <w14:textFill>
            <w14:solidFill>
              <w14:schemeClr w14:val="tx1"/>
            </w14:solidFill>
          </w14:textFill>
        </w:rPr>
        <w:t>评标委员会按照招标文件中规定的评标方法和评标标准，对符合性审查合格的投标文件进行商务和技术评估，综合比较与评价。</w:t>
      </w:r>
    </w:p>
    <w:p w14:paraId="53BC1BE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w:t>
      </w:r>
      <w:r>
        <w:rPr>
          <w:rFonts w:hint="eastAsia" w:ascii="宋体" w:hAnsi="宋体" w:eastAsia="宋体" w:cs="宋体"/>
          <w:color w:val="000000" w:themeColor="text1"/>
          <w:sz w:val="21"/>
          <w:szCs w:val="21"/>
          <w:highlight w:val="none"/>
          <w14:textFill>
            <w14:solidFill>
              <w14:schemeClr w14:val="tx1"/>
            </w14:solidFill>
          </w14:textFill>
        </w:rPr>
        <w:t>评标委员会独立对每个投标人的投标文件进行评价，并汇总每个投标人的得分。</w:t>
      </w:r>
    </w:p>
    <w:p w14:paraId="4B28E26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异常低价审查</w:t>
      </w:r>
    </w:p>
    <w:p w14:paraId="54E0646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5.3.1</w:t>
      </w:r>
      <w:r>
        <w:rPr>
          <w:rFonts w:hint="eastAsia" w:ascii="宋体" w:hAnsi="宋体" w:eastAsia="宋体" w:cs="宋体"/>
          <w:color w:val="000000" w:themeColor="text1"/>
          <w:sz w:val="21"/>
          <w:szCs w:val="21"/>
          <w:highlight w:val="none"/>
          <w:lang w:eastAsia="zh-CN"/>
          <w14:textFill>
            <w14:solidFill>
              <w14:schemeClr w14:val="tx1"/>
            </w14:solidFill>
          </w14:textFill>
        </w:rPr>
        <w:t>依据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"https://weixin.caigou2003.com/ycait/law/" \l "/lawDetail?id=6059"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关于推动解决政府采购异常低价问题的通知</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》(财库〔2026〕2号)规定，</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本项目</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评审中出现下列情形之一的，</w:t>
      </w:r>
      <w:r>
        <w:rPr>
          <w:rFonts w:hint="eastAsia" w:ascii="宋体" w:hAnsi="宋体" w:eastAsia="宋体" w:cs="宋体"/>
          <w:color w:val="000000" w:themeColor="text1"/>
          <w:sz w:val="21"/>
          <w:szCs w:val="21"/>
          <w:highlight w:val="none"/>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应当启动异常低价投标审查程序：</w:t>
      </w:r>
    </w:p>
    <w:p w14:paraId="0B8BA9DE">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投标报价低于全部通过符合性审查供应商投标报价平均值</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%的；</w:t>
      </w:r>
    </w:p>
    <w:p w14:paraId="6450A405">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2</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投标报价低于通过符合性审查的次低报价供应商投标报价</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 xml:space="preserve">%的； </w:t>
      </w:r>
    </w:p>
    <w:p w14:paraId="66ACEAD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3</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投标报价低于采购项目最高限价</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5%的；</w:t>
      </w:r>
    </w:p>
    <w:p w14:paraId="01741EDE">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4</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基于专业判断，认为供应商报价过低，有可能影响产品质量或者不能诚信履约的其他情形。相关法律法规对供应商报价有规定的，从其规定。</w:t>
      </w:r>
    </w:p>
    <w:p w14:paraId="6436513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5.3.2</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656B5F7">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5.3.3</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 xml:space="preserve">应当将其作为无效投标处理。 </w:t>
      </w:r>
    </w:p>
    <w:p w14:paraId="044DD817">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5.3.4</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采购人、采购代理机构应当为</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 xml:space="preserve">借助互联网等渠道查询相关信息的，应当严格遵守评审工作纪律，不得实施影响评审公正的行为。 </w:t>
      </w:r>
    </w:p>
    <w:p w14:paraId="3627F58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5.3.5</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异常低价投标审查的启动原因、审查意见和审查结果应当在评审报告中记录，并随供应商提供的相关书面说明及证明材料，以及</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评标委员会</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有关互联网浏览、查询历史一并归档。</w:t>
      </w:r>
    </w:p>
    <w:p w14:paraId="15418A8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t>评标委员会按照招标文件中规定的评标方法和标准计算各投标人的报价得分。在计算过程中，不得去掉最高报价或者最低报价。</w:t>
      </w:r>
    </w:p>
    <w:p w14:paraId="4126AD00">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各投标人的得分为所有评委的有效评分的算术平均数。</w:t>
      </w:r>
    </w:p>
    <w:p w14:paraId="1E18A2E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t>评标委员会按照招标文件中的规定推荐中标候选人。</w:t>
      </w:r>
    </w:p>
    <w:p w14:paraId="6262BF37">
      <w:pPr>
        <w:pStyle w:val="21"/>
        <w:spacing w:line="340" w:lineRule="atLeas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5.7</w:t>
      </w:r>
      <w:r>
        <w:rPr>
          <w:rFonts w:hint="eastAsia" w:ascii="宋体" w:hAnsi="宋体" w:eastAsia="宋体" w:cs="宋体"/>
          <w:color w:val="000000" w:themeColor="text1"/>
          <w:szCs w:val="21"/>
          <w:highlight w:val="none"/>
          <w14:textFill>
            <w14:solidFill>
              <w14:schemeClr w14:val="tx1"/>
            </w14:solidFill>
          </w14:textFill>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109BF8A8">
      <w:pPr>
        <w:pStyle w:val="21"/>
        <w:spacing w:line="340" w:lineRule="atLeas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3929540A">
      <w:pPr>
        <w:pStyle w:val="21"/>
        <w:spacing w:line="340" w:lineRule="atLeas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64FC7075">
      <w:pPr>
        <w:pStyle w:val="21"/>
        <w:spacing w:line="340" w:lineRule="atLeas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55B6AA9A">
      <w:pPr>
        <w:pStyle w:val="21"/>
        <w:spacing w:line="340" w:lineRule="atLeas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63241252">
      <w:pPr>
        <w:spacing w:line="440" w:lineRule="exact"/>
        <w:jc w:val="center"/>
        <w:rPr>
          <w:rFonts w:ascii="宋体" w:hAnsi="宋体"/>
          <w:b/>
          <w:bCs/>
          <w:color w:val="000000" w:themeColor="text1"/>
          <w:szCs w:val="21"/>
          <w:highlight w:val="none"/>
          <w:lang w:eastAsia="zh-CN"/>
          <w14:textFill>
            <w14:solidFill>
              <w14:schemeClr w14:val="tx1"/>
            </w14:solidFill>
          </w14:textFill>
        </w:rPr>
      </w:pPr>
      <w:bookmarkStart w:id="209" w:name="_Toc1249"/>
      <w:r>
        <w:rPr>
          <w:rFonts w:hint="eastAsia" w:ascii="宋体" w:hAnsi="宋体" w:eastAsia="宋体" w:cs="宋体"/>
          <w:b/>
          <w:bCs w:val="0"/>
          <w:color w:val="000000" w:themeColor="text1"/>
          <w:sz w:val="32"/>
          <w:szCs w:val="32"/>
          <w:highlight w:val="none"/>
          <w14:textFill>
            <w14:solidFill>
              <w14:schemeClr w14:val="tx1"/>
            </w14:solidFill>
          </w14:textFill>
        </w:rPr>
        <w:t>第三节 评分标准</w:t>
      </w:r>
      <w:bookmarkEnd w:id="209"/>
    </w:p>
    <w:p w14:paraId="4C4065BD">
      <w:pPr>
        <w:spacing w:line="440" w:lineRule="exact"/>
        <w:ind w:firstLine="0" w:firstLineChars="0"/>
        <w:jc w:val="center"/>
        <w:rPr>
          <w:rFonts w:hint="eastAsia" w:ascii="宋体" w:hAnsi="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综合评分法</w:t>
      </w:r>
      <w:r>
        <w:rPr>
          <w:rFonts w:hint="eastAsia" w:ascii="宋体" w:hAnsi="宋体" w:eastAsia="宋体" w:cs="宋体"/>
          <w:b/>
          <w:color w:val="000000" w:themeColor="text1"/>
          <w:sz w:val="30"/>
          <w:szCs w:val="30"/>
          <w:highlight w:val="none"/>
          <w:lang w:eastAsia="zh-CN"/>
          <w14:textFill>
            <w14:solidFill>
              <w14:schemeClr w14:val="tx1"/>
            </w14:solidFill>
          </w14:textFill>
        </w:rPr>
        <w:t>（</w:t>
      </w:r>
      <w:r>
        <w:rPr>
          <w:rFonts w:hint="eastAsia" w:ascii="宋体" w:hAnsi="宋体" w:eastAsia="宋体" w:cs="宋体"/>
          <w:b/>
          <w:bCs w:val="0"/>
          <w:color w:val="000000" w:themeColor="text1"/>
          <w:sz w:val="32"/>
          <w:szCs w:val="32"/>
          <w:highlight w:val="none"/>
          <w14:textFill>
            <w14:solidFill>
              <w14:schemeClr w14:val="tx1"/>
            </w14:solidFill>
          </w14:textFill>
        </w:rPr>
        <w:t>适用于分标</w:t>
      </w:r>
      <w:r>
        <w:rPr>
          <w:rFonts w:hint="default" w:ascii="宋体" w:hAnsi="宋体" w:eastAsia="宋体" w:cs="宋体"/>
          <w:b/>
          <w:bCs w:val="0"/>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、2）</w:t>
      </w:r>
    </w:p>
    <w:p w14:paraId="160AAAEE">
      <w:pPr>
        <w:spacing w:line="440" w:lineRule="exact"/>
        <w:ind w:firstLine="400" w:firstLineChars="200"/>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Cs w:val="20"/>
          <w:highlight w:val="none"/>
          <w14:textFill>
            <w14:solidFill>
              <w14:schemeClr w14:val="tx1"/>
            </w14:solidFill>
          </w14:textFill>
        </w:rPr>
        <w:t>注：计分方法按四舍五入取至百分位。</w:t>
      </w:r>
    </w:p>
    <w:tbl>
      <w:tblPr>
        <w:tblStyle w:val="3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279"/>
        <w:gridCol w:w="6326"/>
      </w:tblGrid>
      <w:tr w14:paraId="402B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2C54F943">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序号</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C2276B0">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评审因素</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0683BB03">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评标标准</w:t>
            </w:r>
          </w:p>
        </w:tc>
      </w:tr>
      <w:tr w14:paraId="398D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jc w:val="center"/>
        </w:trPr>
        <w:tc>
          <w:tcPr>
            <w:tcW w:w="525" w:type="dxa"/>
            <w:noWrap w:val="0"/>
            <w:vAlign w:val="center"/>
          </w:tcPr>
          <w:p w14:paraId="1963FB16">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c>
          <w:tcPr>
            <w:tcW w:w="1320" w:type="dxa"/>
            <w:noWrap w:val="0"/>
            <w:vAlign w:val="center"/>
          </w:tcPr>
          <w:p w14:paraId="1FA51454">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价格分</w:t>
            </w:r>
          </w:p>
          <w:p w14:paraId="2B29986E">
            <w:pPr>
              <w:adjustRightInd w:val="0"/>
              <w:spacing w:line="360" w:lineRule="auto"/>
              <w:jc w:val="center"/>
              <w:textAlignment w:val="baseline"/>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（满分30分）</w:t>
            </w:r>
          </w:p>
        </w:tc>
        <w:tc>
          <w:tcPr>
            <w:tcW w:w="1279" w:type="dxa"/>
            <w:noWrap w:val="0"/>
            <w:vAlign w:val="center"/>
          </w:tcPr>
          <w:p w14:paraId="4D18F327">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投标报价</w:t>
            </w:r>
          </w:p>
        </w:tc>
        <w:tc>
          <w:tcPr>
            <w:tcW w:w="6326" w:type="dxa"/>
            <w:noWrap w:val="0"/>
            <w:vAlign w:val="center"/>
          </w:tcPr>
          <w:p w14:paraId="1BBEE964">
            <w:pPr>
              <w:snapToGrid w:val="0"/>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42C19A3E">
            <w:pPr>
              <w:snapToGrid w:val="0"/>
              <w:spacing w:line="360" w:lineRule="auto"/>
              <w:ind w:firstLine="233" w:firstLineChars="111"/>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（2）政策性扣除计算方法。</w:t>
            </w:r>
          </w:p>
          <w:p w14:paraId="146DA526">
            <w:pPr>
              <w:snapToGrid w:val="0"/>
              <w:spacing w:line="360" w:lineRule="auto"/>
              <w:ind w:firstLine="443" w:firstLineChars="211"/>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2.1</w:t>
            </w:r>
            <w:r>
              <w:rPr>
                <w:rFonts w:hint="eastAsia" w:ascii="宋体" w:hAnsi="宋体" w:eastAsia="宋体"/>
                <w:bCs/>
                <w:color w:val="000000" w:themeColor="text1"/>
                <w:sz w:val="21"/>
                <w:szCs w:val="21"/>
                <w:highlight w:val="none"/>
                <w14:textFill>
                  <w14:solidFill>
                    <w14:schemeClr w14:val="tx1"/>
                  </w14:solidFill>
                </w14:textFill>
              </w:rPr>
              <w:t>根据《政府采购促进中小企业发展管理办法》（财库〔2020〕46号）的规定，投标人在其投标文件中提供《中小企业声明函》，且其投标全部货物由小微企业制造的，对其投标报价给予10%的扣除</w:t>
            </w:r>
            <w:r>
              <w:rPr>
                <w:rFonts w:hint="eastAsia" w:ascii="宋体" w:hAnsi="宋体" w:eastAsia="宋体"/>
                <w:bCs/>
                <w:color w:val="000000" w:themeColor="text1"/>
                <w:sz w:val="21"/>
                <w:szCs w:val="21"/>
                <w:highlight w:val="none"/>
                <w:lang w:eastAsia="zh-CN"/>
                <w14:textFill>
                  <w14:solidFill>
                    <w14:schemeClr w14:val="tx1"/>
                  </w14:solidFill>
                </w14:textFill>
              </w:rPr>
              <w:t>，</w:t>
            </w:r>
            <w:r>
              <w:rPr>
                <w:rFonts w:hint="eastAsia" w:ascii="宋体" w:hAnsi="宋体" w:eastAsia="宋体"/>
                <w:bCs/>
                <w:color w:val="000000" w:themeColor="text1"/>
                <w:sz w:val="21"/>
                <w:szCs w:val="21"/>
                <w:highlight w:val="none"/>
                <w14:textFill>
                  <w14:solidFill>
                    <w14:schemeClr w14:val="tx1"/>
                  </w14:solidFill>
                </w14:textFill>
              </w:rPr>
              <w:t>即评标报价=投标报价×（1-10%）</w:t>
            </w:r>
            <w:r>
              <w:rPr>
                <w:rFonts w:hint="eastAsia" w:ascii="宋体" w:hAnsi="宋体" w:eastAsia="宋体"/>
                <w:bCs/>
                <w:color w:val="000000" w:themeColor="text1"/>
                <w:sz w:val="21"/>
                <w:szCs w:val="21"/>
                <w:highlight w:val="none"/>
                <w:lang w:val="en-US" w:eastAsia="zh-CN"/>
                <w14:textFill>
                  <w14:solidFill>
                    <w14:schemeClr w14:val="tx1"/>
                  </w14:solidFill>
                </w14:textFill>
              </w:rPr>
              <w:t>。</w:t>
            </w:r>
          </w:p>
          <w:p w14:paraId="3AE0C16F">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eastAsia="宋体"/>
                <w:bCs/>
                <w:color w:val="000000" w:themeColor="text1"/>
                <w:sz w:val="21"/>
                <w:szCs w:val="21"/>
                <w:highlight w:val="none"/>
                <w14:textFill>
                  <w14:solidFill>
                    <w14:schemeClr w14:val="tx1"/>
                  </w14:solidFill>
                </w14:textFill>
              </w:rPr>
              <w:t>监狱企业属于小型、微型企业的，不重复享受政策。</w:t>
            </w:r>
          </w:p>
          <w:p w14:paraId="11EEAE80">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按照</w:t>
            </w:r>
            <w:r>
              <w:rPr>
                <w:rFonts w:hint="eastAsia" w:ascii="宋体" w:hAnsi="宋体" w:eastAsia="宋体"/>
                <w:bCs/>
                <w:color w:val="000000" w:themeColor="text1"/>
                <w:sz w:val="2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olor w:val="000000" w:themeColor="text1"/>
                <w:sz w:val="2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eastAsia="宋体"/>
                <w:bCs/>
                <w:color w:val="000000" w:themeColor="text1"/>
                <w:sz w:val="21"/>
                <w:szCs w:val="21"/>
                <w:highlight w:val="none"/>
                <w14:textFill>
                  <w14:solidFill>
                    <w14:schemeClr w14:val="tx1"/>
                  </w14:solidFill>
                </w14:textFill>
              </w:rPr>
              <w:t>残疾人福利性单位属于小型、微型企业的，不重复享受政策。</w:t>
            </w:r>
          </w:p>
          <w:p w14:paraId="5BD9D444">
            <w:pPr>
              <w:snapToGrid w:val="0"/>
              <w:spacing w:line="360" w:lineRule="auto"/>
              <w:ind w:firstLine="443" w:firstLineChars="211"/>
              <w:rPr>
                <w:rFonts w:hint="eastAsia" w:ascii="宋体" w:hAnsi="宋体" w:eastAsia="宋体" w:cs="Times New Roman"/>
                <w:bCs/>
                <w:color w:val="000000" w:themeColor="text1"/>
                <w:sz w:val="21"/>
                <w:szCs w:val="21"/>
                <w:lang w:val="en-US" w:eastAsia="zh-CN"/>
                <w14:textFill>
                  <w14:solidFill>
                    <w14:schemeClr w14:val="tx1"/>
                  </w14:solidFill>
                </w14:textFill>
              </w:rPr>
            </w:pPr>
            <w:r>
              <w:rPr>
                <w:rFonts w:hint="eastAsia" w:ascii="宋体" w:hAnsi="宋体" w:eastAsia="宋体" w:cs="Times New Roman"/>
                <w:bCs/>
                <w:color w:val="000000" w:themeColor="text1"/>
                <w:sz w:val="21"/>
                <w:szCs w:val="21"/>
                <w:lang w:val="en-US" w:eastAsia="zh-CN"/>
                <w14:textFill>
                  <w14:solidFill>
                    <w14:schemeClr w14:val="tx1"/>
                  </w14:solidFill>
                </w14:textFill>
              </w:rPr>
              <w:t>2.2</w:t>
            </w:r>
            <w:r>
              <w:rPr>
                <w:rFonts w:hint="eastAsia" w:ascii="宋体" w:hAnsi="宋体" w:eastAsia="宋体" w:cs="Times New Roman"/>
                <w:bCs/>
                <w:color w:val="000000" w:themeColor="text1"/>
                <w:sz w:val="21"/>
                <w:szCs w:val="21"/>
                <w14:textFill>
                  <w14:solidFill>
                    <w14:schemeClr w14:val="tx1"/>
                  </w14:solidFill>
                </w14:textFill>
              </w:rPr>
              <w:t>根据《国务院办公厅关于在政府采购中实施本国产品标准及相关政策的通知》</w:t>
            </w:r>
            <w:r>
              <w:rPr>
                <w:rFonts w:hint="eastAsia" w:ascii="宋体" w:hAnsi="宋体" w:eastAsia="宋体" w:cs="Times New Roman"/>
                <w:bCs/>
                <w:color w:val="000000" w:themeColor="text1"/>
                <w:sz w:val="21"/>
                <w:szCs w:val="21"/>
                <w:lang w:eastAsia="zh-CN"/>
                <w14:textFill>
                  <w14:solidFill>
                    <w14:schemeClr w14:val="tx1"/>
                  </w14:solidFill>
                </w14:textFill>
              </w:rPr>
              <w:t>，</w:t>
            </w:r>
            <w:r>
              <w:rPr>
                <w:rFonts w:hint="eastAsia" w:ascii="宋体" w:hAnsi="宋体" w:eastAsia="宋体" w:cs="Times New Roman"/>
                <w:bCs/>
                <w:color w:val="000000" w:themeColor="text1"/>
                <w:sz w:val="21"/>
                <w:szCs w:val="21"/>
                <w14:textFill>
                  <w14:solidFill>
                    <w14:schemeClr w14:val="tx1"/>
                  </w14:solidFill>
                </w14:textFill>
              </w:rPr>
              <w:t>投标人在其投标文件中提供《关于符合本国产品标准的声明函》</w:t>
            </w:r>
            <w:r>
              <w:rPr>
                <w:rFonts w:hint="eastAsia" w:ascii="宋体" w:hAnsi="宋体" w:eastAsia="宋体" w:cs="Times New Roman"/>
                <w:bCs/>
                <w:color w:val="000000" w:themeColor="text1"/>
                <w:sz w:val="21"/>
                <w:szCs w:val="21"/>
                <w:lang w:eastAsia="zh-CN"/>
                <w14:textFill>
                  <w14:solidFill>
                    <w14:schemeClr w14:val="tx1"/>
                  </w14:solidFill>
                </w14:textFill>
              </w:rPr>
              <w:t>，且政府采购活动中</w:t>
            </w:r>
            <w:r>
              <w:rPr>
                <w:rFonts w:hint="eastAsia" w:ascii="宋体" w:hAnsi="宋体" w:eastAsia="宋体" w:cs="Times New Roman"/>
                <w:bCs/>
                <w:color w:val="000000" w:themeColor="text1"/>
                <w:sz w:val="21"/>
                <w:szCs w:val="21"/>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Times New Roman"/>
                <w:bCs/>
                <w:color w:val="000000" w:themeColor="text1"/>
                <w:sz w:val="21"/>
                <w:szCs w:val="21"/>
                <w:lang w:eastAsia="zh-CN"/>
                <w14:textFill>
                  <w14:solidFill>
                    <w14:schemeClr w14:val="tx1"/>
                  </w14:solidFill>
                </w14:textFill>
              </w:rPr>
              <w:t>，</w:t>
            </w:r>
            <w:r>
              <w:rPr>
                <w:rFonts w:hint="eastAsia" w:ascii="宋体" w:hAnsi="宋体" w:eastAsia="宋体"/>
                <w:bCs/>
                <w:color w:val="000000" w:themeColor="text1"/>
                <w:sz w:val="21"/>
                <w:szCs w:val="21"/>
                <w14:textFill>
                  <w14:solidFill>
                    <w14:schemeClr w14:val="tx1"/>
                  </w14:solidFill>
                </w14:textFill>
              </w:rPr>
              <w:t>即评标报价=投标报价×（1-</w:t>
            </w:r>
            <w:r>
              <w:rPr>
                <w:rFonts w:hint="eastAsia" w:ascii="宋体" w:hAnsi="宋体" w:eastAsia="宋体"/>
                <w:bCs/>
                <w:color w:val="000000" w:themeColor="text1"/>
                <w:sz w:val="21"/>
                <w:szCs w:val="21"/>
                <w:lang w:val="en-US" w:eastAsia="zh-CN"/>
                <w14:textFill>
                  <w14:solidFill>
                    <w14:schemeClr w14:val="tx1"/>
                  </w14:solidFill>
                </w14:textFill>
              </w:rPr>
              <w:t>2</w:t>
            </w:r>
            <w:r>
              <w:rPr>
                <w:rFonts w:hint="eastAsia" w:ascii="宋体" w:hAnsi="宋体" w:eastAsia="宋体"/>
                <w:bCs/>
                <w:color w:val="000000" w:themeColor="text1"/>
                <w:sz w:val="21"/>
                <w:szCs w:val="21"/>
                <w14:textFill>
                  <w14:solidFill>
                    <w14:schemeClr w14:val="tx1"/>
                  </w14:solidFill>
                </w14:textFill>
              </w:rPr>
              <w:t>0%）</w:t>
            </w:r>
            <w:r>
              <w:rPr>
                <w:rFonts w:hint="eastAsia" w:ascii="宋体" w:hAnsi="宋体" w:eastAsia="宋体"/>
                <w:bCs/>
                <w:color w:val="000000" w:themeColor="text1"/>
                <w:sz w:val="21"/>
                <w:szCs w:val="21"/>
                <w:lang w:val="en-US" w:eastAsia="zh-CN"/>
                <w14:textFill>
                  <w14:solidFill>
                    <w14:schemeClr w14:val="tx1"/>
                  </w14:solidFill>
                </w14:textFill>
              </w:rPr>
              <w:t>。</w:t>
            </w:r>
          </w:p>
          <w:p w14:paraId="622AADF9">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2.3投标人同时满足以上两个政策时可叠加计算，</w:t>
            </w:r>
            <w:r>
              <w:rPr>
                <w:rFonts w:hint="eastAsia" w:ascii="宋体" w:hAnsi="宋体" w:eastAsia="宋体"/>
                <w:bCs/>
                <w:color w:val="000000" w:themeColor="text1"/>
                <w:sz w:val="21"/>
                <w:szCs w:val="21"/>
                <w14:textFill>
                  <w14:solidFill>
                    <w14:schemeClr w14:val="tx1"/>
                  </w14:solidFill>
                </w14:textFill>
              </w:rPr>
              <w:t>扣除后的价格为评标报价，即评标报价=投标报价×（1-10%</w:t>
            </w:r>
            <w:r>
              <w:rPr>
                <w:rFonts w:hint="eastAsia" w:ascii="宋体" w:hAnsi="宋体" w:eastAsia="宋体"/>
                <w:bCs/>
                <w:color w:val="000000" w:themeColor="text1"/>
                <w:sz w:val="21"/>
                <w:szCs w:val="21"/>
                <w:lang w:val="en-US" w:eastAsia="zh-CN"/>
                <w14:textFill>
                  <w14:solidFill>
                    <w14:schemeClr w14:val="tx1"/>
                  </w14:solidFill>
                </w14:textFill>
              </w:rPr>
              <w:t>-20%</w:t>
            </w:r>
            <w:r>
              <w:rPr>
                <w:rFonts w:hint="eastAsia" w:ascii="宋体" w:hAnsi="宋体" w:eastAsia="宋体"/>
                <w:bCs/>
                <w:color w:val="000000" w:themeColor="text1"/>
                <w:sz w:val="21"/>
                <w:szCs w:val="21"/>
                <w14:textFill>
                  <w14:solidFill>
                    <w14:schemeClr w14:val="tx1"/>
                  </w14:solidFill>
                </w14:textFill>
              </w:rPr>
              <w:t>）</w:t>
            </w:r>
            <w:r>
              <w:rPr>
                <w:rFonts w:hint="eastAsia" w:ascii="宋体" w:hAnsi="宋体" w:eastAsia="宋体"/>
                <w:bCs/>
                <w:color w:val="000000" w:themeColor="text1"/>
                <w:sz w:val="21"/>
                <w:szCs w:val="21"/>
                <w:lang w:eastAsia="zh-CN"/>
                <w14:textFill>
                  <w14:solidFill>
                    <w14:schemeClr w14:val="tx1"/>
                  </w14:solidFill>
                </w14:textFill>
              </w:rPr>
              <w:t>。</w:t>
            </w:r>
          </w:p>
          <w:p w14:paraId="0102EDE0">
            <w:pPr>
              <w:snapToGrid w:val="0"/>
              <w:spacing w:line="360" w:lineRule="auto"/>
              <w:ind w:firstLine="443" w:firstLineChars="211"/>
              <w:rPr>
                <w:rFonts w:hint="eastAsia" w:ascii="宋体" w:hAnsi="宋体" w:eastAsia="宋体" w:cs="Times New Roman"/>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2.4</w:t>
            </w:r>
            <w:r>
              <w:rPr>
                <w:rFonts w:hint="eastAsia" w:ascii="宋体" w:hAnsi="宋体" w:eastAsia="宋体"/>
                <w:bCs/>
                <w:color w:val="000000" w:themeColor="text1"/>
                <w:sz w:val="21"/>
                <w:szCs w:val="21"/>
                <w:highlight w:val="none"/>
                <w14:textFill>
                  <w14:solidFill>
                    <w14:schemeClr w14:val="tx1"/>
                  </w14:solidFill>
                </w14:textFill>
              </w:rPr>
              <w:t>除上述情况外，评标报价=投标报价。</w:t>
            </w:r>
          </w:p>
          <w:p w14:paraId="348D91AB">
            <w:pPr>
              <w:snapToGrid w:val="0"/>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bCs/>
                <w:color w:val="000000" w:themeColor="text1"/>
                <w:sz w:val="21"/>
                <w:szCs w:val="21"/>
                <w:highlight w:val="none"/>
                <w14:textFill>
                  <w14:solidFill>
                    <w14:schemeClr w14:val="tx1"/>
                  </w14:solidFill>
                </w14:textFill>
              </w:rPr>
              <w:t>）满足招标文件要求且评标报价最低的评标报价为评标基准价，其价格分为满分。</w:t>
            </w:r>
          </w:p>
          <w:p w14:paraId="499540CF">
            <w:pPr>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bCs/>
                <w:color w:val="000000" w:themeColor="text1"/>
                <w:sz w:val="21"/>
                <w:szCs w:val="21"/>
                <w:highlight w:val="none"/>
                <w14:textFill>
                  <w14:solidFill>
                    <w14:schemeClr w14:val="tx1"/>
                  </w14:solidFill>
                </w14:textFill>
              </w:rPr>
              <w:t xml:space="preserve">）价格分计算公式：        </w:t>
            </w:r>
          </w:p>
          <w:p w14:paraId="436311F2">
            <w:pPr>
              <w:spacing w:line="360" w:lineRule="auto"/>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kern w:val="0"/>
                <w:sz w:val="21"/>
                <w:szCs w:val="21"/>
                <w:highlight w:val="none"/>
                <w14:textFill>
                  <w14:solidFill>
                    <w14:schemeClr w14:val="tx1"/>
                  </w14:solidFill>
                </w14:textFill>
              </w:rPr>
              <w:t>价格分</w:t>
            </w:r>
            <w:r>
              <w:rPr>
                <w:rFonts w:hint="eastAsia" w:ascii="宋体" w:hAnsi="宋体" w:eastAsia="宋体" w:cs="宋体"/>
                <w:bCs/>
                <w:color w:val="000000" w:themeColor="text1"/>
                <w:sz w:val="21"/>
                <w:szCs w:val="21"/>
                <w:highlight w:val="none"/>
                <w14:textFill>
                  <w14:solidFill>
                    <w14:schemeClr w14:val="tx1"/>
                  </w14:solidFill>
                </w14:textFill>
              </w:rPr>
              <w:t>=（评标基准价／评标报价）×</w:t>
            </w:r>
            <w:r>
              <w:rPr>
                <w:rFonts w:hint="eastAsia" w:ascii="宋体" w:hAnsi="宋体" w:eastAsia="宋体"/>
                <w:bCs/>
                <w:color w:val="000000" w:themeColor="text1"/>
                <w:kern w:val="0"/>
                <w:sz w:val="21"/>
                <w:szCs w:val="21"/>
                <w:highlight w:val="none"/>
                <w:u w:val="single"/>
                <w14:textFill>
                  <w14:solidFill>
                    <w14:schemeClr w14:val="tx1"/>
                  </w14:solidFill>
                </w14:textFill>
              </w:rPr>
              <w:t>30</w:t>
            </w:r>
            <w:r>
              <w:rPr>
                <w:rFonts w:hint="eastAsia" w:ascii="宋体" w:hAnsi="宋体" w:eastAsia="宋体" w:cs="宋体"/>
                <w:bCs/>
                <w:color w:val="000000" w:themeColor="text1"/>
                <w:sz w:val="21"/>
                <w:szCs w:val="21"/>
                <w:highlight w:val="none"/>
                <w14:textFill>
                  <w14:solidFill>
                    <w14:schemeClr w14:val="tx1"/>
                  </w14:solidFill>
                </w14:textFill>
              </w:rPr>
              <w:t>分</w:t>
            </w:r>
          </w:p>
          <w:p w14:paraId="55247549">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olor w:val="000000" w:themeColor="text1"/>
                <w:spacing w:val="0"/>
                <w:sz w:val="21"/>
                <w:szCs w:val="21"/>
                <w:highlight w:val="none"/>
                <w:lang w:eastAsia="zh-CN"/>
                <w14:textFill>
                  <w14:solidFill>
                    <w14:schemeClr w14:val="tx1"/>
                  </w14:solidFill>
                </w14:textFill>
              </w:rPr>
              <w:t>说明</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：依据《</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fldChar w:fldCharType="begin"/>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instrText xml:space="preserve"> HYPERLINK "https://weixin.caigou2003.com/ycait/law/" \l "/lawDetail?id=6059" </w:instrTex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fldChar w:fldCharType="separate"/>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关于推动解决政府采购异常低价问题的通知</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fldChar w:fldCharType="end"/>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》(财库〔2026〕2号)规定，</w:t>
            </w:r>
            <w:r>
              <w:rPr>
                <w:rFonts w:hint="eastAsia" w:ascii="宋体" w:hAnsi="宋体" w:eastAsia="Times New Roman" w:cs="宋体"/>
                <w:i w:val="0"/>
                <w:iCs w:val="0"/>
                <w:caps w:val="0"/>
                <w:color w:val="000000" w:themeColor="text1"/>
                <w:spacing w:val="0"/>
                <w:sz w:val="21"/>
                <w:szCs w:val="21"/>
                <w:highlight w:val="none"/>
                <w:shd w:val="clear"/>
                <w:lang w:eastAsia="zh-CN"/>
                <w14:textFill>
                  <w14:solidFill>
                    <w14:schemeClr w14:val="tx1"/>
                  </w14:solidFill>
                </w14:textFill>
              </w:rPr>
              <w:t>本项目评审中出现异常低价情形的，</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评标委员会</w:t>
            </w:r>
            <w:r>
              <w:rPr>
                <w:rFonts w:hint="eastAsia" w:ascii="宋体" w:hAnsi="宋体" w:eastAsia="Times New Roman" w:cs="宋体"/>
                <w:i w:val="0"/>
                <w:iCs w:val="0"/>
                <w:caps w:val="0"/>
                <w:color w:val="000000" w:themeColor="text1"/>
                <w:spacing w:val="0"/>
                <w:sz w:val="21"/>
                <w:szCs w:val="21"/>
                <w:highlight w:val="none"/>
                <w:shd w:val="clear"/>
                <w:lang w:eastAsia="zh-CN"/>
                <w14:textFill>
                  <w14:solidFill>
                    <w14:schemeClr w14:val="tx1"/>
                  </w14:solidFill>
                </w14:textFill>
              </w:rPr>
              <w:t>应当启动异常低价投标审查程序</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w:t>
            </w:r>
          </w:p>
        </w:tc>
      </w:tr>
      <w:tr w14:paraId="225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28935DFA">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p>
        </w:tc>
        <w:tc>
          <w:tcPr>
            <w:tcW w:w="1320" w:type="dxa"/>
            <w:vMerge w:val="restart"/>
            <w:noWrap w:val="0"/>
            <w:vAlign w:val="center"/>
          </w:tcPr>
          <w:p w14:paraId="1C66E3F9">
            <w:pPr>
              <w:adjustRightInd w:val="0"/>
              <w:spacing w:line="360" w:lineRule="auto"/>
              <w:jc w:val="left"/>
              <w:textAlignment w:val="baseline"/>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技术分</w:t>
            </w:r>
          </w:p>
          <w:p w14:paraId="203591AD">
            <w:pPr>
              <w:adjustRightInd w:val="0"/>
              <w:spacing w:line="360" w:lineRule="auto"/>
              <w:jc w:val="left"/>
              <w:textAlignment w:val="baseline"/>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（满分 50分）</w:t>
            </w:r>
          </w:p>
        </w:tc>
        <w:tc>
          <w:tcPr>
            <w:tcW w:w="1279" w:type="dxa"/>
            <w:noWrap w:val="0"/>
            <w:vAlign w:val="center"/>
          </w:tcPr>
          <w:p w14:paraId="72EEB30A">
            <w:pPr>
              <w:spacing w:line="380" w:lineRule="exact"/>
              <w:jc w:val="left"/>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货物设备性能分（满分15分）</w:t>
            </w:r>
          </w:p>
        </w:tc>
        <w:tc>
          <w:tcPr>
            <w:tcW w:w="6326" w:type="dxa"/>
            <w:noWrap w:val="0"/>
            <w:vAlign w:val="center"/>
          </w:tcPr>
          <w:p w14:paraId="6A52BC1E">
            <w:pPr>
              <w:spacing w:line="360" w:lineRule="auto"/>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一档（6分）：投标产品技术参数、性能指标及配置基本满足招标文件要求，未标注“▲”的技术参数负偏离≤</w:t>
            </w:r>
            <w:r>
              <w:rPr>
                <w:rFonts w:hint="eastAsia" w:ascii="宋体" w:hAnsi="宋体" w:eastAsia="宋体"/>
                <w:bCs/>
                <w:color w:val="000000" w:themeColor="text1"/>
                <w:spacing w:val="-2"/>
                <w:kern w:val="0"/>
                <w:sz w:val="21"/>
                <w:szCs w:val="21"/>
                <w:highlight w:val="none"/>
                <w:shd w:val="clear" w:color="auto" w:fill="FFFFFF"/>
                <w:lang w:val="en-US" w:eastAsia="zh-CN"/>
                <w14:textFill>
                  <w14:solidFill>
                    <w14:schemeClr w14:val="tx1"/>
                  </w14:solidFill>
                </w14:textFill>
              </w:rPr>
              <w:t>3</w:t>
            </w: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项；</w:t>
            </w:r>
          </w:p>
          <w:p w14:paraId="1533D1FE">
            <w:pPr>
              <w:spacing w:line="360" w:lineRule="auto"/>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二档（9分）：设备技术参数、性能指标及配置完全满足招标文件要求，技术参数完全响应无负偏离；</w:t>
            </w:r>
          </w:p>
          <w:p w14:paraId="3C461703">
            <w:pPr>
              <w:spacing w:line="360" w:lineRule="auto"/>
              <w:rPr>
                <w:rFonts w:hint="eastAsia" w:ascii="宋体" w:hAnsi="宋体" w:eastAsia="宋体"/>
                <w:bCs/>
                <w:color w:val="000000" w:themeColor="text1"/>
                <w:spacing w:val="-2"/>
                <w:kern w:val="0"/>
                <w:sz w:val="21"/>
                <w:szCs w:val="21"/>
                <w:highlight w:val="none"/>
                <w:shd w:val="clear" w:color="auto" w:fill="FFFFFF"/>
                <w:lang w:eastAsia="zh-CN"/>
                <w14:textFill>
                  <w14:solidFill>
                    <w14:schemeClr w14:val="tx1"/>
                  </w14:solidFill>
                </w14:textFill>
              </w:rPr>
            </w:pP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三档（12分）：设备技术参数、性能指标及配置优于招标文件要求，技术参数全部响应无负偏离且未标注“▲”的技术参数有正偏离达到</w:t>
            </w:r>
            <w:r>
              <w:rPr>
                <w:rFonts w:hint="eastAsia" w:ascii="宋体" w:hAnsi="宋体" w:eastAsia="宋体"/>
                <w:bCs/>
                <w:color w:val="000000" w:themeColor="text1"/>
                <w:spacing w:val="-2"/>
                <w:kern w:val="0"/>
                <w:sz w:val="21"/>
                <w:szCs w:val="21"/>
                <w:highlight w:val="none"/>
                <w:shd w:val="clear" w:color="auto" w:fill="FFFFFF"/>
                <w:lang w:val="en-US" w:eastAsia="zh-CN"/>
                <w14:textFill>
                  <w14:solidFill>
                    <w14:schemeClr w14:val="tx1"/>
                  </w14:solidFill>
                </w14:textFill>
              </w:rPr>
              <w:t>2</w:t>
            </w: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项及以上（需提供生产厂家产品彩页或技术白皮书或检验报告等相关证明材料，否则不予认可）</w:t>
            </w:r>
            <w:r>
              <w:rPr>
                <w:rFonts w:hint="eastAsia" w:ascii="宋体" w:hAnsi="宋体" w:eastAsia="宋体"/>
                <w:bCs/>
                <w:color w:val="000000" w:themeColor="text1"/>
                <w:spacing w:val="-2"/>
                <w:kern w:val="0"/>
                <w:sz w:val="21"/>
                <w:szCs w:val="21"/>
                <w:highlight w:val="none"/>
                <w:shd w:val="clear" w:color="auto" w:fill="FFFFFF"/>
                <w:lang w:val="en-US" w:eastAsia="zh-CN"/>
                <w14:textFill>
                  <w14:solidFill>
                    <w14:schemeClr w14:val="tx1"/>
                  </w14:solidFill>
                </w14:textFill>
              </w:rPr>
              <w:t>；</w:t>
            </w:r>
          </w:p>
          <w:p w14:paraId="18B9BCD4">
            <w:pPr>
              <w:spacing w:line="360" w:lineRule="auto"/>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四档（15分）：设备技术参数、性能指标及配置优于招标文件要求，技术参数无负偏离且标注“▲”的技术参数正偏离有1项及以上或技术参数无负偏离且未标注“▲”的技术参数正偏离有</w:t>
            </w:r>
            <w:r>
              <w:rPr>
                <w:rFonts w:hint="eastAsia" w:ascii="宋体" w:hAnsi="宋体" w:eastAsia="宋体"/>
                <w:bCs/>
                <w:color w:val="000000" w:themeColor="text1"/>
                <w:spacing w:val="-2"/>
                <w:kern w:val="0"/>
                <w:sz w:val="21"/>
                <w:szCs w:val="21"/>
                <w:highlight w:val="none"/>
                <w:shd w:val="clear" w:color="auto" w:fill="FFFFFF"/>
                <w:lang w:val="en-US" w:eastAsia="zh-CN"/>
                <w14:textFill>
                  <w14:solidFill>
                    <w14:schemeClr w14:val="tx1"/>
                  </w14:solidFill>
                </w14:textFill>
              </w:rPr>
              <w:t>4</w:t>
            </w:r>
            <w:r>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t>项及以上（需提供生产厂家产品彩页或技术白皮书或检验报告等相关证明材料，否则不予认可）。</w:t>
            </w:r>
          </w:p>
        </w:tc>
      </w:tr>
      <w:tr w14:paraId="6DDC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031A62C7">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0A8D9EFC">
            <w:pPr>
              <w:adjustRightInd w:val="0"/>
              <w:spacing w:line="360" w:lineRule="auto"/>
              <w:ind w:left="-100" w:leftChars="-50" w:right="-100" w:rightChars="-50"/>
              <w:jc w:val="center"/>
              <w:textAlignment w:val="baseline"/>
              <w:rPr>
                <w:rFonts w:hint="eastAsia" w:ascii="宋体" w:hAnsi="宋体" w:eastAsia="宋体"/>
                <w:b/>
                <w:bCs/>
                <w:color w:val="000000" w:themeColor="text1"/>
                <w:sz w:val="21"/>
                <w:szCs w:val="21"/>
                <w:highlight w:val="none"/>
                <w14:textFill>
                  <w14:solidFill>
                    <w14:schemeClr w14:val="tx1"/>
                  </w14:solidFill>
                </w14:textFill>
              </w:rPr>
            </w:pPr>
          </w:p>
        </w:tc>
        <w:tc>
          <w:tcPr>
            <w:tcW w:w="1279" w:type="dxa"/>
            <w:noWrap w:val="0"/>
            <w:vAlign w:val="center"/>
          </w:tcPr>
          <w:p w14:paraId="64C5D9D3">
            <w:pPr>
              <w:spacing w:line="360" w:lineRule="atLeast"/>
              <w:jc w:val="center"/>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项目实施方案</w:t>
            </w:r>
            <w:r>
              <w:rPr>
                <w:rFonts w:hint="eastAsia" w:ascii="宋体" w:hAnsi="宋体" w:eastAsia="宋体"/>
                <w:b/>
                <w:bCs/>
                <w:color w:val="000000" w:themeColor="text1"/>
                <w:sz w:val="21"/>
                <w:szCs w:val="21"/>
                <w:highlight w:val="none"/>
                <w14:textFill>
                  <w14:solidFill>
                    <w14:schemeClr w14:val="tx1"/>
                  </w14:solidFill>
                </w14:textFill>
              </w:rPr>
              <w:t>（满分20分）</w:t>
            </w:r>
          </w:p>
          <w:p w14:paraId="19445502">
            <w:pPr>
              <w:spacing w:line="380" w:lineRule="exact"/>
              <w:rPr>
                <w:rFonts w:hint="eastAsia" w:ascii="宋体" w:hAnsi="宋体" w:eastAsia="宋体"/>
                <w:color w:val="000000" w:themeColor="text1"/>
                <w:kern w:val="0"/>
                <w:sz w:val="21"/>
                <w:szCs w:val="21"/>
                <w:highlight w:val="none"/>
                <w14:textFill>
                  <w14:solidFill>
                    <w14:schemeClr w14:val="tx1"/>
                  </w14:solidFill>
                </w14:textFill>
              </w:rPr>
            </w:pPr>
          </w:p>
        </w:tc>
        <w:tc>
          <w:tcPr>
            <w:tcW w:w="6326" w:type="dxa"/>
            <w:noWrap w:val="0"/>
            <w:vAlign w:val="center"/>
          </w:tcPr>
          <w:p w14:paraId="14ED05F7">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由评标委员会在打分前根据各投标人提供的项目实施方案评定各投标人所属档次及分值，达不到一档要求的不得分。</w:t>
            </w:r>
          </w:p>
          <w:p w14:paraId="15465B6F">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一档（6分）：实施方案中对交付计划、人员投入、安全保证措施和技术保证措施等有描述，实施方案基本完整，实施计划基本完整可行，项目管理组织机构及人员职能清晰。</w:t>
            </w:r>
          </w:p>
          <w:p w14:paraId="671C5224">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二档（13分）：实施方案包括有交付计划、人员投入、安全保证措施和技术保证措施。实施方案完整清晰，实施计划完整可行、详细，项目管理组织机构及人员职能清晰。</w:t>
            </w:r>
          </w:p>
          <w:p w14:paraId="514F4B5D">
            <w:pPr>
              <w:spacing w:line="360" w:lineRule="auto"/>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三档（20分）：实施方案包括有交付计划、人员投入、安全保证措施和技术保证措施及验收方案内容可行、详细，具有合理性、科学性，有交付保证措施、实施安全保障措施、风险管理体系，实施方案清晰、针对性强，实施计划完整明晰、可操作性强，项目管理组织机构及人员职能清晰可控。</w:t>
            </w:r>
          </w:p>
        </w:tc>
      </w:tr>
      <w:tr w14:paraId="69B9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45FF074B">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top"/>
          </w:tcPr>
          <w:p w14:paraId="571417A7">
            <w:pPr>
              <w:adjustRightInd w:val="0"/>
              <w:spacing w:line="360" w:lineRule="auto"/>
              <w:jc w:val="center"/>
              <w:textAlignment w:val="baseline"/>
              <w:rPr>
                <w:rFonts w:hint="eastAsia" w:ascii="宋体" w:hAnsi="宋体" w:eastAsia="宋体"/>
                <w:color w:val="000000" w:themeColor="text1"/>
                <w:sz w:val="21"/>
                <w:szCs w:val="21"/>
                <w:highlight w:val="none"/>
                <w14:textFill>
                  <w14:solidFill>
                    <w14:schemeClr w14:val="tx1"/>
                  </w14:solidFill>
                </w14:textFill>
              </w:rPr>
            </w:pPr>
          </w:p>
        </w:tc>
        <w:tc>
          <w:tcPr>
            <w:tcW w:w="1279" w:type="dxa"/>
            <w:noWrap w:val="0"/>
            <w:tcMar>
              <w:left w:w="57" w:type="dxa"/>
              <w:right w:w="57" w:type="dxa"/>
            </w:tcMar>
            <w:vAlign w:val="center"/>
          </w:tcPr>
          <w:p w14:paraId="2C8DD1C7">
            <w:pPr>
              <w:spacing w:line="360" w:lineRule="auto"/>
              <w:jc w:val="center"/>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质量保证措施</w:t>
            </w:r>
            <w:r>
              <w:rPr>
                <w:rFonts w:hint="eastAsia" w:ascii="宋体" w:hAnsi="宋体" w:eastAsia="宋体"/>
                <w:b/>
                <w:bCs/>
                <w:color w:val="000000" w:themeColor="text1"/>
                <w:sz w:val="21"/>
                <w:szCs w:val="21"/>
                <w:highlight w:val="none"/>
                <w14:textFill>
                  <w14:solidFill>
                    <w14:schemeClr w14:val="tx1"/>
                  </w14:solidFill>
                </w14:textFill>
              </w:rPr>
              <w:t>（满分15分）</w:t>
            </w:r>
          </w:p>
        </w:tc>
        <w:tc>
          <w:tcPr>
            <w:tcW w:w="6326" w:type="dxa"/>
            <w:noWrap w:val="0"/>
            <w:vAlign w:val="top"/>
          </w:tcPr>
          <w:p w14:paraId="5D3BFFAA">
            <w:pPr>
              <w:spacing w:line="360" w:lineRule="auto"/>
              <w:jc w:val="left"/>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bCs/>
                <w:color w:val="000000" w:themeColor="text1"/>
                <w:sz w:val="21"/>
                <w:szCs w:val="21"/>
                <w:highlight w:val="none"/>
                <w:shd w:val="clear" w:color="auto" w:fill="auto"/>
                <w14:textFill>
                  <w14:solidFill>
                    <w14:schemeClr w14:val="tx1"/>
                  </w14:solidFill>
                </w14:textFill>
              </w:rPr>
              <w:t>一档（5分）：</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对质量保证承诺、</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质量控制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检验措施</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等有描述，基本能够保证货物质量。</w:t>
            </w:r>
          </w:p>
          <w:p w14:paraId="48B52B28">
            <w:pPr>
              <w:spacing w:line="360" w:lineRule="auto"/>
              <w:jc w:val="left"/>
              <w:rPr>
                <w:rFonts w:hint="eastAsia" w:ascii="宋体" w:hAnsi="宋体" w:eastAsia="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bCs/>
                <w:color w:val="000000" w:themeColor="text1"/>
                <w:sz w:val="21"/>
                <w:szCs w:val="21"/>
                <w:highlight w:val="none"/>
                <w:shd w:val="clear" w:color="auto" w:fill="auto"/>
                <w14:textFill>
                  <w14:solidFill>
                    <w14:schemeClr w14:val="tx1"/>
                  </w14:solidFill>
                </w14:textFill>
              </w:rPr>
              <w:t>二档（10分）：</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对质量保证承诺、</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质量控制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检验措施</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等描述</w:t>
            </w:r>
            <w:r>
              <w:rPr>
                <w:rFonts w:hint="eastAsia" w:ascii="宋体" w:hAnsi="宋体" w:eastAsia="宋体"/>
                <w:bCs/>
                <w:color w:val="000000" w:themeColor="text1"/>
                <w:sz w:val="21"/>
                <w:szCs w:val="21"/>
                <w:highlight w:val="none"/>
                <w:shd w:val="clear" w:color="auto" w:fill="auto"/>
                <w14:textFill>
                  <w14:solidFill>
                    <w14:schemeClr w14:val="tx1"/>
                  </w14:solidFill>
                </w14:textFill>
              </w:rPr>
              <w:t>内容完整、详细，能针对项目情况提出较为</w:t>
            </w:r>
            <w:r>
              <w:rPr>
                <w:rFonts w:hint="eastAsia" w:ascii="宋体" w:hAnsi="宋体" w:eastAsia="宋体"/>
                <w:b w:val="0"/>
                <w:bCs/>
                <w:color w:val="000000" w:themeColor="text1"/>
                <w:sz w:val="21"/>
                <w:szCs w:val="21"/>
                <w:highlight w:val="none"/>
                <w:shd w:val="clear" w:color="auto" w:fill="auto"/>
                <w14:textFill>
                  <w14:solidFill>
                    <w14:schemeClr w14:val="tx1"/>
                  </w14:solidFill>
                </w14:textFill>
              </w:rPr>
              <w:t>明确的</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b w:val="0"/>
                <w:bCs/>
                <w:color w:val="000000" w:themeColor="text1"/>
                <w:sz w:val="21"/>
                <w:szCs w:val="21"/>
                <w:highlight w:val="none"/>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有专门质量管理团队</w:t>
            </w:r>
            <w:r>
              <w:rPr>
                <w:rFonts w:hint="eastAsia" w:ascii="宋体" w:hAnsi="宋体" w:eastAsia="宋体"/>
                <w:bCs/>
                <w:color w:val="000000" w:themeColor="text1"/>
                <w:sz w:val="21"/>
                <w:szCs w:val="21"/>
                <w:highlight w:val="none"/>
                <w:shd w:val="clear" w:color="auto" w:fill="auto"/>
                <w14:textFill>
                  <w14:solidFill>
                    <w14:schemeClr w14:val="tx1"/>
                  </w14:solidFill>
                </w14:textFill>
              </w:rPr>
              <w:t>能够</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确保</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货物质量。</w:t>
            </w:r>
          </w:p>
          <w:p w14:paraId="14C4F87C">
            <w:pPr>
              <w:spacing w:line="360" w:lineRule="auto"/>
              <w:jc w:val="left"/>
              <w:rPr>
                <w:rFonts w:hint="eastAsia" w:ascii="宋体" w:hAnsi="宋体" w:eastAsia="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bCs/>
                <w:color w:val="000000" w:themeColor="text1"/>
                <w:sz w:val="21"/>
                <w:szCs w:val="21"/>
                <w:highlight w:val="none"/>
                <w:shd w:val="clear" w:color="auto" w:fill="auto"/>
                <w14:textFill>
                  <w14:solidFill>
                    <w14:schemeClr w14:val="tx1"/>
                  </w14:solidFill>
                </w14:textFill>
              </w:rPr>
              <w:t xml:space="preserve"> 三档（15分）：针对本项目提出的</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质量保证承诺、</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质量控制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检验措施详细，分析到位，</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bCs/>
                <w:color w:val="000000" w:themeColor="text1"/>
                <w:sz w:val="21"/>
                <w:szCs w:val="21"/>
                <w:highlight w:val="none"/>
                <w:shd w:val="clear" w:color="auto" w:fill="auto"/>
                <w14:textFill>
                  <w14:solidFill>
                    <w14:schemeClr w14:val="tx1"/>
                  </w14:solidFill>
                </w14:textFill>
              </w:rPr>
              <w:t>措施科学合理，</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有专门质量管理团队</w:t>
            </w:r>
            <w:r>
              <w:rPr>
                <w:rFonts w:hint="eastAsia" w:ascii="宋体" w:hAnsi="宋体" w:eastAsia="宋体"/>
                <w:bCs/>
                <w:color w:val="000000" w:themeColor="text1"/>
                <w:sz w:val="21"/>
                <w:szCs w:val="21"/>
                <w:highlight w:val="none"/>
                <w:shd w:val="clear" w:color="auto" w:fill="auto"/>
                <w14:textFill>
                  <w14:solidFill>
                    <w14:schemeClr w14:val="tx1"/>
                  </w14:solidFill>
                </w14:textFill>
              </w:rPr>
              <w:t>能够严格控制货物的质量，并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根据项目实际情况制定有详细、可行的</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b w:val="0"/>
                <w:bCs/>
                <w:color w:val="000000" w:themeColor="text1"/>
                <w:sz w:val="21"/>
                <w:szCs w:val="21"/>
                <w:highlight w:val="none"/>
                <w:lang w:eastAsia="zh-CN"/>
                <w14:textFill>
                  <w14:solidFill>
                    <w14:schemeClr w14:val="tx1"/>
                  </w14:solidFill>
                </w14:textFill>
              </w:rPr>
              <w:t>体系和保障能力</w:t>
            </w:r>
            <w:r>
              <w:rPr>
                <w:rFonts w:hint="eastAsia" w:ascii="宋体" w:hAnsi="宋体" w:eastAsia="宋体"/>
                <w:bCs/>
                <w:color w:val="000000" w:themeColor="text1"/>
                <w:sz w:val="21"/>
                <w:szCs w:val="21"/>
                <w:highlight w:val="none"/>
                <w:shd w:val="clear" w:color="auto" w:fill="auto"/>
                <w14:textFill>
                  <w14:solidFill>
                    <w14:schemeClr w14:val="tx1"/>
                  </w14:solidFill>
                </w14:textFill>
              </w:rPr>
              <w:t>。</w:t>
            </w:r>
          </w:p>
          <w:p w14:paraId="3FD8492D">
            <w:pPr>
              <w:spacing w:line="360" w:lineRule="auto"/>
              <w:ind w:firstLine="0" w:firstLineChars="0"/>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注：未满足一档要求的不得分。</w:t>
            </w:r>
          </w:p>
        </w:tc>
      </w:tr>
      <w:tr w14:paraId="64A2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restart"/>
            <w:noWrap w:val="0"/>
            <w:vAlign w:val="center"/>
          </w:tcPr>
          <w:p w14:paraId="6ACE3829">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3</w:t>
            </w:r>
          </w:p>
        </w:tc>
        <w:tc>
          <w:tcPr>
            <w:tcW w:w="1320" w:type="dxa"/>
            <w:vMerge w:val="restart"/>
            <w:noWrap w:val="0"/>
            <w:vAlign w:val="center"/>
          </w:tcPr>
          <w:p w14:paraId="6BA6A8C2">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商务分（满分</w:t>
            </w:r>
            <w:r>
              <w:rPr>
                <w:rFonts w:hint="eastAsia" w:ascii="宋体" w:hAnsi="宋体" w:eastAsia="宋体"/>
                <w:b/>
                <w:color w:val="000000" w:themeColor="text1"/>
                <w:sz w:val="21"/>
                <w:szCs w:val="21"/>
                <w:highlight w:val="none"/>
                <w:u w:val="single"/>
                <w14:textFill>
                  <w14:solidFill>
                    <w14:schemeClr w14:val="tx1"/>
                  </w14:solidFill>
                </w14:textFill>
              </w:rPr>
              <w:t>20</w:t>
            </w:r>
            <w:r>
              <w:rPr>
                <w:rFonts w:hint="eastAsia" w:ascii="宋体" w:hAnsi="宋体" w:eastAsia="宋体"/>
                <w:b/>
                <w:color w:val="000000" w:themeColor="text1"/>
                <w:sz w:val="21"/>
                <w:szCs w:val="21"/>
                <w:highlight w:val="none"/>
                <w14:textFill>
                  <w14:solidFill>
                    <w14:schemeClr w14:val="tx1"/>
                  </w14:solidFill>
                </w14:textFill>
              </w:rPr>
              <w:t>分）</w:t>
            </w:r>
          </w:p>
        </w:tc>
        <w:tc>
          <w:tcPr>
            <w:tcW w:w="1279" w:type="dxa"/>
            <w:noWrap w:val="0"/>
            <w:vAlign w:val="center"/>
          </w:tcPr>
          <w:p w14:paraId="0AD14B56">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售后服务承诺方案（满分15分）</w:t>
            </w:r>
          </w:p>
        </w:tc>
        <w:tc>
          <w:tcPr>
            <w:tcW w:w="6326" w:type="dxa"/>
            <w:noWrap w:val="0"/>
            <w:vAlign w:val="center"/>
          </w:tcPr>
          <w:p w14:paraId="7069C9D6">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由评标委员会根据投标人的售后服务方案，包括售后服务人员、接故障通知到达现场的时间、出现质量问题承诺更换时间、应急处理方案、评委认可的其它实质性优惠措施等条件，综合评定各投标人所属档次及分值，达不到一档要求的不得分。 </w:t>
            </w:r>
          </w:p>
          <w:p w14:paraId="2082FCE4">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一档（5分)：售后服务方案，包括售后服务人员、接故障通知到达现场的时间、出现质量问题承诺更换时间、应急处理方案达到招标文件的要求。 </w:t>
            </w:r>
          </w:p>
          <w:p w14:paraId="4F425960">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二档（10分)：有项目详细的系统建设的售后服务方案及培训计划，售后服务流程、应急预案、质量保障优于招标文件，且配置售后服务人员，针对本项目能满足采购人的售后服务需求。 </w:t>
            </w:r>
          </w:p>
          <w:p w14:paraId="2289B444">
            <w:pPr>
              <w:spacing w:line="440" w:lineRule="exact"/>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三档(15分)：</w:t>
            </w:r>
            <w:r>
              <w:rPr>
                <w:rFonts w:hint="eastAsia" w:ascii="宋体" w:hAnsi="宋体" w:eastAsia="宋体" w:cs="宋体"/>
                <w:color w:val="000000" w:themeColor="text1"/>
                <w:sz w:val="21"/>
                <w:szCs w:val="21"/>
                <w:highlight w:val="none"/>
                <w14:textFill>
                  <w14:solidFill>
                    <w14:schemeClr w14:val="tx1"/>
                  </w14:solidFill>
                </w14:textFill>
              </w:rPr>
              <w:t>提供的售后服务方案完全满足并优于招标文件要求，方案包含有详细的项目维护服务、回访、应急保障方案等内容，售后服务承诺明确质量保证期、到达故障现场时间、故障出现解决方案、定期维护（注明时间），软件升级，有保修期外维修方案、备品备件等其他优惠措施、安装要求及方案等内容，售后服务有保障，服务内容及保障措施完整详细。</w:t>
            </w:r>
          </w:p>
        </w:tc>
      </w:tr>
      <w:tr w14:paraId="0D1A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7E010B04">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4463CDB0">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279" w:type="dxa"/>
            <w:noWrap w:val="0"/>
            <w:vAlign w:val="center"/>
          </w:tcPr>
          <w:p w14:paraId="41560FA7">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业绩分       （满分3分）</w:t>
            </w:r>
          </w:p>
        </w:tc>
        <w:tc>
          <w:tcPr>
            <w:tcW w:w="6326" w:type="dxa"/>
            <w:noWrap w:val="0"/>
            <w:vAlign w:val="center"/>
          </w:tcPr>
          <w:p w14:paraId="29F07110">
            <w:pPr>
              <w:spacing w:line="44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2021年 1 月 1 日以来至投标截止日期止，投标人</w:t>
            </w:r>
            <w:r>
              <w:rPr>
                <w:rFonts w:hint="eastAsia" w:ascii="宋体" w:hAnsi="宋体" w:eastAsia="宋体"/>
                <w:color w:val="000000" w:themeColor="text1"/>
                <w:sz w:val="21"/>
                <w:szCs w:val="21"/>
                <w:highlight w:val="none"/>
                <w:lang w:val="en-US" w:eastAsia="zh-CN"/>
                <w14:textFill>
                  <w14:solidFill>
                    <w14:schemeClr w14:val="tx1"/>
                  </w14:solidFill>
                </w14:textFill>
              </w:rPr>
              <w:t>或生产厂家具有</w:t>
            </w:r>
            <w:r>
              <w:rPr>
                <w:rFonts w:hint="eastAsia" w:ascii="宋体" w:hAnsi="宋体" w:eastAsia="宋体"/>
                <w:color w:val="000000" w:themeColor="text1"/>
                <w:sz w:val="21"/>
                <w:szCs w:val="21"/>
                <w:highlight w:val="none"/>
                <w14:textFill>
                  <w14:solidFill>
                    <w14:schemeClr w14:val="tx1"/>
                  </w14:solidFill>
                </w14:textFill>
              </w:rPr>
              <w:t xml:space="preserve">同类产品销售业绩，每个得1分，满分3分。【投标文件中提供合同复印件或中标（成交）通知书复印件并加盖公章】 </w:t>
            </w:r>
          </w:p>
        </w:tc>
      </w:tr>
      <w:tr w14:paraId="6394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77FD25FF">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422FEA0C">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279" w:type="dxa"/>
            <w:noWrap w:val="0"/>
            <w:vAlign w:val="center"/>
          </w:tcPr>
          <w:p w14:paraId="1BACBF3F">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政策分（满分</w:t>
            </w:r>
            <w:r>
              <w:rPr>
                <w:rFonts w:hint="eastAsia" w:ascii="宋体" w:hAnsi="宋体" w:eastAsia="宋体"/>
                <w:b/>
                <w:color w:val="000000" w:themeColor="text1"/>
                <w:sz w:val="21"/>
                <w:szCs w:val="21"/>
                <w:highlight w:val="none"/>
                <w:u w:val="single"/>
                <w14:textFill>
                  <w14:solidFill>
                    <w14:schemeClr w14:val="tx1"/>
                  </w14:solidFill>
                </w14:textFill>
              </w:rPr>
              <w:t xml:space="preserve"> 2 </w:t>
            </w:r>
            <w:r>
              <w:rPr>
                <w:rFonts w:hint="eastAsia" w:ascii="宋体" w:hAnsi="宋体" w:eastAsia="宋体"/>
                <w:b/>
                <w:color w:val="000000" w:themeColor="text1"/>
                <w:sz w:val="21"/>
                <w:szCs w:val="21"/>
                <w:highlight w:val="none"/>
                <w14:textFill>
                  <w14:solidFill>
                    <w14:schemeClr w14:val="tx1"/>
                  </w14:solidFill>
                </w14:textFill>
              </w:rPr>
              <w:t>分）</w:t>
            </w:r>
          </w:p>
        </w:tc>
        <w:tc>
          <w:tcPr>
            <w:tcW w:w="6326" w:type="dxa"/>
            <w:noWrap w:val="0"/>
            <w:vAlign w:val="center"/>
          </w:tcPr>
          <w:p w14:paraId="2757005A">
            <w:pPr>
              <w:spacing w:line="360" w:lineRule="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0 </w:t>
            </w:r>
            <w:r>
              <w:rPr>
                <w:rFonts w:hint="eastAsia" w:ascii="宋体" w:hAnsi="宋体" w:eastAsia="宋体" w:cs="宋体"/>
                <w:bCs/>
                <w:color w:val="000000" w:themeColor="text1"/>
                <w:sz w:val="21"/>
                <w:szCs w:val="21"/>
                <w:highlight w:val="none"/>
                <w14:textFill>
                  <w14:solidFill>
                    <w14:schemeClr w14:val="tx1"/>
                  </w14:solidFill>
                </w14:textFill>
              </w:rPr>
              <w:t>至</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9EED449">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0 </w:t>
            </w:r>
            <w:r>
              <w:rPr>
                <w:rFonts w:hint="eastAsia" w:ascii="宋体" w:hAnsi="宋体" w:eastAsia="宋体" w:cs="宋体"/>
                <w:bCs/>
                <w:color w:val="000000" w:themeColor="text1"/>
                <w:sz w:val="21"/>
                <w:szCs w:val="21"/>
                <w:highlight w:val="none"/>
                <w14:textFill>
                  <w14:solidFill>
                    <w14:schemeClr w14:val="tx1"/>
                  </w14:solidFill>
                </w14:textFill>
              </w:rPr>
              <w:t>至</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w:t>
            </w:r>
          </w:p>
          <w:p w14:paraId="7D80F05F">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（3）非节能、环境标志产品的不得分。</w:t>
            </w:r>
          </w:p>
        </w:tc>
      </w:tr>
      <w:tr w14:paraId="7149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0"/>
            <w:vAlign w:val="center"/>
          </w:tcPr>
          <w:p w14:paraId="6E52BA90">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总得分为以上各项评审因素得分合计。</w:t>
            </w:r>
          </w:p>
        </w:tc>
      </w:tr>
    </w:tbl>
    <w:p w14:paraId="74289B1F">
      <w:pPr>
        <w:pStyle w:val="21"/>
        <w:spacing w:line="500" w:lineRule="exact"/>
        <w:rPr>
          <w:rFonts w:hint="eastAsia" w:hAnsi="宋体" w:cs="宋体"/>
          <w:b/>
          <w:bCs/>
          <w:color w:val="000000" w:themeColor="text1"/>
          <w:szCs w:val="21"/>
          <w:highlight w:val="none"/>
          <w14:textFill>
            <w14:solidFill>
              <w14:schemeClr w14:val="tx1"/>
            </w14:solidFill>
          </w14:textFill>
        </w:rPr>
      </w:pPr>
    </w:p>
    <w:p w14:paraId="1894C49B">
      <w:pPr>
        <w:pStyle w:val="21"/>
        <w:spacing w:line="500" w:lineRule="exact"/>
        <w:rPr>
          <w:rFonts w:hint="eastAsia" w:hAnsi="宋体" w:cs="宋体"/>
          <w:b/>
          <w:bCs/>
          <w:color w:val="000000" w:themeColor="text1"/>
          <w:szCs w:val="21"/>
          <w:highlight w:val="none"/>
          <w14:textFill>
            <w14:solidFill>
              <w14:schemeClr w14:val="tx1"/>
            </w14:solidFill>
          </w14:textFill>
        </w:rPr>
      </w:pPr>
    </w:p>
    <w:p w14:paraId="0B40DED7">
      <w:pPr>
        <w:pStyle w:val="21"/>
        <w:spacing w:line="500" w:lineRule="exact"/>
        <w:rPr>
          <w:rFonts w:hint="eastAsia" w:hAnsi="宋体" w:cs="宋体"/>
          <w:b/>
          <w:bCs/>
          <w:color w:val="000000" w:themeColor="text1"/>
          <w:szCs w:val="21"/>
          <w:highlight w:val="none"/>
          <w14:textFill>
            <w14:solidFill>
              <w14:schemeClr w14:val="tx1"/>
            </w14:solidFill>
          </w14:textFill>
        </w:rPr>
      </w:pPr>
    </w:p>
    <w:p w14:paraId="485B6425">
      <w:pPr>
        <w:spacing w:line="440" w:lineRule="exact"/>
        <w:ind w:firstLine="0" w:firstLineChars="0"/>
        <w:jc w:val="center"/>
        <w:rPr>
          <w:rFonts w:hint="eastAsia" w:ascii="宋体" w:hAnsi="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综合评分法</w:t>
      </w:r>
      <w:r>
        <w:rPr>
          <w:rFonts w:hint="eastAsia" w:ascii="宋体" w:hAnsi="宋体" w:eastAsia="宋体" w:cs="宋体"/>
          <w:b/>
          <w:color w:val="000000" w:themeColor="text1"/>
          <w:sz w:val="30"/>
          <w:szCs w:val="30"/>
          <w:highlight w:val="none"/>
          <w:lang w:eastAsia="zh-CN"/>
          <w14:textFill>
            <w14:solidFill>
              <w14:schemeClr w14:val="tx1"/>
            </w14:solidFill>
          </w14:textFill>
        </w:rPr>
        <w:t>（</w:t>
      </w:r>
      <w:r>
        <w:rPr>
          <w:rFonts w:hint="eastAsia" w:ascii="宋体" w:hAnsi="宋体" w:eastAsia="宋体" w:cs="宋体"/>
          <w:b/>
          <w:bCs w:val="0"/>
          <w:color w:val="000000" w:themeColor="text1"/>
          <w:sz w:val="32"/>
          <w:szCs w:val="32"/>
          <w:highlight w:val="none"/>
          <w14:textFill>
            <w14:solidFill>
              <w14:schemeClr w14:val="tx1"/>
            </w14:solidFill>
          </w14:textFill>
        </w:rPr>
        <w:t>适用于分标</w:t>
      </w: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3）</w:t>
      </w:r>
    </w:p>
    <w:p w14:paraId="44816949">
      <w:pPr>
        <w:spacing w:line="440" w:lineRule="exact"/>
        <w:ind w:firstLine="400" w:firstLineChars="200"/>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Cs w:val="20"/>
          <w:highlight w:val="none"/>
          <w14:textFill>
            <w14:solidFill>
              <w14:schemeClr w14:val="tx1"/>
            </w14:solidFill>
          </w14:textFill>
        </w:rPr>
        <w:t>注：计分方法按四舍五入取至百分位。</w:t>
      </w:r>
    </w:p>
    <w:tbl>
      <w:tblPr>
        <w:tblStyle w:val="3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279"/>
        <w:gridCol w:w="6326"/>
      </w:tblGrid>
      <w:tr w14:paraId="527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1B680895">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序号</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5D660B8B">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评审因素</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1C803AFF">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评标标准</w:t>
            </w:r>
          </w:p>
        </w:tc>
      </w:tr>
      <w:tr w14:paraId="3DD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333FC552">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c>
          <w:tcPr>
            <w:tcW w:w="1320" w:type="dxa"/>
            <w:noWrap w:val="0"/>
            <w:vAlign w:val="center"/>
          </w:tcPr>
          <w:p w14:paraId="48F17BE9">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价格分</w:t>
            </w:r>
          </w:p>
          <w:p w14:paraId="6C06BFDF">
            <w:pPr>
              <w:adjustRightInd w:val="0"/>
              <w:spacing w:line="360" w:lineRule="auto"/>
              <w:jc w:val="center"/>
              <w:textAlignment w:val="baseline"/>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（满分30分）</w:t>
            </w:r>
          </w:p>
        </w:tc>
        <w:tc>
          <w:tcPr>
            <w:tcW w:w="1279" w:type="dxa"/>
            <w:noWrap w:val="0"/>
            <w:vAlign w:val="center"/>
          </w:tcPr>
          <w:p w14:paraId="2A7E8B81">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投标报价</w:t>
            </w:r>
          </w:p>
        </w:tc>
        <w:tc>
          <w:tcPr>
            <w:tcW w:w="6326" w:type="dxa"/>
            <w:noWrap w:val="0"/>
            <w:vAlign w:val="center"/>
          </w:tcPr>
          <w:p w14:paraId="0AE74698">
            <w:pPr>
              <w:snapToGrid w:val="0"/>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2105369D">
            <w:pPr>
              <w:snapToGrid w:val="0"/>
              <w:spacing w:line="360" w:lineRule="auto"/>
              <w:ind w:firstLine="233" w:firstLineChars="111"/>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（2）政策性扣除计算方法。</w:t>
            </w:r>
          </w:p>
          <w:p w14:paraId="0FF3487A">
            <w:pPr>
              <w:snapToGrid w:val="0"/>
              <w:spacing w:line="360" w:lineRule="auto"/>
              <w:ind w:firstLine="443" w:firstLineChars="211"/>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2.1</w:t>
            </w:r>
            <w:r>
              <w:rPr>
                <w:rFonts w:hint="eastAsia" w:ascii="宋体" w:hAnsi="宋体" w:eastAsia="宋体"/>
                <w:bCs/>
                <w:color w:val="000000" w:themeColor="text1"/>
                <w:sz w:val="21"/>
                <w:szCs w:val="21"/>
                <w:highlight w:val="none"/>
                <w14:textFill>
                  <w14:solidFill>
                    <w14:schemeClr w14:val="tx1"/>
                  </w14:solidFill>
                </w14:textFill>
              </w:rPr>
              <w:t>根据《政府采购促进中小企业发展管理办法》（财库〔2020〕46号）的规定，投标人在其投标文件中提供《中小企业声明函》，且其投标全部货物由小微企业制造的，对其投标报价给予10%的扣除</w:t>
            </w:r>
            <w:r>
              <w:rPr>
                <w:rFonts w:hint="eastAsia" w:ascii="宋体" w:hAnsi="宋体" w:eastAsia="宋体"/>
                <w:bCs/>
                <w:color w:val="000000" w:themeColor="text1"/>
                <w:sz w:val="21"/>
                <w:szCs w:val="21"/>
                <w:highlight w:val="none"/>
                <w:lang w:eastAsia="zh-CN"/>
                <w14:textFill>
                  <w14:solidFill>
                    <w14:schemeClr w14:val="tx1"/>
                  </w14:solidFill>
                </w14:textFill>
              </w:rPr>
              <w:t>，</w:t>
            </w:r>
            <w:r>
              <w:rPr>
                <w:rFonts w:hint="eastAsia" w:ascii="宋体" w:hAnsi="宋体" w:eastAsia="宋体"/>
                <w:bCs/>
                <w:color w:val="000000" w:themeColor="text1"/>
                <w:sz w:val="21"/>
                <w:szCs w:val="21"/>
                <w:highlight w:val="none"/>
                <w14:textFill>
                  <w14:solidFill>
                    <w14:schemeClr w14:val="tx1"/>
                  </w14:solidFill>
                </w14:textFill>
              </w:rPr>
              <w:t>即评标报价=投标报价×（1-10%）</w:t>
            </w:r>
            <w:r>
              <w:rPr>
                <w:rFonts w:hint="eastAsia" w:ascii="宋体" w:hAnsi="宋体" w:eastAsia="宋体"/>
                <w:bCs/>
                <w:color w:val="000000" w:themeColor="text1"/>
                <w:sz w:val="21"/>
                <w:szCs w:val="21"/>
                <w:highlight w:val="none"/>
                <w:lang w:val="en-US" w:eastAsia="zh-CN"/>
                <w14:textFill>
                  <w14:solidFill>
                    <w14:schemeClr w14:val="tx1"/>
                  </w14:solidFill>
                </w14:textFill>
              </w:rPr>
              <w:t>。</w:t>
            </w:r>
          </w:p>
          <w:p w14:paraId="3531B118">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eastAsia="宋体"/>
                <w:bCs/>
                <w:color w:val="000000" w:themeColor="text1"/>
                <w:sz w:val="21"/>
                <w:szCs w:val="21"/>
                <w:highlight w:val="none"/>
                <w14:textFill>
                  <w14:solidFill>
                    <w14:schemeClr w14:val="tx1"/>
                  </w14:solidFill>
                </w14:textFill>
              </w:rPr>
              <w:t>监狱企业属于小型、微型企业的，不重复享受政策。</w:t>
            </w:r>
          </w:p>
          <w:p w14:paraId="74B9C0BC">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按照</w:t>
            </w:r>
            <w:r>
              <w:rPr>
                <w:rFonts w:hint="eastAsia" w:ascii="宋体" w:hAnsi="宋体" w:eastAsia="宋体"/>
                <w:bCs/>
                <w:color w:val="000000" w:themeColor="text1"/>
                <w:sz w:val="2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olor w:val="000000" w:themeColor="text1"/>
                <w:sz w:val="2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eastAsia="宋体"/>
                <w:bCs/>
                <w:color w:val="000000" w:themeColor="text1"/>
                <w:sz w:val="21"/>
                <w:szCs w:val="21"/>
                <w:highlight w:val="none"/>
                <w14:textFill>
                  <w14:solidFill>
                    <w14:schemeClr w14:val="tx1"/>
                  </w14:solidFill>
                </w14:textFill>
              </w:rPr>
              <w:t>残疾人福利性单位属于小型、微型企业的，不重复享受政策。</w:t>
            </w:r>
          </w:p>
          <w:p w14:paraId="0D1EB9A8">
            <w:pPr>
              <w:snapToGrid w:val="0"/>
              <w:spacing w:line="360" w:lineRule="auto"/>
              <w:ind w:firstLine="443" w:firstLineChars="211"/>
              <w:rPr>
                <w:rFonts w:hint="eastAsia" w:ascii="宋体" w:hAnsi="宋体" w:eastAsia="宋体" w:cs="Times New Roman"/>
                <w:bCs/>
                <w:color w:val="000000" w:themeColor="text1"/>
                <w:sz w:val="21"/>
                <w:szCs w:val="21"/>
                <w:lang w:val="en-US" w:eastAsia="zh-CN"/>
                <w14:textFill>
                  <w14:solidFill>
                    <w14:schemeClr w14:val="tx1"/>
                  </w14:solidFill>
                </w14:textFill>
              </w:rPr>
            </w:pPr>
            <w:r>
              <w:rPr>
                <w:rFonts w:hint="eastAsia" w:ascii="宋体" w:hAnsi="宋体" w:eastAsia="宋体" w:cs="Times New Roman"/>
                <w:bCs/>
                <w:color w:val="000000" w:themeColor="text1"/>
                <w:sz w:val="21"/>
                <w:szCs w:val="21"/>
                <w:lang w:val="en-US" w:eastAsia="zh-CN"/>
                <w14:textFill>
                  <w14:solidFill>
                    <w14:schemeClr w14:val="tx1"/>
                  </w14:solidFill>
                </w14:textFill>
              </w:rPr>
              <w:t>2.2</w:t>
            </w:r>
            <w:r>
              <w:rPr>
                <w:rFonts w:hint="eastAsia" w:ascii="宋体" w:hAnsi="宋体" w:eastAsia="宋体" w:cs="Times New Roman"/>
                <w:bCs/>
                <w:color w:val="000000" w:themeColor="text1"/>
                <w:sz w:val="21"/>
                <w:szCs w:val="21"/>
                <w14:textFill>
                  <w14:solidFill>
                    <w14:schemeClr w14:val="tx1"/>
                  </w14:solidFill>
                </w14:textFill>
              </w:rPr>
              <w:t>根据《国务院办公厅关于在政府采购中实施本国产品标准及相关政策的通知》</w:t>
            </w:r>
            <w:r>
              <w:rPr>
                <w:rFonts w:hint="eastAsia" w:ascii="宋体" w:hAnsi="宋体" w:eastAsia="宋体" w:cs="Times New Roman"/>
                <w:bCs/>
                <w:color w:val="000000" w:themeColor="text1"/>
                <w:sz w:val="21"/>
                <w:szCs w:val="21"/>
                <w:lang w:eastAsia="zh-CN"/>
                <w14:textFill>
                  <w14:solidFill>
                    <w14:schemeClr w14:val="tx1"/>
                  </w14:solidFill>
                </w14:textFill>
              </w:rPr>
              <w:t>，</w:t>
            </w:r>
            <w:r>
              <w:rPr>
                <w:rFonts w:hint="eastAsia" w:ascii="宋体" w:hAnsi="宋体" w:eastAsia="宋体" w:cs="Times New Roman"/>
                <w:bCs/>
                <w:color w:val="000000" w:themeColor="text1"/>
                <w:sz w:val="21"/>
                <w:szCs w:val="21"/>
                <w14:textFill>
                  <w14:solidFill>
                    <w14:schemeClr w14:val="tx1"/>
                  </w14:solidFill>
                </w14:textFill>
              </w:rPr>
              <w:t>投标人在其投标文件中提供《关于符合本国产品标准的声明函》</w:t>
            </w:r>
            <w:r>
              <w:rPr>
                <w:rFonts w:hint="eastAsia" w:ascii="宋体" w:hAnsi="宋体" w:eastAsia="宋体" w:cs="Times New Roman"/>
                <w:bCs/>
                <w:color w:val="000000" w:themeColor="text1"/>
                <w:sz w:val="21"/>
                <w:szCs w:val="21"/>
                <w:lang w:eastAsia="zh-CN"/>
                <w14:textFill>
                  <w14:solidFill>
                    <w14:schemeClr w14:val="tx1"/>
                  </w14:solidFill>
                </w14:textFill>
              </w:rPr>
              <w:t>，且政府采购活动中</w:t>
            </w:r>
            <w:r>
              <w:rPr>
                <w:rFonts w:hint="eastAsia" w:ascii="宋体" w:hAnsi="宋体" w:eastAsia="宋体" w:cs="Times New Roman"/>
                <w:bCs/>
                <w:color w:val="000000" w:themeColor="text1"/>
                <w:sz w:val="21"/>
                <w:szCs w:val="21"/>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Times New Roman"/>
                <w:bCs/>
                <w:color w:val="000000" w:themeColor="text1"/>
                <w:sz w:val="21"/>
                <w:szCs w:val="21"/>
                <w:lang w:eastAsia="zh-CN"/>
                <w14:textFill>
                  <w14:solidFill>
                    <w14:schemeClr w14:val="tx1"/>
                  </w14:solidFill>
                </w14:textFill>
              </w:rPr>
              <w:t>，</w:t>
            </w:r>
            <w:r>
              <w:rPr>
                <w:rFonts w:hint="eastAsia" w:ascii="宋体" w:hAnsi="宋体" w:eastAsia="宋体"/>
                <w:bCs/>
                <w:color w:val="000000" w:themeColor="text1"/>
                <w:sz w:val="21"/>
                <w:szCs w:val="21"/>
                <w14:textFill>
                  <w14:solidFill>
                    <w14:schemeClr w14:val="tx1"/>
                  </w14:solidFill>
                </w14:textFill>
              </w:rPr>
              <w:t>即评标报价=投标报价×（1-</w:t>
            </w:r>
            <w:r>
              <w:rPr>
                <w:rFonts w:hint="eastAsia" w:ascii="宋体" w:hAnsi="宋体" w:eastAsia="宋体"/>
                <w:bCs/>
                <w:color w:val="000000" w:themeColor="text1"/>
                <w:sz w:val="21"/>
                <w:szCs w:val="21"/>
                <w:lang w:val="en-US" w:eastAsia="zh-CN"/>
                <w14:textFill>
                  <w14:solidFill>
                    <w14:schemeClr w14:val="tx1"/>
                  </w14:solidFill>
                </w14:textFill>
              </w:rPr>
              <w:t>2</w:t>
            </w:r>
            <w:r>
              <w:rPr>
                <w:rFonts w:hint="eastAsia" w:ascii="宋体" w:hAnsi="宋体" w:eastAsia="宋体"/>
                <w:bCs/>
                <w:color w:val="000000" w:themeColor="text1"/>
                <w:sz w:val="21"/>
                <w:szCs w:val="21"/>
                <w14:textFill>
                  <w14:solidFill>
                    <w14:schemeClr w14:val="tx1"/>
                  </w14:solidFill>
                </w14:textFill>
              </w:rPr>
              <w:t>0%）</w:t>
            </w:r>
            <w:r>
              <w:rPr>
                <w:rFonts w:hint="eastAsia" w:ascii="宋体" w:hAnsi="宋体" w:eastAsia="宋体"/>
                <w:bCs/>
                <w:color w:val="000000" w:themeColor="text1"/>
                <w:sz w:val="21"/>
                <w:szCs w:val="21"/>
                <w:lang w:val="en-US" w:eastAsia="zh-CN"/>
                <w14:textFill>
                  <w14:solidFill>
                    <w14:schemeClr w14:val="tx1"/>
                  </w14:solidFill>
                </w14:textFill>
              </w:rPr>
              <w:t>。</w:t>
            </w:r>
          </w:p>
          <w:p w14:paraId="3158A9FF">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2.3投标人同时满足以上两个政策时可叠加计算，</w:t>
            </w:r>
            <w:r>
              <w:rPr>
                <w:rFonts w:hint="eastAsia" w:ascii="宋体" w:hAnsi="宋体" w:eastAsia="宋体"/>
                <w:bCs/>
                <w:color w:val="000000" w:themeColor="text1"/>
                <w:sz w:val="21"/>
                <w:szCs w:val="21"/>
                <w14:textFill>
                  <w14:solidFill>
                    <w14:schemeClr w14:val="tx1"/>
                  </w14:solidFill>
                </w14:textFill>
              </w:rPr>
              <w:t>扣除后的价格为评标报价，即评标报价=投标报价×（1-10%</w:t>
            </w:r>
            <w:r>
              <w:rPr>
                <w:rFonts w:hint="eastAsia" w:ascii="宋体" w:hAnsi="宋体" w:eastAsia="宋体"/>
                <w:bCs/>
                <w:color w:val="000000" w:themeColor="text1"/>
                <w:sz w:val="21"/>
                <w:szCs w:val="21"/>
                <w:lang w:val="en-US" w:eastAsia="zh-CN"/>
                <w14:textFill>
                  <w14:solidFill>
                    <w14:schemeClr w14:val="tx1"/>
                  </w14:solidFill>
                </w14:textFill>
              </w:rPr>
              <w:t>-20%</w:t>
            </w:r>
            <w:r>
              <w:rPr>
                <w:rFonts w:hint="eastAsia" w:ascii="宋体" w:hAnsi="宋体" w:eastAsia="宋体"/>
                <w:bCs/>
                <w:color w:val="000000" w:themeColor="text1"/>
                <w:sz w:val="21"/>
                <w:szCs w:val="21"/>
                <w14:textFill>
                  <w14:solidFill>
                    <w14:schemeClr w14:val="tx1"/>
                  </w14:solidFill>
                </w14:textFill>
              </w:rPr>
              <w:t>）</w:t>
            </w:r>
            <w:r>
              <w:rPr>
                <w:rFonts w:hint="eastAsia" w:ascii="宋体" w:hAnsi="宋体" w:eastAsia="宋体"/>
                <w:bCs/>
                <w:color w:val="000000" w:themeColor="text1"/>
                <w:sz w:val="21"/>
                <w:szCs w:val="21"/>
                <w:lang w:eastAsia="zh-CN"/>
                <w14:textFill>
                  <w14:solidFill>
                    <w14:schemeClr w14:val="tx1"/>
                  </w14:solidFill>
                </w14:textFill>
              </w:rPr>
              <w:t>。</w:t>
            </w:r>
          </w:p>
          <w:p w14:paraId="08E3D21E">
            <w:pPr>
              <w:snapToGrid w:val="0"/>
              <w:spacing w:line="360" w:lineRule="auto"/>
              <w:ind w:firstLine="443" w:firstLineChars="211"/>
              <w:rPr>
                <w:rFonts w:hint="eastAsia" w:ascii="宋体" w:hAnsi="宋体" w:eastAsia="宋体" w:cs="Times New Roman"/>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2.4</w:t>
            </w:r>
            <w:r>
              <w:rPr>
                <w:rFonts w:hint="eastAsia" w:ascii="宋体" w:hAnsi="宋体" w:eastAsia="宋体"/>
                <w:bCs/>
                <w:color w:val="000000" w:themeColor="text1"/>
                <w:sz w:val="21"/>
                <w:szCs w:val="21"/>
                <w:highlight w:val="none"/>
                <w14:textFill>
                  <w14:solidFill>
                    <w14:schemeClr w14:val="tx1"/>
                  </w14:solidFill>
                </w14:textFill>
              </w:rPr>
              <w:t>除上述情况外，评标报价=投标报价。</w:t>
            </w:r>
          </w:p>
          <w:p w14:paraId="3A17A7E2">
            <w:pPr>
              <w:snapToGrid w:val="0"/>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bCs/>
                <w:color w:val="000000" w:themeColor="text1"/>
                <w:sz w:val="21"/>
                <w:szCs w:val="21"/>
                <w:highlight w:val="none"/>
                <w14:textFill>
                  <w14:solidFill>
                    <w14:schemeClr w14:val="tx1"/>
                  </w14:solidFill>
                </w14:textFill>
              </w:rPr>
              <w:t>）满足招标文件要求且评标报价最低的评标报价为评标基准价，其价格分为满分。</w:t>
            </w:r>
          </w:p>
          <w:p w14:paraId="60A45A02">
            <w:pPr>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bCs/>
                <w:color w:val="000000" w:themeColor="text1"/>
                <w:sz w:val="21"/>
                <w:szCs w:val="21"/>
                <w:highlight w:val="none"/>
                <w14:textFill>
                  <w14:solidFill>
                    <w14:schemeClr w14:val="tx1"/>
                  </w14:solidFill>
                </w14:textFill>
              </w:rPr>
              <w:t xml:space="preserve">）价格分计算公式：        </w:t>
            </w:r>
          </w:p>
          <w:p w14:paraId="4F6746F4">
            <w:pPr>
              <w:spacing w:line="360" w:lineRule="auto"/>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kern w:val="0"/>
                <w:sz w:val="21"/>
                <w:szCs w:val="21"/>
                <w:highlight w:val="none"/>
                <w14:textFill>
                  <w14:solidFill>
                    <w14:schemeClr w14:val="tx1"/>
                  </w14:solidFill>
                </w14:textFill>
              </w:rPr>
              <w:t>价格分</w:t>
            </w:r>
            <w:r>
              <w:rPr>
                <w:rFonts w:hint="eastAsia" w:ascii="宋体" w:hAnsi="宋体" w:eastAsia="宋体" w:cs="宋体"/>
                <w:bCs/>
                <w:color w:val="000000" w:themeColor="text1"/>
                <w:sz w:val="21"/>
                <w:szCs w:val="21"/>
                <w:highlight w:val="none"/>
                <w14:textFill>
                  <w14:solidFill>
                    <w14:schemeClr w14:val="tx1"/>
                  </w14:solidFill>
                </w14:textFill>
              </w:rPr>
              <w:t>=（评标基准价／评标报价）×</w:t>
            </w:r>
            <w:r>
              <w:rPr>
                <w:rFonts w:hint="eastAsia" w:ascii="宋体" w:hAnsi="宋体" w:eastAsia="宋体"/>
                <w:bCs/>
                <w:color w:val="000000" w:themeColor="text1"/>
                <w:kern w:val="0"/>
                <w:sz w:val="21"/>
                <w:szCs w:val="21"/>
                <w:highlight w:val="none"/>
                <w:u w:val="single"/>
                <w14:textFill>
                  <w14:solidFill>
                    <w14:schemeClr w14:val="tx1"/>
                  </w14:solidFill>
                </w14:textFill>
              </w:rPr>
              <w:t>30</w:t>
            </w:r>
            <w:r>
              <w:rPr>
                <w:rFonts w:hint="eastAsia" w:ascii="宋体" w:hAnsi="宋体" w:eastAsia="宋体" w:cs="宋体"/>
                <w:bCs/>
                <w:color w:val="000000" w:themeColor="text1"/>
                <w:sz w:val="21"/>
                <w:szCs w:val="21"/>
                <w:highlight w:val="none"/>
                <w14:textFill>
                  <w14:solidFill>
                    <w14:schemeClr w14:val="tx1"/>
                  </w14:solidFill>
                </w14:textFill>
              </w:rPr>
              <w:t>分</w:t>
            </w:r>
          </w:p>
          <w:p w14:paraId="31992A64">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olor w:val="000000" w:themeColor="text1"/>
                <w:spacing w:val="0"/>
                <w:sz w:val="21"/>
                <w:szCs w:val="21"/>
                <w:highlight w:val="none"/>
                <w:lang w:eastAsia="zh-CN"/>
                <w14:textFill>
                  <w14:solidFill>
                    <w14:schemeClr w14:val="tx1"/>
                  </w14:solidFill>
                </w14:textFill>
              </w:rPr>
              <w:t>说明</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：依据《</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fldChar w:fldCharType="begin"/>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instrText xml:space="preserve"> HYPERLINK "https://weixin.caigou2003.com/ycait/law/" \l "/lawDetail?id=6059" </w:instrTex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fldChar w:fldCharType="separate"/>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关于推动解决政府采购异常低价问题的通知</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fldChar w:fldCharType="end"/>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》(财库〔2026〕2号)规定，</w:t>
            </w:r>
            <w:r>
              <w:rPr>
                <w:rFonts w:hint="eastAsia" w:ascii="宋体" w:hAnsi="宋体" w:eastAsia="Times New Roman" w:cs="宋体"/>
                <w:i w:val="0"/>
                <w:iCs w:val="0"/>
                <w:caps w:val="0"/>
                <w:color w:val="000000" w:themeColor="text1"/>
                <w:spacing w:val="0"/>
                <w:sz w:val="21"/>
                <w:szCs w:val="21"/>
                <w:highlight w:val="none"/>
                <w:shd w:val="clear"/>
                <w:lang w:eastAsia="zh-CN"/>
                <w14:textFill>
                  <w14:solidFill>
                    <w14:schemeClr w14:val="tx1"/>
                  </w14:solidFill>
                </w14:textFill>
              </w:rPr>
              <w:t>本项目评审中出现异常低价情形的，</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评标委员会</w:t>
            </w:r>
            <w:r>
              <w:rPr>
                <w:rFonts w:hint="eastAsia" w:ascii="宋体" w:hAnsi="宋体" w:eastAsia="Times New Roman" w:cs="宋体"/>
                <w:i w:val="0"/>
                <w:iCs w:val="0"/>
                <w:caps w:val="0"/>
                <w:color w:val="000000" w:themeColor="text1"/>
                <w:spacing w:val="0"/>
                <w:sz w:val="21"/>
                <w:szCs w:val="21"/>
                <w:highlight w:val="none"/>
                <w:shd w:val="clear"/>
                <w:lang w:eastAsia="zh-CN"/>
                <w14:textFill>
                  <w14:solidFill>
                    <w14:schemeClr w14:val="tx1"/>
                  </w14:solidFill>
                </w14:textFill>
              </w:rPr>
              <w:t>应当启动异常低价投标审查程序</w:t>
            </w:r>
            <w:r>
              <w:rPr>
                <w:rFonts w:hint="eastAsia" w:ascii="宋体" w:hAnsi="宋体" w:eastAsia="Times New Roman" w:cs="宋体"/>
                <w:color w:val="000000" w:themeColor="text1"/>
                <w:spacing w:val="0"/>
                <w:sz w:val="21"/>
                <w:szCs w:val="21"/>
                <w:highlight w:val="none"/>
                <w:lang w:eastAsia="zh-CN"/>
                <w14:textFill>
                  <w14:solidFill>
                    <w14:schemeClr w14:val="tx1"/>
                  </w14:solidFill>
                </w14:textFill>
              </w:rPr>
              <w:t>。</w:t>
            </w:r>
          </w:p>
        </w:tc>
      </w:tr>
      <w:tr w14:paraId="101C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61337AD7">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p>
        </w:tc>
        <w:tc>
          <w:tcPr>
            <w:tcW w:w="1320" w:type="dxa"/>
            <w:vMerge w:val="restart"/>
            <w:noWrap w:val="0"/>
            <w:vAlign w:val="center"/>
          </w:tcPr>
          <w:p w14:paraId="370711D1">
            <w:pPr>
              <w:adjustRightInd w:val="0"/>
              <w:spacing w:line="360" w:lineRule="auto"/>
              <w:jc w:val="left"/>
              <w:textAlignment w:val="baseline"/>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技术分</w:t>
            </w:r>
          </w:p>
          <w:p w14:paraId="3CDEF6E8">
            <w:pPr>
              <w:adjustRightInd w:val="0"/>
              <w:spacing w:line="360" w:lineRule="auto"/>
              <w:jc w:val="left"/>
              <w:textAlignment w:val="baseline"/>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（满分 50分）</w:t>
            </w:r>
          </w:p>
        </w:tc>
        <w:tc>
          <w:tcPr>
            <w:tcW w:w="1279" w:type="dxa"/>
            <w:noWrap w:val="0"/>
            <w:vAlign w:val="center"/>
          </w:tcPr>
          <w:p w14:paraId="30849789">
            <w:pPr>
              <w:spacing w:line="380" w:lineRule="exact"/>
              <w:jc w:val="left"/>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货物设备性能分（满分1</w:t>
            </w:r>
            <w:r>
              <w:rPr>
                <w:rFonts w:hint="eastAsia" w:ascii="宋体" w:hAnsi="宋体" w:eastAsia="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b/>
                <w:bCs/>
                <w:color w:val="000000" w:themeColor="text1"/>
                <w:sz w:val="21"/>
                <w:szCs w:val="21"/>
                <w:highlight w:val="none"/>
                <w14:textFill>
                  <w14:solidFill>
                    <w14:schemeClr w14:val="tx1"/>
                  </w14:solidFill>
                </w14:textFill>
              </w:rPr>
              <w:t>分）</w:t>
            </w:r>
          </w:p>
        </w:tc>
        <w:tc>
          <w:tcPr>
            <w:tcW w:w="6326" w:type="dxa"/>
            <w:noWrap w:val="0"/>
            <w:vAlign w:val="center"/>
          </w:tcPr>
          <w:p w14:paraId="3B3BD9EA">
            <w:pPr>
              <w:spacing w:line="360" w:lineRule="auto"/>
              <w:ind w:firstLine="420" w:firstLineChars="200"/>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投标产品技术性能参数全部响应无负偏离得17分；</w:t>
            </w:r>
            <w:r>
              <w:rPr>
                <w:rFonts w:hint="eastAsia" w:ascii="宋体" w:hAnsi="宋体"/>
                <w:color w:val="000000" w:themeColor="text1"/>
                <w:sz w:val="21"/>
                <w:szCs w:val="21"/>
                <w:highlight w:val="none"/>
                <w:lang w:eastAsia="zh-CN"/>
                <w14:textFill>
                  <w14:solidFill>
                    <w14:schemeClr w14:val="tx1"/>
                  </w14:solidFill>
                </w14:textFill>
              </w:rPr>
              <w:t>标注“★”的条款为重要评分指标，</w:t>
            </w:r>
            <w:r>
              <w:rPr>
                <w:rFonts w:hint="eastAsia" w:ascii="宋体" w:hAnsi="宋体"/>
                <w:color w:val="000000" w:themeColor="text1"/>
                <w:sz w:val="21"/>
                <w:szCs w:val="21"/>
                <w:highlight w:val="none"/>
                <w:lang w:val="en-US" w:eastAsia="zh-CN"/>
                <w14:textFill>
                  <w14:solidFill>
                    <w14:schemeClr w14:val="tx1"/>
                  </w14:solidFill>
                </w14:textFill>
              </w:rPr>
              <w:t>每有一项负偏离</w:t>
            </w:r>
            <w:r>
              <w:rPr>
                <w:rFonts w:hint="eastAsia" w:ascii="宋体" w:hAnsi="宋体"/>
                <w:color w:val="000000" w:themeColor="text1"/>
                <w:sz w:val="21"/>
                <w:szCs w:val="21"/>
                <w:highlight w:val="none"/>
                <w:lang w:eastAsia="zh-CN"/>
                <w14:textFill>
                  <w14:solidFill>
                    <w14:schemeClr w14:val="tx1"/>
                  </w14:solidFill>
                </w14:textFill>
              </w:rPr>
              <w:t>扣</w:t>
            </w: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分，</w:t>
            </w:r>
            <w:r>
              <w:rPr>
                <w:rFonts w:hint="eastAsia" w:ascii="宋体" w:hAnsi="宋体"/>
                <w:color w:val="000000" w:themeColor="text1"/>
                <w:sz w:val="21"/>
                <w:szCs w:val="21"/>
                <w:highlight w:val="none"/>
                <w:lang w:val="en-US" w:eastAsia="zh-CN"/>
                <w14:textFill>
                  <w14:solidFill>
                    <w14:schemeClr w14:val="tx1"/>
                  </w14:solidFill>
                </w14:textFill>
              </w:rPr>
              <w:t>未</w:t>
            </w:r>
            <w:r>
              <w:rPr>
                <w:rFonts w:hint="eastAsia" w:ascii="宋体" w:hAnsi="宋体"/>
                <w:color w:val="000000" w:themeColor="text1"/>
                <w:sz w:val="21"/>
                <w:szCs w:val="21"/>
                <w:highlight w:val="none"/>
                <w:lang w:eastAsia="zh-CN"/>
                <w14:textFill>
                  <w14:solidFill>
                    <w14:schemeClr w14:val="tx1"/>
                  </w14:solidFill>
                </w14:textFill>
              </w:rPr>
              <w:t>标注“★”的条款</w:t>
            </w:r>
            <w:r>
              <w:rPr>
                <w:rFonts w:hint="eastAsia" w:ascii="宋体" w:hAnsi="宋体"/>
                <w:color w:val="000000" w:themeColor="text1"/>
                <w:sz w:val="21"/>
                <w:szCs w:val="21"/>
                <w:highlight w:val="none"/>
                <w:lang w:val="en-US" w:eastAsia="zh-CN"/>
                <w14:textFill>
                  <w14:solidFill>
                    <w14:schemeClr w14:val="tx1"/>
                  </w14:solidFill>
                </w14:textFill>
              </w:rPr>
              <w:t>为</w:t>
            </w:r>
            <w:r>
              <w:rPr>
                <w:rFonts w:hint="eastAsia" w:ascii="宋体" w:hAnsi="宋体"/>
                <w:color w:val="000000" w:themeColor="text1"/>
                <w:sz w:val="21"/>
                <w:szCs w:val="21"/>
                <w:highlight w:val="none"/>
                <w:lang w:eastAsia="zh-CN"/>
                <w14:textFill>
                  <w14:solidFill>
                    <w14:schemeClr w14:val="tx1"/>
                  </w14:solidFill>
                </w14:textFill>
              </w:rPr>
              <w:t>一般性参数，</w:t>
            </w:r>
            <w:r>
              <w:rPr>
                <w:rFonts w:hint="eastAsia" w:ascii="宋体" w:hAnsi="宋体"/>
                <w:color w:val="000000" w:themeColor="text1"/>
                <w:sz w:val="21"/>
                <w:szCs w:val="21"/>
                <w:highlight w:val="none"/>
                <w:lang w:val="en-US" w:eastAsia="zh-CN"/>
                <w14:textFill>
                  <w14:solidFill>
                    <w14:schemeClr w14:val="tx1"/>
                  </w14:solidFill>
                </w14:textFill>
              </w:rPr>
              <w:t>每有一项负偏离</w:t>
            </w:r>
            <w:r>
              <w:rPr>
                <w:rFonts w:hint="eastAsia" w:ascii="宋体" w:hAnsi="宋体"/>
                <w:color w:val="000000" w:themeColor="text1"/>
                <w:sz w:val="21"/>
                <w:szCs w:val="21"/>
                <w:highlight w:val="none"/>
                <w:lang w:eastAsia="zh-CN"/>
                <w14:textFill>
                  <w14:solidFill>
                    <w14:schemeClr w14:val="tx1"/>
                  </w14:solidFill>
                </w14:textFill>
              </w:rPr>
              <w:t>扣</w:t>
            </w:r>
            <w:r>
              <w:rPr>
                <w:rFonts w:hint="eastAsia" w:ascii="宋体" w:hAnsi="宋体"/>
                <w:color w:val="000000" w:themeColor="text1"/>
                <w:sz w:val="21"/>
                <w:szCs w:val="21"/>
                <w:highlight w:val="none"/>
                <w:lang w:val="en-US" w:eastAsia="zh-CN"/>
                <w14:textFill>
                  <w14:solidFill>
                    <w14:schemeClr w14:val="tx1"/>
                  </w14:solidFill>
                </w14:textFill>
              </w:rPr>
              <w:t>0.5</w:t>
            </w:r>
            <w:r>
              <w:rPr>
                <w:rFonts w:hint="eastAsia" w:ascii="宋体" w:hAnsi="宋体"/>
                <w:color w:val="000000" w:themeColor="text1"/>
                <w:sz w:val="21"/>
                <w:szCs w:val="21"/>
                <w:highlight w:val="none"/>
                <w:lang w:eastAsia="zh-CN"/>
                <w14:textFill>
                  <w14:solidFill>
                    <w14:schemeClr w14:val="tx1"/>
                  </w14:solidFill>
                </w14:textFill>
              </w:rPr>
              <w:t>分，扣完为止。</w:t>
            </w:r>
          </w:p>
        </w:tc>
      </w:tr>
      <w:tr w14:paraId="6E3D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4A61E6D2">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45500CA6">
            <w:pPr>
              <w:adjustRightInd w:val="0"/>
              <w:spacing w:line="360" w:lineRule="auto"/>
              <w:ind w:left="-100" w:leftChars="-50" w:right="-100" w:rightChars="-50"/>
              <w:jc w:val="center"/>
              <w:textAlignment w:val="baseline"/>
              <w:rPr>
                <w:rFonts w:hint="eastAsia" w:ascii="宋体" w:hAnsi="宋体" w:eastAsia="宋体"/>
                <w:b/>
                <w:bCs/>
                <w:color w:val="000000" w:themeColor="text1"/>
                <w:sz w:val="21"/>
                <w:szCs w:val="21"/>
                <w:highlight w:val="none"/>
                <w14:textFill>
                  <w14:solidFill>
                    <w14:schemeClr w14:val="tx1"/>
                  </w14:solidFill>
                </w14:textFill>
              </w:rPr>
            </w:pPr>
          </w:p>
        </w:tc>
        <w:tc>
          <w:tcPr>
            <w:tcW w:w="1279" w:type="dxa"/>
            <w:noWrap w:val="0"/>
            <w:vAlign w:val="center"/>
          </w:tcPr>
          <w:p w14:paraId="2686DD7C">
            <w:pPr>
              <w:spacing w:line="360" w:lineRule="atLeast"/>
              <w:jc w:val="center"/>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项目实施方案</w:t>
            </w:r>
            <w:r>
              <w:rPr>
                <w:rFonts w:hint="eastAsia" w:ascii="宋体" w:hAnsi="宋体" w:eastAsia="宋体"/>
                <w:b/>
                <w:bCs/>
                <w:color w:val="000000" w:themeColor="text1"/>
                <w:sz w:val="21"/>
                <w:szCs w:val="21"/>
                <w:highlight w:val="none"/>
                <w14:textFill>
                  <w14:solidFill>
                    <w14:schemeClr w14:val="tx1"/>
                  </w14:solidFill>
                </w14:textFill>
              </w:rPr>
              <w:t>（满分</w:t>
            </w:r>
            <w:r>
              <w:rPr>
                <w:rFonts w:hint="eastAsia" w:ascii="宋体" w:hAnsi="宋体" w:eastAsia="宋体"/>
                <w:b/>
                <w:bCs/>
                <w:color w:val="000000" w:themeColor="text1"/>
                <w:sz w:val="21"/>
                <w:szCs w:val="21"/>
                <w:highlight w:val="none"/>
                <w:lang w:val="en-US" w:eastAsia="zh-CN"/>
                <w14:textFill>
                  <w14:solidFill>
                    <w14:schemeClr w14:val="tx1"/>
                  </w14:solidFill>
                </w14:textFill>
              </w:rPr>
              <w:t>18</w:t>
            </w:r>
            <w:r>
              <w:rPr>
                <w:rFonts w:hint="eastAsia" w:ascii="宋体" w:hAnsi="宋体" w:eastAsia="宋体"/>
                <w:b/>
                <w:bCs/>
                <w:color w:val="000000" w:themeColor="text1"/>
                <w:sz w:val="21"/>
                <w:szCs w:val="21"/>
                <w:highlight w:val="none"/>
                <w14:textFill>
                  <w14:solidFill>
                    <w14:schemeClr w14:val="tx1"/>
                  </w14:solidFill>
                </w14:textFill>
              </w:rPr>
              <w:t>分）</w:t>
            </w:r>
          </w:p>
          <w:p w14:paraId="45C8390D">
            <w:pPr>
              <w:spacing w:line="380" w:lineRule="exact"/>
              <w:rPr>
                <w:rFonts w:hint="eastAsia" w:ascii="宋体" w:hAnsi="宋体" w:eastAsia="宋体"/>
                <w:color w:val="000000" w:themeColor="text1"/>
                <w:kern w:val="0"/>
                <w:sz w:val="21"/>
                <w:szCs w:val="21"/>
                <w:highlight w:val="none"/>
                <w14:textFill>
                  <w14:solidFill>
                    <w14:schemeClr w14:val="tx1"/>
                  </w14:solidFill>
                </w14:textFill>
              </w:rPr>
            </w:pPr>
          </w:p>
        </w:tc>
        <w:tc>
          <w:tcPr>
            <w:tcW w:w="6326" w:type="dxa"/>
            <w:noWrap w:val="0"/>
            <w:vAlign w:val="center"/>
          </w:tcPr>
          <w:p w14:paraId="35FC1784">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由评标委员会在打分前根据各投标人提供的项目实施方案评定各投标人所属档次及分值，达不到一档要求的不得分。</w:t>
            </w:r>
          </w:p>
          <w:p w14:paraId="7C3779FF">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一档（6分）：实施方案中对交付计划、人员投入、安全保证措施和技术保证措施等有描述，实施方案基本完整，实施计划基本完整可行，项目管理组织机构及人员职能清晰。</w:t>
            </w:r>
          </w:p>
          <w:p w14:paraId="70AEF6D5">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二档（13分）：实施方案包括有交付计划、人员投入、安全保证措施和技术保证措施。实施方案完整清晰，实施计划完整可行、详细，项目管理组织机构及人员职能清晰。</w:t>
            </w:r>
          </w:p>
          <w:p w14:paraId="0F6FB816">
            <w:pPr>
              <w:spacing w:line="360" w:lineRule="auto"/>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三档（</w:t>
            </w:r>
            <w:r>
              <w:rPr>
                <w:rFonts w:hint="eastAsia" w:ascii="宋体" w:hAnsi="宋体" w:eastAsia="宋体"/>
                <w:bCs/>
                <w:color w:val="000000" w:themeColor="text1"/>
                <w:sz w:val="21"/>
                <w:szCs w:val="21"/>
                <w:highlight w:val="none"/>
                <w:lang w:val="en-US" w:eastAsia="zh-CN"/>
                <w14:textFill>
                  <w14:solidFill>
                    <w14:schemeClr w14:val="tx1"/>
                  </w14:solidFill>
                </w14:textFill>
              </w:rPr>
              <w:t>18</w:t>
            </w:r>
            <w:r>
              <w:rPr>
                <w:rFonts w:hint="eastAsia" w:ascii="宋体" w:hAnsi="宋体" w:eastAsia="宋体"/>
                <w:bCs/>
                <w:color w:val="000000" w:themeColor="text1"/>
                <w:sz w:val="21"/>
                <w:szCs w:val="21"/>
                <w:highlight w:val="none"/>
                <w14:textFill>
                  <w14:solidFill>
                    <w14:schemeClr w14:val="tx1"/>
                  </w14:solidFill>
                </w14:textFill>
              </w:rPr>
              <w:t>分）：实施方案包括有交付计划、人员投入、安全保证措施和技术保证措施及验收方案内容可行、详细，具有合理性、科学性，有交付保证措施、实施安全保障措施、风险管理体系，实施方案清晰、针对性强，实施计划完整明晰、可操作性强，项目管理组织机构及人员职能清晰可控。</w:t>
            </w:r>
          </w:p>
        </w:tc>
      </w:tr>
      <w:tr w14:paraId="531C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61A544EC">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top"/>
          </w:tcPr>
          <w:p w14:paraId="2AA25D52">
            <w:pPr>
              <w:adjustRightInd w:val="0"/>
              <w:spacing w:line="360" w:lineRule="auto"/>
              <w:jc w:val="center"/>
              <w:textAlignment w:val="baseline"/>
              <w:rPr>
                <w:rFonts w:hint="eastAsia" w:ascii="宋体" w:hAnsi="宋体" w:eastAsia="宋体"/>
                <w:color w:val="000000" w:themeColor="text1"/>
                <w:sz w:val="21"/>
                <w:szCs w:val="21"/>
                <w:highlight w:val="none"/>
                <w14:textFill>
                  <w14:solidFill>
                    <w14:schemeClr w14:val="tx1"/>
                  </w14:solidFill>
                </w14:textFill>
              </w:rPr>
            </w:pPr>
          </w:p>
        </w:tc>
        <w:tc>
          <w:tcPr>
            <w:tcW w:w="1279" w:type="dxa"/>
            <w:noWrap w:val="0"/>
            <w:tcMar>
              <w:left w:w="57" w:type="dxa"/>
              <w:right w:w="57" w:type="dxa"/>
            </w:tcMar>
            <w:vAlign w:val="center"/>
          </w:tcPr>
          <w:p w14:paraId="3E1A2AF6">
            <w:pPr>
              <w:spacing w:line="360" w:lineRule="auto"/>
              <w:jc w:val="center"/>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质量保证措施</w:t>
            </w:r>
            <w:r>
              <w:rPr>
                <w:rFonts w:hint="eastAsia" w:ascii="宋体" w:hAnsi="宋体" w:eastAsia="宋体"/>
                <w:b/>
                <w:bCs/>
                <w:color w:val="000000" w:themeColor="text1"/>
                <w:sz w:val="21"/>
                <w:szCs w:val="21"/>
                <w:highlight w:val="none"/>
                <w14:textFill>
                  <w14:solidFill>
                    <w14:schemeClr w14:val="tx1"/>
                  </w14:solidFill>
                </w14:textFill>
              </w:rPr>
              <w:t>（满分15分）</w:t>
            </w:r>
          </w:p>
        </w:tc>
        <w:tc>
          <w:tcPr>
            <w:tcW w:w="6326" w:type="dxa"/>
            <w:noWrap w:val="0"/>
            <w:vAlign w:val="top"/>
          </w:tcPr>
          <w:p w14:paraId="3DF90DE9">
            <w:pPr>
              <w:spacing w:line="360" w:lineRule="auto"/>
              <w:jc w:val="left"/>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bCs/>
                <w:color w:val="000000" w:themeColor="text1"/>
                <w:sz w:val="21"/>
                <w:szCs w:val="21"/>
                <w:highlight w:val="none"/>
                <w:shd w:val="clear" w:color="auto" w:fill="auto"/>
                <w14:textFill>
                  <w14:solidFill>
                    <w14:schemeClr w14:val="tx1"/>
                  </w14:solidFill>
                </w14:textFill>
              </w:rPr>
              <w:t>一档（5分）：</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对质量保证承诺、</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质量控制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检验措施</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等有描述，基本能够保证货物质量。</w:t>
            </w:r>
          </w:p>
          <w:p w14:paraId="08B1C262">
            <w:pPr>
              <w:spacing w:line="360" w:lineRule="auto"/>
              <w:jc w:val="left"/>
              <w:rPr>
                <w:rFonts w:hint="eastAsia" w:ascii="宋体" w:hAnsi="宋体" w:eastAsia="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bCs/>
                <w:color w:val="000000" w:themeColor="text1"/>
                <w:sz w:val="21"/>
                <w:szCs w:val="21"/>
                <w:highlight w:val="none"/>
                <w:shd w:val="clear" w:color="auto" w:fill="auto"/>
                <w14:textFill>
                  <w14:solidFill>
                    <w14:schemeClr w14:val="tx1"/>
                  </w14:solidFill>
                </w14:textFill>
              </w:rPr>
              <w:t>二档（10分）：</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对质量保证承诺、</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质量控制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检验措施</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等描述</w:t>
            </w:r>
            <w:r>
              <w:rPr>
                <w:rFonts w:hint="eastAsia" w:ascii="宋体" w:hAnsi="宋体" w:eastAsia="宋体"/>
                <w:bCs/>
                <w:color w:val="000000" w:themeColor="text1"/>
                <w:sz w:val="21"/>
                <w:szCs w:val="21"/>
                <w:highlight w:val="none"/>
                <w:shd w:val="clear" w:color="auto" w:fill="auto"/>
                <w14:textFill>
                  <w14:solidFill>
                    <w14:schemeClr w14:val="tx1"/>
                  </w14:solidFill>
                </w14:textFill>
              </w:rPr>
              <w:t>内容完整、详细，能针对项目情况提出较为</w:t>
            </w:r>
            <w:r>
              <w:rPr>
                <w:rFonts w:hint="eastAsia" w:ascii="宋体" w:hAnsi="宋体" w:eastAsia="宋体"/>
                <w:b w:val="0"/>
                <w:bCs/>
                <w:color w:val="000000" w:themeColor="text1"/>
                <w:sz w:val="21"/>
                <w:szCs w:val="21"/>
                <w:highlight w:val="none"/>
                <w:shd w:val="clear" w:color="auto" w:fill="auto"/>
                <w14:textFill>
                  <w14:solidFill>
                    <w14:schemeClr w14:val="tx1"/>
                  </w14:solidFill>
                </w14:textFill>
              </w:rPr>
              <w:t>明确的</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b w:val="0"/>
                <w:bCs/>
                <w:color w:val="000000" w:themeColor="text1"/>
                <w:sz w:val="21"/>
                <w:szCs w:val="21"/>
                <w:highlight w:val="none"/>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有专门质量管理团队</w:t>
            </w:r>
            <w:r>
              <w:rPr>
                <w:rFonts w:hint="eastAsia" w:ascii="宋体" w:hAnsi="宋体" w:eastAsia="宋体"/>
                <w:bCs/>
                <w:color w:val="000000" w:themeColor="text1"/>
                <w:sz w:val="21"/>
                <w:szCs w:val="21"/>
                <w:highlight w:val="none"/>
                <w:shd w:val="clear" w:color="auto" w:fill="auto"/>
                <w14:textFill>
                  <w14:solidFill>
                    <w14:schemeClr w14:val="tx1"/>
                  </w14:solidFill>
                </w14:textFill>
              </w:rPr>
              <w:t>能够</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确保</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货物质量。</w:t>
            </w:r>
          </w:p>
          <w:p w14:paraId="1ECE62AA">
            <w:pPr>
              <w:spacing w:line="360" w:lineRule="auto"/>
              <w:jc w:val="left"/>
              <w:rPr>
                <w:rFonts w:hint="eastAsia" w:ascii="宋体" w:hAnsi="宋体" w:eastAsia="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bCs/>
                <w:color w:val="000000" w:themeColor="text1"/>
                <w:sz w:val="21"/>
                <w:szCs w:val="21"/>
                <w:highlight w:val="none"/>
                <w:shd w:val="clear" w:color="auto" w:fill="auto"/>
                <w14:textFill>
                  <w14:solidFill>
                    <w14:schemeClr w14:val="tx1"/>
                  </w14:solidFill>
                </w14:textFill>
              </w:rPr>
              <w:t xml:space="preserve"> 三档（15分）：针对本项目提出的</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质量保证承诺、</w:t>
            </w:r>
            <w:r>
              <w:rPr>
                <w:rFonts w:hint="eastAsia" w:ascii="宋体" w:hAnsi="宋体" w:eastAsia="宋体"/>
                <w:bCs/>
                <w:color w:val="000000" w:themeColor="text1"/>
                <w:sz w:val="21"/>
                <w:szCs w:val="21"/>
                <w:highlight w:val="none"/>
                <w:shd w:val="clear" w:color="auto" w:fill="auto"/>
                <w14:textFill>
                  <w14:solidFill>
                    <w14:schemeClr w14:val="tx1"/>
                  </w14:solidFill>
                </w14:textFill>
              </w:rPr>
              <w:t>质量控制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措施、</w:t>
            </w:r>
            <w:r>
              <w:rPr>
                <w:rFonts w:hint="eastAsia" w:ascii="宋体" w:hAnsi="宋体" w:eastAsia="宋体"/>
                <w:bCs/>
                <w:color w:val="000000" w:themeColor="text1"/>
                <w:sz w:val="21"/>
                <w:szCs w:val="21"/>
                <w:highlight w:val="none"/>
                <w:shd w:val="clear" w:color="auto" w:fill="auto"/>
                <w14:textFill>
                  <w14:solidFill>
                    <w14:schemeClr w14:val="tx1"/>
                  </w14:solidFill>
                </w14:textFill>
              </w:rPr>
              <w:t>检验措施详细，分析到位，</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bCs/>
                <w:color w:val="000000" w:themeColor="text1"/>
                <w:sz w:val="21"/>
                <w:szCs w:val="21"/>
                <w:highlight w:val="none"/>
                <w:shd w:val="clear" w:color="auto" w:fill="auto"/>
                <w14:textFill>
                  <w14:solidFill>
                    <w14:schemeClr w14:val="tx1"/>
                  </w14:solidFill>
                </w14:textFill>
              </w:rPr>
              <w:t>措施科学合理，</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有专门质量管理团队</w:t>
            </w:r>
            <w:r>
              <w:rPr>
                <w:rFonts w:hint="eastAsia" w:ascii="宋体" w:hAnsi="宋体" w:eastAsia="宋体"/>
                <w:bCs/>
                <w:color w:val="000000" w:themeColor="text1"/>
                <w:sz w:val="21"/>
                <w:szCs w:val="21"/>
                <w:highlight w:val="none"/>
                <w:shd w:val="clear" w:color="auto" w:fill="auto"/>
                <w14:textFill>
                  <w14:solidFill>
                    <w14:schemeClr w14:val="tx1"/>
                  </w14:solidFill>
                </w14:textFill>
              </w:rPr>
              <w:t>能够严格控制货物的质量，并</w:t>
            </w:r>
            <w:r>
              <w:rPr>
                <w:rFonts w:hint="eastAsia" w:ascii="宋体" w:hAnsi="宋体" w:eastAsia="宋体"/>
                <w:bCs/>
                <w:color w:val="000000" w:themeColor="text1"/>
                <w:sz w:val="21"/>
                <w:szCs w:val="21"/>
                <w:highlight w:val="none"/>
                <w:shd w:val="clear" w:color="auto" w:fill="auto"/>
                <w:lang w:eastAsia="zh-CN"/>
                <w14:textFill>
                  <w14:solidFill>
                    <w14:schemeClr w14:val="tx1"/>
                  </w14:solidFill>
                </w14:textFill>
              </w:rPr>
              <w:t>根据项目实际情况制定有详细、可行的</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b w:val="0"/>
                <w:bCs/>
                <w:color w:val="000000" w:themeColor="text1"/>
                <w:sz w:val="21"/>
                <w:szCs w:val="21"/>
                <w:highlight w:val="none"/>
                <w:lang w:eastAsia="zh-CN"/>
                <w14:textFill>
                  <w14:solidFill>
                    <w14:schemeClr w14:val="tx1"/>
                  </w14:solidFill>
                </w14:textFill>
              </w:rPr>
              <w:t>体系和保障能力</w:t>
            </w:r>
            <w:r>
              <w:rPr>
                <w:rFonts w:hint="eastAsia" w:ascii="宋体" w:hAnsi="宋体" w:eastAsia="宋体"/>
                <w:bCs/>
                <w:color w:val="000000" w:themeColor="text1"/>
                <w:sz w:val="21"/>
                <w:szCs w:val="21"/>
                <w:highlight w:val="none"/>
                <w:shd w:val="clear" w:color="auto" w:fill="auto"/>
                <w14:textFill>
                  <w14:solidFill>
                    <w14:schemeClr w14:val="tx1"/>
                  </w14:solidFill>
                </w14:textFill>
              </w:rPr>
              <w:t>。</w:t>
            </w:r>
          </w:p>
          <w:p w14:paraId="5502D48D">
            <w:pPr>
              <w:spacing w:line="360" w:lineRule="auto"/>
              <w:ind w:firstLine="0" w:firstLineChars="0"/>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注：未满足一档要求的不得分。</w:t>
            </w:r>
          </w:p>
        </w:tc>
      </w:tr>
      <w:tr w14:paraId="353F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restart"/>
            <w:noWrap w:val="0"/>
            <w:vAlign w:val="center"/>
          </w:tcPr>
          <w:p w14:paraId="64D50D14">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3</w:t>
            </w:r>
          </w:p>
        </w:tc>
        <w:tc>
          <w:tcPr>
            <w:tcW w:w="1320" w:type="dxa"/>
            <w:vMerge w:val="restart"/>
            <w:noWrap w:val="0"/>
            <w:vAlign w:val="center"/>
          </w:tcPr>
          <w:p w14:paraId="47E19E3F">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商务分（满分</w:t>
            </w:r>
            <w:r>
              <w:rPr>
                <w:rFonts w:hint="eastAsia" w:ascii="宋体" w:hAnsi="宋体" w:eastAsia="宋体"/>
                <w:b/>
                <w:color w:val="000000" w:themeColor="text1"/>
                <w:sz w:val="21"/>
                <w:szCs w:val="21"/>
                <w:highlight w:val="none"/>
                <w:u w:val="single"/>
                <w14:textFill>
                  <w14:solidFill>
                    <w14:schemeClr w14:val="tx1"/>
                  </w14:solidFill>
                </w14:textFill>
              </w:rPr>
              <w:t>20</w:t>
            </w:r>
            <w:r>
              <w:rPr>
                <w:rFonts w:hint="eastAsia" w:ascii="宋体" w:hAnsi="宋体" w:eastAsia="宋体"/>
                <w:b/>
                <w:color w:val="000000" w:themeColor="text1"/>
                <w:sz w:val="21"/>
                <w:szCs w:val="21"/>
                <w:highlight w:val="none"/>
                <w14:textFill>
                  <w14:solidFill>
                    <w14:schemeClr w14:val="tx1"/>
                  </w14:solidFill>
                </w14:textFill>
              </w:rPr>
              <w:t>分）</w:t>
            </w:r>
          </w:p>
        </w:tc>
        <w:tc>
          <w:tcPr>
            <w:tcW w:w="1279" w:type="dxa"/>
            <w:noWrap w:val="0"/>
            <w:vAlign w:val="center"/>
          </w:tcPr>
          <w:p w14:paraId="1401DE3A">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售后服务承诺方案（满分15分）</w:t>
            </w:r>
          </w:p>
        </w:tc>
        <w:tc>
          <w:tcPr>
            <w:tcW w:w="6326" w:type="dxa"/>
            <w:noWrap w:val="0"/>
            <w:vAlign w:val="center"/>
          </w:tcPr>
          <w:p w14:paraId="6264EBB0">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由评标委员会根据投标人的售后服务方案，包括售后服务人员、接故障通知到达现场的时间、出现质量问题承诺更换时间、应急处理方案、评委认可的其它实质性优惠措施等条件，综合评定各投标人所属档次及分值，达不到一档要求的不得分。 </w:t>
            </w:r>
          </w:p>
          <w:p w14:paraId="158A5BFF">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一档（5分)：售后服务方案，包括售后服务人员、接故障通知到达现场的时间、出现质量问题承诺更换时间、应急处理方案达到招标文件的要求。 </w:t>
            </w:r>
          </w:p>
          <w:p w14:paraId="396E51F1">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二档（10分)：有项目详细的系统建设的售后服务方案及培训计划，售后服务流程、应急预案、质量保障优于招标文件，且配置售后服务人员，针对本项目能满足采购人的售后服务需求。 </w:t>
            </w:r>
          </w:p>
          <w:p w14:paraId="084E5E25">
            <w:pPr>
              <w:spacing w:line="440" w:lineRule="exact"/>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三档(15分)：</w:t>
            </w:r>
            <w:r>
              <w:rPr>
                <w:rFonts w:hint="eastAsia" w:ascii="宋体" w:hAnsi="宋体" w:eastAsia="宋体" w:cs="宋体"/>
                <w:color w:val="000000" w:themeColor="text1"/>
                <w:sz w:val="21"/>
                <w:szCs w:val="21"/>
                <w:highlight w:val="none"/>
                <w14:textFill>
                  <w14:solidFill>
                    <w14:schemeClr w14:val="tx1"/>
                  </w14:solidFill>
                </w14:textFill>
              </w:rPr>
              <w:t>提供的售后服务方案完全满足并优于招标文件要求，方案包含有详细的项目维护服务、回访、应急保障方案等内容，售后服务承诺明确质量保证期、到达故障现场时间、故障出现解决方案、定期维护（注明时间），软件升级，有保修期外维修方案、备品备件等其他优惠措施、安装要求及方案等内容，售后服务有保障，服务内容及保障措施完整详细。</w:t>
            </w:r>
          </w:p>
        </w:tc>
      </w:tr>
      <w:tr w14:paraId="7918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0B5335F3">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4D7ED1AB">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279" w:type="dxa"/>
            <w:noWrap w:val="0"/>
            <w:vAlign w:val="center"/>
          </w:tcPr>
          <w:p w14:paraId="3FCD00BF">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业绩分       （满分3分）</w:t>
            </w:r>
          </w:p>
        </w:tc>
        <w:tc>
          <w:tcPr>
            <w:tcW w:w="6326" w:type="dxa"/>
            <w:noWrap w:val="0"/>
            <w:vAlign w:val="center"/>
          </w:tcPr>
          <w:p w14:paraId="2EEE6223">
            <w:pPr>
              <w:spacing w:line="44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2021年 1 月 1 日以来至投标截止日期止，投标人</w:t>
            </w:r>
            <w:r>
              <w:rPr>
                <w:rFonts w:hint="eastAsia" w:ascii="宋体" w:hAnsi="宋体" w:eastAsia="宋体"/>
                <w:color w:val="000000" w:themeColor="text1"/>
                <w:sz w:val="21"/>
                <w:szCs w:val="21"/>
                <w:highlight w:val="none"/>
                <w:lang w:val="en-US" w:eastAsia="zh-CN"/>
                <w14:textFill>
                  <w14:solidFill>
                    <w14:schemeClr w14:val="tx1"/>
                  </w14:solidFill>
                </w14:textFill>
              </w:rPr>
              <w:t>或生产厂家具有</w:t>
            </w:r>
            <w:r>
              <w:rPr>
                <w:rFonts w:hint="eastAsia" w:ascii="宋体" w:hAnsi="宋体" w:eastAsia="宋体"/>
                <w:color w:val="000000" w:themeColor="text1"/>
                <w:sz w:val="21"/>
                <w:szCs w:val="21"/>
                <w:highlight w:val="none"/>
                <w14:textFill>
                  <w14:solidFill>
                    <w14:schemeClr w14:val="tx1"/>
                  </w14:solidFill>
                </w14:textFill>
              </w:rPr>
              <w:t xml:space="preserve">同类产品销售业绩，每个得1分，满分3分。【投标文件中提供合同复印件或中标（成交）通知书复印件并加盖公章】 </w:t>
            </w:r>
          </w:p>
        </w:tc>
      </w:tr>
      <w:tr w14:paraId="497B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2A189C81">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5BEC95BD">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279" w:type="dxa"/>
            <w:noWrap w:val="0"/>
            <w:vAlign w:val="center"/>
          </w:tcPr>
          <w:p w14:paraId="4827D668">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政策分（满分</w:t>
            </w:r>
            <w:r>
              <w:rPr>
                <w:rFonts w:hint="eastAsia" w:ascii="宋体" w:hAnsi="宋体" w:eastAsia="宋体"/>
                <w:b/>
                <w:color w:val="000000" w:themeColor="text1"/>
                <w:sz w:val="21"/>
                <w:szCs w:val="21"/>
                <w:highlight w:val="none"/>
                <w:u w:val="single"/>
                <w14:textFill>
                  <w14:solidFill>
                    <w14:schemeClr w14:val="tx1"/>
                  </w14:solidFill>
                </w14:textFill>
              </w:rPr>
              <w:t xml:space="preserve"> 2 </w:t>
            </w:r>
            <w:r>
              <w:rPr>
                <w:rFonts w:hint="eastAsia" w:ascii="宋体" w:hAnsi="宋体" w:eastAsia="宋体"/>
                <w:b/>
                <w:color w:val="000000" w:themeColor="text1"/>
                <w:sz w:val="21"/>
                <w:szCs w:val="21"/>
                <w:highlight w:val="none"/>
                <w14:textFill>
                  <w14:solidFill>
                    <w14:schemeClr w14:val="tx1"/>
                  </w14:solidFill>
                </w14:textFill>
              </w:rPr>
              <w:t>分）</w:t>
            </w:r>
          </w:p>
        </w:tc>
        <w:tc>
          <w:tcPr>
            <w:tcW w:w="6326" w:type="dxa"/>
            <w:noWrap w:val="0"/>
            <w:vAlign w:val="center"/>
          </w:tcPr>
          <w:p w14:paraId="6C12C2E4">
            <w:pPr>
              <w:spacing w:line="360" w:lineRule="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0 </w:t>
            </w:r>
            <w:r>
              <w:rPr>
                <w:rFonts w:hint="eastAsia" w:ascii="宋体" w:hAnsi="宋体" w:eastAsia="宋体" w:cs="宋体"/>
                <w:bCs/>
                <w:color w:val="000000" w:themeColor="text1"/>
                <w:sz w:val="21"/>
                <w:szCs w:val="21"/>
                <w:highlight w:val="none"/>
                <w14:textFill>
                  <w14:solidFill>
                    <w14:schemeClr w14:val="tx1"/>
                  </w14:solidFill>
                </w14:textFill>
              </w:rPr>
              <w:t>至</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2116C2A0">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0 </w:t>
            </w:r>
            <w:r>
              <w:rPr>
                <w:rFonts w:hint="eastAsia" w:ascii="宋体" w:hAnsi="宋体" w:eastAsia="宋体" w:cs="宋体"/>
                <w:bCs/>
                <w:color w:val="000000" w:themeColor="text1"/>
                <w:sz w:val="21"/>
                <w:szCs w:val="21"/>
                <w:highlight w:val="none"/>
                <w14:textFill>
                  <w14:solidFill>
                    <w14:schemeClr w14:val="tx1"/>
                  </w14:solidFill>
                </w14:textFill>
              </w:rPr>
              <w:t>至</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w:t>
            </w:r>
          </w:p>
          <w:p w14:paraId="6A39284A">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（3）非节能、环境标志产品的不得分。</w:t>
            </w:r>
          </w:p>
        </w:tc>
      </w:tr>
      <w:tr w14:paraId="4C8B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0"/>
            <w:vAlign w:val="center"/>
          </w:tcPr>
          <w:p w14:paraId="2597D352">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总得分为以上各项评审因素得分合计。</w:t>
            </w:r>
          </w:p>
        </w:tc>
      </w:tr>
    </w:tbl>
    <w:p w14:paraId="2952E829">
      <w:pPr>
        <w:keepNext/>
        <w:keepLines/>
        <w:spacing w:before="260" w:after="20" w:line="240" w:lineRule="auto"/>
        <w:jc w:val="center"/>
        <w:outlineLvl w:val="1"/>
        <w:rPr>
          <w:rFonts w:hint="eastAsia" w:ascii="宋体" w:hAnsi="宋体" w:eastAsia="宋体" w:cs="宋体"/>
          <w:bCs/>
          <w:color w:val="000000" w:themeColor="text1"/>
          <w:sz w:val="30"/>
          <w:szCs w:val="30"/>
          <w:highlight w:val="none"/>
          <w14:textFill>
            <w14:solidFill>
              <w14:schemeClr w14:val="tx1"/>
            </w14:solidFill>
          </w14:textFill>
        </w:rPr>
      </w:pPr>
      <w:r>
        <w:rPr>
          <w:rFonts w:hint="eastAsia" w:ascii="宋体" w:hAnsi="宋体" w:eastAsia="宋体" w:cs="宋体"/>
          <w:b/>
          <w:bCs w:val="0"/>
          <w:color w:val="000000" w:themeColor="text1"/>
          <w:sz w:val="32"/>
          <w:szCs w:val="32"/>
          <w:highlight w:val="none"/>
          <w14:textFill>
            <w14:solidFill>
              <w14:schemeClr w14:val="tx1"/>
            </w14:solidFill>
          </w14:textFill>
        </w:rPr>
        <w:t>第四节 中标候选人推荐原则</w:t>
      </w:r>
    </w:p>
    <w:p w14:paraId="33C5316F">
      <w:pPr>
        <w:pStyle w:val="21"/>
        <w:spacing w:line="500" w:lineRule="exact"/>
        <w:ind w:firstLine="420" w:firstLineChars="200"/>
        <w:contextualSpacing/>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D1BDD98">
      <w:pPr>
        <w:pStyle w:val="21"/>
        <w:spacing w:line="500" w:lineRule="exact"/>
        <w:ind w:firstLine="420" w:firstLineChars="200"/>
        <w:contextualSpacing/>
        <w:rPr>
          <w:rFonts w:hint="eastAsia" w:ascii="宋体" w:hAnsi="宋体" w:eastAsia="宋体" w:cs="Times New Roman"/>
          <w:b w:val="0"/>
          <w:bCs w:val="0"/>
          <w:color w:val="000000" w:themeColor="text1"/>
          <w:sz w:val="21"/>
          <w:szCs w:val="21"/>
          <w:highlight w:val="none"/>
          <w14:textFill>
            <w14:solidFill>
              <w14:schemeClr w14:val="tx1"/>
            </w14:solidFill>
          </w14:textFill>
        </w:rPr>
      </w:pPr>
    </w:p>
    <w:p w14:paraId="43EE927B">
      <w:pPr>
        <w:keepNext/>
        <w:keepLines/>
        <w:spacing w:line="360" w:lineRule="auto"/>
        <w:ind w:firstLine="643" w:firstLineChars="200"/>
        <w:jc w:val="center"/>
        <w:outlineLvl w:val="1"/>
        <w:rPr>
          <w:rFonts w:hint="eastAsia" w:ascii="宋体" w:hAnsi="宋体" w:eastAsia="宋体" w:cs="宋体"/>
          <w:b/>
          <w:bCs w:val="0"/>
          <w:color w:val="000000" w:themeColor="text1"/>
          <w:sz w:val="32"/>
          <w:szCs w:val="32"/>
          <w:highlight w:val="none"/>
          <w14:textFill>
            <w14:solidFill>
              <w14:schemeClr w14:val="tx1"/>
            </w14:solidFill>
          </w14:textFill>
        </w:rPr>
      </w:pPr>
      <w:bookmarkStart w:id="210" w:name="_Toc4106"/>
      <w:r>
        <w:rPr>
          <w:rFonts w:hint="eastAsia" w:ascii="宋体" w:hAnsi="宋体" w:eastAsia="宋体" w:cs="宋体"/>
          <w:b/>
          <w:bCs w:val="0"/>
          <w:color w:val="000000" w:themeColor="text1"/>
          <w:sz w:val="32"/>
          <w:szCs w:val="32"/>
          <w:highlight w:val="none"/>
          <w14:textFill>
            <w14:solidFill>
              <w14:schemeClr w14:val="tx1"/>
            </w14:solidFill>
          </w14:textFill>
        </w:rPr>
        <w:t>第五节 评标报告</w:t>
      </w:r>
      <w:bookmarkEnd w:id="210"/>
    </w:p>
    <w:p w14:paraId="5F6B94A8">
      <w:pPr>
        <w:adjustRightInd w:val="0"/>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一）评标报告与推荐中标候选人</w:t>
      </w:r>
    </w:p>
    <w:p w14:paraId="2A556576">
      <w:pPr>
        <w:pStyle w:val="21"/>
        <w:spacing w:line="5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评标委员会根据原始评标记录和评标结果编写评标报告，并通过电子交易平台向采购人、采购代理机构提交。</w:t>
      </w:r>
    </w:p>
    <w:p w14:paraId="74CC5596">
      <w:pPr>
        <w:widowControl/>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二）评标争议事项处理</w:t>
      </w:r>
    </w:p>
    <w:p w14:paraId="26295F82">
      <w:pPr>
        <w:pStyle w:val="21"/>
        <w:spacing w:line="500" w:lineRule="exact"/>
        <w:ind w:firstLine="420" w:firstLineChars="200"/>
        <w:rPr>
          <w:rFonts w:hint="eastAsia" w:hAnsi="宋体" w:cs="Times New Roman"/>
          <w:b w:val="0"/>
          <w:bCs w:val="0"/>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745D7C84">
      <w:pPr>
        <w:rPr>
          <w:rFonts w:hAnsi="宋体" w:cs="Arial"/>
          <w:bCs/>
          <w:color w:val="000000" w:themeColor="text1"/>
          <w:szCs w:val="21"/>
          <w:highlight w:val="none"/>
          <w:lang w:eastAsia="zh-CN"/>
          <w14:textFill>
            <w14:solidFill>
              <w14:schemeClr w14:val="tx1"/>
            </w14:solidFill>
          </w14:textFill>
        </w:rPr>
      </w:pPr>
    </w:p>
    <w:p w14:paraId="47742B21">
      <w:pPr>
        <w:rPr>
          <w:rFonts w:hAnsi="宋体" w:cs="Arial"/>
          <w:bCs/>
          <w:color w:val="000000" w:themeColor="text1"/>
          <w:szCs w:val="21"/>
          <w:highlight w:val="none"/>
          <w:lang w:eastAsia="zh-CN"/>
          <w14:textFill>
            <w14:solidFill>
              <w14:schemeClr w14:val="tx1"/>
            </w14:solidFill>
          </w14:textFill>
        </w:rPr>
      </w:pPr>
    </w:p>
    <w:p w14:paraId="44E097D8">
      <w:pPr>
        <w:rPr>
          <w:rFonts w:hAnsi="宋体" w:cs="Arial"/>
          <w:bCs/>
          <w:color w:val="000000" w:themeColor="text1"/>
          <w:szCs w:val="21"/>
          <w:highlight w:val="none"/>
          <w:lang w:eastAsia="zh-CN"/>
          <w14:textFill>
            <w14:solidFill>
              <w14:schemeClr w14:val="tx1"/>
            </w14:solidFill>
          </w14:textFill>
        </w:rPr>
      </w:pPr>
    </w:p>
    <w:p w14:paraId="54184891">
      <w:pPr>
        <w:rPr>
          <w:rFonts w:hAnsi="宋体" w:cs="Arial"/>
          <w:bCs/>
          <w:color w:val="000000" w:themeColor="text1"/>
          <w:szCs w:val="21"/>
          <w:highlight w:val="none"/>
          <w:lang w:eastAsia="zh-CN"/>
          <w14:textFill>
            <w14:solidFill>
              <w14:schemeClr w14:val="tx1"/>
            </w14:solidFill>
          </w14:textFill>
        </w:rPr>
      </w:pPr>
    </w:p>
    <w:p w14:paraId="6EEE6D77">
      <w:pPr>
        <w:rPr>
          <w:rFonts w:hAnsi="宋体" w:cs="Arial"/>
          <w:bCs/>
          <w:color w:val="000000" w:themeColor="text1"/>
          <w:szCs w:val="21"/>
          <w:highlight w:val="none"/>
          <w:lang w:eastAsia="zh-CN"/>
          <w14:textFill>
            <w14:solidFill>
              <w14:schemeClr w14:val="tx1"/>
            </w14:solidFill>
          </w14:textFill>
        </w:rPr>
      </w:pPr>
    </w:p>
    <w:p w14:paraId="31C64D15">
      <w:pPr>
        <w:rPr>
          <w:rFonts w:hAnsi="宋体" w:cs="Arial"/>
          <w:bCs/>
          <w:color w:val="000000" w:themeColor="text1"/>
          <w:szCs w:val="21"/>
          <w:highlight w:val="none"/>
          <w:lang w:eastAsia="zh-CN"/>
          <w14:textFill>
            <w14:solidFill>
              <w14:schemeClr w14:val="tx1"/>
            </w14:solidFill>
          </w14:textFill>
        </w:rPr>
      </w:pPr>
    </w:p>
    <w:p w14:paraId="7538762C">
      <w:pPr>
        <w:rPr>
          <w:rFonts w:hAnsi="宋体" w:cs="Arial"/>
          <w:bCs/>
          <w:color w:val="000000" w:themeColor="text1"/>
          <w:szCs w:val="21"/>
          <w:highlight w:val="none"/>
          <w:lang w:eastAsia="zh-CN"/>
          <w14:textFill>
            <w14:solidFill>
              <w14:schemeClr w14:val="tx1"/>
            </w14:solidFill>
          </w14:textFill>
        </w:rPr>
      </w:pPr>
    </w:p>
    <w:p w14:paraId="307D746D">
      <w:pPr>
        <w:rPr>
          <w:rFonts w:hAnsi="宋体" w:cs="Arial"/>
          <w:bCs/>
          <w:color w:val="000000" w:themeColor="text1"/>
          <w:szCs w:val="21"/>
          <w:highlight w:val="none"/>
          <w:lang w:eastAsia="zh-CN"/>
          <w14:textFill>
            <w14:solidFill>
              <w14:schemeClr w14:val="tx1"/>
            </w14:solidFill>
          </w14:textFill>
        </w:rPr>
      </w:pPr>
    </w:p>
    <w:p w14:paraId="6FD3FEA8">
      <w:pPr>
        <w:rPr>
          <w:rFonts w:hAnsi="宋体" w:cs="Arial"/>
          <w:bCs/>
          <w:color w:val="000000" w:themeColor="text1"/>
          <w:szCs w:val="21"/>
          <w:highlight w:val="none"/>
          <w:lang w:eastAsia="zh-CN"/>
          <w14:textFill>
            <w14:solidFill>
              <w14:schemeClr w14:val="tx1"/>
            </w14:solidFill>
          </w14:textFill>
        </w:rPr>
      </w:pPr>
    </w:p>
    <w:p w14:paraId="3DBB6248">
      <w:pPr>
        <w:rPr>
          <w:rFonts w:hAnsi="宋体" w:cs="Arial"/>
          <w:bCs/>
          <w:color w:val="000000" w:themeColor="text1"/>
          <w:szCs w:val="21"/>
          <w:highlight w:val="none"/>
          <w:lang w:eastAsia="zh-CN"/>
          <w14:textFill>
            <w14:solidFill>
              <w14:schemeClr w14:val="tx1"/>
            </w14:solidFill>
          </w14:textFill>
        </w:rPr>
      </w:pPr>
    </w:p>
    <w:p w14:paraId="6F4AFFA6">
      <w:pPr>
        <w:rPr>
          <w:rFonts w:hAnsi="宋体" w:cs="Arial"/>
          <w:bCs/>
          <w:color w:val="000000" w:themeColor="text1"/>
          <w:szCs w:val="21"/>
          <w:highlight w:val="none"/>
          <w:lang w:eastAsia="zh-CN"/>
          <w14:textFill>
            <w14:solidFill>
              <w14:schemeClr w14:val="tx1"/>
            </w14:solidFill>
          </w14:textFill>
        </w:rPr>
      </w:pPr>
    </w:p>
    <w:p w14:paraId="44649A19">
      <w:pPr>
        <w:pStyle w:val="56"/>
        <w:rPr>
          <w:rFonts w:hAnsi="宋体" w:cs="Arial"/>
          <w:bCs/>
          <w:color w:val="000000" w:themeColor="text1"/>
          <w:szCs w:val="21"/>
          <w:highlight w:val="none"/>
          <w14:textFill>
            <w14:solidFill>
              <w14:schemeClr w14:val="tx1"/>
            </w14:solidFill>
          </w14:textFill>
        </w:rPr>
      </w:pPr>
    </w:p>
    <w:p w14:paraId="005A023D">
      <w:pPr>
        <w:pStyle w:val="21"/>
        <w:spacing w:line="360" w:lineRule="auto"/>
        <w:jc w:val="center"/>
        <w:outlineLvl w:val="0"/>
        <w:rPr>
          <w:rStyle w:val="62"/>
          <w:color w:val="000000" w:themeColor="text1"/>
          <w:sz w:val="32"/>
          <w:szCs w:val="32"/>
          <w:highlight w:val="none"/>
          <w14:textFill>
            <w14:solidFill>
              <w14:schemeClr w14:val="tx1"/>
            </w14:solidFill>
          </w14:textFill>
        </w:rPr>
      </w:pPr>
      <w:bookmarkStart w:id="211" w:name="_Toc7695"/>
      <w:bookmarkStart w:id="212" w:name="_Toc29612"/>
      <w:r>
        <w:rPr>
          <w:rStyle w:val="62"/>
          <w:rFonts w:hint="eastAsia"/>
          <w:color w:val="000000" w:themeColor="text1"/>
          <w:sz w:val="32"/>
          <w:szCs w:val="32"/>
          <w:highlight w:val="none"/>
          <w14:textFill>
            <w14:solidFill>
              <w14:schemeClr w14:val="tx1"/>
            </w14:solidFill>
          </w14:textFill>
        </w:rPr>
        <w:t>第六章 投标文件（格式）</w:t>
      </w:r>
      <w:bookmarkEnd w:id="211"/>
      <w:bookmarkEnd w:id="212"/>
    </w:p>
    <w:p w14:paraId="06F4CA37">
      <w:pPr>
        <w:pStyle w:val="21"/>
        <w:spacing w:line="360" w:lineRule="auto"/>
        <w:jc w:val="center"/>
        <w:rPr>
          <w:rStyle w:val="62"/>
          <w:color w:val="000000" w:themeColor="text1"/>
          <w:sz w:val="32"/>
          <w:szCs w:val="32"/>
          <w:highlight w:val="none"/>
          <w14:textFill>
            <w14:solidFill>
              <w14:schemeClr w14:val="tx1"/>
            </w14:solidFill>
          </w14:textFill>
        </w:rPr>
      </w:pPr>
      <w:bookmarkStart w:id="213" w:name="_Toc254970556"/>
      <w:bookmarkStart w:id="214" w:name="_Toc254970697"/>
    </w:p>
    <w:p w14:paraId="26362794">
      <w:pPr>
        <w:snapToGrid w:val="0"/>
        <w:spacing w:before="120" w:beforeLines="50" w:after="50" w:line="360" w:lineRule="exact"/>
        <w:jc w:val="center"/>
        <w:outlineLvl w:val="1"/>
        <w:rPr>
          <w:rFonts w:ascii="宋体" w:hAnsi="宋体" w:eastAsia="宋体"/>
          <w:b/>
          <w:bCs/>
          <w:color w:val="000000" w:themeColor="text1"/>
          <w:sz w:val="32"/>
          <w:szCs w:val="32"/>
          <w:highlight w:val="none"/>
          <w:lang w:eastAsia="zh-CN"/>
          <w14:textFill>
            <w14:solidFill>
              <w14:schemeClr w14:val="tx1"/>
            </w14:solidFill>
          </w14:textFill>
        </w:rPr>
      </w:pPr>
      <w:r>
        <w:rPr>
          <w:rFonts w:hint="eastAsia" w:ascii="宋体" w:hAnsi="宋体" w:eastAsia="宋体"/>
          <w:b/>
          <w:bCs/>
          <w:color w:val="000000" w:themeColor="text1"/>
          <w:sz w:val="32"/>
          <w:szCs w:val="32"/>
          <w:highlight w:val="none"/>
          <w:lang w:eastAsia="zh-CN"/>
          <w14:textFill>
            <w14:solidFill>
              <w14:schemeClr w14:val="tx1"/>
            </w14:solidFill>
          </w14:textFill>
        </w:rPr>
        <w:t>一、投标文件外包装封面及</w:t>
      </w:r>
      <w:r>
        <w:rPr>
          <w:rFonts w:hint="eastAsia" w:ascii="宋体" w:hAnsi="宋体" w:eastAsia="宋体"/>
          <w:b/>
          <w:color w:val="000000" w:themeColor="text1"/>
          <w:sz w:val="32"/>
          <w:szCs w:val="32"/>
          <w:highlight w:val="none"/>
          <w:lang w:eastAsia="zh-CN"/>
          <w14:textFill>
            <w14:solidFill>
              <w14:schemeClr w14:val="tx1"/>
            </w14:solidFill>
          </w14:textFill>
        </w:rPr>
        <w:t>投标文件封面</w:t>
      </w:r>
      <w:r>
        <w:rPr>
          <w:rFonts w:hint="eastAsia" w:ascii="宋体" w:hAnsi="宋体" w:eastAsia="宋体"/>
          <w:b/>
          <w:bCs/>
          <w:color w:val="000000" w:themeColor="text1"/>
          <w:sz w:val="32"/>
          <w:szCs w:val="32"/>
          <w:highlight w:val="none"/>
          <w:lang w:eastAsia="zh-CN"/>
          <w14:textFill>
            <w14:solidFill>
              <w14:schemeClr w14:val="tx1"/>
            </w14:solidFill>
          </w14:textFill>
        </w:rPr>
        <w:t>格式</w:t>
      </w:r>
      <w:bookmarkEnd w:id="213"/>
      <w:bookmarkEnd w:id="214"/>
    </w:p>
    <w:p w14:paraId="42EEE63B">
      <w:pPr>
        <w:snapToGrid w:val="0"/>
        <w:spacing w:after="50" w:line="360" w:lineRule="exact"/>
        <w:rPr>
          <w:rFonts w:ascii="宋体" w:hAnsi="宋体"/>
          <w:b/>
          <w:color w:val="000000" w:themeColor="text1"/>
          <w:szCs w:val="21"/>
          <w:highlight w:val="none"/>
          <w:lang w:eastAsia="zh-CN"/>
          <w14:textFill>
            <w14:solidFill>
              <w14:schemeClr w14:val="tx1"/>
            </w14:solidFill>
          </w14:textFill>
        </w:rPr>
      </w:pPr>
    </w:p>
    <w:p w14:paraId="008DBBE5">
      <w:pPr>
        <w:pStyle w:val="21"/>
        <w:spacing w:line="440" w:lineRule="exact"/>
        <w:rPr>
          <w:rFonts w:hAnsi="宋体" w:cs="宋体"/>
          <w:b/>
          <w:bCs/>
          <w:color w:val="000000" w:themeColor="text1"/>
          <w:sz w:val="24"/>
          <w:szCs w:val="15"/>
          <w:highlight w:val="none"/>
          <w14:textFill>
            <w14:solidFill>
              <w14:schemeClr w14:val="tx1"/>
            </w14:solidFill>
          </w14:textFill>
        </w:rPr>
      </w:pPr>
      <w:r>
        <w:rPr>
          <w:rFonts w:hint="eastAsia" w:hAnsi="宋体" w:cs="宋体"/>
          <w:b/>
          <w:bCs/>
          <w:color w:val="000000" w:themeColor="text1"/>
          <w:sz w:val="24"/>
          <w:szCs w:val="15"/>
          <w:highlight w:val="none"/>
          <w14:textFill>
            <w14:solidFill>
              <w14:schemeClr w14:val="tx1"/>
            </w14:solidFill>
          </w14:textFill>
        </w:rPr>
        <w:t>（一）电子备份投标文件外包封格式：</w:t>
      </w:r>
    </w:p>
    <w:p w14:paraId="5C08F550">
      <w:pPr>
        <w:rPr>
          <w:rFonts w:hAnsi="宋体"/>
          <w:b/>
          <w:bCs/>
          <w:color w:val="000000" w:themeColor="text1"/>
          <w:sz w:val="24"/>
          <w:szCs w:val="15"/>
          <w:highlight w:val="none"/>
          <w:lang w:eastAsia="zh-CN"/>
          <w14:textFill>
            <w14:solidFill>
              <w14:schemeClr w14:val="tx1"/>
            </w14:solidFill>
          </w14:textFill>
        </w:rPr>
      </w:pPr>
    </w:p>
    <w:p w14:paraId="64AC3F35">
      <w:pPr>
        <w:pStyle w:val="108"/>
        <w:rPr>
          <w:rFonts w:hAnsi="宋体"/>
          <w:b/>
          <w:bCs/>
          <w:color w:val="000000" w:themeColor="text1"/>
          <w:sz w:val="24"/>
          <w:szCs w:val="15"/>
          <w:highlight w:val="none"/>
          <w:lang w:eastAsia="zh-CN"/>
          <w14:textFill>
            <w14:solidFill>
              <w14:schemeClr w14:val="tx1"/>
            </w14:solidFill>
          </w14:textFill>
        </w:rPr>
      </w:pPr>
    </w:p>
    <w:p w14:paraId="33CFFA6E">
      <w:pPr>
        <w:pStyle w:val="108"/>
        <w:jc w:val="center"/>
        <w:rPr>
          <w:rFonts w:hAnsi="宋体"/>
          <w:b/>
          <w:bCs/>
          <w:color w:val="000000" w:themeColor="text1"/>
          <w:sz w:val="24"/>
          <w:szCs w:val="15"/>
          <w:highlight w:val="none"/>
          <w:lang w:eastAsia="zh-CN"/>
          <w14:textFill>
            <w14:solidFill>
              <w14:schemeClr w14:val="tx1"/>
            </w14:solidFill>
          </w14:textFill>
        </w:rPr>
      </w:pPr>
      <w:r>
        <w:rPr>
          <w:rFonts w:hint="eastAsia" w:hAnsi="宋体"/>
          <w:b/>
          <w:bCs/>
          <w:color w:val="000000" w:themeColor="text1"/>
          <w:sz w:val="32"/>
          <w:szCs w:val="18"/>
          <w:highlight w:val="none"/>
          <w:lang w:eastAsia="zh-CN"/>
          <w14:textFill>
            <w14:solidFill>
              <w14:schemeClr w14:val="tx1"/>
            </w14:solidFill>
          </w14:textFill>
        </w:rPr>
        <w:t>电子备份投标文件</w:t>
      </w:r>
    </w:p>
    <w:p w14:paraId="2F92358A">
      <w:pPr>
        <w:pStyle w:val="108"/>
        <w:rPr>
          <w:rFonts w:hAnsi="宋体"/>
          <w:b/>
          <w:bCs/>
          <w:color w:val="000000" w:themeColor="text1"/>
          <w:sz w:val="24"/>
          <w:szCs w:val="15"/>
          <w:highlight w:val="none"/>
          <w:lang w:eastAsia="zh-CN"/>
          <w14:textFill>
            <w14:solidFill>
              <w14:schemeClr w14:val="tx1"/>
            </w14:solidFill>
          </w14:textFill>
        </w:rPr>
      </w:pPr>
    </w:p>
    <w:p w14:paraId="1C14EF66">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(1)招标代理机构：</w:t>
      </w:r>
      <w:r>
        <w:rPr>
          <w:rFonts w:hint="eastAsia" w:hAnsi="宋体" w:cs="宋体"/>
          <w:i/>
          <w:iCs/>
          <w:color w:val="000000" w:themeColor="text1"/>
          <w:highlight w:val="none"/>
          <w14:textFill>
            <w14:solidFill>
              <w14:schemeClr w14:val="tx1"/>
            </w14:solidFill>
          </w14:textFill>
        </w:rPr>
        <w:t xml:space="preserve">                </w:t>
      </w:r>
    </w:p>
    <w:p w14:paraId="41AE8AAF">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(2)项目名称：</w:t>
      </w:r>
    </w:p>
    <w:p w14:paraId="57FDCF25">
      <w:pPr>
        <w:pStyle w:val="21"/>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(3)项目编号：</w:t>
      </w:r>
    </w:p>
    <w:p w14:paraId="56BC9853">
      <w:pPr>
        <w:pStyle w:val="21"/>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(4)分标号：  </w:t>
      </w:r>
    </w:p>
    <w:p w14:paraId="689C79CB">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(5)投标人名称（加盖公章）： </w:t>
      </w:r>
    </w:p>
    <w:p w14:paraId="3B8D3BEF">
      <w:pPr>
        <w:pStyle w:val="21"/>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(6)投标人地址：                  </w:t>
      </w:r>
    </w:p>
    <w:p w14:paraId="55224C8C">
      <w:pPr>
        <w:pStyle w:val="21"/>
        <w:spacing w:line="380" w:lineRule="atLeast"/>
        <w:ind w:firstLine="420" w:firstLineChars="2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截标前不得启封</w:t>
      </w:r>
    </w:p>
    <w:p w14:paraId="3DF3447C">
      <w:pPr>
        <w:snapToGrid w:val="0"/>
        <w:spacing w:after="50" w:line="360" w:lineRule="exact"/>
        <w:rPr>
          <w:rFonts w:ascii="宋体" w:hAnsi="宋体" w:eastAsia="宋体"/>
          <w:color w:val="000000" w:themeColor="text1"/>
          <w:sz w:val="21"/>
          <w:szCs w:val="21"/>
          <w:highlight w:val="none"/>
          <w:lang w:eastAsia="zh-CN"/>
          <w14:textFill>
            <w14:solidFill>
              <w14:schemeClr w14:val="tx1"/>
            </w14:solidFill>
          </w14:textFill>
        </w:rPr>
      </w:pPr>
    </w:p>
    <w:p w14:paraId="49083036">
      <w:pPr>
        <w:snapToGrid w:val="0"/>
        <w:spacing w:after="50" w:line="360" w:lineRule="exac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（二）投标文件封面格式：</w:t>
      </w:r>
    </w:p>
    <w:p w14:paraId="4E8FD270">
      <w:pPr>
        <w:snapToGrid w:val="0"/>
        <w:spacing w:after="50" w:line="360" w:lineRule="exac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2A5BF81A">
      <w:pPr>
        <w:snapToGrid w:val="0"/>
        <w:spacing w:before="120" w:beforeLines="50" w:after="50" w:line="360" w:lineRule="exact"/>
        <w:jc w:val="center"/>
        <w:outlineLvl w:val="1"/>
        <w:rPr>
          <w:rFonts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投 标 文 件</w:t>
      </w:r>
    </w:p>
    <w:p w14:paraId="0F303BD0">
      <w:pPr>
        <w:rPr>
          <w:rFonts w:ascii="宋体" w:hAnsi="宋体"/>
          <w:color w:val="000000" w:themeColor="text1"/>
          <w:sz w:val="21"/>
          <w:szCs w:val="21"/>
          <w:highlight w:val="none"/>
          <w:lang w:eastAsia="zh-CN"/>
          <w14:textFill>
            <w14:solidFill>
              <w14:schemeClr w14:val="tx1"/>
            </w14:solidFill>
          </w14:textFill>
        </w:rPr>
      </w:pPr>
    </w:p>
    <w:p w14:paraId="1BBFAB27">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（资格文件/报价文件/商务技术文件）</w:t>
      </w:r>
    </w:p>
    <w:p w14:paraId="05253F75">
      <w:pPr>
        <w:snapToGrid w:val="0"/>
        <w:spacing w:after="50" w:line="360" w:lineRule="exact"/>
        <w:rPr>
          <w:rFonts w:ascii="宋体" w:hAnsi="宋体" w:eastAsia="宋体"/>
          <w:bCs/>
          <w:color w:val="000000" w:themeColor="text1"/>
          <w:sz w:val="21"/>
          <w:szCs w:val="21"/>
          <w:highlight w:val="none"/>
          <w:lang w:eastAsia="zh-CN"/>
          <w14:textFill>
            <w14:solidFill>
              <w14:schemeClr w14:val="tx1"/>
            </w14:solidFill>
          </w14:textFill>
        </w:rPr>
      </w:pPr>
    </w:p>
    <w:p w14:paraId="2953C6E1">
      <w:pPr>
        <w:snapToGrid w:val="0"/>
        <w:spacing w:after="50" w:line="360" w:lineRule="exact"/>
        <w:ind w:firstLine="630" w:firstLineChars="3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项目名称：</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14:textFill>
            <w14:solidFill>
              <w14:schemeClr w14:val="tx1"/>
            </w14:solidFill>
          </w14:textFill>
        </w:rPr>
        <w:t xml:space="preserve"> </w:t>
      </w:r>
    </w:p>
    <w:p w14:paraId="2838F5DA">
      <w:pPr>
        <w:snapToGrid w:val="0"/>
        <w:spacing w:after="50" w:line="360" w:lineRule="exact"/>
        <w:ind w:firstLine="630" w:firstLineChars="300"/>
        <w:rPr>
          <w:rFonts w:ascii="宋体" w:hAnsi="宋体" w:eastAsia="宋体"/>
          <w:bCs/>
          <w:color w:val="000000" w:themeColor="text1"/>
          <w:sz w:val="21"/>
          <w:szCs w:val="21"/>
          <w:highlight w:val="none"/>
          <w:u w:val="singl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项目编号：</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p>
    <w:p w14:paraId="722C9FF6">
      <w:pPr>
        <w:pStyle w:val="21"/>
        <w:spacing w:line="380" w:lineRule="atLeast"/>
        <w:ind w:firstLine="630" w:firstLineChars="3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分 标 号：</w:t>
      </w:r>
      <w:r>
        <w:rPr>
          <w:rFonts w:hint="eastAsia" w:hAnsi="宋体"/>
          <w:bCs/>
          <w:color w:val="000000" w:themeColor="text1"/>
          <w:szCs w:val="2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14:paraId="754FF1D1">
      <w:pPr>
        <w:pStyle w:val="13"/>
        <w:snapToGrid w:val="0"/>
        <w:spacing w:after="50" w:line="360" w:lineRule="exact"/>
        <w:ind w:firstLine="630" w:firstLineChars="3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投标人名称：</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14:textFill>
            <w14:solidFill>
              <w14:schemeClr w14:val="tx1"/>
            </w14:solidFill>
          </w14:textFill>
        </w:rPr>
        <w:t>（盖单位公章）</w:t>
      </w:r>
    </w:p>
    <w:p w14:paraId="087800BF">
      <w:pPr>
        <w:snapToGrid w:val="0"/>
        <w:spacing w:after="50" w:line="360" w:lineRule="exact"/>
        <w:ind w:firstLine="630" w:firstLineChars="3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投标人地址：</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14:textFill>
            <w14:solidFill>
              <w14:schemeClr w14:val="tx1"/>
            </w14:solidFill>
          </w14:textFill>
        </w:rPr>
        <w:t xml:space="preserve"> </w:t>
      </w:r>
    </w:p>
    <w:p w14:paraId="33764831">
      <w:pPr>
        <w:snapToGrid w:val="0"/>
        <w:spacing w:after="50" w:line="360" w:lineRule="exact"/>
        <w:jc w:val="center"/>
        <w:outlineLvl w:val="1"/>
        <w:rPr>
          <w:rFonts w:ascii="宋体" w:hAnsi="宋体" w:eastAsia="宋体"/>
          <w:bCs/>
          <w:color w:val="000000" w:themeColor="text1"/>
          <w:sz w:val="21"/>
          <w:szCs w:val="21"/>
          <w:highlight w:val="none"/>
          <w:lang w:eastAsia="zh-CN"/>
          <w14:textFill>
            <w14:solidFill>
              <w14:schemeClr w14:val="tx1"/>
            </w14:solidFill>
          </w14:textFill>
        </w:rPr>
      </w:pPr>
    </w:p>
    <w:p w14:paraId="431455F5">
      <w:pPr>
        <w:snapToGrid w:val="0"/>
        <w:spacing w:after="50" w:line="360" w:lineRule="exact"/>
        <w:jc w:val="center"/>
        <w:outlineLvl w:val="1"/>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年    月    日</w:t>
      </w:r>
      <w:bookmarkStart w:id="215" w:name="_Toc254970698"/>
      <w:bookmarkStart w:id="216" w:name="_Toc254970557"/>
    </w:p>
    <w:p w14:paraId="378E569E">
      <w:pPr>
        <w:snapToGrid w:val="0"/>
        <w:spacing w:after="50" w:line="360" w:lineRule="exact"/>
        <w:ind w:firstLine="420" w:firstLineChars="200"/>
        <w:jc w:val="left"/>
        <w:outlineLvl w:val="1"/>
        <w:rPr>
          <w:rFonts w:ascii="宋体" w:hAnsi="宋体" w:eastAsia="宋体"/>
          <w:bCs/>
          <w:color w:val="000000" w:themeColor="text1"/>
          <w:sz w:val="21"/>
          <w:szCs w:val="21"/>
          <w:highlight w:val="none"/>
          <w:lang w:eastAsia="zh-CN"/>
          <w14:textFill>
            <w14:solidFill>
              <w14:schemeClr w14:val="tx1"/>
            </w14:solidFill>
          </w14:textFill>
        </w:rPr>
      </w:pPr>
    </w:p>
    <w:p w14:paraId="2FD7097C">
      <w:pPr>
        <w:pStyle w:val="55"/>
        <w:rPr>
          <w:rFonts w:ascii="宋体" w:hAnsi="宋体" w:eastAsia="宋体"/>
          <w:b/>
          <w:color w:val="000000" w:themeColor="text1"/>
          <w:sz w:val="21"/>
          <w:szCs w:val="21"/>
          <w:highlight w:val="none"/>
          <w:lang w:eastAsia="zh-CN"/>
          <w14:textFill>
            <w14:solidFill>
              <w14:schemeClr w14:val="tx1"/>
            </w14:solidFill>
          </w14:textFill>
        </w:rPr>
      </w:pPr>
    </w:p>
    <w:p w14:paraId="1FE905CE">
      <w:pPr>
        <w:pStyle w:val="55"/>
        <w:rPr>
          <w:rFonts w:ascii="宋体" w:hAnsi="宋体" w:eastAsia="宋体"/>
          <w:b/>
          <w:color w:val="000000" w:themeColor="text1"/>
          <w:sz w:val="21"/>
          <w:szCs w:val="21"/>
          <w:highlight w:val="none"/>
          <w:lang w:eastAsia="zh-CN"/>
          <w14:textFill>
            <w14:solidFill>
              <w14:schemeClr w14:val="tx1"/>
            </w14:solidFill>
          </w14:textFill>
        </w:rPr>
      </w:pPr>
    </w:p>
    <w:p w14:paraId="34D25111">
      <w:pPr>
        <w:pStyle w:val="55"/>
        <w:rPr>
          <w:rFonts w:ascii="宋体" w:hAnsi="宋体" w:eastAsia="宋体"/>
          <w:b/>
          <w:color w:val="000000" w:themeColor="text1"/>
          <w:sz w:val="21"/>
          <w:szCs w:val="21"/>
          <w:highlight w:val="none"/>
          <w:lang w:eastAsia="zh-CN"/>
          <w14:textFill>
            <w14:solidFill>
              <w14:schemeClr w14:val="tx1"/>
            </w14:solidFill>
          </w14:textFill>
        </w:rPr>
      </w:pPr>
    </w:p>
    <w:p w14:paraId="5A238B32">
      <w:pPr>
        <w:pStyle w:val="55"/>
        <w:rPr>
          <w:rFonts w:ascii="宋体" w:hAnsi="宋体" w:eastAsia="宋体"/>
          <w:b/>
          <w:color w:val="000000" w:themeColor="text1"/>
          <w:sz w:val="21"/>
          <w:szCs w:val="21"/>
          <w:highlight w:val="none"/>
          <w:lang w:eastAsia="zh-CN"/>
          <w14:textFill>
            <w14:solidFill>
              <w14:schemeClr w14:val="tx1"/>
            </w14:solidFill>
          </w14:textFill>
        </w:rPr>
      </w:pPr>
    </w:p>
    <w:p w14:paraId="4E619E6A">
      <w:pPr>
        <w:pStyle w:val="55"/>
        <w:rPr>
          <w:color w:val="000000" w:themeColor="text1"/>
          <w:highlight w:val="none"/>
          <w:lang w:eastAsia="zh-CN"/>
          <w14:textFill>
            <w14:solidFill>
              <w14:schemeClr w14:val="tx1"/>
            </w14:solidFill>
          </w14:textFill>
        </w:rPr>
      </w:pPr>
    </w:p>
    <w:p w14:paraId="6D04D32F">
      <w:pPr>
        <w:snapToGrid w:val="0"/>
        <w:spacing w:before="120" w:beforeLines="50" w:after="50" w:line="360" w:lineRule="exact"/>
        <w:jc w:val="center"/>
        <w:outlineLvl w:val="1"/>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32"/>
          <w:szCs w:val="32"/>
          <w:highlight w:val="none"/>
          <w:lang w:eastAsia="zh-CN"/>
          <w14:textFill>
            <w14:solidFill>
              <w14:schemeClr w14:val="tx1"/>
            </w14:solidFill>
          </w14:textFill>
        </w:rPr>
        <w:t>二、投标文件</w:t>
      </w:r>
      <w:bookmarkEnd w:id="215"/>
      <w:bookmarkEnd w:id="216"/>
      <w:r>
        <w:rPr>
          <w:rFonts w:hint="eastAsia" w:ascii="宋体" w:hAnsi="宋体" w:eastAsia="宋体"/>
          <w:b/>
          <w:bCs/>
          <w:color w:val="000000" w:themeColor="text1"/>
          <w:sz w:val="32"/>
          <w:szCs w:val="32"/>
          <w:highlight w:val="none"/>
          <w:lang w:eastAsia="zh-CN"/>
          <w14:textFill>
            <w14:solidFill>
              <w14:schemeClr w14:val="tx1"/>
            </w14:solidFill>
          </w14:textFill>
        </w:rPr>
        <w:t>目录</w:t>
      </w:r>
    </w:p>
    <w:p w14:paraId="7BD37573">
      <w:pPr>
        <w:wordWrap w:val="0"/>
        <w:topLinePunct/>
        <w:adjustRightInd w:val="0"/>
        <w:snapToGrid w:val="0"/>
        <w:spacing w:line="340" w:lineRule="exact"/>
        <w:ind w:firstLine="240" w:firstLineChars="100"/>
        <w:jc w:val="center"/>
        <w:rPr>
          <w:rFonts w:ascii="宋体" w:hAnsi="宋体" w:eastAsia="宋体"/>
          <w:b/>
          <w:color w:val="000000" w:themeColor="text1"/>
          <w:sz w:val="21"/>
          <w:szCs w:val="21"/>
          <w:highlight w:val="none"/>
          <w:lang w:eastAsia="zh-CN"/>
          <w14:textFill>
            <w14:solidFill>
              <w14:schemeClr w14:val="tx1"/>
            </w14:solidFill>
          </w14:textFill>
        </w:rPr>
      </w:pPr>
      <w:r>
        <w:rPr>
          <w:rFonts w:hint="eastAsia" w:hAnsi="宋体"/>
          <w:color w:val="000000" w:themeColor="text1"/>
          <w:sz w:val="24"/>
          <w:szCs w:val="1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投标人应按下列顺序自编目录及页码</w:t>
      </w:r>
      <w:r>
        <w:rPr>
          <w:rFonts w:hint="eastAsia" w:hAnsi="宋体"/>
          <w:color w:val="000000" w:themeColor="text1"/>
          <w:sz w:val="24"/>
          <w:szCs w:val="11"/>
          <w:highlight w:val="none"/>
          <w:lang w:eastAsia="zh-CN"/>
          <w14:textFill>
            <w14:solidFill>
              <w14:schemeClr w14:val="tx1"/>
            </w14:solidFill>
          </w14:textFill>
        </w:rPr>
        <w:t>）</w:t>
      </w:r>
    </w:p>
    <w:p w14:paraId="7E2ACEAF">
      <w:pPr>
        <w:pStyle w:val="21"/>
        <w:jc w:val="center"/>
        <w:rPr>
          <w:rFonts w:hAnsi="宋体" w:cs="宋体"/>
          <w:b/>
          <w:bCs/>
          <w:color w:val="000000" w:themeColor="text1"/>
          <w:sz w:val="24"/>
          <w:szCs w:val="11"/>
          <w:highlight w:val="none"/>
          <w14:textFill>
            <w14:solidFill>
              <w14:schemeClr w14:val="tx1"/>
            </w14:solidFill>
          </w14:textFill>
        </w:rPr>
      </w:pPr>
      <w:r>
        <w:rPr>
          <w:rFonts w:hint="eastAsia" w:hAnsi="宋体" w:cs="宋体"/>
          <w:b/>
          <w:bCs/>
          <w:color w:val="000000" w:themeColor="text1"/>
          <w:sz w:val="24"/>
          <w:szCs w:val="11"/>
          <w:highlight w:val="none"/>
          <w14:textFill>
            <w14:solidFill>
              <w14:schemeClr w14:val="tx1"/>
            </w14:solidFill>
          </w14:textFill>
        </w:rPr>
        <w:t>资格文件目录</w:t>
      </w:r>
    </w:p>
    <w:p w14:paraId="0C00113A">
      <w:pPr>
        <w:wordWrap w:val="0"/>
        <w:overflowPunct w:val="0"/>
        <w:topLinePunct/>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（1）投标人为法人或者其他组织的，提供营业执照等证明文件（如营业执照或者事业单位法人证书或者执业许可证等），投标人为自然人的，提供身份证复印件；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7DE63384">
      <w:pPr>
        <w:wordWrap w:val="0"/>
        <w:overflowPunct w:val="0"/>
        <w:topLinePunct/>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（2）投标人依法缴纳税收的相关材料（2025年</w:t>
      </w:r>
      <w:r>
        <w:rPr>
          <w:rFonts w:hint="eastAsia" w:ascii="宋体" w:hAnsi="宋体" w:eastAsia="宋体"/>
          <w:color w:val="000000" w:themeColor="text1"/>
          <w:sz w:val="21"/>
          <w:szCs w:val="21"/>
          <w:highlight w:val="none"/>
          <w:lang w:val="en-US" w:eastAsia="zh-CN"/>
          <w14:textFill>
            <w14:solidFill>
              <w14:schemeClr w14:val="tx1"/>
            </w14:solidFill>
          </w14:textFill>
        </w:rPr>
        <w:t>9</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6061AAA8">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（3）投标人依法缴纳社会保障资金的相关材料[2025年</w:t>
      </w:r>
      <w:r>
        <w:rPr>
          <w:rFonts w:hint="eastAsia" w:ascii="宋体" w:hAnsi="宋体" w:eastAsia="宋体"/>
          <w:color w:val="000000" w:themeColor="text1"/>
          <w:sz w:val="21"/>
          <w:szCs w:val="21"/>
          <w:highlight w:val="none"/>
          <w:lang w:val="en-US" w:eastAsia="zh-CN"/>
          <w14:textFill>
            <w14:solidFill>
              <w14:schemeClr w14:val="tx1"/>
            </w14:solidFill>
          </w14:textFill>
        </w:rPr>
        <w:t>9</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（必须提供，否则作无效投标处理）   </w:t>
      </w:r>
    </w:p>
    <w:p w14:paraId="29BF7401">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（4）供应商财务状况报告[2024或</w:t>
      </w:r>
      <w:r>
        <w:rPr>
          <w:rFonts w:hint="eastAsia" w:ascii="宋体" w:hAnsi="宋体" w:eastAsia="宋体"/>
          <w:color w:val="000000" w:themeColor="text1"/>
          <w:sz w:val="21"/>
          <w:szCs w:val="21"/>
          <w:highlight w:val="none"/>
          <w:lang w:val="en-US" w:eastAsia="zh-CN"/>
          <w14:textFill>
            <w14:solidFill>
              <w14:schemeClr w14:val="tx1"/>
            </w14:solidFill>
          </w14:textFill>
        </w:rPr>
        <w:t>2025</w:t>
      </w:r>
      <w:r>
        <w:rPr>
          <w:rFonts w:hint="eastAsia" w:ascii="宋体" w:hAnsi="宋体" w:eastAsia="宋体"/>
          <w:color w:val="000000" w:themeColor="text1"/>
          <w:sz w:val="21"/>
          <w:szCs w:val="21"/>
          <w:highlight w:val="none"/>
          <w:lang w:eastAsia="zh-CN"/>
          <w14:textFill>
            <w14:solidFill>
              <w14:schemeClr w14:val="tx1"/>
            </w14:solidFill>
          </w14:textFill>
        </w:rPr>
        <w:t>年度财务状况报告复印件，供应商是法人的，应提供财务状况报告（包括资产负债表、利润表、现金流量表）或者其基本开户银行出具的资信证明（注明有效期的，应在有效期内；未注明有效期的，出具时间至投标截止时间不超过一年）；供应商是其他组织或者自然人的，应提供财务状况报告（包括资产负债表、利润表、现金流量表，)或者银行出具的资信证明（注明有效期的，应在有效期内；未注明有效期的，出具时间至投标截止时间不超过一年）]；</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3F8C28F1">
      <w:pPr>
        <w:adjustRightInd w:val="0"/>
        <w:snapToGrid w:val="0"/>
        <w:spacing w:line="360" w:lineRule="exact"/>
        <w:ind w:firstLine="422"/>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（5）投标声明函（格式后附）；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6F0B4367">
      <w:pPr>
        <w:adjustRightInd w:val="0"/>
        <w:snapToGrid w:val="0"/>
        <w:spacing w:line="360" w:lineRule="exact"/>
        <w:ind w:firstLine="422"/>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（6）投标人股东及出资信息表、管理关系信息表（格式后附）；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52D1EEFD">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（7）投标人有效的医疗器械生产许可证或有效的医疗器械经营备案凭证或许可证原件扫描件或复印件；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(必须提供，否则按无效投标处理）</w:t>
      </w:r>
    </w:p>
    <w:p w14:paraId="00AFA004">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（8）投标人所投设备有效医疗器械注册证原件扫描件或复印件；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(如涉及2类、3类医疗器械时必须提供，1类医疗器械如有请提供，不涉及医疗器械不提供，否则作无效投标处理)</w:t>
      </w:r>
    </w:p>
    <w:p w14:paraId="6FD023BA">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投标保证金缴纳证明材料；</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14:paraId="7D19C8C5">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（10）除招标文件规定必须提供以外，投标人认为需要提供的其他证明材料。</w:t>
      </w:r>
    </w:p>
    <w:p w14:paraId="0DE14C6B">
      <w:pPr>
        <w:pStyle w:val="56"/>
        <w:rPr>
          <w:rFonts w:hAnsi="宋体" w:eastAsia="宋体"/>
          <w:color w:val="000000" w:themeColor="text1"/>
          <w:sz w:val="21"/>
          <w:szCs w:val="21"/>
          <w:highlight w:val="none"/>
          <w14:textFill>
            <w14:solidFill>
              <w14:schemeClr w14:val="tx1"/>
            </w14:solidFill>
          </w14:textFill>
        </w:rPr>
      </w:pPr>
    </w:p>
    <w:p w14:paraId="21C2C8BE">
      <w:pPr>
        <w:pStyle w:val="56"/>
        <w:rPr>
          <w:rFonts w:hAnsi="宋体" w:eastAsia="宋体"/>
          <w:color w:val="000000" w:themeColor="text1"/>
          <w:sz w:val="21"/>
          <w:szCs w:val="21"/>
          <w:highlight w:val="none"/>
          <w14:textFill>
            <w14:solidFill>
              <w14:schemeClr w14:val="tx1"/>
            </w14:solidFill>
          </w14:textFill>
        </w:rPr>
      </w:pPr>
    </w:p>
    <w:p w14:paraId="7A10AC27">
      <w:pPr>
        <w:pStyle w:val="56"/>
        <w:rPr>
          <w:rFonts w:hAnsi="宋体" w:eastAsia="宋体"/>
          <w:color w:val="000000" w:themeColor="text1"/>
          <w:sz w:val="21"/>
          <w:szCs w:val="21"/>
          <w:highlight w:val="none"/>
          <w14:textFill>
            <w14:solidFill>
              <w14:schemeClr w14:val="tx1"/>
            </w14:solidFill>
          </w14:textFill>
        </w:rPr>
      </w:pPr>
    </w:p>
    <w:p w14:paraId="42ED1EE0">
      <w:pPr>
        <w:pStyle w:val="56"/>
        <w:rPr>
          <w:rFonts w:hAnsi="宋体" w:eastAsia="宋体"/>
          <w:color w:val="000000" w:themeColor="text1"/>
          <w:sz w:val="21"/>
          <w:szCs w:val="21"/>
          <w:highlight w:val="none"/>
          <w14:textFill>
            <w14:solidFill>
              <w14:schemeClr w14:val="tx1"/>
            </w14:solidFill>
          </w14:textFill>
        </w:rPr>
      </w:pPr>
    </w:p>
    <w:p w14:paraId="23187139">
      <w:pPr>
        <w:pStyle w:val="56"/>
        <w:rPr>
          <w:rFonts w:hAnsi="宋体" w:eastAsia="宋体"/>
          <w:color w:val="000000" w:themeColor="text1"/>
          <w:sz w:val="21"/>
          <w:szCs w:val="21"/>
          <w:highlight w:val="none"/>
          <w14:textFill>
            <w14:solidFill>
              <w14:schemeClr w14:val="tx1"/>
            </w14:solidFill>
          </w14:textFill>
        </w:rPr>
      </w:pPr>
    </w:p>
    <w:p w14:paraId="644147FC">
      <w:pPr>
        <w:pStyle w:val="56"/>
        <w:rPr>
          <w:rFonts w:hAnsi="宋体" w:eastAsia="宋体"/>
          <w:color w:val="000000" w:themeColor="text1"/>
          <w:sz w:val="21"/>
          <w:szCs w:val="21"/>
          <w:highlight w:val="none"/>
          <w14:textFill>
            <w14:solidFill>
              <w14:schemeClr w14:val="tx1"/>
            </w14:solidFill>
          </w14:textFill>
        </w:rPr>
      </w:pPr>
    </w:p>
    <w:p w14:paraId="400DC716">
      <w:pPr>
        <w:pStyle w:val="27"/>
        <w:ind w:firstLine="420" w:firstLineChars="200"/>
        <w:rPr>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注：供应商在广西政府采购云平台新版客户端编制资格文件时，可在营业执照处同时上传资格文件封面及目录。</w:t>
      </w:r>
    </w:p>
    <w:p w14:paraId="6C166B0F">
      <w:pPr>
        <w:pStyle w:val="56"/>
        <w:rPr>
          <w:rFonts w:hAnsi="宋体" w:eastAsia="宋体"/>
          <w:color w:val="000000" w:themeColor="text1"/>
          <w:sz w:val="21"/>
          <w:szCs w:val="21"/>
          <w:highlight w:val="none"/>
          <w14:textFill>
            <w14:solidFill>
              <w14:schemeClr w14:val="tx1"/>
            </w14:solidFill>
          </w14:textFill>
        </w:rPr>
      </w:pPr>
    </w:p>
    <w:p w14:paraId="20D45F07">
      <w:pPr>
        <w:pStyle w:val="56"/>
        <w:rPr>
          <w:rFonts w:hAnsi="宋体" w:eastAsia="宋体"/>
          <w:color w:val="000000" w:themeColor="text1"/>
          <w:sz w:val="21"/>
          <w:szCs w:val="21"/>
          <w:highlight w:val="none"/>
          <w14:textFill>
            <w14:solidFill>
              <w14:schemeClr w14:val="tx1"/>
            </w14:solidFill>
          </w14:textFill>
        </w:rPr>
      </w:pPr>
    </w:p>
    <w:p w14:paraId="1A7C5061">
      <w:pPr>
        <w:pStyle w:val="56"/>
        <w:rPr>
          <w:rFonts w:hAnsi="宋体" w:eastAsia="宋体"/>
          <w:color w:val="000000" w:themeColor="text1"/>
          <w:sz w:val="21"/>
          <w:szCs w:val="21"/>
          <w:highlight w:val="none"/>
          <w14:textFill>
            <w14:solidFill>
              <w14:schemeClr w14:val="tx1"/>
            </w14:solidFill>
          </w14:textFill>
        </w:rPr>
      </w:pPr>
    </w:p>
    <w:p w14:paraId="7AE5635C">
      <w:pPr>
        <w:pStyle w:val="56"/>
        <w:rPr>
          <w:rFonts w:hAnsi="宋体" w:eastAsia="宋体"/>
          <w:color w:val="000000" w:themeColor="text1"/>
          <w:sz w:val="21"/>
          <w:szCs w:val="21"/>
          <w:highlight w:val="none"/>
          <w14:textFill>
            <w14:solidFill>
              <w14:schemeClr w14:val="tx1"/>
            </w14:solidFill>
          </w14:textFill>
        </w:rPr>
      </w:pPr>
    </w:p>
    <w:p w14:paraId="2BC45110">
      <w:pPr>
        <w:pStyle w:val="21"/>
        <w:jc w:val="center"/>
        <w:rPr>
          <w:rFonts w:hAnsi="宋体" w:cs="宋体"/>
          <w:b/>
          <w:bCs/>
          <w:color w:val="000000" w:themeColor="text1"/>
          <w:sz w:val="24"/>
          <w:szCs w:val="11"/>
          <w:highlight w:val="none"/>
          <w14:textFill>
            <w14:solidFill>
              <w14:schemeClr w14:val="tx1"/>
            </w14:solidFill>
          </w14:textFill>
        </w:rPr>
      </w:pPr>
      <w:r>
        <w:rPr>
          <w:rFonts w:hint="eastAsia" w:hAnsi="宋体" w:cs="宋体"/>
          <w:b/>
          <w:bCs/>
          <w:color w:val="000000" w:themeColor="text1"/>
          <w:sz w:val="24"/>
          <w:szCs w:val="11"/>
          <w:highlight w:val="none"/>
          <w14:textFill>
            <w14:solidFill>
              <w14:schemeClr w14:val="tx1"/>
            </w14:solidFill>
          </w14:textFill>
        </w:rPr>
        <w:t>报价文件目录</w:t>
      </w:r>
    </w:p>
    <w:p w14:paraId="7B2D39D3">
      <w:pPr>
        <w:pStyle w:val="27"/>
        <w:rPr>
          <w:rFonts w:ascii="宋体" w:hAnsi="宋体" w:eastAsia="宋体"/>
          <w:color w:val="000000" w:themeColor="text1"/>
          <w:sz w:val="21"/>
          <w:szCs w:val="21"/>
          <w:highlight w:val="none"/>
          <w:lang w:eastAsia="zh-CN"/>
          <w14:textFill>
            <w14:solidFill>
              <w14:schemeClr w14:val="tx1"/>
            </w14:solidFill>
          </w14:textFill>
        </w:rPr>
      </w:pPr>
    </w:p>
    <w:p w14:paraId="21AA15F1">
      <w:pPr>
        <w:tabs>
          <w:tab w:val="left" w:pos="1276"/>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（1）投标函</w:t>
      </w:r>
      <w:r>
        <w:rPr>
          <w:rFonts w:hint="eastAsia" w:ascii="宋体" w:hAnsi="宋体" w:eastAsia="宋体"/>
          <w:b/>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4B622657">
      <w:pPr>
        <w:tabs>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（2）开标一览表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14:paraId="2C79558F">
      <w:pPr>
        <w:tabs>
          <w:tab w:val="left" w:pos="3870"/>
          <w:tab w:val="left" w:pos="4085"/>
        </w:tabs>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（3）投标报价明细表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14:paraId="79303001">
      <w:pPr>
        <w:pStyle w:val="55"/>
        <w:wordWrap w:val="0"/>
        <w:overflowPunct w:val="0"/>
        <w:topLinePunct/>
        <w:ind w:firstLine="460" w:firstLineChars="200"/>
        <w:rPr>
          <w:color w:val="000000" w:themeColor="text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（4）投标人针对报价需要说明的其他文件和说明</w:t>
      </w:r>
      <w:r>
        <w:rPr>
          <w:rFonts w:hint="eastAsia" w:ascii="宋体" w:hAnsi="宋体" w:eastAsia="宋体"/>
          <w:b/>
          <w:bCs w:val="0"/>
          <w:color w:val="000000" w:themeColor="text1"/>
          <w:sz w:val="21"/>
          <w:szCs w:val="21"/>
          <w:highlight w:val="none"/>
          <w:lang w:eastAsia="zh-CN"/>
          <w14:textFill>
            <w14:solidFill>
              <w14:schemeClr w14:val="tx1"/>
            </w14:solidFill>
          </w14:textFill>
        </w:rPr>
        <w:t>（格式自拟）</w:t>
      </w:r>
      <w:r>
        <w:rPr>
          <w:rFonts w:hint="eastAsia" w:ascii="宋体" w:hAnsi="宋体" w:eastAsia="宋体"/>
          <w:color w:val="000000" w:themeColor="text1"/>
          <w:sz w:val="21"/>
          <w:szCs w:val="21"/>
          <w:highlight w:val="none"/>
          <w:lang w:eastAsia="zh-CN"/>
          <w14:textFill>
            <w14:solidFill>
              <w14:schemeClr w14:val="tx1"/>
            </w14:solidFill>
          </w14:textFill>
        </w:rPr>
        <w:t>；</w:t>
      </w:r>
    </w:p>
    <w:p w14:paraId="4D4CF965">
      <w:pPr>
        <w:tabs>
          <w:tab w:val="left" w:pos="1276"/>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p>
    <w:p w14:paraId="23A2B03E">
      <w:pPr>
        <w:pStyle w:val="56"/>
        <w:rPr>
          <w:rFonts w:hAnsi="宋体" w:eastAsia="宋体"/>
          <w:color w:val="000000" w:themeColor="text1"/>
          <w:sz w:val="21"/>
          <w:szCs w:val="21"/>
          <w:highlight w:val="none"/>
          <w14:textFill>
            <w14:solidFill>
              <w14:schemeClr w14:val="tx1"/>
            </w14:solidFill>
          </w14:textFill>
        </w:rPr>
      </w:pPr>
    </w:p>
    <w:p w14:paraId="7805A914">
      <w:pPr>
        <w:pStyle w:val="56"/>
        <w:rPr>
          <w:rFonts w:hAnsi="宋体" w:eastAsia="宋体"/>
          <w:color w:val="000000" w:themeColor="text1"/>
          <w:sz w:val="21"/>
          <w:szCs w:val="21"/>
          <w:highlight w:val="none"/>
          <w14:textFill>
            <w14:solidFill>
              <w14:schemeClr w14:val="tx1"/>
            </w14:solidFill>
          </w14:textFill>
        </w:rPr>
      </w:pPr>
    </w:p>
    <w:p w14:paraId="7FA8F26D">
      <w:pPr>
        <w:pStyle w:val="56"/>
        <w:rPr>
          <w:rFonts w:hAnsi="宋体" w:eastAsia="宋体"/>
          <w:color w:val="000000" w:themeColor="text1"/>
          <w:sz w:val="21"/>
          <w:szCs w:val="21"/>
          <w:highlight w:val="none"/>
          <w14:textFill>
            <w14:solidFill>
              <w14:schemeClr w14:val="tx1"/>
            </w14:solidFill>
          </w14:textFill>
        </w:rPr>
      </w:pPr>
    </w:p>
    <w:p w14:paraId="0817B4CC">
      <w:pPr>
        <w:pStyle w:val="56"/>
        <w:rPr>
          <w:rFonts w:hAnsi="宋体" w:eastAsia="宋体"/>
          <w:color w:val="000000" w:themeColor="text1"/>
          <w:sz w:val="21"/>
          <w:szCs w:val="21"/>
          <w:highlight w:val="none"/>
          <w14:textFill>
            <w14:solidFill>
              <w14:schemeClr w14:val="tx1"/>
            </w14:solidFill>
          </w14:textFill>
        </w:rPr>
      </w:pPr>
    </w:p>
    <w:p w14:paraId="7EB2DF0F">
      <w:pPr>
        <w:pStyle w:val="21"/>
        <w:jc w:val="center"/>
        <w:rPr>
          <w:rFonts w:hAnsi="宋体" w:cs="宋体"/>
          <w:b/>
          <w:bCs/>
          <w:color w:val="000000" w:themeColor="text1"/>
          <w:sz w:val="24"/>
          <w:szCs w:val="11"/>
          <w:highlight w:val="none"/>
          <w14:textFill>
            <w14:solidFill>
              <w14:schemeClr w14:val="tx1"/>
            </w14:solidFill>
          </w14:textFill>
        </w:rPr>
      </w:pPr>
      <w:r>
        <w:rPr>
          <w:rFonts w:hint="eastAsia" w:hAnsi="宋体" w:cs="宋体"/>
          <w:b/>
          <w:bCs/>
          <w:color w:val="000000" w:themeColor="text1"/>
          <w:sz w:val="24"/>
          <w:szCs w:val="11"/>
          <w:highlight w:val="none"/>
          <w14:textFill>
            <w14:solidFill>
              <w14:schemeClr w14:val="tx1"/>
            </w14:solidFill>
          </w14:textFill>
        </w:rPr>
        <w:t>商务技术文件目录</w:t>
      </w:r>
    </w:p>
    <w:p w14:paraId="4160FDDD">
      <w:pPr>
        <w:pStyle w:val="55"/>
        <w:wordWrap w:val="0"/>
        <w:overflowPunct w:val="0"/>
        <w:topLinePunct/>
        <w:ind w:firstLine="460" w:firstLineChars="200"/>
        <w:rPr>
          <w:rFonts w:ascii="宋体" w:hAnsi="宋体" w:eastAsia="宋体"/>
          <w:color w:val="000000" w:themeColor="text1"/>
          <w:sz w:val="21"/>
          <w:szCs w:val="21"/>
          <w:highlight w:val="none"/>
          <w:lang w:eastAsia="zh-CN"/>
          <w14:textFill>
            <w14:solidFill>
              <w14:schemeClr w14:val="tx1"/>
            </w14:solidFill>
          </w14:textFill>
        </w:rPr>
      </w:pPr>
    </w:p>
    <w:p w14:paraId="48D71683">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（一）商务文件</w:t>
      </w:r>
    </w:p>
    <w:p w14:paraId="436025F5">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（1）无串通投标行为的承诺函 </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14:paraId="340DE205">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（2）法定代表人资格证明书及身份证复印件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p>
    <w:p w14:paraId="74D8B547">
      <w:pPr>
        <w:wordWrap w:val="0"/>
        <w:topLinePunct/>
        <w:adjustRightInd w:val="0"/>
        <w:snapToGrid w:val="0"/>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（3）法定代表人授权委托书和委托代理人身份证复印件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（委托代理时必须提供）；</w:t>
      </w:r>
    </w:p>
    <w:p w14:paraId="3F792C4C">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（4）商务响应表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14:paraId="1DC2B71E">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（5）产品代理资格证复印件或针对本项目的授权书证明文件；</w:t>
      </w:r>
    </w:p>
    <w:p w14:paraId="4850A4F8">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（6）招标项目采购需求中要求必须提供的材料</w:t>
      </w:r>
      <w:r>
        <w:rPr>
          <w:rFonts w:hint="eastAsia" w:ascii="宋体" w:hAnsi="宋体" w:eastAsia="宋体"/>
          <w:b w:val="0"/>
          <w:bCs w:val="0"/>
          <w:color w:val="000000" w:themeColor="text1"/>
          <w:sz w:val="21"/>
          <w:szCs w:val="21"/>
          <w:highlight w:val="none"/>
          <w:lang w:eastAsia="zh-CN"/>
          <w14:textFill>
            <w14:solidFill>
              <w14:schemeClr w14:val="tx1"/>
            </w14:solidFill>
          </w14:textFill>
        </w:rPr>
        <w:t>；</w:t>
      </w:r>
    </w:p>
    <w:p w14:paraId="359FFC71">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（7）投标人认为可以证明其能力或业绩的其他材料</w:t>
      </w:r>
      <w:r>
        <w:rPr>
          <w:rFonts w:hint="eastAsia" w:ascii="宋体" w:hAnsi="宋体" w:eastAsia="宋体"/>
          <w:b w:val="0"/>
          <w:bCs w:val="0"/>
          <w:color w:val="000000" w:themeColor="text1"/>
          <w:sz w:val="21"/>
          <w:szCs w:val="21"/>
          <w:highlight w:val="none"/>
          <w:lang w:eastAsia="zh-CN"/>
          <w14:textFill>
            <w14:solidFill>
              <w14:schemeClr w14:val="tx1"/>
            </w14:solidFill>
          </w14:textFill>
        </w:rPr>
        <w:t>。</w:t>
      </w:r>
    </w:p>
    <w:p w14:paraId="6602DE28">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（二）技术文件</w:t>
      </w:r>
    </w:p>
    <w:p w14:paraId="28BF14EF">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（1）技术响应表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3D42AEFC">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（2）项目实施方案（供应商应根据评标办法及评分标准提供，格式自拟）；</w:t>
      </w:r>
    </w:p>
    <w:p w14:paraId="0B21500F">
      <w:pPr>
        <w:wordWrap w:val="0"/>
        <w:topLinePunct/>
        <w:adjustRightInd w:val="0"/>
        <w:snapToGrid w:val="0"/>
        <w:spacing w:line="360" w:lineRule="exact"/>
        <w:ind w:firstLine="420" w:firstLineChars="200"/>
        <w:jc w:val="left"/>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w:t>
      </w:r>
      <w:r>
        <w:rPr>
          <w:rFonts w:hint="eastAsia" w:ascii="宋体" w:hAnsi="宋体" w:eastAsia="宋体" w:cs="宋体"/>
          <w:b w:val="0"/>
          <w:color w:val="000000" w:themeColor="text1"/>
          <w:sz w:val="21"/>
          <w:szCs w:val="21"/>
          <w:highlight w:val="none"/>
          <w:lang w:eastAsia="zh-CN"/>
          <w14:textFill>
            <w14:solidFill>
              <w14:schemeClr w14:val="tx1"/>
            </w14:solidFill>
          </w14:textFill>
        </w:rPr>
        <w:t>质量保证措施</w:t>
      </w:r>
      <w:r>
        <w:rPr>
          <w:rFonts w:hint="eastAsia" w:ascii="宋体" w:hAnsi="宋体" w:eastAsia="宋体" w:cs="宋体"/>
          <w:color w:val="000000" w:themeColor="text1"/>
          <w:sz w:val="21"/>
          <w:szCs w:val="21"/>
          <w:highlight w:val="none"/>
          <w:lang w:eastAsia="zh-CN"/>
          <w14:textFill>
            <w14:solidFill>
              <w14:schemeClr w14:val="tx1"/>
            </w14:solidFill>
          </w14:textFill>
        </w:rPr>
        <w:t>（供应商应根据评标</w:t>
      </w:r>
      <w:r>
        <w:rPr>
          <w:rFonts w:hint="eastAsia" w:ascii="宋体" w:hAnsi="宋体" w:eastAsia="宋体"/>
          <w:color w:val="000000" w:themeColor="text1"/>
          <w:sz w:val="21"/>
          <w:szCs w:val="21"/>
          <w:highlight w:val="none"/>
          <w:lang w:eastAsia="zh-CN"/>
          <w14:textFill>
            <w14:solidFill>
              <w14:schemeClr w14:val="tx1"/>
            </w14:solidFill>
          </w14:textFill>
        </w:rPr>
        <w:t>办法及评分标准提供，格式自拟）</w:t>
      </w:r>
      <w:r>
        <w:rPr>
          <w:rFonts w:hint="eastAsia" w:ascii="宋体" w:hAnsi="宋体" w:eastAsia="宋体"/>
          <w:b/>
          <w:color w:val="000000" w:themeColor="text1"/>
          <w:sz w:val="21"/>
          <w:szCs w:val="21"/>
          <w:highlight w:val="none"/>
          <w:lang w:eastAsia="zh-CN"/>
          <w14:textFill>
            <w14:solidFill>
              <w14:schemeClr w14:val="tx1"/>
            </w14:solidFill>
          </w14:textFill>
        </w:rPr>
        <w:t>；</w:t>
      </w:r>
    </w:p>
    <w:p w14:paraId="201D06E3">
      <w:pPr>
        <w:wordWrap w:val="0"/>
        <w:topLinePunct/>
        <w:adjustRightInd w:val="0"/>
        <w:snapToGrid w:val="0"/>
        <w:spacing w:line="360" w:lineRule="exact"/>
        <w:ind w:firstLine="420" w:firstLineChars="200"/>
        <w:jc w:val="left"/>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b w:val="0"/>
          <w:bCs w:val="0"/>
          <w:color w:val="000000" w:themeColor="text1"/>
          <w:sz w:val="21"/>
          <w:szCs w:val="21"/>
          <w:highlight w:val="none"/>
          <w14:textFill>
            <w14:solidFill>
              <w14:schemeClr w14:val="tx1"/>
            </w14:solidFill>
          </w14:textFill>
        </w:rPr>
        <w:t>售后服务承诺方案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供应商应根据评标办法及评分标准提供，格式自拟）</w:t>
      </w:r>
      <w:r>
        <w:rPr>
          <w:rFonts w:hint="eastAsia" w:ascii="宋体" w:hAnsi="宋体" w:eastAsia="宋体"/>
          <w:b/>
          <w:color w:val="000000" w:themeColor="text1"/>
          <w:sz w:val="21"/>
          <w:szCs w:val="21"/>
          <w:highlight w:val="none"/>
          <w:lang w:eastAsia="zh-CN"/>
          <w14:textFill>
            <w14:solidFill>
              <w14:schemeClr w14:val="tx1"/>
            </w14:solidFill>
          </w14:textFill>
        </w:rPr>
        <w:t>；</w:t>
      </w:r>
    </w:p>
    <w:p w14:paraId="68E6FC32">
      <w:pPr>
        <w:wordWrap w:val="0"/>
        <w:topLinePunct/>
        <w:adjustRightInd w:val="0"/>
        <w:snapToGrid w:val="0"/>
        <w:spacing w:line="360" w:lineRule="exact"/>
        <w:ind w:firstLine="420" w:firstLineChars="200"/>
        <w:jc w:val="lef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（5）售后服务承诺书</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b/>
          <w:color w:val="000000" w:themeColor="text1"/>
          <w:sz w:val="21"/>
          <w:szCs w:val="21"/>
          <w:highlight w:val="none"/>
          <w:lang w:eastAsia="zh-CN"/>
          <w14:textFill>
            <w14:solidFill>
              <w14:schemeClr w14:val="tx1"/>
            </w14:solidFill>
          </w14:textFill>
        </w:rPr>
        <w:t>，必须提供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p>
    <w:p w14:paraId="4C154E36">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6</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bCs/>
          <w:color w:val="000000" w:themeColor="text1"/>
          <w:sz w:val="21"/>
          <w:szCs w:val="21"/>
          <w:highlight w:val="none"/>
          <w:lang w:eastAsia="zh-CN"/>
          <w14:textFill>
            <w14:solidFill>
              <w14:schemeClr w14:val="tx1"/>
            </w14:solidFill>
          </w14:textFill>
        </w:rPr>
        <w:t>产品质量保证书</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14:paraId="4416179A">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7</w:t>
      </w:r>
      <w:r>
        <w:rPr>
          <w:rFonts w:hint="eastAsia" w:ascii="宋体" w:hAnsi="宋体" w:eastAsia="宋体"/>
          <w:color w:val="000000" w:themeColor="text1"/>
          <w:sz w:val="21"/>
          <w:szCs w:val="21"/>
          <w:highlight w:val="none"/>
          <w:lang w:eastAsia="zh-CN"/>
          <w14:textFill>
            <w14:solidFill>
              <w14:schemeClr w14:val="tx1"/>
            </w14:solidFill>
          </w14:textFill>
        </w:rPr>
        <w:t>）投标人拥有主要装备和检测设施的情况和现状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（格式自拟）； </w:t>
      </w:r>
    </w:p>
    <w:p w14:paraId="0725F558">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8</w:t>
      </w:r>
      <w:r>
        <w:rPr>
          <w:rFonts w:hint="eastAsia" w:ascii="宋体" w:hAnsi="宋体" w:eastAsia="宋体"/>
          <w:color w:val="000000" w:themeColor="text1"/>
          <w:sz w:val="21"/>
          <w:szCs w:val="21"/>
          <w:highlight w:val="none"/>
          <w:lang w:eastAsia="zh-CN"/>
          <w14:textFill>
            <w14:solidFill>
              <w14:schemeClr w14:val="tx1"/>
            </w14:solidFill>
          </w14:textFill>
        </w:rPr>
        <w:t>）招标项目采购需求中要求必须提供的材料。</w:t>
      </w:r>
    </w:p>
    <w:p w14:paraId="1D444D37">
      <w:pPr>
        <w:pStyle w:val="27"/>
        <w:rPr>
          <w:rFonts w:hAnsi="宋体"/>
          <w:b/>
          <w:bCs/>
          <w:color w:val="000000" w:themeColor="text1"/>
          <w:szCs w:val="11"/>
          <w:highlight w:val="none"/>
          <w:lang w:eastAsia="zh-CN"/>
          <w14:textFill>
            <w14:solidFill>
              <w14:schemeClr w14:val="tx1"/>
            </w14:solidFill>
          </w14:textFill>
        </w:rPr>
      </w:pPr>
    </w:p>
    <w:p w14:paraId="2F8F67D7">
      <w:pPr>
        <w:rPr>
          <w:rFonts w:hAnsi="宋体"/>
          <w:b/>
          <w:bCs/>
          <w:color w:val="000000" w:themeColor="text1"/>
          <w:szCs w:val="11"/>
          <w:highlight w:val="none"/>
          <w:lang w:eastAsia="zh-CN"/>
          <w14:textFill>
            <w14:solidFill>
              <w14:schemeClr w14:val="tx1"/>
            </w14:solidFill>
          </w14:textFill>
        </w:rPr>
      </w:pPr>
    </w:p>
    <w:p w14:paraId="03431509">
      <w:pPr>
        <w:pStyle w:val="55"/>
        <w:rPr>
          <w:color w:val="000000" w:themeColor="text1"/>
          <w:highlight w:val="none"/>
          <w:lang w:eastAsia="zh-CN"/>
          <w14:textFill>
            <w14:solidFill>
              <w14:schemeClr w14:val="tx1"/>
            </w14:solidFill>
          </w14:textFill>
        </w:rPr>
      </w:pPr>
    </w:p>
    <w:p w14:paraId="75BCD80B">
      <w:pPr>
        <w:rPr>
          <w:color w:val="000000" w:themeColor="text1"/>
          <w:highlight w:val="none"/>
          <w:lang w:eastAsia="zh-CN"/>
          <w14:textFill>
            <w14:solidFill>
              <w14:schemeClr w14:val="tx1"/>
            </w14:solidFill>
          </w14:textFill>
        </w:rPr>
      </w:pPr>
    </w:p>
    <w:p w14:paraId="34F05CD8">
      <w:pPr>
        <w:snapToGrid w:val="0"/>
        <w:spacing w:line="360" w:lineRule="exact"/>
        <w:jc w:val="center"/>
        <w:rPr>
          <w:rFonts w:ascii="宋体" w:hAnsi="宋体" w:eastAsia="宋体"/>
          <w:b/>
          <w:color w:val="000000" w:themeColor="text1"/>
          <w:sz w:val="32"/>
          <w:szCs w:val="32"/>
          <w:highlight w:val="none"/>
          <w:lang w:eastAsia="zh-CN"/>
          <w14:textFill>
            <w14:solidFill>
              <w14:schemeClr w14:val="tx1"/>
            </w14:solidFill>
          </w14:textFill>
        </w:rPr>
      </w:pPr>
    </w:p>
    <w:p w14:paraId="37E5403C">
      <w:pPr>
        <w:snapToGrid w:val="0"/>
        <w:spacing w:line="360" w:lineRule="exact"/>
        <w:jc w:val="center"/>
        <w:rPr>
          <w:rFonts w:ascii="宋体" w:hAnsi="宋体" w:eastAsia="宋体"/>
          <w:b/>
          <w:color w:val="000000" w:themeColor="text1"/>
          <w:sz w:val="32"/>
          <w:szCs w:val="32"/>
          <w:highlight w:val="none"/>
          <w:lang w:eastAsia="zh-CN"/>
          <w14:textFill>
            <w14:solidFill>
              <w14:schemeClr w14:val="tx1"/>
            </w14:solidFill>
          </w14:textFill>
        </w:rPr>
      </w:pPr>
    </w:p>
    <w:p w14:paraId="343573F7">
      <w:pPr>
        <w:pStyle w:val="55"/>
        <w:rPr>
          <w:rFonts w:ascii="宋体" w:hAnsi="宋体" w:eastAsia="宋体"/>
          <w:b/>
          <w:color w:val="000000" w:themeColor="text1"/>
          <w:sz w:val="32"/>
          <w:szCs w:val="32"/>
          <w:highlight w:val="none"/>
          <w:lang w:eastAsia="zh-CN"/>
          <w14:textFill>
            <w14:solidFill>
              <w14:schemeClr w14:val="tx1"/>
            </w14:solidFill>
          </w14:textFill>
        </w:rPr>
      </w:pPr>
    </w:p>
    <w:p w14:paraId="72DC9ACE">
      <w:pPr>
        <w:pStyle w:val="55"/>
        <w:rPr>
          <w:rFonts w:ascii="宋体" w:hAnsi="宋体" w:eastAsia="宋体"/>
          <w:b/>
          <w:color w:val="000000" w:themeColor="text1"/>
          <w:sz w:val="32"/>
          <w:szCs w:val="32"/>
          <w:highlight w:val="none"/>
          <w:lang w:eastAsia="zh-CN"/>
          <w14:textFill>
            <w14:solidFill>
              <w14:schemeClr w14:val="tx1"/>
            </w14:solidFill>
          </w14:textFill>
        </w:rPr>
      </w:pPr>
    </w:p>
    <w:p w14:paraId="35774A78">
      <w:pPr>
        <w:snapToGrid w:val="0"/>
        <w:spacing w:line="360" w:lineRule="exact"/>
        <w:jc w:val="center"/>
        <w:rPr>
          <w:rFonts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eastAsia="宋体"/>
          <w:b/>
          <w:color w:val="000000" w:themeColor="text1"/>
          <w:sz w:val="32"/>
          <w:szCs w:val="32"/>
          <w:highlight w:val="none"/>
          <w:lang w:eastAsia="zh-CN"/>
          <w14:textFill>
            <w14:solidFill>
              <w14:schemeClr w14:val="tx1"/>
            </w14:solidFill>
          </w14:textFill>
        </w:rPr>
        <w:t>三、投标文件格式</w:t>
      </w:r>
    </w:p>
    <w:p w14:paraId="7C125FB0">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14:paraId="70CEF100">
      <w:pPr>
        <w:snapToGrid w:val="0"/>
        <w:spacing w:line="360" w:lineRule="exact"/>
        <w:jc w:val="center"/>
        <w:rPr>
          <w:rFonts w:ascii="宋体" w:hAnsi="宋体" w:eastAsia="宋体"/>
          <w:b/>
          <w:color w:val="000000" w:themeColor="text1"/>
          <w:sz w:val="21"/>
          <w:szCs w:val="21"/>
          <w:highlight w:val="none"/>
          <w:u w:val="double"/>
          <w:lang w:eastAsia="zh-CN"/>
          <w14:textFill>
            <w14:solidFill>
              <w14:schemeClr w14:val="tx1"/>
            </w14:solidFill>
          </w14:textFill>
        </w:rPr>
      </w:pPr>
      <w:r>
        <w:rPr>
          <w:rFonts w:hint="eastAsia" w:ascii="宋体" w:hAnsi="宋体" w:eastAsia="宋体"/>
          <w:b/>
          <w:color w:val="000000" w:themeColor="text1"/>
          <w:sz w:val="21"/>
          <w:szCs w:val="21"/>
          <w:highlight w:val="none"/>
          <w:u w:val="double"/>
          <w:lang w:eastAsia="zh-CN"/>
          <w14:textFill>
            <w14:solidFill>
              <w14:schemeClr w14:val="tx1"/>
            </w14:solidFill>
          </w14:textFill>
        </w:rPr>
        <w:t>（一）</w:t>
      </w:r>
      <w:r>
        <w:rPr>
          <w:rFonts w:hint="eastAsia" w:ascii="宋体" w:hAnsi="宋体" w:eastAsia="宋体"/>
          <w:b/>
          <w:bCs/>
          <w:color w:val="000000" w:themeColor="text1"/>
          <w:sz w:val="21"/>
          <w:szCs w:val="21"/>
          <w:highlight w:val="none"/>
          <w:u w:val="double"/>
          <w:lang w:eastAsia="zh-CN"/>
          <w14:textFill>
            <w14:solidFill>
              <w14:schemeClr w14:val="tx1"/>
            </w14:solidFill>
          </w14:textFill>
        </w:rPr>
        <w:t>资格文件部分（格式）</w:t>
      </w:r>
    </w:p>
    <w:p w14:paraId="28B0FCF6">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14:paraId="1F84ADA2">
      <w:pPr>
        <w:widowControl/>
        <w:jc w:val="center"/>
        <w:rPr>
          <w:color w:val="000000" w:themeColor="text1"/>
          <w:highlight w:val="none"/>
          <w:lang w:eastAsia="zh-CN"/>
          <w14:textFill>
            <w14:solidFill>
              <w14:schemeClr w14:val="tx1"/>
            </w14:solidFill>
          </w14:textFill>
        </w:rPr>
      </w:pPr>
      <w:r>
        <w:rPr>
          <w:rFonts w:hint="eastAsia" w:ascii="宋体" w:hAnsi="宋体" w:eastAsia="宋体"/>
          <w:b/>
          <w:bCs/>
          <w:color w:val="000000" w:themeColor="text1"/>
          <w:sz w:val="31"/>
          <w:szCs w:val="31"/>
          <w:highlight w:val="none"/>
          <w:lang w:eastAsia="zh-CN" w:bidi="ar"/>
          <w14:textFill>
            <w14:solidFill>
              <w14:schemeClr w14:val="tx1"/>
            </w14:solidFill>
          </w14:textFill>
        </w:rPr>
        <w:t>投标资格声明函</w:t>
      </w:r>
    </w:p>
    <w:p w14:paraId="1F1977C9">
      <w:pPr>
        <w:snapToGrid w:val="0"/>
        <w:spacing w:line="360" w:lineRule="auto"/>
        <w:jc w:val="left"/>
        <w:rPr>
          <w:rFonts w:ascii="宋体" w:hAnsi="宋体" w:eastAsia="宋体"/>
          <w:bCs/>
          <w:color w:val="000000" w:themeColor="text1"/>
          <w:sz w:val="24"/>
          <w:szCs w:val="24"/>
          <w:highlight w:val="none"/>
          <w:lang w:eastAsia="zh-CN" w:bidi="ar"/>
          <w14:textFill>
            <w14:solidFill>
              <w14:schemeClr w14:val="tx1"/>
            </w14:solidFill>
          </w14:textFill>
        </w:rPr>
      </w:pPr>
    </w:p>
    <w:p w14:paraId="2CEA2CF0">
      <w:pPr>
        <w:snapToGrid w:val="0"/>
        <w:spacing w:line="312" w:lineRule="auto"/>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致：</w:t>
      </w:r>
      <w:r>
        <w:rPr>
          <w:rFonts w:hint="eastAsia" w:ascii="宋体" w:hAnsi="宋体" w:eastAsia="宋体"/>
          <w:bCs/>
          <w:color w:val="000000" w:themeColor="text1"/>
          <w:sz w:val="21"/>
          <w:szCs w:val="21"/>
          <w:highlight w:val="none"/>
          <w:u w:val="single"/>
          <w:lang w:eastAsia="zh-CN" w:bidi="ar"/>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（采购代理机构名称） </w:t>
      </w:r>
    </w:p>
    <w:p w14:paraId="735525EC">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我方愿意参加贵方组织的</w:t>
      </w:r>
      <w:r>
        <w:rPr>
          <w:rFonts w:hint="eastAsia" w:ascii="宋体" w:hAnsi="宋体" w:eastAsia="宋体"/>
          <w:bCs/>
          <w:color w:val="000000" w:themeColor="text1"/>
          <w:sz w:val="21"/>
          <w:szCs w:val="21"/>
          <w:highlight w:val="none"/>
          <w:u w:val="single"/>
          <w:lang w:eastAsia="zh-CN" w:bidi="ar"/>
          <w14:textFill>
            <w14:solidFill>
              <w14:schemeClr w14:val="tx1"/>
            </w14:solidFill>
          </w14:textFill>
        </w:rPr>
        <w:t xml:space="preserve">         (项目名称)      </w:t>
      </w:r>
      <w:r>
        <w:rPr>
          <w:rFonts w:hint="eastAsia" w:ascii="宋体" w:hAnsi="宋体" w:eastAsia="宋体"/>
          <w:bCs/>
          <w:color w:val="000000" w:themeColor="text1"/>
          <w:sz w:val="21"/>
          <w:szCs w:val="21"/>
          <w:highlight w:val="none"/>
          <w:lang w:eastAsia="zh-CN" w:bidi="ar"/>
          <w14:textFill>
            <w14:solidFill>
              <w14:schemeClr w14:val="tx1"/>
            </w14:solidFill>
          </w14:textFill>
        </w:rPr>
        <w:t>（项目编号：</w:t>
      </w:r>
      <w:r>
        <w:rPr>
          <w:rFonts w:hint="eastAsia" w:ascii="宋体" w:hAnsi="宋体" w:eastAsia="宋体"/>
          <w:bCs/>
          <w:color w:val="000000" w:themeColor="text1"/>
          <w:sz w:val="21"/>
          <w:szCs w:val="21"/>
          <w:highlight w:val="none"/>
          <w:u w:val="single"/>
          <w:lang w:eastAsia="zh-CN" w:bidi="ar"/>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）项目的投标，为便于贵方公正、择优地确定中标人，我方就本次投标有关事项郑重声明如下： </w:t>
      </w:r>
    </w:p>
    <w:p w14:paraId="49BB1CFF">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1.我方承诺已经具备《中华人民共和国政府采购法》第二十二条中规定的参加政府采购活动的供应商应当具备的条件： </w:t>
      </w:r>
    </w:p>
    <w:p w14:paraId="7838B033">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（1）具有独立承担民事责任的能力； </w:t>
      </w:r>
    </w:p>
    <w:p w14:paraId="1886B115">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（2）具有良好的商业信誉和健全的财务会计制度； </w:t>
      </w:r>
    </w:p>
    <w:p w14:paraId="2A4A4341">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（3）具有履行合同所必需的设备和专业技术能力； </w:t>
      </w:r>
    </w:p>
    <w:p w14:paraId="4BC86D11">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（4）有依法缴纳税收和社会保障资金的良好记录； </w:t>
      </w:r>
    </w:p>
    <w:p w14:paraId="4B399237">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（5）参加政府采购活动前三年内，在经营活动中没有重大违法记录； </w:t>
      </w:r>
    </w:p>
    <w:p w14:paraId="5E02722B">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（6）法律、行政法规规定的其他条件。 </w:t>
      </w:r>
    </w:p>
    <w:p w14:paraId="09846DFD">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2. 我方不是采购人的附属机构；不是为本次采购项目提供整体设计、规范编制或者项目管理、监理、检测等货物的供应商；在获知本项目采购信息后，与采购人聘请的为此项目提供咨询服务的公司及其附属机构没有任何联系。 </w:t>
      </w:r>
    </w:p>
    <w:p w14:paraId="3C2C34C9">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3.经查询，在“信用中国”和“中国政府采购网”网站我方未被列入失信被执行人、重大税收违法案件当事人名单、政府采购严重违法失信行为记录名单。 </w:t>
      </w:r>
    </w:p>
    <w:p w14:paraId="3CEF9E06">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4.以上事项如有虚假或隐瞒，我方愿意承担一切后果，并不再寻求任何旨在减轻或免除法律责任的辩解。 </w:t>
      </w:r>
    </w:p>
    <w:p w14:paraId="049684EA">
      <w:pPr>
        <w:snapToGrid w:val="0"/>
        <w:spacing w:line="312" w:lineRule="auto"/>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说明： </w:t>
      </w:r>
    </w:p>
    <w:p w14:paraId="72E42730">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1.投标人应当通过 “信用中国”（www.creditchina.gov.cn）和“中国政府采购网”网站（www.ccgp.gov.cn）查询投标人相关主体的信用记录。查询时间为本项目投标截止时间前 10 日至 </w:t>
      </w:r>
    </w:p>
    <w:p w14:paraId="7B8DFFC7">
      <w:pPr>
        <w:snapToGrid w:val="0"/>
        <w:spacing w:line="312" w:lineRule="auto"/>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投标截止时间中任意一天。对列入失信被执行人、重大税收违法案件当事人名单、政府采购严重违法失信行为记录名单的投标人，将被拒绝参与本项目政府采购活动。 </w:t>
      </w:r>
    </w:p>
    <w:p w14:paraId="336B1BD1">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2.两个以上的自然人、法人或者其他组织组成一个联合体，以一个供应商的身份共同参加政府采购活动的，应当对所有联合体成员进行信用记录查询，联合体成员存在不良信用记录的，视同联合体存在不良信用记录。 </w:t>
      </w:r>
    </w:p>
    <w:p w14:paraId="622F5905">
      <w:pPr>
        <w:snapToGrid w:val="0"/>
        <w:spacing w:line="312" w:lineRule="auto"/>
        <w:ind w:firstLine="420" w:firstLineChars="200"/>
        <w:jc w:val="left"/>
        <w:rPr>
          <w:rFonts w:ascii="宋体" w:hAnsi="宋体" w:eastAsia="宋体"/>
          <w:bCs/>
          <w:color w:val="000000" w:themeColor="text1"/>
          <w:sz w:val="21"/>
          <w:szCs w:val="21"/>
          <w:highlight w:val="none"/>
          <w:lang w:eastAsia="zh-CN" w:bidi="ar"/>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3.如为联合体投标，盖章处须加盖联合体各方公章并由联合体各方法定代表人分别签署，否则投标无效。 </w:t>
      </w:r>
    </w:p>
    <w:p w14:paraId="2AEACDCA">
      <w:pPr>
        <w:snapToGrid w:val="0"/>
        <w:spacing w:line="360" w:lineRule="auto"/>
        <w:ind w:firstLine="420" w:firstLineChars="200"/>
        <w:jc w:val="left"/>
        <w:rPr>
          <w:rFonts w:ascii="宋体" w:hAnsi="宋体" w:eastAsia="宋体"/>
          <w:bCs/>
          <w:color w:val="000000" w:themeColor="text1"/>
          <w:sz w:val="21"/>
          <w:szCs w:val="21"/>
          <w:highlight w:val="none"/>
          <w:lang w:eastAsia="zh-CN" w:bidi="ar"/>
          <w14:textFill>
            <w14:solidFill>
              <w14:schemeClr w14:val="tx1"/>
            </w14:solidFill>
          </w14:textFill>
        </w:rPr>
      </w:pPr>
    </w:p>
    <w:p w14:paraId="6FBE2F84">
      <w:pPr>
        <w:autoSpaceDE w:val="0"/>
        <w:autoSpaceDN w:val="0"/>
        <w:spacing w:line="360" w:lineRule="auto"/>
        <w:ind w:firstLine="4410" w:firstLineChars="2100"/>
        <w:rPr>
          <w:rFonts w:ascii="宋体" w:hAnsi="宋体"/>
          <w:color w:val="000000" w:themeColor="text1"/>
          <w:sz w:val="21"/>
          <w:szCs w:val="22"/>
          <w:highlight w:val="none"/>
          <w:lang w:eastAsia="zh-CN"/>
          <w14:textFill>
            <w14:solidFill>
              <w14:schemeClr w14:val="tx1"/>
            </w14:solidFill>
          </w14:textFill>
        </w:rPr>
      </w:pPr>
      <w:r>
        <w:rPr>
          <w:rFonts w:hint="eastAsia" w:ascii="宋体" w:hAnsi="宋体" w:eastAsia="宋体"/>
          <w:color w:val="000000" w:themeColor="text1"/>
          <w:sz w:val="21"/>
          <w:szCs w:val="22"/>
          <w:highlight w:val="none"/>
          <w:lang w:eastAsia="zh-CN"/>
          <w14:textFill>
            <w14:solidFill>
              <w14:schemeClr w14:val="tx1"/>
            </w14:solidFill>
          </w14:textFill>
        </w:rPr>
        <w:t>投标人</w:t>
      </w:r>
      <w:r>
        <w:rPr>
          <w:rFonts w:hint="eastAsia" w:ascii="宋体" w:hAnsi="宋体"/>
          <w:color w:val="000000" w:themeColor="text1"/>
          <w:sz w:val="21"/>
          <w:szCs w:val="22"/>
          <w:highlight w:val="none"/>
          <w:lang w:eastAsia="zh-CN"/>
          <w14:textFill>
            <w14:solidFill>
              <w14:schemeClr w14:val="tx1"/>
            </w14:solidFill>
          </w14:textFill>
        </w:rPr>
        <w:t>名称（电子签章）：</w:t>
      </w:r>
    </w:p>
    <w:p w14:paraId="22C5B6CD">
      <w:pPr>
        <w:autoSpaceDE w:val="0"/>
        <w:autoSpaceDN w:val="0"/>
        <w:spacing w:line="360" w:lineRule="auto"/>
        <w:ind w:firstLine="5355" w:firstLineChars="2550"/>
        <w:rPr>
          <w:rFonts w:ascii="宋体" w:hAnsi="宋体"/>
          <w:color w:val="000000" w:themeColor="text1"/>
          <w:sz w:val="21"/>
          <w:szCs w:val="22"/>
          <w:highlight w:val="none"/>
          <w:lang w:eastAsia="zh-CN"/>
          <w14:textFill>
            <w14:solidFill>
              <w14:schemeClr w14:val="tx1"/>
            </w14:solidFill>
          </w14:textFill>
        </w:rPr>
      </w:pPr>
      <w:r>
        <w:rPr>
          <w:rFonts w:hint="eastAsia" w:ascii="宋体" w:hAnsi="宋体"/>
          <w:color w:val="000000" w:themeColor="text1"/>
          <w:sz w:val="21"/>
          <w:szCs w:val="22"/>
          <w:highlight w:val="none"/>
          <w:lang w:val="zh-CN" w:eastAsia="zh-CN"/>
          <w14:textFill>
            <w14:solidFill>
              <w14:schemeClr w14:val="tx1"/>
            </w14:solidFill>
          </w14:textFill>
        </w:rPr>
        <w:t>日期：  年  月   日</w:t>
      </w:r>
      <w:r>
        <w:rPr>
          <w:rFonts w:hint="eastAsia" w:ascii="宋体" w:hAnsi="宋体"/>
          <w:color w:val="000000" w:themeColor="text1"/>
          <w:sz w:val="21"/>
          <w:szCs w:val="22"/>
          <w:highlight w:val="none"/>
          <w:lang w:eastAsia="zh-CN"/>
          <w14:textFill>
            <w14:solidFill>
              <w14:schemeClr w14:val="tx1"/>
            </w14:solidFill>
          </w14:textFill>
        </w:rPr>
        <w:t xml:space="preserve">     </w:t>
      </w:r>
    </w:p>
    <w:p w14:paraId="695656EC">
      <w:pPr>
        <w:pStyle w:val="21"/>
        <w:jc w:val="center"/>
        <w:outlineLvl w:val="1"/>
        <w:rPr>
          <w:rFonts w:hAnsi="宋体" w:cs="宋体"/>
          <w:b/>
          <w:bCs/>
          <w:color w:val="000000" w:themeColor="text1"/>
          <w:sz w:val="24"/>
          <w:szCs w:val="24"/>
          <w:highlight w:val="none"/>
          <w14:textFill>
            <w14:solidFill>
              <w14:schemeClr w14:val="tx1"/>
            </w14:solidFill>
          </w14:textFill>
        </w:rPr>
      </w:pPr>
    </w:p>
    <w:p w14:paraId="0E32F0FD">
      <w:pPr>
        <w:pStyle w:val="21"/>
        <w:jc w:val="center"/>
        <w:outlineLvl w:val="1"/>
        <w:rPr>
          <w:rFonts w:hAnsi="宋体" w:cs="宋体"/>
          <w:b/>
          <w:bCs/>
          <w:color w:val="000000" w:themeColor="text1"/>
          <w:sz w:val="24"/>
          <w:szCs w:val="24"/>
          <w:highlight w:val="none"/>
          <w14:textFill>
            <w14:solidFill>
              <w14:schemeClr w14:val="tx1"/>
            </w14:solidFill>
          </w14:textFill>
        </w:rPr>
      </w:pPr>
    </w:p>
    <w:p w14:paraId="78568BD2">
      <w:pPr>
        <w:pStyle w:val="21"/>
        <w:jc w:val="center"/>
        <w:outlineLvl w:val="1"/>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投标人股东及出资信息表</w:t>
      </w:r>
    </w:p>
    <w:p w14:paraId="54697A85">
      <w:pPr>
        <w:rPr>
          <w:color w:val="000000" w:themeColor="text1"/>
          <w:highlight w:val="none"/>
          <w:lang w:eastAsia="zh-CN"/>
          <w14:textFill>
            <w14:solidFill>
              <w14:schemeClr w14:val="tx1"/>
            </w14:solidFill>
          </w14:textFill>
        </w:rPr>
      </w:pPr>
    </w:p>
    <w:p w14:paraId="238EAA86">
      <w:pPr>
        <w:pStyle w:val="55"/>
        <w:rPr>
          <w:rFonts w:ascii="宋体" w:hAnsi="宋体" w:eastAsia="宋体"/>
          <w:color w:val="000000" w:themeColor="text1"/>
          <w:highlight w:val="none"/>
          <w:lang w:eastAsia="zh-CN"/>
          <w14:textFill>
            <w14:solidFill>
              <w14:schemeClr w14:val="tx1"/>
            </w14:solidFill>
          </w14:textFill>
        </w:rPr>
      </w:pPr>
    </w:p>
    <w:tbl>
      <w:tblPr>
        <w:tblStyle w:val="3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83"/>
        <w:gridCol w:w="1750"/>
        <w:gridCol w:w="2701"/>
        <w:gridCol w:w="1903"/>
      </w:tblGrid>
      <w:tr w14:paraId="60D1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7" w:type="dxa"/>
            <w:vAlign w:val="center"/>
          </w:tcPr>
          <w:p w14:paraId="34B143F1">
            <w:pPr>
              <w:pStyle w:val="55"/>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2083" w:type="dxa"/>
            <w:vAlign w:val="center"/>
          </w:tcPr>
          <w:p w14:paraId="194870CA">
            <w:pPr>
              <w:pStyle w:val="55"/>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股东名称</w:t>
            </w:r>
          </w:p>
        </w:tc>
        <w:tc>
          <w:tcPr>
            <w:tcW w:w="1750" w:type="dxa"/>
            <w:vAlign w:val="center"/>
          </w:tcPr>
          <w:p w14:paraId="2D34BBCD">
            <w:pPr>
              <w:widowControl/>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出资比例</w:t>
            </w:r>
          </w:p>
        </w:tc>
        <w:tc>
          <w:tcPr>
            <w:tcW w:w="2701" w:type="dxa"/>
            <w:vAlign w:val="center"/>
          </w:tcPr>
          <w:p w14:paraId="02F78569">
            <w:pPr>
              <w:pStyle w:val="55"/>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身份证号码              （或证照/证件号码）</w:t>
            </w:r>
          </w:p>
        </w:tc>
        <w:tc>
          <w:tcPr>
            <w:tcW w:w="1903" w:type="dxa"/>
            <w:vAlign w:val="center"/>
          </w:tcPr>
          <w:p w14:paraId="30271D3A">
            <w:pPr>
              <w:widowControl/>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备注</w:t>
            </w:r>
          </w:p>
        </w:tc>
      </w:tr>
      <w:tr w14:paraId="1F54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77" w:type="dxa"/>
          </w:tcPr>
          <w:p w14:paraId="54DF2426">
            <w:pPr>
              <w:pStyle w:val="55"/>
              <w:jc w:val="center"/>
              <w:rPr>
                <w:rFonts w:ascii="宋体" w:hAnsi="宋体" w:eastAsia="宋体"/>
                <w:color w:val="000000" w:themeColor="text1"/>
                <w:sz w:val="21"/>
                <w:szCs w:val="21"/>
                <w:highlight w:val="none"/>
                <w14:textFill>
                  <w14:solidFill>
                    <w14:schemeClr w14:val="tx1"/>
                  </w14:solidFill>
                </w14:textFill>
              </w:rPr>
            </w:pPr>
          </w:p>
        </w:tc>
        <w:tc>
          <w:tcPr>
            <w:tcW w:w="2083" w:type="dxa"/>
          </w:tcPr>
          <w:p w14:paraId="16FA601B">
            <w:pPr>
              <w:pStyle w:val="55"/>
              <w:rPr>
                <w:rFonts w:ascii="宋体" w:hAnsi="宋体" w:eastAsia="宋体"/>
                <w:color w:val="000000" w:themeColor="text1"/>
                <w:sz w:val="21"/>
                <w:szCs w:val="21"/>
                <w:highlight w:val="none"/>
                <w14:textFill>
                  <w14:solidFill>
                    <w14:schemeClr w14:val="tx1"/>
                  </w14:solidFill>
                </w14:textFill>
              </w:rPr>
            </w:pPr>
          </w:p>
        </w:tc>
        <w:tc>
          <w:tcPr>
            <w:tcW w:w="1750" w:type="dxa"/>
          </w:tcPr>
          <w:p w14:paraId="7A4D8973">
            <w:pPr>
              <w:pStyle w:val="55"/>
              <w:rPr>
                <w:rFonts w:ascii="宋体" w:hAnsi="宋体" w:eastAsia="宋体"/>
                <w:color w:val="000000" w:themeColor="text1"/>
                <w:sz w:val="21"/>
                <w:szCs w:val="21"/>
                <w:highlight w:val="none"/>
                <w14:textFill>
                  <w14:solidFill>
                    <w14:schemeClr w14:val="tx1"/>
                  </w14:solidFill>
                </w14:textFill>
              </w:rPr>
            </w:pPr>
          </w:p>
        </w:tc>
        <w:tc>
          <w:tcPr>
            <w:tcW w:w="2701" w:type="dxa"/>
          </w:tcPr>
          <w:p w14:paraId="7C8A55CC">
            <w:pPr>
              <w:pStyle w:val="55"/>
              <w:rPr>
                <w:rFonts w:ascii="宋体" w:hAnsi="宋体" w:eastAsia="宋体"/>
                <w:color w:val="000000" w:themeColor="text1"/>
                <w:sz w:val="21"/>
                <w:szCs w:val="21"/>
                <w:highlight w:val="none"/>
                <w14:textFill>
                  <w14:solidFill>
                    <w14:schemeClr w14:val="tx1"/>
                  </w14:solidFill>
                </w14:textFill>
              </w:rPr>
            </w:pPr>
          </w:p>
        </w:tc>
        <w:tc>
          <w:tcPr>
            <w:tcW w:w="1903" w:type="dxa"/>
          </w:tcPr>
          <w:p w14:paraId="01C0A223">
            <w:pPr>
              <w:pStyle w:val="55"/>
              <w:rPr>
                <w:rFonts w:ascii="宋体" w:hAnsi="宋体" w:eastAsia="宋体"/>
                <w:color w:val="000000" w:themeColor="text1"/>
                <w:sz w:val="21"/>
                <w:szCs w:val="21"/>
                <w:highlight w:val="none"/>
                <w14:textFill>
                  <w14:solidFill>
                    <w14:schemeClr w14:val="tx1"/>
                  </w14:solidFill>
                </w14:textFill>
              </w:rPr>
            </w:pPr>
          </w:p>
        </w:tc>
      </w:tr>
      <w:tr w14:paraId="312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77" w:type="dxa"/>
          </w:tcPr>
          <w:p w14:paraId="183890A7">
            <w:pPr>
              <w:pStyle w:val="55"/>
              <w:jc w:val="center"/>
              <w:rPr>
                <w:rFonts w:ascii="宋体" w:hAnsi="宋体" w:eastAsia="宋体"/>
                <w:color w:val="000000" w:themeColor="text1"/>
                <w:sz w:val="21"/>
                <w:szCs w:val="21"/>
                <w:highlight w:val="none"/>
                <w14:textFill>
                  <w14:solidFill>
                    <w14:schemeClr w14:val="tx1"/>
                  </w14:solidFill>
                </w14:textFill>
              </w:rPr>
            </w:pPr>
          </w:p>
        </w:tc>
        <w:tc>
          <w:tcPr>
            <w:tcW w:w="2083" w:type="dxa"/>
          </w:tcPr>
          <w:p w14:paraId="2F634102">
            <w:pPr>
              <w:pStyle w:val="55"/>
              <w:rPr>
                <w:rFonts w:ascii="宋体" w:hAnsi="宋体" w:eastAsia="宋体"/>
                <w:color w:val="000000" w:themeColor="text1"/>
                <w:sz w:val="21"/>
                <w:szCs w:val="21"/>
                <w:highlight w:val="none"/>
                <w14:textFill>
                  <w14:solidFill>
                    <w14:schemeClr w14:val="tx1"/>
                  </w14:solidFill>
                </w14:textFill>
              </w:rPr>
            </w:pPr>
          </w:p>
        </w:tc>
        <w:tc>
          <w:tcPr>
            <w:tcW w:w="1750" w:type="dxa"/>
          </w:tcPr>
          <w:p w14:paraId="488E6684">
            <w:pPr>
              <w:pStyle w:val="55"/>
              <w:rPr>
                <w:rFonts w:ascii="宋体" w:hAnsi="宋体" w:eastAsia="宋体"/>
                <w:color w:val="000000" w:themeColor="text1"/>
                <w:sz w:val="21"/>
                <w:szCs w:val="21"/>
                <w:highlight w:val="none"/>
                <w14:textFill>
                  <w14:solidFill>
                    <w14:schemeClr w14:val="tx1"/>
                  </w14:solidFill>
                </w14:textFill>
              </w:rPr>
            </w:pPr>
          </w:p>
        </w:tc>
        <w:tc>
          <w:tcPr>
            <w:tcW w:w="2701" w:type="dxa"/>
          </w:tcPr>
          <w:p w14:paraId="7EB54608">
            <w:pPr>
              <w:pStyle w:val="55"/>
              <w:rPr>
                <w:rFonts w:ascii="宋体" w:hAnsi="宋体" w:eastAsia="宋体"/>
                <w:color w:val="000000" w:themeColor="text1"/>
                <w:sz w:val="21"/>
                <w:szCs w:val="21"/>
                <w:highlight w:val="none"/>
                <w14:textFill>
                  <w14:solidFill>
                    <w14:schemeClr w14:val="tx1"/>
                  </w14:solidFill>
                </w14:textFill>
              </w:rPr>
            </w:pPr>
          </w:p>
        </w:tc>
        <w:tc>
          <w:tcPr>
            <w:tcW w:w="1903" w:type="dxa"/>
          </w:tcPr>
          <w:p w14:paraId="22383ED8">
            <w:pPr>
              <w:pStyle w:val="55"/>
              <w:rPr>
                <w:rFonts w:ascii="宋体" w:hAnsi="宋体" w:eastAsia="宋体"/>
                <w:color w:val="000000" w:themeColor="text1"/>
                <w:sz w:val="21"/>
                <w:szCs w:val="21"/>
                <w:highlight w:val="none"/>
                <w14:textFill>
                  <w14:solidFill>
                    <w14:schemeClr w14:val="tx1"/>
                  </w14:solidFill>
                </w14:textFill>
              </w:rPr>
            </w:pPr>
          </w:p>
        </w:tc>
      </w:tr>
      <w:tr w14:paraId="629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77" w:type="dxa"/>
          </w:tcPr>
          <w:p w14:paraId="0DE7CAC7">
            <w:pPr>
              <w:pStyle w:val="55"/>
              <w:rPr>
                <w:rFonts w:ascii="宋体" w:hAnsi="宋体" w:eastAsia="宋体"/>
                <w:color w:val="000000" w:themeColor="text1"/>
                <w:sz w:val="21"/>
                <w:szCs w:val="21"/>
                <w:highlight w:val="none"/>
                <w14:textFill>
                  <w14:solidFill>
                    <w14:schemeClr w14:val="tx1"/>
                  </w14:solidFill>
                </w14:textFill>
              </w:rPr>
            </w:pPr>
          </w:p>
        </w:tc>
        <w:tc>
          <w:tcPr>
            <w:tcW w:w="2083" w:type="dxa"/>
          </w:tcPr>
          <w:p w14:paraId="4E6501C8">
            <w:pPr>
              <w:pStyle w:val="55"/>
              <w:rPr>
                <w:rFonts w:ascii="宋体" w:hAnsi="宋体" w:eastAsia="宋体"/>
                <w:color w:val="000000" w:themeColor="text1"/>
                <w:sz w:val="21"/>
                <w:szCs w:val="21"/>
                <w:highlight w:val="none"/>
                <w14:textFill>
                  <w14:solidFill>
                    <w14:schemeClr w14:val="tx1"/>
                  </w14:solidFill>
                </w14:textFill>
              </w:rPr>
            </w:pPr>
          </w:p>
        </w:tc>
        <w:tc>
          <w:tcPr>
            <w:tcW w:w="1750" w:type="dxa"/>
          </w:tcPr>
          <w:p w14:paraId="39D19366">
            <w:pPr>
              <w:pStyle w:val="55"/>
              <w:rPr>
                <w:rFonts w:ascii="宋体" w:hAnsi="宋体" w:eastAsia="宋体"/>
                <w:color w:val="000000" w:themeColor="text1"/>
                <w:sz w:val="21"/>
                <w:szCs w:val="21"/>
                <w:highlight w:val="none"/>
                <w14:textFill>
                  <w14:solidFill>
                    <w14:schemeClr w14:val="tx1"/>
                  </w14:solidFill>
                </w14:textFill>
              </w:rPr>
            </w:pPr>
          </w:p>
        </w:tc>
        <w:tc>
          <w:tcPr>
            <w:tcW w:w="2701" w:type="dxa"/>
          </w:tcPr>
          <w:p w14:paraId="0D65DF1E">
            <w:pPr>
              <w:pStyle w:val="55"/>
              <w:rPr>
                <w:rFonts w:ascii="宋体" w:hAnsi="宋体" w:eastAsia="宋体"/>
                <w:color w:val="000000" w:themeColor="text1"/>
                <w:sz w:val="21"/>
                <w:szCs w:val="21"/>
                <w:highlight w:val="none"/>
                <w14:textFill>
                  <w14:solidFill>
                    <w14:schemeClr w14:val="tx1"/>
                  </w14:solidFill>
                </w14:textFill>
              </w:rPr>
            </w:pPr>
          </w:p>
        </w:tc>
        <w:tc>
          <w:tcPr>
            <w:tcW w:w="1903" w:type="dxa"/>
          </w:tcPr>
          <w:p w14:paraId="7DB7FA85">
            <w:pPr>
              <w:pStyle w:val="55"/>
              <w:rPr>
                <w:rFonts w:ascii="宋体" w:hAnsi="宋体" w:eastAsia="宋体"/>
                <w:color w:val="000000" w:themeColor="text1"/>
                <w:sz w:val="21"/>
                <w:szCs w:val="21"/>
                <w:highlight w:val="none"/>
                <w14:textFill>
                  <w14:solidFill>
                    <w14:schemeClr w14:val="tx1"/>
                  </w14:solidFill>
                </w14:textFill>
              </w:rPr>
            </w:pPr>
          </w:p>
        </w:tc>
      </w:tr>
      <w:tr w14:paraId="0193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7" w:type="dxa"/>
          </w:tcPr>
          <w:p w14:paraId="77DBA5AA">
            <w:pPr>
              <w:pStyle w:val="55"/>
              <w:rPr>
                <w:rFonts w:ascii="宋体" w:hAnsi="宋体" w:eastAsia="宋体"/>
                <w:color w:val="000000" w:themeColor="text1"/>
                <w:sz w:val="21"/>
                <w:szCs w:val="21"/>
                <w:highlight w:val="none"/>
                <w14:textFill>
                  <w14:solidFill>
                    <w14:schemeClr w14:val="tx1"/>
                  </w14:solidFill>
                </w14:textFill>
              </w:rPr>
            </w:pPr>
          </w:p>
        </w:tc>
        <w:tc>
          <w:tcPr>
            <w:tcW w:w="2083" w:type="dxa"/>
          </w:tcPr>
          <w:p w14:paraId="62294562">
            <w:pPr>
              <w:pStyle w:val="55"/>
              <w:rPr>
                <w:rFonts w:ascii="宋体" w:hAnsi="宋体" w:eastAsia="宋体"/>
                <w:color w:val="000000" w:themeColor="text1"/>
                <w:sz w:val="21"/>
                <w:szCs w:val="21"/>
                <w:highlight w:val="none"/>
                <w14:textFill>
                  <w14:solidFill>
                    <w14:schemeClr w14:val="tx1"/>
                  </w14:solidFill>
                </w14:textFill>
              </w:rPr>
            </w:pPr>
          </w:p>
        </w:tc>
        <w:tc>
          <w:tcPr>
            <w:tcW w:w="1750" w:type="dxa"/>
          </w:tcPr>
          <w:p w14:paraId="543FB006">
            <w:pPr>
              <w:pStyle w:val="55"/>
              <w:rPr>
                <w:rFonts w:ascii="宋体" w:hAnsi="宋体" w:eastAsia="宋体"/>
                <w:color w:val="000000" w:themeColor="text1"/>
                <w:sz w:val="21"/>
                <w:szCs w:val="21"/>
                <w:highlight w:val="none"/>
                <w14:textFill>
                  <w14:solidFill>
                    <w14:schemeClr w14:val="tx1"/>
                  </w14:solidFill>
                </w14:textFill>
              </w:rPr>
            </w:pPr>
          </w:p>
        </w:tc>
        <w:tc>
          <w:tcPr>
            <w:tcW w:w="2701" w:type="dxa"/>
          </w:tcPr>
          <w:p w14:paraId="6DEAE1B4">
            <w:pPr>
              <w:pStyle w:val="55"/>
              <w:rPr>
                <w:rFonts w:ascii="宋体" w:hAnsi="宋体" w:eastAsia="宋体"/>
                <w:color w:val="000000" w:themeColor="text1"/>
                <w:sz w:val="21"/>
                <w:szCs w:val="21"/>
                <w:highlight w:val="none"/>
                <w14:textFill>
                  <w14:solidFill>
                    <w14:schemeClr w14:val="tx1"/>
                  </w14:solidFill>
                </w14:textFill>
              </w:rPr>
            </w:pPr>
          </w:p>
        </w:tc>
        <w:tc>
          <w:tcPr>
            <w:tcW w:w="1903" w:type="dxa"/>
          </w:tcPr>
          <w:p w14:paraId="76149F35">
            <w:pPr>
              <w:pStyle w:val="55"/>
              <w:rPr>
                <w:rFonts w:ascii="宋体" w:hAnsi="宋体" w:eastAsia="宋体"/>
                <w:color w:val="000000" w:themeColor="text1"/>
                <w:sz w:val="21"/>
                <w:szCs w:val="21"/>
                <w:highlight w:val="none"/>
                <w14:textFill>
                  <w14:solidFill>
                    <w14:schemeClr w14:val="tx1"/>
                  </w14:solidFill>
                </w14:textFill>
              </w:rPr>
            </w:pPr>
          </w:p>
        </w:tc>
      </w:tr>
    </w:tbl>
    <w:p w14:paraId="1D139120">
      <w:pPr>
        <w:snapToGrid w:val="0"/>
        <w:spacing w:before="120" w:beforeLines="50" w:after="50" w:line="420" w:lineRule="exact"/>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注： </w:t>
      </w:r>
    </w:p>
    <w:p w14:paraId="61C7AA23">
      <w:pPr>
        <w:snapToGrid w:val="0"/>
        <w:spacing w:before="120" w:beforeLines="50" w:after="50" w:line="420" w:lineRule="exac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 xml:space="preserve">1、各股东名称必须与《国家企业信用信息公示系统》（网址：http://www.gsxt.gov.cn/index.html） “股东及出资信息”的信息相符，否则投标文件作无效处理。 </w:t>
      </w:r>
    </w:p>
    <w:p w14:paraId="0BD9D6E5">
      <w:pPr>
        <w:snapToGrid w:val="0"/>
        <w:spacing w:before="120" w:beforeLines="50" w:after="50" w:line="420" w:lineRule="exact"/>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2、附</w:t>
      </w:r>
      <w:r>
        <w:rPr>
          <w:rFonts w:hint="eastAsia" w:ascii="宋体" w:hAnsi="宋体" w:eastAsia="宋体"/>
          <w:b/>
          <w:color w:val="000000" w:themeColor="text1"/>
          <w:sz w:val="21"/>
          <w:szCs w:val="21"/>
          <w:highlight w:val="none"/>
          <w:lang w:eastAsia="zh-CN"/>
          <w14:textFill>
            <w14:solidFill>
              <w14:schemeClr w14:val="tx1"/>
            </w14:solidFill>
          </w14:textFill>
        </w:rPr>
        <w:t>投</w:t>
      </w:r>
      <w:r>
        <w:rPr>
          <w:rFonts w:hint="eastAsia" w:ascii="宋体" w:hAnsi="宋体" w:eastAsia="宋体"/>
          <w:b/>
          <w:color w:val="000000" w:themeColor="text1"/>
          <w:sz w:val="21"/>
          <w:szCs w:val="21"/>
          <w:highlight w:val="none"/>
          <w14:textFill>
            <w14:solidFill>
              <w14:schemeClr w14:val="tx1"/>
            </w14:solidFill>
          </w14:textFill>
        </w:rPr>
        <w:t xml:space="preserve">标人在《国家企业信用信息公示系统》（网址：http://www.gsxt.gov.cn/index.html）中的“股东及出资信息”页面打印文件。 </w:t>
      </w:r>
    </w:p>
    <w:p w14:paraId="41ACCBEB">
      <w:pPr>
        <w:snapToGrid w:val="0"/>
        <w:spacing w:before="120" w:beforeLines="50" w:after="50" w:line="420" w:lineRule="exac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3、投标人如为事业单位的，不需要提供本表。</w:t>
      </w:r>
    </w:p>
    <w:p w14:paraId="5B51E389">
      <w:pPr>
        <w:snapToGrid w:val="0"/>
        <w:spacing w:before="120" w:beforeLines="50" w:after="50" w:line="420" w:lineRule="exac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4、提供“天眼查”里面投标人的公司信息及股东之间的关联图。</w:t>
      </w:r>
    </w:p>
    <w:p w14:paraId="643A9A3E">
      <w:pPr>
        <w:pStyle w:val="55"/>
        <w:spacing w:line="420" w:lineRule="exact"/>
        <w:rPr>
          <w:rFonts w:ascii="宋体" w:hAnsi="宋体" w:eastAsia="宋体"/>
          <w:color w:val="000000" w:themeColor="text1"/>
          <w:spacing w:val="0"/>
          <w:kern w:val="2"/>
          <w:sz w:val="21"/>
          <w:szCs w:val="21"/>
          <w:highlight w:val="none"/>
          <w:lang w:eastAsia="zh-CN"/>
          <w14:textFill>
            <w14:solidFill>
              <w14:schemeClr w14:val="tx1"/>
            </w14:solidFill>
          </w14:textFill>
        </w:rPr>
      </w:pPr>
      <w:r>
        <w:rPr>
          <w:rFonts w:hint="eastAsia" w:ascii="宋体" w:hAnsi="宋体" w:eastAsia="宋体"/>
          <w:color w:val="000000" w:themeColor="text1"/>
          <w:spacing w:val="0"/>
          <w:kern w:val="2"/>
          <w:sz w:val="21"/>
          <w:szCs w:val="21"/>
          <w:highlight w:val="none"/>
          <w:lang w:eastAsia="zh-CN"/>
          <w14:textFill>
            <w14:solidFill>
              <w14:schemeClr w14:val="tx1"/>
            </w14:solidFill>
          </w14:textFill>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74D12DD2">
      <w:pPr>
        <w:pStyle w:val="55"/>
        <w:rPr>
          <w:rFonts w:ascii="宋体" w:hAnsi="宋体" w:eastAsia="宋体"/>
          <w:color w:val="000000" w:themeColor="text1"/>
          <w:sz w:val="21"/>
          <w:szCs w:val="21"/>
          <w:highlight w:val="none"/>
          <w:lang w:eastAsia="zh-CN"/>
          <w14:textFill>
            <w14:solidFill>
              <w14:schemeClr w14:val="tx1"/>
            </w14:solidFill>
          </w14:textFill>
        </w:rPr>
      </w:pPr>
    </w:p>
    <w:p w14:paraId="22EB0419">
      <w:pPr>
        <w:pStyle w:val="55"/>
        <w:rPr>
          <w:rFonts w:ascii="宋体" w:hAnsi="宋体" w:eastAsia="宋体"/>
          <w:color w:val="000000" w:themeColor="text1"/>
          <w:sz w:val="21"/>
          <w:szCs w:val="21"/>
          <w:highlight w:val="none"/>
          <w:lang w:eastAsia="zh-CN"/>
          <w14:textFill>
            <w14:solidFill>
              <w14:schemeClr w14:val="tx1"/>
            </w14:solidFill>
          </w14:textFill>
        </w:rPr>
      </w:pPr>
    </w:p>
    <w:p w14:paraId="6D237F7B">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1E3195AE">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日期：  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210D6B56">
      <w:pPr>
        <w:pStyle w:val="55"/>
        <w:rPr>
          <w:rFonts w:ascii="宋体" w:hAnsi="宋体" w:eastAsia="宋体"/>
          <w:color w:val="000000" w:themeColor="text1"/>
          <w:sz w:val="21"/>
          <w:szCs w:val="21"/>
          <w:highlight w:val="none"/>
          <w:lang w:eastAsia="zh-CN"/>
          <w14:textFill>
            <w14:solidFill>
              <w14:schemeClr w14:val="tx1"/>
            </w14:solidFill>
          </w14:textFill>
        </w:rPr>
      </w:pPr>
    </w:p>
    <w:p w14:paraId="5D5DAF1A">
      <w:pPr>
        <w:pStyle w:val="55"/>
        <w:rPr>
          <w:rFonts w:ascii="宋体" w:hAnsi="宋体" w:eastAsia="宋体"/>
          <w:color w:val="000000" w:themeColor="text1"/>
          <w:sz w:val="21"/>
          <w:szCs w:val="21"/>
          <w:highlight w:val="none"/>
          <w:lang w:eastAsia="zh-CN"/>
          <w14:textFill>
            <w14:solidFill>
              <w14:schemeClr w14:val="tx1"/>
            </w14:solidFill>
          </w14:textFill>
        </w:rPr>
      </w:pPr>
    </w:p>
    <w:p w14:paraId="2A9991A9">
      <w:pPr>
        <w:pStyle w:val="55"/>
        <w:rPr>
          <w:rFonts w:ascii="宋体" w:hAnsi="宋体" w:eastAsia="宋体"/>
          <w:color w:val="000000" w:themeColor="text1"/>
          <w:sz w:val="21"/>
          <w:szCs w:val="21"/>
          <w:highlight w:val="none"/>
          <w:lang w:eastAsia="zh-CN"/>
          <w14:textFill>
            <w14:solidFill>
              <w14:schemeClr w14:val="tx1"/>
            </w14:solidFill>
          </w14:textFill>
        </w:rPr>
      </w:pPr>
    </w:p>
    <w:p w14:paraId="412E1FC4">
      <w:pPr>
        <w:pStyle w:val="55"/>
        <w:rPr>
          <w:rFonts w:ascii="宋体" w:hAnsi="宋体" w:eastAsia="宋体"/>
          <w:color w:val="000000" w:themeColor="text1"/>
          <w:sz w:val="21"/>
          <w:szCs w:val="21"/>
          <w:highlight w:val="none"/>
          <w:lang w:eastAsia="zh-CN"/>
          <w14:textFill>
            <w14:solidFill>
              <w14:schemeClr w14:val="tx1"/>
            </w14:solidFill>
          </w14:textFill>
        </w:rPr>
      </w:pPr>
    </w:p>
    <w:p w14:paraId="23DB1A43">
      <w:pPr>
        <w:pStyle w:val="55"/>
        <w:rPr>
          <w:rFonts w:ascii="宋体" w:hAnsi="宋体" w:eastAsia="宋体"/>
          <w:color w:val="000000" w:themeColor="text1"/>
          <w:sz w:val="21"/>
          <w:szCs w:val="21"/>
          <w:highlight w:val="none"/>
          <w:lang w:eastAsia="zh-CN"/>
          <w14:textFill>
            <w14:solidFill>
              <w14:schemeClr w14:val="tx1"/>
            </w14:solidFill>
          </w14:textFill>
        </w:rPr>
      </w:pPr>
    </w:p>
    <w:p w14:paraId="0A315D0F">
      <w:pPr>
        <w:pStyle w:val="18"/>
        <w:rPr>
          <w:rFonts w:ascii="宋体" w:hAnsi="宋体" w:eastAsia="宋体"/>
          <w:color w:val="000000" w:themeColor="text1"/>
          <w:sz w:val="21"/>
          <w:szCs w:val="21"/>
          <w:highlight w:val="none"/>
          <w:lang w:eastAsia="zh-CN"/>
          <w14:textFill>
            <w14:solidFill>
              <w14:schemeClr w14:val="tx1"/>
            </w14:solidFill>
          </w14:textFill>
        </w:rPr>
      </w:pPr>
    </w:p>
    <w:p w14:paraId="4260D8E9">
      <w:pPr>
        <w:rPr>
          <w:rFonts w:ascii="宋体" w:hAnsi="宋体" w:eastAsia="宋体"/>
          <w:color w:val="000000" w:themeColor="text1"/>
          <w:sz w:val="21"/>
          <w:szCs w:val="21"/>
          <w:highlight w:val="none"/>
          <w:lang w:eastAsia="zh-CN"/>
          <w14:textFill>
            <w14:solidFill>
              <w14:schemeClr w14:val="tx1"/>
            </w14:solidFill>
          </w14:textFill>
        </w:rPr>
      </w:pPr>
    </w:p>
    <w:p w14:paraId="4D0841AD">
      <w:pPr>
        <w:pStyle w:val="55"/>
        <w:rPr>
          <w:color w:val="000000" w:themeColor="text1"/>
          <w:highlight w:val="none"/>
          <w:lang w:eastAsia="zh-CN"/>
          <w14:textFill>
            <w14:solidFill>
              <w14:schemeClr w14:val="tx1"/>
            </w14:solidFill>
          </w14:textFill>
        </w:rPr>
      </w:pPr>
    </w:p>
    <w:p w14:paraId="2709C330">
      <w:pPr>
        <w:pStyle w:val="55"/>
        <w:rPr>
          <w:rFonts w:ascii="宋体" w:hAnsi="宋体" w:eastAsia="宋体"/>
          <w:color w:val="000000" w:themeColor="text1"/>
          <w:sz w:val="21"/>
          <w:szCs w:val="21"/>
          <w:highlight w:val="none"/>
          <w:lang w:eastAsia="zh-CN"/>
          <w14:textFill>
            <w14:solidFill>
              <w14:schemeClr w14:val="tx1"/>
            </w14:solidFill>
          </w14:textFill>
        </w:rPr>
      </w:pPr>
    </w:p>
    <w:p w14:paraId="76298544">
      <w:pPr>
        <w:pStyle w:val="55"/>
        <w:rPr>
          <w:rFonts w:ascii="宋体" w:hAnsi="宋体" w:eastAsia="宋体"/>
          <w:color w:val="000000" w:themeColor="text1"/>
          <w:sz w:val="21"/>
          <w:szCs w:val="21"/>
          <w:highlight w:val="none"/>
          <w:lang w:eastAsia="zh-CN"/>
          <w14:textFill>
            <w14:solidFill>
              <w14:schemeClr w14:val="tx1"/>
            </w14:solidFill>
          </w14:textFill>
        </w:rPr>
      </w:pPr>
    </w:p>
    <w:p w14:paraId="1547A20A">
      <w:pPr>
        <w:pStyle w:val="108"/>
        <w:jc w:val="center"/>
        <w:rPr>
          <w:rFonts w:ascii="宋体" w:hAnsi="宋体" w:eastAsia="宋体"/>
          <w:b/>
          <w:bCs/>
          <w:color w:val="000000" w:themeColor="text1"/>
          <w:sz w:val="24"/>
          <w:szCs w:val="22"/>
          <w:highlight w:val="none"/>
          <w:lang w:eastAsia="zh-CN"/>
          <w14:textFill>
            <w14:solidFill>
              <w14:schemeClr w14:val="tx1"/>
            </w14:solidFill>
          </w14:textFill>
        </w:rPr>
      </w:pPr>
      <w:r>
        <w:rPr>
          <w:rFonts w:hint="eastAsia" w:ascii="宋体" w:hAnsi="宋体" w:eastAsia="宋体"/>
          <w:b/>
          <w:bCs/>
          <w:color w:val="000000" w:themeColor="text1"/>
          <w:sz w:val="24"/>
          <w:szCs w:val="22"/>
          <w:highlight w:val="none"/>
          <w:lang w:eastAsia="zh-CN"/>
          <w14:textFill>
            <w14:solidFill>
              <w14:schemeClr w14:val="tx1"/>
            </w14:solidFill>
          </w14:textFill>
        </w:rPr>
        <w:t>投标人直接管理关系信息表</w:t>
      </w:r>
    </w:p>
    <w:tbl>
      <w:tblPr>
        <w:tblStyle w:val="3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846A79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7DB4FD">
            <w:pPr>
              <w:widowControl/>
              <w:spacing w:line="360" w:lineRule="auto"/>
              <w:contextualSpacing/>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66BFD6">
            <w:pPr>
              <w:widowControl/>
              <w:spacing w:line="360" w:lineRule="auto"/>
              <w:contextualSpacing/>
              <w:jc w:val="center"/>
              <w:rPr>
                <w:rFonts w:ascii="宋体" w:hAnsi="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7C0D92">
            <w:pPr>
              <w:widowControl/>
              <w:spacing w:line="360" w:lineRule="auto"/>
              <w:contextualSpacing/>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068BFA">
            <w:pPr>
              <w:widowControl/>
              <w:spacing w:line="360" w:lineRule="auto"/>
              <w:contextualSpacing/>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备注</w:t>
            </w:r>
          </w:p>
        </w:tc>
      </w:tr>
      <w:tr w14:paraId="6EC3411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74EF66">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9298CC">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8AC759">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799255">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r w14:paraId="6758670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0C3C9">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729739">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45227">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4CF96C">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r w14:paraId="3418B70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CD9E2">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3E29D0">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D4A764">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32456E">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r w14:paraId="5ADBF9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31A089">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F7C864">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2098E7">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C3E352">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bl>
    <w:p w14:paraId="5B7D6C9B">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p>
    <w:p w14:paraId="0A7F0E03">
      <w:pPr>
        <w:spacing w:line="360" w:lineRule="auto"/>
        <w:ind w:firstLine="40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7E2F800C">
      <w:pPr>
        <w:spacing w:line="360" w:lineRule="auto"/>
        <w:ind w:firstLine="400" w:firstLineChars="200"/>
        <w:contextualSpacing/>
        <w:jc w:val="left"/>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1.管理关系：是指不具有出资持股关系的其他单位之间存在的管理与被管理关系，如一些上下级关系的事业单位和团体组织。</w:t>
      </w:r>
    </w:p>
    <w:p w14:paraId="59B08A45">
      <w:pPr>
        <w:spacing w:line="360" w:lineRule="auto"/>
        <w:ind w:firstLine="400" w:firstLineChars="200"/>
        <w:contextualSpacing/>
        <w:jc w:val="left"/>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2.本表所指的管理关系仅限于直接管理关系，不包括间接的管理关系。</w:t>
      </w:r>
    </w:p>
    <w:p w14:paraId="18B3E9DD">
      <w:pPr>
        <w:spacing w:line="360" w:lineRule="auto"/>
        <w:ind w:firstLine="400" w:firstLineChars="200"/>
        <w:contextualSpacing/>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3.供应商不存在直接管理关系的，则填“无”。</w:t>
      </w:r>
    </w:p>
    <w:p w14:paraId="34A7803B">
      <w:pPr>
        <w:pStyle w:val="27"/>
        <w:rPr>
          <w:color w:val="000000" w:themeColor="text1"/>
          <w:highlight w:val="none"/>
          <w:lang w:eastAsia="zh-CN"/>
          <w14:textFill>
            <w14:solidFill>
              <w14:schemeClr w14:val="tx1"/>
            </w14:solidFill>
          </w14:textFill>
        </w:rPr>
      </w:pPr>
    </w:p>
    <w:p w14:paraId="04A52E55">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72BB1961">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46B2D329">
      <w:pPr>
        <w:pStyle w:val="55"/>
        <w:rPr>
          <w:rFonts w:ascii="宋体" w:hAnsi="宋体" w:eastAsia="宋体"/>
          <w:color w:val="000000" w:themeColor="text1"/>
          <w:sz w:val="21"/>
          <w:szCs w:val="21"/>
          <w:highlight w:val="none"/>
          <w:lang w:eastAsia="zh-CN"/>
          <w14:textFill>
            <w14:solidFill>
              <w14:schemeClr w14:val="tx1"/>
            </w14:solidFill>
          </w14:textFill>
        </w:rPr>
      </w:pPr>
    </w:p>
    <w:p w14:paraId="6C2B6886">
      <w:pPr>
        <w:pStyle w:val="55"/>
        <w:rPr>
          <w:rFonts w:ascii="宋体" w:hAnsi="宋体" w:eastAsia="宋体"/>
          <w:color w:val="000000" w:themeColor="text1"/>
          <w:sz w:val="21"/>
          <w:szCs w:val="21"/>
          <w:highlight w:val="none"/>
          <w:lang w:eastAsia="zh-CN"/>
          <w14:textFill>
            <w14:solidFill>
              <w14:schemeClr w14:val="tx1"/>
            </w14:solidFill>
          </w14:textFill>
        </w:rPr>
      </w:pPr>
    </w:p>
    <w:p w14:paraId="3F45EE00">
      <w:pPr>
        <w:pStyle w:val="55"/>
        <w:rPr>
          <w:rFonts w:ascii="宋体" w:hAnsi="宋体" w:eastAsia="宋体"/>
          <w:color w:val="000000" w:themeColor="text1"/>
          <w:sz w:val="21"/>
          <w:szCs w:val="21"/>
          <w:highlight w:val="none"/>
          <w:lang w:eastAsia="zh-CN"/>
          <w14:textFill>
            <w14:solidFill>
              <w14:schemeClr w14:val="tx1"/>
            </w14:solidFill>
          </w14:textFill>
        </w:rPr>
      </w:pPr>
    </w:p>
    <w:p w14:paraId="01486EC7">
      <w:pPr>
        <w:pStyle w:val="55"/>
        <w:rPr>
          <w:rFonts w:ascii="宋体" w:hAnsi="宋体" w:eastAsia="宋体"/>
          <w:color w:val="000000" w:themeColor="text1"/>
          <w:sz w:val="21"/>
          <w:szCs w:val="21"/>
          <w:highlight w:val="none"/>
          <w:lang w:eastAsia="zh-CN"/>
          <w14:textFill>
            <w14:solidFill>
              <w14:schemeClr w14:val="tx1"/>
            </w14:solidFill>
          </w14:textFill>
        </w:rPr>
      </w:pPr>
    </w:p>
    <w:p w14:paraId="01E2CB3F">
      <w:pPr>
        <w:pStyle w:val="55"/>
        <w:rPr>
          <w:rFonts w:ascii="宋体" w:hAnsi="宋体" w:eastAsia="宋体"/>
          <w:color w:val="000000" w:themeColor="text1"/>
          <w:sz w:val="21"/>
          <w:szCs w:val="21"/>
          <w:highlight w:val="none"/>
          <w:lang w:eastAsia="zh-CN"/>
          <w14:textFill>
            <w14:solidFill>
              <w14:schemeClr w14:val="tx1"/>
            </w14:solidFill>
          </w14:textFill>
        </w:rPr>
      </w:pPr>
    </w:p>
    <w:p w14:paraId="737A522F">
      <w:pPr>
        <w:pStyle w:val="55"/>
        <w:rPr>
          <w:rFonts w:ascii="宋体" w:hAnsi="宋体" w:eastAsia="宋体"/>
          <w:color w:val="000000" w:themeColor="text1"/>
          <w:sz w:val="21"/>
          <w:szCs w:val="21"/>
          <w:highlight w:val="none"/>
          <w:lang w:eastAsia="zh-CN"/>
          <w14:textFill>
            <w14:solidFill>
              <w14:schemeClr w14:val="tx1"/>
            </w14:solidFill>
          </w14:textFill>
        </w:rPr>
      </w:pPr>
    </w:p>
    <w:p w14:paraId="14E17A3C">
      <w:pPr>
        <w:pStyle w:val="55"/>
        <w:rPr>
          <w:rFonts w:ascii="宋体" w:hAnsi="宋体" w:eastAsia="宋体"/>
          <w:color w:val="000000" w:themeColor="text1"/>
          <w:sz w:val="21"/>
          <w:szCs w:val="21"/>
          <w:highlight w:val="none"/>
          <w:lang w:eastAsia="zh-CN"/>
          <w14:textFill>
            <w14:solidFill>
              <w14:schemeClr w14:val="tx1"/>
            </w14:solidFill>
          </w14:textFill>
        </w:rPr>
      </w:pPr>
    </w:p>
    <w:p w14:paraId="1A1E6F28">
      <w:pPr>
        <w:pStyle w:val="55"/>
        <w:rPr>
          <w:rFonts w:ascii="宋体" w:hAnsi="宋体" w:eastAsia="宋体"/>
          <w:color w:val="000000" w:themeColor="text1"/>
          <w:sz w:val="21"/>
          <w:szCs w:val="21"/>
          <w:highlight w:val="none"/>
          <w:lang w:eastAsia="zh-CN"/>
          <w14:textFill>
            <w14:solidFill>
              <w14:schemeClr w14:val="tx1"/>
            </w14:solidFill>
          </w14:textFill>
        </w:rPr>
      </w:pPr>
    </w:p>
    <w:p w14:paraId="44BAF277">
      <w:pPr>
        <w:pStyle w:val="55"/>
        <w:rPr>
          <w:rFonts w:ascii="宋体" w:hAnsi="宋体" w:eastAsia="宋体"/>
          <w:color w:val="000000" w:themeColor="text1"/>
          <w:sz w:val="21"/>
          <w:szCs w:val="21"/>
          <w:highlight w:val="none"/>
          <w:lang w:eastAsia="zh-CN"/>
          <w14:textFill>
            <w14:solidFill>
              <w14:schemeClr w14:val="tx1"/>
            </w14:solidFill>
          </w14:textFill>
        </w:rPr>
      </w:pPr>
    </w:p>
    <w:p w14:paraId="178AE634">
      <w:pPr>
        <w:pStyle w:val="55"/>
        <w:rPr>
          <w:rFonts w:ascii="宋体" w:hAnsi="宋体" w:eastAsia="宋体"/>
          <w:color w:val="000000" w:themeColor="text1"/>
          <w:sz w:val="21"/>
          <w:szCs w:val="21"/>
          <w:highlight w:val="none"/>
          <w:lang w:eastAsia="zh-CN"/>
          <w14:textFill>
            <w14:solidFill>
              <w14:schemeClr w14:val="tx1"/>
            </w14:solidFill>
          </w14:textFill>
        </w:rPr>
      </w:pPr>
    </w:p>
    <w:p w14:paraId="2C6DEAD8">
      <w:pPr>
        <w:pStyle w:val="55"/>
        <w:rPr>
          <w:rFonts w:ascii="宋体" w:hAnsi="宋体" w:eastAsia="宋体"/>
          <w:color w:val="000000" w:themeColor="text1"/>
          <w:sz w:val="21"/>
          <w:szCs w:val="21"/>
          <w:highlight w:val="none"/>
          <w:lang w:eastAsia="zh-CN"/>
          <w14:textFill>
            <w14:solidFill>
              <w14:schemeClr w14:val="tx1"/>
            </w14:solidFill>
          </w14:textFill>
        </w:rPr>
      </w:pPr>
    </w:p>
    <w:p w14:paraId="62BE48AF">
      <w:pPr>
        <w:pStyle w:val="55"/>
        <w:rPr>
          <w:rFonts w:ascii="宋体" w:hAnsi="宋体" w:eastAsia="宋体"/>
          <w:color w:val="000000" w:themeColor="text1"/>
          <w:sz w:val="21"/>
          <w:szCs w:val="21"/>
          <w:highlight w:val="none"/>
          <w:lang w:eastAsia="zh-CN"/>
          <w14:textFill>
            <w14:solidFill>
              <w14:schemeClr w14:val="tx1"/>
            </w14:solidFill>
          </w14:textFill>
        </w:rPr>
      </w:pPr>
    </w:p>
    <w:p w14:paraId="26D55077">
      <w:pPr>
        <w:pStyle w:val="55"/>
        <w:rPr>
          <w:rFonts w:ascii="宋体" w:hAnsi="宋体" w:eastAsia="宋体"/>
          <w:color w:val="000000" w:themeColor="text1"/>
          <w:sz w:val="21"/>
          <w:szCs w:val="21"/>
          <w:highlight w:val="none"/>
          <w:lang w:eastAsia="zh-CN"/>
          <w14:textFill>
            <w14:solidFill>
              <w14:schemeClr w14:val="tx1"/>
            </w14:solidFill>
          </w14:textFill>
        </w:rPr>
      </w:pPr>
    </w:p>
    <w:p w14:paraId="01D5443B">
      <w:pPr>
        <w:pStyle w:val="55"/>
        <w:rPr>
          <w:rFonts w:ascii="宋体" w:hAnsi="宋体" w:eastAsia="宋体"/>
          <w:color w:val="000000" w:themeColor="text1"/>
          <w:sz w:val="21"/>
          <w:szCs w:val="21"/>
          <w:highlight w:val="none"/>
          <w:lang w:eastAsia="zh-CN"/>
          <w14:textFill>
            <w14:solidFill>
              <w14:schemeClr w14:val="tx1"/>
            </w14:solidFill>
          </w14:textFill>
        </w:rPr>
      </w:pPr>
    </w:p>
    <w:p w14:paraId="3B85A546">
      <w:pPr>
        <w:pStyle w:val="55"/>
        <w:rPr>
          <w:rFonts w:ascii="宋体" w:hAnsi="宋体" w:eastAsia="宋体"/>
          <w:color w:val="000000" w:themeColor="text1"/>
          <w:sz w:val="21"/>
          <w:szCs w:val="21"/>
          <w:highlight w:val="none"/>
          <w:lang w:eastAsia="zh-CN"/>
          <w14:textFill>
            <w14:solidFill>
              <w14:schemeClr w14:val="tx1"/>
            </w14:solidFill>
          </w14:textFill>
        </w:rPr>
      </w:pPr>
    </w:p>
    <w:p w14:paraId="759E667E">
      <w:pPr>
        <w:pStyle w:val="55"/>
        <w:rPr>
          <w:rFonts w:ascii="宋体" w:hAnsi="宋体" w:eastAsia="宋体"/>
          <w:color w:val="000000" w:themeColor="text1"/>
          <w:sz w:val="21"/>
          <w:szCs w:val="21"/>
          <w:highlight w:val="none"/>
          <w:lang w:eastAsia="zh-CN"/>
          <w14:textFill>
            <w14:solidFill>
              <w14:schemeClr w14:val="tx1"/>
            </w14:solidFill>
          </w14:textFill>
        </w:rPr>
      </w:pPr>
    </w:p>
    <w:p w14:paraId="04B01A91">
      <w:pPr>
        <w:pStyle w:val="55"/>
        <w:rPr>
          <w:rFonts w:ascii="宋体" w:hAnsi="宋体" w:eastAsia="宋体"/>
          <w:color w:val="000000" w:themeColor="text1"/>
          <w:sz w:val="21"/>
          <w:szCs w:val="21"/>
          <w:highlight w:val="none"/>
          <w:lang w:eastAsia="zh-CN"/>
          <w14:textFill>
            <w14:solidFill>
              <w14:schemeClr w14:val="tx1"/>
            </w14:solidFill>
          </w14:textFill>
        </w:rPr>
      </w:pPr>
    </w:p>
    <w:p w14:paraId="3233C58E">
      <w:pPr>
        <w:snapToGrid w:val="0"/>
        <w:spacing w:before="120" w:beforeLines="50" w:after="50" w:line="360" w:lineRule="exact"/>
        <w:jc w:val="center"/>
        <w:rPr>
          <w:rFonts w:ascii="宋体" w:hAnsi="宋体" w:eastAsia="宋体"/>
          <w:b/>
          <w:color w:val="000000" w:themeColor="text1"/>
          <w:sz w:val="21"/>
          <w:szCs w:val="21"/>
          <w:highlight w:val="none"/>
          <w:u w:val="double"/>
          <w:lang w:eastAsia="zh-CN"/>
          <w14:textFill>
            <w14:solidFill>
              <w14:schemeClr w14:val="tx1"/>
            </w14:solidFill>
          </w14:textFill>
        </w:rPr>
      </w:pPr>
      <w:r>
        <w:rPr>
          <w:rFonts w:hint="eastAsia" w:ascii="宋体" w:hAnsi="宋体" w:eastAsia="宋体"/>
          <w:b/>
          <w:color w:val="000000" w:themeColor="text1"/>
          <w:sz w:val="21"/>
          <w:szCs w:val="21"/>
          <w:highlight w:val="none"/>
          <w:u w:val="double"/>
          <w:lang w:eastAsia="zh-CN"/>
          <w14:textFill>
            <w14:solidFill>
              <w14:schemeClr w14:val="tx1"/>
            </w14:solidFill>
          </w14:textFill>
        </w:rPr>
        <w:t xml:space="preserve">  （二）报价文件部分 （格式）</w:t>
      </w:r>
    </w:p>
    <w:p w14:paraId="50D683D5">
      <w:pPr>
        <w:snapToGrid w:val="0"/>
        <w:spacing w:before="120" w:beforeLines="50" w:after="50" w:line="340" w:lineRule="exact"/>
        <w:ind w:firstLine="4819" w:firstLineChars="2000"/>
        <w:rPr>
          <w:rFonts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投 标 函</w:t>
      </w:r>
    </w:p>
    <w:p w14:paraId="706AB60D">
      <w:pPr>
        <w:snapToGrid w:val="0"/>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致：</w:t>
      </w:r>
      <w:r>
        <w:rPr>
          <w:rFonts w:hint="eastAsia" w:ascii="宋体" w:hAnsi="宋体" w:eastAsia="宋体"/>
          <w:color w:val="000000" w:themeColor="text1"/>
          <w:sz w:val="21"/>
          <w:szCs w:val="21"/>
          <w:highlight w:val="none"/>
          <w:u w:val="single"/>
          <w:lang w:eastAsia="zh-CN"/>
          <w14:textFill>
            <w14:solidFill>
              <w14:schemeClr w14:val="tx1"/>
            </w14:solidFill>
          </w14:textFill>
        </w:rPr>
        <w:t>（采购代理机构名称）</w:t>
      </w:r>
      <w:r>
        <w:rPr>
          <w:rFonts w:hint="eastAsia" w:ascii="宋体" w:hAnsi="宋体" w:eastAsia="宋体"/>
          <w:color w:val="000000" w:themeColor="text1"/>
          <w:sz w:val="21"/>
          <w:szCs w:val="21"/>
          <w:highlight w:val="none"/>
          <w:lang w:eastAsia="zh-CN"/>
          <w14:textFill>
            <w14:solidFill>
              <w14:schemeClr w14:val="tx1"/>
            </w14:solidFill>
          </w14:textFill>
        </w:rPr>
        <w:t>：</w:t>
      </w:r>
    </w:p>
    <w:p w14:paraId="3C508241">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根据贵方为</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项目的招标公告（项目编号：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），签字代表</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（姓名）经正式授权并代表投标人</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（投标人名称）提交投标文件(内含:资格文件、报价文件、商务技术文件)。</w:t>
      </w:r>
    </w:p>
    <w:p w14:paraId="260B6DA2">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据此函，签字代表宣布同意如下：</w:t>
      </w:r>
    </w:p>
    <w:p w14:paraId="2B7092D3">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1.我方同意在投标人须知规定的开标日期起遵循本投标文件，并在投标人须知第16条规定的投标有效期满之前均具有约束力。</w:t>
      </w:r>
    </w:p>
    <w:p w14:paraId="26552A8C">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2、我方承诺已经具备《中华人民共和国政府采购法》中规定的参加政府采购活动的供应商应当具备的条件：</w:t>
      </w:r>
    </w:p>
    <w:p w14:paraId="0E4A39C5">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（1）具有独立承担民事责任的能力；</w:t>
      </w:r>
    </w:p>
    <w:p w14:paraId="4E03C062">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（2）具有良好的商业信誉和健全的财务会计制度；</w:t>
      </w:r>
    </w:p>
    <w:p w14:paraId="697FB69A">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（3）具有履行合同所必需的设备和专业技术能力；</w:t>
      </w:r>
    </w:p>
    <w:p w14:paraId="4984CCDB">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（4）有依法缴纳税收和社会保障资金的良好记录；</w:t>
      </w:r>
    </w:p>
    <w:p w14:paraId="3050DB87">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（5）参加此项采购活动前三年内，在经营活动中没有重大违法记录。</w:t>
      </w:r>
    </w:p>
    <w:p w14:paraId="242A0960">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3、我方根据招标文件的规定，承担完成合同的责任和义务。</w:t>
      </w:r>
    </w:p>
    <w:p w14:paraId="6B050EA2">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4、我方已详细审核招标文件，我方知道必须放弃提出含糊不清或误解问题的权利。</w:t>
      </w:r>
    </w:p>
    <w:p w14:paraId="1F8C103D">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5、如果在投标截止时间后的投标有效期内撤回投标或者有其他违约行为，我方的投标保证金可被贵方全部没收。</w:t>
      </w:r>
    </w:p>
    <w:p w14:paraId="7ABD8D1D">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6、同意向贵方提供贵方可能要求的与本投标有关的人和数据或资料。</w:t>
      </w:r>
    </w:p>
    <w:p w14:paraId="79DF5164">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7、我方完全理解贵方不一定要接受最低报价的投标人为中标人。</w:t>
      </w:r>
    </w:p>
    <w:p w14:paraId="618B313B">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8、若贵方需要，我方愿意提供我方做出的一切承诺的证明材料。</w:t>
      </w:r>
    </w:p>
    <w:p w14:paraId="23975BFB">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我方将严格遵守《中华人民共和国政府采购法》第七十七条规定，知悉以下之法律责任：供应商有下列情形之一的，处于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9323B1">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（1）提供虚假材料谋取中标、成交的；</w:t>
      </w:r>
    </w:p>
    <w:p w14:paraId="163DF935">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（2）采取不正当手段诋毁、排挤其他供应商的；</w:t>
      </w:r>
    </w:p>
    <w:p w14:paraId="314D61F7">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（3）与采购人、其他供应商或者采购代理机构恶意串通的；</w:t>
      </w:r>
    </w:p>
    <w:p w14:paraId="5F23FA87">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（4）向采购人、采购代理机构行贿或者提供其他不正当利益的；</w:t>
      </w:r>
    </w:p>
    <w:p w14:paraId="5EEAA2AA">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（5）拒绝有关部门监督检查或提供虚假情况的。</w:t>
      </w:r>
    </w:p>
    <w:p w14:paraId="3A90DD50">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10.与本投标有关的一切正式往来信函请寄：</w:t>
      </w:r>
    </w:p>
    <w:p w14:paraId="088549A3">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地址：</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邮编：__________            电话：______________</w:t>
      </w:r>
    </w:p>
    <w:p w14:paraId="275A63EB">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传真：</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投标人代表姓名 ___________  职务：</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14:paraId="0421B28E">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开户银行：</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03D27CA3">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银行账号：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4FAC892D">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009B0E24">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761939D4">
      <w:pPr>
        <w:snapToGrid w:val="0"/>
        <w:spacing w:before="50" w:after="50"/>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开标一览表</w:t>
      </w:r>
    </w:p>
    <w:p w14:paraId="785970C5">
      <w:pPr>
        <w:snapToGrid w:val="0"/>
        <w:spacing w:before="50" w:after="50"/>
        <w:jc w:val="center"/>
        <w:rPr>
          <w:rFonts w:ascii="宋体" w:hAnsi="宋体" w:eastAsia="宋体"/>
          <w:b/>
          <w:color w:val="000000" w:themeColor="text1"/>
          <w:sz w:val="21"/>
          <w:szCs w:val="21"/>
          <w:highlight w:val="none"/>
          <w:lang w:eastAsia="zh-CN"/>
          <w14:textFill>
            <w14:solidFill>
              <w14:schemeClr w14:val="tx1"/>
            </w14:solidFill>
          </w14:textFill>
        </w:rPr>
      </w:pPr>
    </w:p>
    <w:p w14:paraId="6B873E64">
      <w:pPr>
        <w:snapToGrid w:val="0"/>
        <w:spacing w:before="50" w:after="50"/>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项目名称：</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5F84AE11">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14:paraId="3B10291D">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分 标 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24F86E7A">
      <w:pPr>
        <w:snapToGrid w:val="0"/>
        <w:spacing w:before="50" w:after="5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单位：元</w:t>
      </w:r>
    </w:p>
    <w:tbl>
      <w:tblPr>
        <w:tblStyle w:val="38"/>
        <w:tblW w:w="91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2937D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52881010">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4E77D42C">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75D088E2">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数量</w:t>
            </w:r>
          </w:p>
          <w:p w14:paraId="6B509C4D">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5D709D6">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AE2C701">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38AE484C">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18F4FF10">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单价</w:t>
            </w:r>
          </w:p>
          <w:p w14:paraId="04B6BEF7">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3F03A830">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投标报价</w:t>
            </w:r>
          </w:p>
          <w:p w14:paraId="2632FBCC">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③=①×②</w:t>
            </w:r>
          </w:p>
        </w:tc>
      </w:tr>
      <w:tr w14:paraId="2F64B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AF7C033">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c>
          <w:tcPr>
            <w:tcW w:w="1470" w:type="dxa"/>
            <w:tcBorders>
              <w:top w:val="single" w:color="auto" w:sz="4" w:space="0"/>
              <w:left w:val="single" w:color="auto" w:sz="4" w:space="0"/>
              <w:bottom w:val="single" w:color="auto" w:sz="4" w:space="0"/>
              <w:right w:val="single" w:color="auto" w:sz="4" w:space="0"/>
            </w:tcBorders>
            <w:vAlign w:val="center"/>
          </w:tcPr>
          <w:p w14:paraId="7C00EAED">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14:paraId="5F887134">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vAlign w:val="center"/>
          </w:tcPr>
          <w:p w14:paraId="0ABDA6E4">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vAlign w:val="center"/>
          </w:tcPr>
          <w:p w14:paraId="3AAA8E41">
            <w:pPr>
              <w:snapToGrid w:val="0"/>
              <w:spacing w:before="50" w:after="50"/>
              <w:jc w:val="center"/>
              <w:rPr>
                <w:rFonts w:ascii="宋体" w:hAnsi="宋体" w:eastAsia="宋体"/>
                <w:color w:val="000000" w:themeColor="text1"/>
                <w:sz w:val="21"/>
                <w:szCs w:val="21"/>
                <w:highlight w:val="none"/>
                <w14:textFill>
                  <w14:solidFill>
                    <w14:schemeClr w14:val="tx1"/>
                  </w14:solidFill>
                </w14:textFill>
              </w:rPr>
            </w:pPr>
          </w:p>
        </w:tc>
        <w:tc>
          <w:tcPr>
            <w:tcW w:w="1318" w:type="dxa"/>
            <w:tcBorders>
              <w:top w:val="single" w:color="auto" w:sz="4" w:space="0"/>
              <w:left w:val="single" w:color="auto" w:sz="4" w:space="0"/>
              <w:bottom w:val="single" w:color="auto" w:sz="4" w:space="0"/>
              <w:right w:val="single" w:color="auto" w:sz="4" w:space="0"/>
            </w:tcBorders>
            <w:vAlign w:val="center"/>
          </w:tcPr>
          <w:p w14:paraId="31B851B0">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vAlign w:val="center"/>
          </w:tcPr>
          <w:p w14:paraId="3ACEF243">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vAlign w:val="center"/>
          </w:tcPr>
          <w:p w14:paraId="738C07FE">
            <w:pPr>
              <w:snapToGrid w:val="0"/>
              <w:spacing w:before="50" w:after="50"/>
              <w:rPr>
                <w:rFonts w:ascii="宋体" w:hAnsi="宋体" w:eastAsia="宋体"/>
                <w:color w:val="000000" w:themeColor="text1"/>
                <w:sz w:val="21"/>
                <w:szCs w:val="21"/>
                <w:highlight w:val="none"/>
                <w14:textFill>
                  <w14:solidFill>
                    <w14:schemeClr w14:val="tx1"/>
                  </w14:solidFill>
                </w14:textFill>
              </w:rPr>
            </w:pPr>
          </w:p>
        </w:tc>
      </w:tr>
      <w:tr w14:paraId="42334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565C453F">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p>
        </w:tc>
        <w:tc>
          <w:tcPr>
            <w:tcW w:w="1470" w:type="dxa"/>
            <w:tcBorders>
              <w:top w:val="single" w:color="auto" w:sz="4" w:space="0"/>
              <w:left w:val="single" w:color="auto" w:sz="4" w:space="0"/>
              <w:bottom w:val="single" w:color="auto" w:sz="4" w:space="0"/>
              <w:right w:val="single" w:color="auto" w:sz="4" w:space="0"/>
            </w:tcBorders>
            <w:vAlign w:val="center"/>
          </w:tcPr>
          <w:p w14:paraId="72C4C92B">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14:paraId="6EF53218">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vAlign w:val="center"/>
          </w:tcPr>
          <w:p w14:paraId="64133D76">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vAlign w:val="center"/>
          </w:tcPr>
          <w:p w14:paraId="564696C1">
            <w:pPr>
              <w:snapToGrid w:val="0"/>
              <w:spacing w:before="50" w:after="50"/>
              <w:jc w:val="center"/>
              <w:rPr>
                <w:rFonts w:ascii="宋体" w:hAnsi="宋体" w:eastAsia="宋体"/>
                <w:color w:val="000000" w:themeColor="text1"/>
                <w:sz w:val="21"/>
                <w:szCs w:val="21"/>
                <w:highlight w:val="none"/>
                <w14:textFill>
                  <w14:solidFill>
                    <w14:schemeClr w14:val="tx1"/>
                  </w14:solidFill>
                </w14:textFill>
              </w:rPr>
            </w:pPr>
          </w:p>
        </w:tc>
        <w:tc>
          <w:tcPr>
            <w:tcW w:w="1318" w:type="dxa"/>
            <w:tcBorders>
              <w:top w:val="single" w:color="auto" w:sz="4" w:space="0"/>
              <w:left w:val="single" w:color="auto" w:sz="4" w:space="0"/>
              <w:bottom w:val="single" w:color="auto" w:sz="4" w:space="0"/>
              <w:right w:val="single" w:color="auto" w:sz="4" w:space="0"/>
            </w:tcBorders>
            <w:vAlign w:val="center"/>
          </w:tcPr>
          <w:p w14:paraId="2F0ED66C">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vAlign w:val="center"/>
          </w:tcPr>
          <w:p w14:paraId="50F350D7">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vAlign w:val="center"/>
          </w:tcPr>
          <w:p w14:paraId="29F96E90">
            <w:pPr>
              <w:snapToGrid w:val="0"/>
              <w:spacing w:before="50" w:after="50"/>
              <w:rPr>
                <w:rFonts w:ascii="宋体" w:hAnsi="宋体" w:eastAsia="宋体"/>
                <w:color w:val="000000" w:themeColor="text1"/>
                <w:sz w:val="21"/>
                <w:szCs w:val="21"/>
                <w:highlight w:val="none"/>
                <w14:textFill>
                  <w14:solidFill>
                    <w14:schemeClr w14:val="tx1"/>
                  </w14:solidFill>
                </w14:textFill>
              </w:rPr>
            </w:pPr>
          </w:p>
        </w:tc>
      </w:tr>
      <w:tr w14:paraId="181C5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579DF601">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vAlign w:val="center"/>
          </w:tcPr>
          <w:p w14:paraId="5EE2CE34">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w:t>
            </w:r>
          </w:p>
        </w:tc>
        <w:tc>
          <w:tcPr>
            <w:tcW w:w="723" w:type="dxa"/>
            <w:tcBorders>
              <w:top w:val="single" w:color="auto" w:sz="4" w:space="0"/>
              <w:left w:val="single" w:color="auto" w:sz="4" w:space="0"/>
              <w:bottom w:val="single" w:color="auto" w:sz="4" w:space="0"/>
              <w:right w:val="single" w:color="auto" w:sz="4" w:space="0"/>
            </w:tcBorders>
            <w:vAlign w:val="center"/>
          </w:tcPr>
          <w:p w14:paraId="304D9165">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vAlign w:val="center"/>
          </w:tcPr>
          <w:p w14:paraId="41399C7B">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vAlign w:val="center"/>
          </w:tcPr>
          <w:p w14:paraId="0F240EAB">
            <w:pPr>
              <w:snapToGrid w:val="0"/>
              <w:spacing w:before="50" w:after="50"/>
              <w:jc w:val="center"/>
              <w:rPr>
                <w:rFonts w:ascii="宋体" w:hAnsi="宋体" w:eastAsia="宋体"/>
                <w:color w:val="000000" w:themeColor="text1"/>
                <w:sz w:val="21"/>
                <w:szCs w:val="21"/>
                <w:highlight w:val="none"/>
                <w14:textFill>
                  <w14:solidFill>
                    <w14:schemeClr w14:val="tx1"/>
                  </w14:solidFill>
                </w14:textFill>
              </w:rPr>
            </w:pPr>
          </w:p>
        </w:tc>
        <w:tc>
          <w:tcPr>
            <w:tcW w:w="1318" w:type="dxa"/>
            <w:tcBorders>
              <w:top w:val="single" w:color="auto" w:sz="4" w:space="0"/>
              <w:left w:val="single" w:color="auto" w:sz="4" w:space="0"/>
              <w:bottom w:val="single" w:color="auto" w:sz="4" w:space="0"/>
              <w:right w:val="single" w:color="auto" w:sz="4" w:space="0"/>
            </w:tcBorders>
            <w:vAlign w:val="center"/>
          </w:tcPr>
          <w:p w14:paraId="06E8BFA2">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vAlign w:val="center"/>
          </w:tcPr>
          <w:p w14:paraId="5A833320">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vAlign w:val="center"/>
          </w:tcPr>
          <w:p w14:paraId="641AD29B">
            <w:pPr>
              <w:snapToGrid w:val="0"/>
              <w:spacing w:before="50" w:after="50"/>
              <w:rPr>
                <w:rFonts w:ascii="宋体" w:hAnsi="宋体" w:eastAsia="宋体"/>
                <w:color w:val="000000" w:themeColor="text1"/>
                <w:sz w:val="21"/>
                <w:szCs w:val="21"/>
                <w:highlight w:val="none"/>
                <w14:textFill>
                  <w14:solidFill>
                    <w14:schemeClr w14:val="tx1"/>
                  </w14:solidFill>
                </w14:textFill>
              </w:rPr>
            </w:pPr>
          </w:p>
        </w:tc>
      </w:tr>
      <w:tr w14:paraId="478CE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333E02E">
            <w:pPr>
              <w:snapToGrid w:val="0"/>
              <w:spacing w:before="50" w:after="5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合计金额大写：</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（小写      ）</w:t>
            </w:r>
          </w:p>
          <w:p w14:paraId="68C2BA21">
            <w:pPr>
              <w:snapToGrid w:val="0"/>
              <w:spacing w:before="50" w:after="5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交货期：</w:t>
            </w:r>
          </w:p>
        </w:tc>
      </w:tr>
    </w:tbl>
    <w:p w14:paraId="71554311">
      <w:pPr>
        <w:snapToGrid w:val="0"/>
        <w:spacing w:before="50" w:after="5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注: 1、报价一经涂改，应在涂改处加盖单位公章或者由法定代表人或授权委托人签字或盖章，否则其投标作无效标处理。</w:t>
      </w:r>
    </w:p>
    <w:p w14:paraId="44BB9BCC">
      <w:pPr>
        <w:snapToGrid w:val="0"/>
        <w:spacing w:before="50" w:after="50"/>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2、凡需用专用耗材的专用设备类采购项目，应按招标文件规定的耗材量或按耗材的常规试用量提供报价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5767687">
      <w:pPr>
        <w:snapToGrid w:val="0"/>
        <w:spacing w:before="50" w:after="50"/>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3、投标费用包括项目实施所需的人工费、货款、标准附件、备品备件、专用工具、包装、运输、装卸、保险、税金、货到就位以及安装、调试、培训、保修、售后服务等一切税金和费用。</w:t>
      </w:r>
    </w:p>
    <w:p w14:paraId="779F6E2F">
      <w:pPr>
        <w:snapToGrid w:val="0"/>
        <w:spacing w:before="50" w:after="50"/>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4、以上报价应与“投标报价明细表”中的“投标总价”相一致。</w:t>
      </w:r>
    </w:p>
    <w:p w14:paraId="321AF93F">
      <w:pPr>
        <w:snapToGrid w:val="0"/>
        <w:spacing w:before="50" w:after="50"/>
        <w:ind w:left="-2" w:leftChars="-1" w:right="-778" w:rightChars="-389"/>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532EA718">
      <w:pPr>
        <w:snapToGrid w:val="0"/>
        <w:spacing w:before="50" w:after="50"/>
        <w:ind w:left="-14" w:leftChars="-72" w:right="-778" w:rightChars="-389" w:hanging="130" w:hangingChars="62"/>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1570BDC1">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5B5E7F8D">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color w:val="000000" w:themeColor="text1"/>
          <w:kern w:val="0"/>
          <w:sz w:val="24"/>
          <w:szCs w:val="28"/>
          <w:highlight w:val="none"/>
          <w14:textFill>
            <w14:solidFill>
              <w14:schemeClr w14:val="tx1"/>
            </w14:solidFill>
          </w14:textFill>
        </w:rPr>
        <w:t xml:space="preserve">                              </w:t>
      </w:r>
      <w:r>
        <w:rPr>
          <w:rFonts w:hint="eastAsia" w:hAnsi="宋体" w:cs="宋体"/>
          <w:color w:val="000000" w:themeColor="text1"/>
          <w:kern w:val="0"/>
          <w:sz w:val="24"/>
          <w:szCs w:val="28"/>
          <w:highlight w:val="none"/>
          <w:lang w:val="zh-CN"/>
          <w14:textFill>
            <w14:solidFill>
              <w14:schemeClr w14:val="tx1"/>
            </w14:solidFill>
          </w14:textFill>
        </w:rPr>
        <w:t xml:space="preserve">日期：  </w:t>
      </w:r>
      <w:r>
        <w:rPr>
          <w:rFonts w:hint="eastAsia" w:hAnsi="宋体" w:cs="宋体"/>
          <w:color w:val="000000" w:themeColor="text1"/>
          <w:kern w:val="0"/>
          <w:sz w:val="24"/>
          <w:szCs w:val="28"/>
          <w:highlight w:val="none"/>
          <w14:textFill>
            <w14:solidFill>
              <w14:schemeClr w14:val="tx1"/>
            </w14:solidFill>
          </w14:textFill>
        </w:rPr>
        <w:t xml:space="preserve"> </w:t>
      </w:r>
      <w:r>
        <w:rPr>
          <w:rFonts w:hint="eastAsia" w:hAnsi="宋体" w:cs="宋体"/>
          <w:color w:val="000000" w:themeColor="text1"/>
          <w:kern w:val="0"/>
          <w:sz w:val="24"/>
          <w:szCs w:val="28"/>
          <w:highlight w:val="none"/>
          <w:lang w:val="zh-CN"/>
          <w14:textFill>
            <w14:solidFill>
              <w14:schemeClr w14:val="tx1"/>
            </w14:solidFill>
          </w14:textFill>
        </w:rPr>
        <w:t>年  月   日</w:t>
      </w:r>
      <w:r>
        <w:rPr>
          <w:rFonts w:hint="eastAsia" w:hAnsi="宋体" w:cs="宋体"/>
          <w:color w:val="000000" w:themeColor="text1"/>
          <w:sz w:val="24"/>
          <w:szCs w:val="28"/>
          <w:highlight w:val="none"/>
          <w14:textFill>
            <w14:solidFill>
              <w14:schemeClr w14:val="tx1"/>
            </w14:solidFill>
          </w14:textFill>
        </w:rPr>
        <w:t xml:space="preserve"> </w:t>
      </w:r>
    </w:p>
    <w:p w14:paraId="01190BC5">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4FC66292">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0E431C97">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1EC14F6E">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7A7761FC">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1498637E">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0769F55A">
      <w:pPr>
        <w:rPr>
          <w:color w:val="000000" w:themeColor="text1"/>
          <w:highlight w:val="none"/>
          <w:lang w:eastAsia="zh-CN"/>
          <w14:textFill>
            <w14:solidFill>
              <w14:schemeClr w14:val="tx1"/>
            </w14:solidFill>
          </w14:textFill>
        </w:rPr>
      </w:pPr>
    </w:p>
    <w:p w14:paraId="195A6EAB">
      <w:pPr>
        <w:pStyle w:val="21"/>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14:paraId="39D94A6D">
      <w:pPr>
        <w:pStyle w:val="21"/>
        <w:snapToGrid w:val="0"/>
        <w:spacing w:before="295" w:after="295" w:line="360" w:lineRule="exact"/>
        <w:jc w:val="center"/>
        <w:rPr>
          <w:rFonts w:hAnsi="宋体" w:cs="宋体"/>
          <w:color w:val="000000" w:themeColor="text1"/>
          <w:szCs w:val="21"/>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投标报价明细表</w:t>
      </w:r>
    </w:p>
    <w:p w14:paraId="08BDC489">
      <w:pPr>
        <w:pStyle w:val="21"/>
        <w:snapToGrid w:val="0"/>
        <w:spacing w:before="295" w:after="295" w:line="360" w:lineRule="exact"/>
        <w:ind w:firstLine="6720" w:firstLineChars="3200"/>
        <w:rPr>
          <w:rFonts w:hAnsi="宋体" w:cs="宋体"/>
          <w:b/>
          <w:bCs/>
          <w:color w:val="000000" w:themeColor="text1"/>
          <w:sz w:val="24"/>
          <w:szCs w:val="24"/>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金额单位：人民币（元）</w:t>
      </w:r>
    </w:p>
    <w:p w14:paraId="7B0DCC56">
      <w:pPr>
        <w:snapToGrid w:val="0"/>
        <w:spacing w:before="50" w:after="50"/>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项目名称：</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7ECB2F07">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14:paraId="56F6E962">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分 标 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tbl>
      <w:tblPr>
        <w:tblStyle w:val="3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04"/>
        <w:gridCol w:w="658"/>
        <w:gridCol w:w="1271"/>
        <w:gridCol w:w="1854"/>
        <w:gridCol w:w="927"/>
        <w:gridCol w:w="1270"/>
        <w:gridCol w:w="1095"/>
        <w:gridCol w:w="560"/>
      </w:tblGrid>
      <w:tr w14:paraId="4B78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515" w:type="dxa"/>
            <w:vAlign w:val="center"/>
          </w:tcPr>
          <w:p w14:paraId="5FF634A1">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项号</w:t>
            </w:r>
          </w:p>
        </w:tc>
        <w:tc>
          <w:tcPr>
            <w:tcW w:w="1104" w:type="dxa"/>
            <w:vAlign w:val="center"/>
          </w:tcPr>
          <w:p w14:paraId="27B886C8">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货物名称</w:t>
            </w:r>
          </w:p>
        </w:tc>
        <w:tc>
          <w:tcPr>
            <w:tcW w:w="658" w:type="dxa"/>
            <w:vAlign w:val="center"/>
          </w:tcPr>
          <w:p w14:paraId="5CA793D9">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数量</w:t>
            </w:r>
          </w:p>
          <w:p w14:paraId="47B68A71">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①</w:t>
            </w:r>
          </w:p>
        </w:tc>
        <w:tc>
          <w:tcPr>
            <w:tcW w:w="1271" w:type="dxa"/>
            <w:vAlign w:val="center"/>
          </w:tcPr>
          <w:p w14:paraId="25CEFA86">
            <w:pPr>
              <w:jc w:val="center"/>
              <w:rPr>
                <w:rFonts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规格型号</w:t>
            </w:r>
            <w:r>
              <w:rPr>
                <w:rFonts w:hint="eastAsia" w:ascii="宋体" w:hAnsi="宋体" w:eastAsia="宋体"/>
                <w:color w:val="000000" w:themeColor="text1"/>
                <w:highlight w:val="none"/>
                <w:lang w:eastAsia="zh-CN"/>
                <w14:textFill>
                  <w14:solidFill>
                    <w14:schemeClr w14:val="tx1"/>
                  </w14:solidFill>
                </w14:textFill>
              </w:rPr>
              <w:t>及生产厂家、国别</w:t>
            </w:r>
          </w:p>
        </w:tc>
        <w:tc>
          <w:tcPr>
            <w:tcW w:w="1854" w:type="dxa"/>
            <w:vAlign w:val="center"/>
          </w:tcPr>
          <w:p w14:paraId="7B027AB7">
            <w:pPr>
              <w:jc w:val="center"/>
              <w:rPr>
                <w:rFonts w:hAnsi="宋体"/>
                <w:color w:val="000000" w:themeColor="text1"/>
                <w:szCs w:val="2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技术参数、性能（配置）及其他要求</w:t>
            </w:r>
          </w:p>
        </w:tc>
        <w:tc>
          <w:tcPr>
            <w:tcW w:w="927" w:type="dxa"/>
            <w:vAlign w:val="center"/>
          </w:tcPr>
          <w:p w14:paraId="32ABBB07">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单价</w:t>
            </w:r>
          </w:p>
          <w:p w14:paraId="3F63F484">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(元)</w:t>
            </w:r>
          </w:p>
          <w:p w14:paraId="1322A548">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②</w:t>
            </w:r>
          </w:p>
        </w:tc>
        <w:tc>
          <w:tcPr>
            <w:tcW w:w="1270" w:type="dxa"/>
            <w:vAlign w:val="center"/>
          </w:tcPr>
          <w:p w14:paraId="57A904CF">
            <w:pPr>
              <w:spacing w:line="288" w:lineRule="auto"/>
              <w:jc w:val="center"/>
              <w:rPr>
                <w:rFonts w:hAnsi="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单项合价</w:t>
            </w:r>
          </w:p>
          <w:p w14:paraId="65A002A6">
            <w:pPr>
              <w:spacing w:line="288" w:lineRule="auto"/>
              <w:jc w:val="center"/>
              <w:rPr>
                <w:rFonts w:hAnsi="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（元）</w:t>
            </w:r>
          </w:p>
          <w:p w14:paraId="1A0C9AB9">
            <w:pPr>
              <w:spacing w:line="288" w:lineRule="auto"/>
              <w:jc w:val="center"/>
              <w:rPr>
                <w:rFonts w:hAnsi="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③=①×②</w:t>
            </w:r>
          </w:p>
        </w:tc>
        <w:tc>
          <w:tcPr>
            <w:tcW w:w="1095" w:type="dxa"/>
            <w:vAlign w:val="center"/>
          </w:tcPr>
          <w:p w14:paraId="3E56D677">
            <w:pPr>
              <w:spacing w:line="288" w:lineRule="auto"/>
              <w:jc w:val="center"/>
              <w:rPr>
                <w:rFonts w:hint="eastAsia" w:hAnsi="宋体" w:eastAsia="宋体"/>
                <w:color w:val="000000" w:themeColor="text1"/>
                <w:szCs w:val="21"/>
                <w:highlight w:val="none"/>
                <w:lang w:eastAsia="zh-CN"/>
                <w14:textFill>
                  <w14:solidFill>
                    <w14:schemeClr w14:val="tx1"/>
                  </w14:solidFill>
                </w14:textFill>
              </w:rPr>
            </w:pPr>
            <w:r>
              <w:rPr>
                <w:rFonts w:hint="eastAsia" w:hAnsi="宋体" w:eastAsia="宋体"/>
                <w:color w:val="000000" w:themeColor="text1"/>
                <w:szCs w:val="21"/>
                <w:highlight w:val="none"/>
                <w:lang w:eastAsia="zh-CN"/>
                <w14:textFill>
                  <w14:solidFill>
                    <w14:schemeClr w14:val="tx1"/>
                  </w14:solidFill>
                </w14:textFill>
              </w:rPr>
              <w:t>产品医疗器械注册证号</w:t>
            </w:r>
          </w:p>
        </w:tc>
        <w:tc>
          <w:tcPr>
            <w:tcW w:w="560" w:type="dxa"/>
            <w:vAlign w:val="center"/>
          </w:tcPr>
          <w:p w14:paraId="08BCB5DB">
            <w:pPr>
              <w:spacing w:line="288" w:lineRule="auto"/>
              <w:jc w:val="center"/>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备注</w:t>
            </w:r>
          </w:p>
        </w:tc>
      </w:tr>
      <w:tr w14:paraId="3434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vAlign w:val="center"/>
          </w:tcPr>
          <w:p w14:paraId="114BF662">
            <w:pPr>
              <w:spacing w:line="288"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w:t>
            </w:r>
          </w:p>
        </w:tc>
        <w:tc>
          <w:tcPr>
            <w:tcW w:w="1104" w:type="dxa"/>
            <w:vAlign w:val="center"/>
          </w:tcPr>
          <w:p w14:paraId="6496F577">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658" w:type="dxa"/>
            <w:vAlign w:val="center"/>
          </w:tcPr>
          <w:p w14:paraId="7939733E">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271" w:type="dxa"/>
            <w:vAlign w:val="center"/>
          </w:tcPr>
          <w:p w14:paraId="3E35DAD7">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854" w:type="dxa"/>
            <w:vAlign w:val="center"/>
          </w:tcPr>
          <w:p w14:paraId="0F99E22B">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927" w:type="dxa"/>
          </w:tcPr>
          <w:p w14:paraId="583607B7">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270" w:type="dxa"/>
            <w:vAlign w:val="center"/>
          </w:tcPr>
          <w:p w14:paraId="4D78F672">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095" w:type="dxa"/>
            <w:vAlign w:val="center"/>
          </w:tcPr>
          <w:p w14:paraId="618E35A5">
            <w:pPr>
              <w:pStyle w:val="21"/>
              <w:spacing w:line="288" w:lineRule="auto"/>
              <w:rPr>
                <w:rFonts w:hAnsi="宋体" w:cs="宋体"/>
                <w:color w:val="000000" w:themeColor="text1"/>
                <w:spacing w:val="-6"/>
                <w:kern w:val="0"/>
                <w:szCs w:val="21"/>
                <w:highlight w:val="none"/>
                <w:lang w:eastAsia="en-US"/>
                <w14:textFill>
                  <w14:solidFill>
                    <w14:schemeClr w14:val="tx1"/>
                  </w14:solidFill>
                </w14:textFill>
              </w:rPr>
            </w:pPr>
          </w:p>
        </w:tc>
        <w:tc>
          <w:tcPr>
            <w:tcW w:w="560" w:type="dxa"/>
            <w:vAlign w:val="center"/>
          </w:tcPr>
          <w:p w14:paraId="6C1010B2">
            <w:pPr>
              <w:pStyle w:val="21"/>
              <w:spacing w:line="288" w:lineRule="auto"/>
              <w:rPr>
                <w:rFonts w:hAnsi="宋体" w:cs="宋体"/>
                <w:color w:val="000000" w:themeColor="text1"/>
                <w:spacing w:val="-6"/>
                <w:kern w:val="0"/>
                <w:szCs w:val="21"/>
                <w:highlight w:val="none"/>
                <w:lang w:eastAsia="en-US"/>
                <w14:textFill>
                  <w14:solidFill>
                    <w14:schemeClr w14:val="tx1"/>
                  </w14:solidFill>
                </w14:textFill>
              </w:rPr>
            </w:pPr>
          </w:p>
        </w:tc>
      </w:tr>
      <w:tr w14:paraId="6E0B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vAlign w:val="center"/>
          </w:tcPr>
          <w:p w14:paraId="043D4779">
            <w:pPr>
              <w:spacing w:line="288"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w:t>
            </w:r>
          </w:p>
        </w:tc>
        <w:tc>
          <w:tcPr>
            <w:tcW w:w="1104" w:type="dxa"/>
            <w:vAlign w:val="center"/>
          </w:tcPr>
          <w:p w14:paraId="38D5737E">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658" w:type="dxa"/>
            <w:vAlign w:val="center"/>
          </w:tcPr>
          <w:p w14:paraId="57C6242E">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271" w:type="dxa"/>
            <w:vAlign w:val="center"/>
          </w:tcPr>
          <w:p w14:paraId="2E82B384">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854" w:type="dxa"/>
            <w:vAlign w:val="center"/>
          </w:tcPr>
          <w:p w14:paraId="4D83206F">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927" w:type="dxa"/>
          </w:tcPr>
          <w:p w14:paraId="1DBA4761">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270" w:type="dxa"/>
            <w:vAlign w:val="center"/>
          </w:tcPr>
          <w:p w14:paraId="68D3B528">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095" w:type="dxa"/>
            <w:vAlign w:val="center"/>
          </w:tcPr>
          <w:p w14:paraId="2F2B1E58">
            <w:pPr>
              <w:pStyle w:val="21"/>
              <w:spacing w:line="288" w:lineRule="auto"/>
              <w:rPr>
                <w:rFonts w:hAnsi="宋体" w:cs="宋体"/>
                <w:color w:val="000000" w:themeColor="text1"/>
                <w:spacing w:val="-6"/>
                <w:kern w:val="0"/>
                <w:szCs w:val="21"/>
                <w:highlight w:val="none"/>
                <w:lang w:eastAsia="en-US"/>
                <w14:textFill>
                  <w14:solidFill>
                    <w14:schemeClr w14:val="tx1"/>
                  </w14:solidFill>
                </w14:textFill>
              </w:rPr>
            </w:pPr>
          </w:p>
        </w:tc>
        <w:tc>
          <w:tcPr>
            <w:tcW w:w="560" w:type="dxa"/>
            <w:vAlign w:val="center"/>
          </w:tcPr>
          <w:p w14:paraId="6B2CC20D">
            <w:pPr>
              <w:pStyle w:val="21"/>
              <w:spacing w:line="288" w:lineRule="auto"/>
              <w:rPr>
                <w:rFonts w:hAnsi="宋体" w:cs="宋体"/>
                <w:color w:val="000000" w:themeColor="text1"/>
                <w:spacing w:val="-6"/>
                <w:kern w:val="0"/>
                <w:szCs w:val="21"/>
                <w:highlight w:val="none"/>
                <w:lang w:eastAsia="en-US"/>
                <w14:textFill>
                  <w14:solidFill>
                    <w14:schemeClr w14:val="tx1"/>
                  </w14:solidFill>
                </w14:textFill>
              </w:rPr>
            </w:pPr>
          </w:p>
        </w:tc>
      </w:tr>
      <w:tr w14:paraId="218A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vAlign w:val="center"/>
          </w:tcPr>
          <w:p w14:paraId="6245019E">
            <w:pPr>
              <w:spacing w:line="288"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p>
        </w:tc>
        <w:tc>
          <w:tcPr>
            <w:tcW w:w="1104" w:type="dxa"/>
            <w:vAlign w:val="center"/>
          </w:tcPr>
          <w:p w14:paraId="0AE36AD6">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658" w:type="dxa"/>
            <w:vAlign w:val="center"/>
          </w:tcPr>
          <w:p w14:paraId="30CBBD8F">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271" w:type="dxa"/>
            <w:vAlign w:val="center"/>
          </w:tcPr>
          <w:p w14:paraId="62222E74">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854" w:type="dxa"/>
            <w:vAlign w:val="center"/>
          </w:tcPr>
          <w:p w14:paraId="200F97E6">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927" w:type="dxa"/>
          </w:tcPr>
          <w:p w14:paraId="492A2F83">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270" w:type="dxa"/>
            <w:vAlign w:val="center"/>
          </w:tcPr>
          <w:p w14:paraId="678596BC">
            <w:pPr>
              <w:pStyle w:val="21"/>
              <w:spacing w:line="288" w:lineRule="auto"/>
              <w:rPr>
                <w:rFonts w:hAnsi="宋体" w:cs="宋体"/>
                <w:color w:val="000000" w:themeColor="text1"/>
                <w:kern w:val="0"/>
                <w:szCs w:val="21"/>
                <w:highlight w:val="none"/>
                <w:lang w:eastAsia="en-US"/>
                <w14:textFill>
                  <w14:solidFill>
                    <w14:schemeClr w14:val="tx1"/>
                  </w14:solidFill>
                </w14:textFill>
              </w:rPr>
            </w:pPr>
          </w:p>
        </w:tc>
        <w:tc>
          <w:tcPr>
            <w:tcW w:w="1095" w:type="dxa"/>
            <w:vAlign w:val="center"/>
          </w:tcPr>
          <w:p w14:paraId="4E01426C">
            <w:pPr>
              <w:pStyle w:val="21"/>
              <w:spacing w:line="288" w:lineRule="auto"/>
              <w:rPr>
                <w:rFonts w:hAnsi="宋体" w:cs="宋体"/>
                <w:color w:val="000000" w:themeColor="text1"/>
                <w:spacing w:val="-6"/>
                <w:kern w:val="0"/>
                <w:szCs w:val="21"/>
                <w:highlight w:val="none"/>
                <w:lang w:eastAsia="en-US"/>
                <w14:textFill>
                  <w14:solidFill>
                    <w14:schemeClr w14:val="tx1"/>
                  </w14:solidFill>
                </w14:textFill>
              </w:rPr>
            </w:pPr>
          </w:p>
        </w:tc>
        <w:tc>
          <w:tcPr>
            <w:tcW w:w="560" w:type="dxa"/>
            <w:vAlign w:val="center"/>
          </w:tcPr>
          <w:p w14:paraId="23739037">
            <w:pPr>
              <w:pStyle w:val="21"/>
              <w:spacing w:line="288" w:lineRule="auto"/>
              <w:rPr>
                <w:rFonts w:hAnsi="宋体" w:cs="宋体"/>
                <w:color w:val="000000" w:themeColor="text1"/>
                <w:spacing w:val="-6"/>
                <w:kern w:val="0"/>
                <w:szCs w:val="21"/>
                <w:highlight w:val="none"/>
                <w:lang w:eastAsia="en-US"/>
                <w14:textFill>
                  <w14:solidFill>
                    <w14:schemeClr w14:val="tx1"/>
                  </w14:solidFill>
                </w14:textFill>
              </w:rPr>
            </w:pPr>
          </w:p>
        </w:tc>
      </w:tr>
      <w:tr w14:paraId="4751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54" w:type="dxa"/>
            <w:gridSpan w:val="9"/>
            <w:vAlign w:val="center"/>
          </w:tcPr>
          <w:p w14:paraId="5093941C">
            <w:pPr>
              <w:pStyle w:val="21"/>
              <w:spacing w:line="288" w:lineRule="auto"/>
              <w:rPr>
                <w:rFonts w:hint="eastAsia" w:hAnsi="宋体" w:cs="宋体"/>
                <w:color w:val="000000" w:themeColor="text1"/>
                <w:spacing w:val="-6"/>
                <w:kern w:val="0"/>
                <w:szCs w:val="21"/>
                <w:highlight w:val="none"/>
                <w14:textFill>
                  <w14:solidFill>
                    <w14:schemeClr w14:val="tx1"/>
                  </w14:solidFill>
                </w14:textFill>
              </w:rPr>
            </w:pPr>
            <w:r>
              <w:rPr>
                <w:rFonts w:hint="eastAsia" w:hAnsi="宋体" w:cs="宋体"/>
                <w:color w:val="000000" w:themeColor="text1"/>
                <w:spacing w:val="-6"/>
                <w:kern w:val="0"/>
                <w:szCs w:val="21"/>
                <w:highlight w:val="none"/>
                <w14:textFill>
                  <w14:solidFill>
                    <w14:schemeClr w14:val="tx1"/>
                  </w14:solidFill>
                </w14:textFill>
              </w:rPr>
              <w:t>总报价：人民币     （￥元）</w:t>
            </w:r>
          </w:p>
        </w:tc>
      </w:tr>
      <w:tr w14:paraId="23BF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54" w:type="dxa"/>
            <w:gridSpan w:val="9"/>
            <w:vAlign w:val="center"/>
          </w:tcPr>
          <w:p w14:paraId="3DBF5279">
            <w:pPr>
              <w:pStyle w:val="21"/>
              <w:spacing w:line="288" w:lineRule="auto"/>
              <w:rPr>
                <w:rFonts w:hint="eastAsia" w:hAnsi="宋体" w:cs="宋体"/>
                <w:color w:val="000000" w:themeColor="text1"/>
                <w:spacing w:val="-6"/>
                <w:kern w:val="0"/>
                <w:szCs w:val="21"/>
                <w:highlight w:val="none"/>
                <w:lang w:eastAsia="en-US"/>
                <w14:textFill>
                  <w14:solidFill>
                    <w14:schemeClr w14:val="tx1"/>
                  </w14:solidFill>
                </w14:textFill>
              </w:rPr>
            </w:pPr>
            <w:r>
              <w:rPr>
                <w:rFonts w:hint="eastAsia" w:hAnsi="宋体" w:cs="宋体"/>
                <w:color w:val="000000" w:themeColor="text1"/>
                <w:spacing w:val="-6"/>
                <w:kern w:val="0"/>
                <w:szCs w:val="21"/>
                <w:highlight w:val="none"/>
                <w:lang w:eastAsia="en-US"/>
                <w14:textFill>
                  <w14:solidFill>
                    <w14:schemeClr w14:val="tx1"/>
                  </w14:solidFill>
                </w14:textFill>
              </w:rPr>
              <w:t>交货期：</w:t>
            </w:r>
          </w:p>
        </w:tc>
      </w:tr>
    </w:tbl>
    <w:p w14:paraId="5CBBAA09">
      <w:pPr>
        <w:snapToGrid w:val="0"/>
        <w:spacing w:before="50" w:after="50"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注: 1.报价一经涂改，应在涂改处加盖单位公章或者由法定代表人或授权委托人签字或盖章，否则其投标作无效标处理。</w:t>
      </w:r>
    </w:p>
    <w:p w14:paraId="2585A32A">
      <w:pPr>
        <w:snapToGrid w:val="0"/>
        <w:spacing w:before="50" w:after="50"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2.投标费用包括项目实施所需的人工费、货款、标准附件、备品备件、专用工具、包装、运输、装卸、保险、税金、货到就位以及安装、调试、培训、保修、售后服务等一切税金和费用。</w:t>
      </w:r>
    </w:p>
    <w:p w14:paraId="40C44EF1">
      <w:pPr>
        <w:tabs>
          <w:tab w:val="left" w:pos="1418"/>
        </w:tabs>
        <w:snapToGrid w:val="0"/>
        <w:spacing w:before="50" w:after="50" w:line="360" w:lineRule="exact"/>
        <w:ind w:left="1418" w:hanging="567"/>
        <w:jc w:val="center"/>
        <w:rPr>
          <w:rFonts w:ascii="宋体" w:hAnsi="宋体" w:eastAsia="宋体"/>
          <w:color w:val="000000" w:themeColor="text1"/>
          <w:spacing w:val="20"/>
          <w:sz w:val="21"/>
          <w:szCs w:val="21"/>
          <w:highlight w:val="none"/>
          <w:u w:val="single"/>
          <w:lang w:eastAsia="zh-CN"/>
          <w14:textFill>
            <w14:solidFill>
              <w14:schemeClr w14:val="tx1"/>
            </w14:solidFill>
          </w14:textFill>
        </w:rPr>
      </w:pPr>
    </w:p>
    <w:p w14:paraId="79272C56">
      <w:pPr>
        <w:pStyle w:val="55"/>
        <w:rPr>
          <w:color w:val="000000" w:themeColor="text1"/>
          <w:highlight w:val="none"/>
          <w:lang w:eastAsia="zh-CN"/>
          <w14:textFill>
            <w14:solidFill>
              <w14:schemeClr w14:val="tx1"/>
            </w14:solidFill>
          </w14:textFill>
        </w:rPr>
      </w:pPr>
    </w:p>
    <w:p w14:paraId="44F26DF1">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2B19D0DE">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60BDECDE">
      <w:pPr>
        <w:snapToGrid w:val="0"/>
        <w:spacing w:before="50" w:after="50" w:line="36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65EE7EFB">
      <w:pPr>
        <w:snapToGrid w:val="0"/>
        <w:spacing w:before="50" w:after="50" w:line="360" w:lineRule="exact"/>
        <w:rPr>
          <w:rFonts w:ascii="宋体" w:hAnsi="宋体" w:eastAsia="宋体"/>
          <w:color w:val="000000" w:themeColor="text1"/>
          <w:sz w:val="21"/>
          <w:szCs w:val="21"/>
          <w:highlight w:val="none"/>
          <w:lang w:eastAsia="zh-CN"/>
          <w14:textFill>
            <w14:solidFill>
              <w14:schemeClr w14:val="tx1"/>
            </w14:solidFill>
          </w14:textFill>
        </w:rPr>
      </w:pPr>
    </w:p>
    <w:p w14:paraId="336760C9">
      <w:pPr>
        <w:snapToGrid w:val="0"/>
        <w:spacing w:before="50" w:after="50" w:line="360" w:lineRule="exact"/>
        <w:rPr>
          <w:rFonts w:ascii="宋体" w:hAnsi="宋体" w:eastAsia="宋体"/>
          <w:color w:val="000000" w:themeColor="text1"/>
          <w:sz w:val="21"/>
          <w:szCs w:val="21"/>
          <w:highlight w:val="none"/>
          <w:u w:val="single"/>
          <w:lang w:eastAsia="zh-CN"/>
          <w14:textFill>
            <w14:solidFill>
              <w14:schemeClr w14:val="tx1"/>
            </w14:solidFill>
          </w14:textFill>
        </w:rPr>
      </w:pPr>
    </w:p>
    <w:p w14:paraId="58513666">
      <w:pPr>
        <w:pStyle w:val="55"/>
        <w:rPr>
          <w:rFonts w:ascii="宋体" w:hAnsi="宋体" w:eastAsia="宋体"/>
          <w:color w:val="000000" w:themeColor="text1"/>
          <w:sz w:val="21"/>
          <w:szCs w:val="21"/>
          <w:highlight w:val="none"/>
          <w:u w:val="single"/>
          <w:lang w:eastAsia="zh-CN"/>
          <w14:textFill>
            <w14:solidFill>
              <w14:schemeClr w14:val="tx1"/>
            </w14:solidFill>
          </w14:textFill>
        </w:rPr>
      </w:pPr>
    </w:p>
    <w:p w14:paraId="1D0F6D72">
      <w:pPr>
        <w:pStyle w:val="18"/>
        <w:rPr>
          <w:color w:val="000000" w:themeColor="text1"/>
          <w:highlight w:val="none"/>
          <w:lang w:eastAsia="zh-CN"/>
          <w14:textFill>
            <w14:solidFill>
              <w14:schemeClr w14:val="tx1"/>
            </w14:solidFill>
          </w14:textFill>
        </w:rPr>
      </w:pPr>
    </w:p>
    <w:p w14:paraId="4926DB0D">
      <w:pPr>
        <w:rPr>
          <w:color w:val="000000" w:themeColor="text1"/>
          <w:highlight w:val="none"/>
          <w:lang w:eastAsia="zh-CN"/>
          <w14:textFill>
            <w14:solidFill>
              <w14:schemeClr w14:val="tx1"/>
            </w14:solidFill>
          </w14:textFill>
        </w:rPr>
      </w:pPr>
    </w:p>
    <w:p w14:paraId="221DAC99">
      <w:pPr>
        <w:pStyle w:val="27"/>
        <w:rPr>
          <w:color w:val="000000" w:themeColor="text1"/>
          <w:highlight w:val="none"/>
          <w:lang w:eastAsia="zh-CN"/>
          <w14:textFill>
            <w14:solidFill>
              <w14:schemeClr w14:val="tx1"/>
            </w14:solidFill>
          </w14:textFill>
        </w:rPr>
      </w:pPr>
    </w:p>
    <w:p w14:paraId="005F9E1A">
      <w:pPr>
        <w:rPr>
          <w:color w:val="000000" w:themeColor="text1"/>
          <w:highlight w:val="none"/>
          <w:lang w:eastAsia="zh-CN"/>
          <w14:textFill>
            <w14:solidFill>
              <w14:schemeClr w14:val="tx1"/>
            </w14:solidFill>
          </w14:textFill>
        </w:rPr>
      </w:pPr>
    </w:p>
    <w:p w14:paraId="751527DC">
      <w:pPr>
        <w:pStyle w:val="27"/>
        <w:rPr>
          <w:color w:val="000000" w:themeColor="text1"/>
          <w:highlight w:val="none"/>
          <w:lang w:eastAsia="zh-CN"/>
          <w14:textFill>
            <w14:solidFill>
              <w14:schemeClr w14:val="tx1"/>
            </w14:solidFill>
          </w14:textFill>
        </w:rPr>
      </w:pPr>
    </w:p>
    <w:p w14:paraId="52785660">
      <w:pPr>
        <w:pStyle w:val="96"/>
        <w:jc w:val="both"/>
        <w:rPr>
          <w:rFonts w:eastAsia="宋体"/>
          <w:color w:val="000000" w:themeColor="text1"/>
          <w:sz w:val="21"/>
          <w:szCs w:val="21"/>
          <w:highlight w:val="none"/>
          <w:lang w:eastAsia="zh-CN"/>
          <w14:textFill>
            <w14:solidFill>
              <w14:schemeClr w14:val="tx1"/>
            </w14:solidFill>
          </w14:textFill>
        </w:rPr>
      </w:pPr>
    </w:p>
    <w:p w14:paraId="748E63A6">
      <w:pPr>
        <w:widowControl/>
        <w:spacing w:after="262" w:line="380" w:lineRule="exact"/>
        <w:ind w:firstLine="562" w:firstLineChars="200"/>
        <w:jc w:val="center"/>
        <w:rPr>
          <w:rFonts w:ascii="宋体" w:hAnsi="宋体" w:eastAsia="宋体"/>
          <w:b/>
          <w:color w:val="000000" w:themeColor="text1"/>
          <w:sz w:val="28"/>
          <w:szCs w:val="28"/>
          <w:highlight w:val="none"/>
          <w:lang w:eastAsia="zh-CN"/>
          <w14:textFill>
            <w14:solidFill>
              <w14:schemeClr w14:val="tx1"/>
            </w14:solidFill>
          </w14:textFill>
        </w:rPr>
      </w:pPr>
      <w:r>
        <w:rPr>
          <w:rFonts w:hint="eastAsia" w:ascii="宋体" w:hAnsi="宋体" w:eastAsia="宋体"/>
          <w:b/>
          <w:color w:val="000000" w:themeColor="text1"/>
          <w:sz w:val="28"/>
          <w:szCs w:val="28"/>
          <w:highlight w:val="none"/>
          <w:lang w:eastAsia="zh-CN"/>
          <w14:textFill>
            <w14:solidFill>
              <w14:schemeClr w14:val="tx1"/>
            </w14:solidFill>
          </w14:textFill>
        </w:rPr>
        <w:t>中小企业声明函（格式）</w:t>
      </w:r>
    </w:p>
    <w:p w14:paraId="2D522D87">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color w:val="000000" w:themeColor="text1"/>
          <w:sz w:val="22"/>
          <w:szCs w:val="22"/>
          <w:highlight w:val="none"/>
          <w:u w:val="single"/>
          <w:lang w:eastAsia="zh-CN"/>
          <w14:textFill>
            <w14:solidFill>
              <w14:schemeClr w14:val="tx1"/>
            </w14:solidFill>
          </w14:textFill>
        </w:rPr>
        <w:t>     （单位名称）</w:t>
      </w:r>
      <w:r>
        <w:rPr>
          <w:rFonts w:hint="eastAsia" w:ascii="宋体" w:hAnsi="宋体"/>
          <w:color w:val="000000" w:themeColor="text1"/>
          <w:sz w:val="22"/>
          <w:szCs w:val="22"/>
          <w:highlight w:val="none"/>
          <w:lang w:eastAsia="zh-CN"/>
          <w14:textFill>
            <w14:solidFill>
              <w14:schemeClr w14:val="tx1"/>
            </w14:solidFill>
          </w14:textFill>
        </w:rPr>
        <w:t>的</w:t>
      </w:r>
      <w:r>
        <w:rPr>
          <w:rFonts w:hint="eastAsia" w:ascii="宋体" w:hAnsi="宋体"/>
          <w:color w:val="000000" w:themeColor="text1"/>
          <w:sz w:val="22"/>
          <w:szCs w:val="22"/>
          <w:highlight w:val="none"/>
          <w:u w:val="single"/>
          <w:lang w:eastAsia="zh-CN"/>
          <w14:textFill>
            <w14:solidFill>
              <w14:schemeClr w14:val="tx1"/>
            </w14:solidFill>
          </w14:textFill>
        </w:rPr>
        <w:t>    （项目名称）</w:t>
      </w:r>
      <w:r>
        <w:rPr>
          <w:rFonts w:hint="eastAsia" w:ascii="宋体" w:hAnsi="宋体"/>
          <w:color w:val="000000" w:themeColor="text1"/>
          <w:sz w:val="22"/>
          <w:szCs w:val="22"/>
          <w:highlight w:val="none"/>
          <w:lang w:eastAsia="zh-CN"/>
          <w14:textFill>
            <w14:solidFill>
              <w14:schemeClr w14:val="tx1"/>
            </w14:solidFill>
          </w14:textFill>
        </w:rPr>
        <w:t>采购活动，提供的货物全部由符合政策要求的中小企业制造。相关企业（含联合体中的中小企业、签订分包意向协议的中小企业）的具体情况如下：</w:t>
      </w:r>
    </w:p>
    <w:p w14:paraId="0D331010">
      <w:pPr>
        <w:widowControl/>
        <w:spacing w:before="100" w:beforeAutospacing="1" w:after="100" w:afterAutospacing="1" w:line="360" w:lineRule="exact"/>
        <w:ind w:firstLine="480"/>
        <w:jc w:val="left"/>
        <w:rPr>
          <w:rFonts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1.</w:t>
      </w:r>
      <w:r>
        <w:rPr>
          <w:rFonts w:hint="eastAsia" w:ascii="宋体" w:hAnsi="宋体"/>
          <w:color w:val="000000" w:themeColor="text1"/>
          <w:sz w:val="22"/>
          <w:szCs w:val="22"/>
          <w:highlight w:val="none"/>
          <w:u w:val="single"/>
          <w:lang w:eastAsia="zh-CN"/>
          <w14:textFill>
            <w14:solidFill>
              <w14:schemeClr w14:val="tx1"/>
            </w14:solidFill>
          </w14:textFill>
        </w:rPr>
        <w:t>     （标的名称）</w:t>
      </w:r>
      <w:r>
        <w:rPr>
          <w:rFonts w:hint="eastAsia" w:ascii="宋体" w:hAnsi="宋体"/>
          <w:color w:val="000000" w:themeColor="text1"/>
          <w:sz w:val="22"/>
          <w:szCs w:val="22"/>
          <w:highlight w:val="none"/>
          <w:lang w:eastAsia="zh-CN"/>
          <w14:textFill>
            <w14:solidFill>
              <w14:schemeClr w14:val="tx1"/>
            </w14:solidFill>
          </w14:textFill>
        </w:rPr>
        <w:t>，属于</w:t>
      </w:r>
      <w:r>
        <w:rPr>
          <w:rFonts w:hint="eastAsia" w:ascii="宋体" w:hAnsi="宋体"/>
          <w:color w:val="000000" w:themeColor="text1"/>
          <w:sz w:val="22"/>
          <w:szCs w:val="22"/>
          <w:highlight w:val="none"/>
          <w:u w:val="single"/>
          <w:lang w:eastAsia="zh-CN"/>
          <w14:textFill>
            <w14:solidFill>
              <w14:schemeClr w14:val="tx1"/>
            </w14:solidFill>
          </w14:textFill>
        </w:rPr>
        <w:t>     （采购文件中明确的所属行业）</w:t>
      </w:r>
      <w:r>
        <w:rPr>
          <w:rFonts w:hint="eastAsia" w:ascii="宋体" w:hAnsi="宋体"/>
          <w:color w:val="000000" w:themeColor="text1"/>
          <w:sz w:val="22"/>
          <w:szCs w:val="22"/>
          <w:highlight w:val="none"/>
          <w:lang w:eastAsia="zh-CN"/>
          <w14:textFill>
            <w14:solidFill>
              <w14:schemeClr w14:val="tx1"/>
            </w14:solidFill>
          </w14:textFill>
        </w:rPr>
        <w:t>行业；制造商为</w:t>
      </w:r>
      <w:r>
        <w:rPr>
          <w:rFonts w:hint="eastAsia" w:ascii="宋体" w:hAnsi="宋体"/>
          <w:color w:val="000000" w:themeColor="text1"/>
          <w:sz w:val="22"/>
          <w:szCs w:val="22"/>
          <w:highlight w:val="none"/>
          <w:u w:val="single"/>
          <w:lang w:eastAsia="zh-CN"/>
          <w14:textFill>
            <w14:solidFill>
              <w14:schemeClr w14:val="tx1"/>
            </w14:solidFill>
          </w14:textFill>
        </w:rPr>
        <w:t>       （企业名称）</w:t>
      </w:r>
      <w:r>
        <w:rPr>
          <w:rFonts w:hint="eastAsia" w:ascii="宋体" w:hAnsi="宋体"/>
          <w:color w:val="000000" w:themeColor="text1"/>
          <w:sz w:val="22"/>
          <w:szCs w:val="22"/>
          <w:highlight w:val="none"/>
          <w:lang w:eastAsia="zh-CN"/>
          <w14:textFill>
            <w14:solidFill>
              <w14:schemeClr w14:val="tx1"/>
            </w14:solidFill>
          </w14:textFill>
        </w:rPr>
        <w:t>，从业人员</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人，营业收入为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万元，资产总额为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万元，属于</w:t>
      </w:r>
      <w:r>
        <w:rPr>
          <w:rFonts w:hint="eastAsia" w:ascii="宋体" w:hAnsi="宋体"/>
          <w:color w:val="000000" w:themeColor="text1"/>
          <w:sz w:val="22"/>
          <w:szCs w:val="22"/>
          <w:highlight w:val="none"/>
          <w:u w:val="single"/>
          <w:lang w:eastAsia="zh-CN"/>
          <w14:textFill>
            <w14:solidFill>
              <w14:schemeClr w14:val="tx1"/>
            </w14:solidFill>
          </w14:textFill>
        </w:rPr>
        <w:t>     （中型企业、小型企业、微型企业）</w:t>
      </w:r>
      <w:r>
        <w:rPr>
          <w:rFonts w:hint="eastAsia" w:ascii="宋体" w:hAnsi="宋体"/>
          <w:color w:val="000000" w:themeColor="text1"/>
          <w:sz w:val="22"/>
          <w:szCs w:val="22"/>
          <w:highlight w:val="none"/>
          <w:lang w:eastAsia="zh-CN"/>
          <w14:textFill>
            <w14:solidFill>
              <w14:schemeClr w14:val="tx1"/>
            </w14:solidFill>
          </w14:textFill>
        </w:rPr>
        <w:t>；</w:t>
      </w:r>
    </w:p>
    <w:p w14:paraId="70A533CA">
      <w:pPr>
        <w:widowControl/>
        <w:spacing w:before="100" w:beforeAutospacing="1" w:after="100" w:afterAutospacing="1" w:line="360" w:lineRule="exact"/>
        <w:ind w:firstLine="480"/>
        <w:jc w:val="left"/>
        <w:rPr>
          <w:rFonts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2.</w:t>
      </w:r>
      <w:r>
        <w:rPr>
          <w:rFonts w:hint="eastAsia" w:ascii="宋体" w:hAnsi="宋体"/>
          <w:color w:val="000000" w:themeColor="text1"/>
          <w:sz w:val="22"/>
          <w:szCs w:val="22"/>
          <w:highlight w:val="none"/>
          <w:u w:val="single"/>
          <w:lang w:eastAsia="zh-CN"/>
          <w14:textFill>
            <w14:solidFill>
              <w14:schemeClr w14:val="tx1"/>
            </w14:solidFill>
          </w14:textFill>
        </w:rPr>
        <w:t>     （标的名称）</w:t>
      </w:r>
      <w:r>
        <w:rPr>
          <w:rFonts w:hint="eastAsia" w:ascii="宋体" w:hAnsi="宋体"/>
          <w:color w:val="000000" w:themeColor="text1"/>
          <w:sz w:val="22"/>
          <w:szCs w:val="22"/>
          <w:highlight w:val="none"/>
          <w:lang w:eastAsia="zh-CN"/>
          <w14:textFill>
            <w14:solidFill>
              <w14:schemeClr w14:val="tx1"/>
            </w14:solidFill>
          </w14:textFill>
        </w:rPr>
        <w:t>，属于</w:t>
      </w:r>
      <w:r>
        <w:rPr>
          <w:rFonts w:hint="eastAsia" w:ascii="宋体" w:hAnsi="宋体"/>
          <w:color w:val="000000" w:themeColor="text1"/>
          <w:sz w:val="22"/>
          <w:szCs w:val="22"/>
          <w:highlight w:val="none"/>
          <w:u w:val="single"/>
          <w:lang w:eastAsia="zh-CN"/>
          <w14:textFill>
            <w14:solidFill>
              <w14:schemeClr w14:val="tx1"/>
            </w14:solidFill>
          </w14:textFill>
        </w:rPr>
        <w:t>     （采购文件中明确的所属行业）</w:t>
      </w:r>
      <w:r>
        <w:rPr>
          <w:rFonts w:hint="eastAsia" w:ascii="宋体" w:hAnsi="宋体"/>
          <w:color w:val="000000" w:themeColor="text1"/>
          <w:sz w:val="22"/>
          <w:szCs w:val="22"/>
          <w:highlight w:val="none"/>
          <w:lang w:eastAsia="zh-CN"/>
          <w14:textFill>
            <w14:solidFill>
              <w14:schemeClr w14:val="tx1"/>
            </w14:solidFill>
          </w14:textFill>
        </w:rPr>
        <w:t>行业；制造商为</w:t>
      </w:r>
      <w:r>
        <w:rPr>
          <w:rFonts w:hint="eastAsia" w:ascii="宋体" w:hAnsi="宋体"/>
          <w:color w:val="000000" w:themeColor="text1"/>
          <w:sz w:val="22"/>
          <w:szCs w:val="22"/>
          <w:highlight w:val="none"/>
          <w:u w:val="single"/>
          <w:lang w:eastAsia="zh-CN"/>
          <w14:textFill>
            <w14:solidFill>
              <w14:schemeClr w14:val="tx1"/>
            </w14:solidFill>
          </w14:textFill>
        </w:rPr>
        <w:t>       （企业名称）</w:t>
      </w:r>
      <w:r>
        <w:rPr>
          <w:rFonts w:hint="eastAsia" w:ascii="宋体" w:hAnsi="宋体"/>
          <w:color w:val="000000" w:themeColor="text1"/>
          <w:sz w:val="22"/>
          <w:szCs w:val="22"/>
          <w:highlight w:val="none"/>
          <w:lang w:eastAsia="zh-CN"/>
          <w14:textFill>
            <w14:solidFill>
              <w14:schemeClr w14:val="tx1"/>
            </w14:solidFill>
          </w14:textFill>
        </w:rPr>
        <w:t>，从业人员</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人，营业收入为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万元，资产总额为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万元，属于</w:t>
      </w:r>
      <w:r>
        <w:rPr>
          <w:rFonts w:hint="eastAsia" w:ascii="宋体" w:hAnsi="宋体"/>
          <w:color w:val="000000" w:themeColor="text1"/>
          <w:sz w:val="22"/>
          <w:szCs w:val="22"/>
          <w:highlight w:val="none"/>
          <w:u w:val="single"/>
          <w:lang w:eastAsia="zh-CN"/>
          <w14:textFill>
            <w14:solidFill>
              <w14:schemeClr w14:val="tx1"/>
            </w14:solidFill>
          </w14:textFill>
        </w:rPr>
        <w:t>     （中型企业、小型企业、微型企业）</w:t>
      </w:r>
      <w:r>
        <w:rPr>
          <w:rFonts w:hint="eastAsia" w:ascii="宋体" w:hAnsi="宋体"/>
          <w:color w:val="000000" w:themeColor="text1"/>
          <w:sz w:val="22"/>
          <w:szCs w:val="22"/>
          <w:highlight w:val="none"/>
          <w:lang w:eastAsia="zh-CN"/>
          <w14:textFill>
            <w14:solidFill>
              <w14:schemeClr w14:val="tx1"/>
            </w14:solidFill>
          </w14:textFill>
        </w:rPr>
        <w:t>；</w:t>
      </w:r>
    </w:p>
    <w:p w14:paraId="25974008">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w:t>
      </w:r>
    </w:p>
    <w:p w14:paraId="1BD71595">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16B96402">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本企业对上述声明内容的真实性负责。如有虚假，将依法承担相应责任。</w:t>
      </w:r>
    </w:p>
    <w:p w14:paraId="0F623579">
      <w:pPr>
        <w:pStyle w:val="56"/>
        <w:rPr>
          <w:color w:val="000000" w:themeColor="text1"/>
          <w:highlight w:val="none"/>
          <w14:textFill>
            <w14:solidFill>
              <w14:schemeClr w14:val="tx1"/>
            </w14:solidFill>
          </w14:textFill>
        </w:rPr>
      </w:pPr>
    </w:p>
    <w:p w14:paraId="5888300D">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 xml:space="preserve">                                            企业名称（盖章）：</w:t>
      </w:r>
    </w:p>
    <w:p w14:paraId="06E19E46">
      <w:pPr>
        <w:pStyle w:val="18"/>
        <w:rPr>
          <w:rFonts w:ascii="宋体" w:hAnsi="宋体" w:eastAsia="宋体"/>
          <w:b w:val="0"/>
          <w:color w:val="000000" w:themeColor="text1"/>
          <w:spacing w:val="0"/>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 xml:space="preserve">                                                      </w:t>
      </w:r>
      <w:r>
        <w:rPr>
          <w:rFonts w:hint="eastAsia" w:ascii="宋体" w:hAnsi="宋体" w:eastAsia="宋体"/>
          <w:b w:val="0"/>
          <w:color w:val="000000" w:themeColor="text1"/>
          <w:spacing w:val="0"/>
          <w:sz w:val="22"/>
          <w:szCs w:val="22"/>
          <w:highlight w:val="none"/>
          <w:lang w:eastAsia="zh-CN"/>
          <w14:textFill>
            <w14:solidFill>
              <w14:schemeClr w14:val="tx1"/>
            </w14:solidFill>
          </w14:textFill>
        </w:rPr>
        <w:t xml:space="preserve">    日    期：</w:t>
      </w:r>
    </w:p>
    <w:p w14:paraId="0FE920FF">
      <w:pPr>
        <w:rPr>
          <w:rFonts w:ascii="宋体" w:hAnsi="宋体" w:eastAsia="宋体"/>
          <w:color w:val="000000" w:themeColor="text1"/>
          <w:sz w:val="22"/>
          <w:szCs w:val="22"/>
          <w:highlight w:val="none"/>
          <w:lang w:eastAsia="zh-CN"/>
          <w14:textFill>
            <w14:solidFill>
              <w14:schemeClr w14:val="tx1"/>
            </w14:solidFill>
          </w14:textFill>
        </w:rPr>
      </w:pPr>
    </w:p>
    <w:p w14:paraId="63FA608D">
      <w:pPr>
        <w:pStyle w:val="56"/>
        <w:rPr>
          <w:color w:val="000000" w:themeColor="text1"/>
          <w:highlight w:val="none"/>
          <w14:textFill>
            <w14:solidFill>
              <w14:schemeClr w14:val="tx1"/>
            </w14:solidFill>
          </w14:textFill>
        </w:rPr>
      </w:pPr>
    </w:p>
    <w:p w14:paraId="5BABDC6A">
      <w:pPr>
        <w:spacing w:line="460" w:lineRule="exact"/>
        <w:rPr>
          <w:rFonts w:ascii="宋体" w:hAnsi="宋体" w:eastAsia="宋体" w:cs="Times New Roman"/>
          <w:b/>
          <w:color w:val="000000" w:themeColor="text1"/>
          <w:spacing w:val="6"/>
          <w:sz w:val="24"/>
          <w:szCs w:val="24"/>
          <w:highlight w:val="none"/>
          <w:lang w:eastAsia="zh-CN"/>
          <w14:textFill>
            <w14:solidFill>
              <w14:schemeClr w14:val="tx1"/>
            </w14:solidFill>
          </w14:textFill>
        </w:rPr>
      </w:pPr>
      <w:r>
        <w:rPr>
          <w:rFonts w:hint="eastAsia" w:ascii="宋体" w:hAnsi="宋体" w:eastAsia="宋体" w:cs="Times New Roman"/>
          <w:b/>
          <w:color w:val="000000" w:themeColor="text1"/>
          <w:spacing w:val="6"/>
          <w:sz w:val="24"/>
          <w:szCs w:val="24"/>
          <w:highlight w:val="none"/>
          <w:lang w:eastAsia="zh-CN"/>
          <w14:textFill>
            <w14:solidFill>
              <w14:schemeClr w14:val="tx1"/>
            </w14:solidFill>
          </w14:textFill>
        </w:rPr>
        <w:t>注：1、中小企业在政府采购活动过程中，请根据自己的真实情况出具本声明函。依法享受中小企业优惠政策的，采购人或采购代理机构在公告中标结果时，同时公告其《中小企业声明函》，接受社会监督。</w:t>
      </w:r>
    </w:p>
    <w:p w14:paraId="7313294C">
      <w:pPr>
        <w:autoSpaceDE w:val="0"/>
        <w:spacing w:line="360" w:lineRule="auto"/>
        <w:ind w:firstLine="506" w:firstLineChars="200"/>
        <w:outlineLvl w:val="0"/>
        <w:rPr>
          <w:b/>
          <w:color w:val="000000" w:themeColor="text1"/>
          <w:kern w:val="2"/>
          <w:sz w:val="21"/>
          <w:szCs w:val="21"/>
          <w:highlight w:val="none"/>
          <w:lang w:eastAsia="zh-CN"/>
          <w14:textFill>
            <w14:solidFill>
              <w14:schemeClr w14:val="tx1"/>
            </w14:solidFill>
          </w14:textFill>
        </w:rPr>
      </w:pPr>
      <w:bookmarkStart w:id="217" w:name="_Toc29735"/>
      <w:bookmarkStart w:id="218" w:name="_Toc14674"/>
      <w:bookmarkStart w:id="219" w:name="_Toc13809"/>
      <w:r>
        <w:rPr>
          <w:rFonts w:hint="eastAsia" w:ascii="宋体" w:hAnsi="宋体" w:eastAsia="宋体" w:cs="Times New Roman"/>
          <w:b/>
          <w:color w:val="000000" w:themeColor="text1"/>
          <w:spacing w:val="6"/>
          <w:sz w:val="24"/>
          <w:szCs w:val="24"/>
          <w:highlight w:val="none"/>
          <w:lang w:eastAsia="zh-CN"/>
          <w14:textFill>
            <w14:solidFill>
              <w14:schemeClr w14:val="tx1"/>
            </w14:solidFill>
          </w14:textFill>
        </w:rPr>
        <w:t>2、从业人员、营业收入、资产总额填报上一年度数据，无上一年度数据的新成立企业可不填报。</w:t>
      </w:r>
      <w:bookmarkEnd w:id="217"/>
      <w:bookmarkEnd w:id="218"/>
      <w:bookmarkEnd w:id="219"/>
    </w:p>
    <w:p w14:paraId="702D15CA">
      <w:pPr>
        <w:autoSpaceDE w:val="0"/>
        <w:spacing w:line="360" w:lineRule="auto"/>
        <w:ind w:firstLine="400" w:firstLineChars="200"/>
        <w:jc w:val="center"/>
        <w:outlineLvl w:val="0"/>
        <w:rPr>
          <w:rFonts w:ascii="黑体" w:eastAsia="黑体"/>
          <w:color w:val="000000" w:themeColor="text1"/>
          <w:sz w:val="21"/>
          <w:szCs w:val="21"/>
          <w:highlight w:val="none"/>
          <w:lang w:eastAsia="zh-CN"/>
          <w14:textFill>
            <w14:solidFill>
              <w14:schemeClr w14:val="tx1"/>
            </w14:solidFill>
          </w14:textFill>
        </w:rPr>
      </w:pPr>
      <w:r>
        <w:rPr>
          <w:rFonts w:ascii="宋体" w:hAnsi="宋体"/>
          <w:b/>
          <w:bCs/>
          <w:color w:val="000000" w:themeColor="text1"/>
          <w:szCs w:val="21"/>
          <w:highlight w:val="none"/>
          <w:lang w:eastAsia="zh-CN"/>
          <w14:textFill>
            <w14:solidFill>
              <w14:schemeClr w14:val="tx1"/>
            </w14:solidFill>
          </w14:textFill>
        </w:rPr>
        <w:br w:type="page"/>
      </w:r>
      <w:r>
        <w:rPr>
          <w:rFonts w:hint="eastAsia" w:ascii="方正小标宋简体" w:hAnsi="宋体" w:eastAsia="方正小标宋简体"/>
          <w:b/>
          <w:bCs/>
          <w:color w:val="000000" w:themeColor="text1"/>
          <w:kern w:val="2"/>
          <w:sz w:val="36"/>
          <w:szCs w:val="36"/>
          <w:highlight w:val="none"/>
          <w:lang w:eastAsia="zh-CN"/>
          <w14:textFill>
            <w14:solidFill>
              <w14:schemeClr w14:val="tx1"/>
            </w14:solidFill>
          </w14:textFill>
        </w:rPr>
        <w:t xml:space="preserve"> </w:t>
      </w:r>
      <w:bookmarkStart w:id="220" w:name="_Toc18056"/>
      <w:bookmarkStart w:id="221" w:name="_Toc5041"/>
      <w:bookmarkStart w:id="222" w:name="_Toc19552"/>
      <w:bookmarkStart w:id="223" w:name="_Toc28309"/>
      <w:r>
        <w:rPr>
          <w:rFonts w:hint="eastAsia" w:ascii="方正小标宋简体" w:hAnsi="宋体" w:eastAsia="方正小标宋简体"/>
          <w:b/>
          <w:bCs/>
          <w:color w:val="000000" w:themeColor="text1"/>
          <w:kern w:val="2"/>
          <w:sz w:val="36"/>
          <w:szCs w:val="36"/>
          <w:highlight w:val="none"/>
          <w:lang w:eastAsia="zh-CN"/>
          <w14:textFill>
            <w14:solidFill>
              <w14:schemeClr w14:val="tx1"/>
            </w14:solidFill>
          </w14:textFill>
        </w:rPr>
        <w:t>残疾人福利性单位声明函（格式）</w:t>
      </w:r>
      <w:bookmarkEnd w:id="220"/>
      <w:bookmarkEnd w:id="221"/>
      <w:bookmarkEnd w:id="222"/>
      <w:bookmarkEnd w:id="223"/>
    </w:p>
    <w:p w14:paraId="0BA12C35">
      <w:pPr>
        <w:pStyle w:val="18"/>
        <w:tabs>
          <w:tab w:val="left" w:pos="3382"/>
          <w:tab w:val="left" w:pos="4832"/>
        </w:tabs>
        <w:autoSpaceDE w:val="0"/>
        <w:spacing w:line="360" w:lineRule="auto"/>
        <w:ind w:firstLine="48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本单位郑重声明，根据《财政部</w:t>
      </w:r>
      <w:r>
        <w:rPr>
          <w:color w:val="000000" w:themeColor="text1"/>
          <w:spacing w:val="28"/>
          <w:sz w:val="21"/>
          <w:szCs w:val="21"/>
          <w:highlight w:val="none"/>
          <w:lang w:eastAsia="zh-CN"/>
          <w14:textFill>
            <w14:solidFill>
              <w14:schemeClr w14:val="tx1"/>
            </w14:solidFill>
          </w14:textFill>
        </w:rPr>
        <w:t xml:space="preserve"> </w:t>
      </w:r>
      <w:r>
        <w:rPr>
          <w:color w:val="000000" w:themeColor="text1"/>
          <w:sz w:val="21"/>
          <w:szCs w:val="21"/>
          <w:highlight w:val="none"/>
          <w:lang w:eastAsia="zh-CN"/>
          <w14:textFill>
            <w14:solidFill>
              <w14:schemeClr w14:val="tx1"/>
            </w14:solidFill>
          </w14:textFill>
        </w:rPr>
        <w:t>民政部</w:t>
      </w:r>
      <w:r>
        <w:rPr>
          <w:color w:val="000000" w:themeColor="text1"/>
          <w:spacing w:val="25"/>
          <w:sz w:val="21"/>
          <w:szCs w:val="21"/>
          <w:highlight w:val="none"/>
          <w:lang w:eastAsia="zh-CN"/>
          <w14:textFill>
            <w14:solidFill>
              <w14:schemeClr w14:val="tx1"/>
            </w14:solidFill>
          </w14:textFill>
        </w:rPr>
        <w:t xml:space="preserve"> </w:t>
      </w:r>
      <w:r>
        <w:rPr>
          <w:color w:val="000000" w:themeColor="text1"/>
          <w:sz w:val="21"/>
          <w:szCs w:val="21"/>
          <w:highlight w:val="none"/>
          <w:lang w:eastAsia="zh-CN"/>
          <w14:textFill>
            <w14:solidFill>
              <w14:schemeClr w14:val="tx1"/>
            </w14:solidFill>
          </w14:textFill>
        </w:rPr>
        <w:t>中国残疾人联合会关于促进残疾人就业</w:t>
      </w:r>
      <w:r>
        <w:rPr>
          <w:color w:val="000000" w:themeColor="text1"/>
          <w:spacing w:val="-12"/>
          <w:sz w:val="21"/>
          <w:szCs w:val="21"/>
          <w:highlight w:val="none"/>
          <w:lang w:eastAsia="zh-CN"/>
          <w14:textFill>
            <w14:solidFill>
              <w14:schemeClr w14:val="tx1"/>
            </w14:solidFill>
          </w14:textFill>
        </w:rPr>
        <w:t>政</w:t>
      </w:r>
      <w:r>
        <w:rPr>
          <w:color w:val="000000" w:themeColor="text1"/>
          <w:sz w:val="21"/>
          <w:szCs w:val="21"/>
          <w:highlight w:val="none"/>
          <w:lang w:eastAsia="zh-CN"/>
          <w14:textFill>
            <w14:solidFill>
              <w14:schemeClr w14:val="tx1"/>
            </w14:solidFill>
          </w14:textFill>
        </w:rPr>
        <w:t>府采购政策的通知》（财库〔2017〕 141</w:t>
      </w:r>
      <w:r>
        <w:rPr>
          <w:color w:val="000000" w:themeColor="text1"/>
          <w:spacing w:val="-60"/>
          <w:sz w:val="21"/>
          <w:szCs w:val="21"/>
          <w:highlight w:val="none"/>
          <w:lang w:eastAsia="zh-CN"/>
          <w14:textFill>
            <w14:solidFill>
              <w14:schemeClr w14:val="tx1"/>
            </w14:solidFill>
          </w14:textFill>
        </w:rPr>
        <w:t xml:space="preserve"> </w:t>
      </w:r>
      <w:r>
        <w:rPr>
          <w:color w:val="000000" w:themeColor="text1"/>
          <w:sz w:val="21"/>
          <w:szCs w:val="21"/>
          <w:highlight w:val="none"/>
          <w:lang w:eastAsia="zh-CN"/>
          <w14:textFill>
            <w14:solidFill>
              <w14:schemeClr w14:val="tx1"/>
            </w14:solidFill>
          </w14:textFill>
        </w:rPr>
        <w:t>号）的规定，本单位为符合条件的残疾人福</w:t>
      </w:r>
      <w:r>
        <w:rPr>
          <w:color w:val="000000" w:themeColor="text1"/>
          <w:spacing w:val="-15"/>
          <w:sz w:val="21"/>
          <w:szCs w:val="21"/>
          <w:highlight w:val="none"/>
          <w:lang w:eastAsia="zh-CN"/>
          <w14:textFill>
            <w14:solidFill>
              <w14:schemeClr w14:val="tx1"/>
            </w14:solidFill>
          </w14:textFill>
        </w:rPr>
        <w:t>利</w:t>
      </w:r>
      <w:r>
        <w:rPr>
          <w:color w:val="000000" w:themeColor="text1"/>
          <w:sz w:val="21"/>
          <w:szCs w:val="21"/>
          <w:highlight w:val="none"/>
          <w:lang w:eastAsia="zh-CN"/>
          <w14:textFill>
            <w14:solidFill>
              <w14:schemeClr w14:val="tx1"/>
            </w14:solidFill>
          </w14:textFill>
        </w:rPr>
        <w:t>性单位，且本单位参加</w:t>
      </w:r>
      <w:r>
        <w:rPr>
          <w:color w:val="000000" w:themeColor="text1"/>
          <w:sz w:val="21"/>
          <w:szCs w:val="21"/>
          <w:highlight w:val="none"/>
          <w:u w:val="single"/>
          <w:lang w:eastAsia="zh-CN"/>
          <w14:textFill>
            <w14:solidFill>
              <w14:schemeClr w14:val="tx1"/>
            </w14:solidFill>
          </w14:textFill>
        </w:rPr>
        <w:t xml:space="preserve"> </w:t>
      </w:r>
      <w:r>
        <w:rPr>
          <w:rFonts w:hint="eastAsia"/>
          <w:color w:val="000000" w:themeColor="text1"/>
          <w:sz w:val="21"/>
          <w:szCs w:val="21"/>
          <w:highlight w:val="none"/>
          <w:u w:val="single"/>
          <w:lang w:eastAsia="zh-CN"/>
          <w14:textFill>
            <w14:solidFill>
              <w14:schemeClr w14:val="tx1"/>
            </w14:solidFill>
          </w14:textFill>
        </w:rPr>
        <w:t xml:space="preserve">  </w:t>
      </w:r>
      <w:r>
        <w:rPr>
          <w:color w:val="000000" w:themeColor="text1"/>
          <w:sz w:val="21"/>
          <w:szCs w:val="21"/>
          <w:highlight w:val="none"/>
          <w:u w:val="single"/>
          <w:lang w:eastAsia="zh-CN"/>
          <w14:textFill>
            <w14:solidFill>
              <w14:schemeClr w14:val="tx1"/>
            </w14:solidFill>
          </w14:textFill>
        </w:rPr>
        <w:tab/>
      </w:r>
      <w:r>
        <w:rPr>
          <w:color w:val="000000" w:themeColor="text1"/>
          <w:sz w:val="21"/>
          <w:szCs w:val="21"/>
          <w:highlight w:val="none"/>
          <w:lang w:eastAsia="zh-CN"/>
          <w14:textFill>
            <w14:solidFill>
              <w14:schemeClr w14:val="tx1"/>
            </w14:solidFill>
          </w14:textFill>
        </w:rPr>
        <w:t>单位的</w:t>
      </w:r>
      <w:r>
        <w:rPr>
          <w:color w:val="000000" w:themeColor="text1"/>
          <w:sz w:val="21"/>
          <w:szCs w:val="21"/>
          <w:highlight w:val="none"/>
          <w:u w:val="single"/>
          <w:lang w:eastAsia="zh-CN"/>
          <w14:textFill>
            <w14:solidFill>
              <w14:schemeClr w14:val="tx1"/>
            </w14:solidFill>
          </w14:textFill>
        </w:rPr>
        <w:t xml:space="preserve"> </w:t>
      </w:r>
      <w:r>
        <w:rPr>
          <w:rFonts w:hint="eastAsia"/>
          <w:color w:val="000000" w:themeColor="text1"/>
          <w:sz w:val="21"/>
          <w:szCs w:val="21"/>
          <w:highlight w:val="none"/>
          <w:u w:val="single"/>
          <w:lang w:eastAsia="zh-CN"/>
          <w14:textFill>
            <w14:solidFill>
              <w14:schemeClr w14:val="tx1"/>
            </w14:solidFill>
          </w14:textFill>
        </w:rPr>
        <w:t xml:space="preserve">  </w:t>
      </w:r>
      <w:r>
        <w:rPr>
          <w:color w:val="000000" w:themeColor="text1"/>
          <w:sz w:val="21"/>
          <w:szCs w:val="21"/>
          <w:highlight w:val="none"/>
          <w:u w:val="single"/>
          <w:lang w:eastAsia="zh-CN"/>
          <w14:textFill>
            <w14:solidFill>
              <w14:schemeClr w14:val="tx1"/>
            </w14:solidFill>
          </w14:textFill>
        </w:rPr>
        <w:tab/>
      </w:r>
      <w:r>
        <w:rPr>
          <w:color w:val="000000" w:themeColor="text1"/>
          <w:sz w:val="21"/>
          <w:szCs w:val="21"/>
          <w:highlight w:val="none"/>
          <w:lang w:eastAsia="zh-CN"/>
          <w14:textFill>
            <w14:solidFill>
              <w14:schemeClr w14:val="tx1"/>
            </w14:solidFill>
          </w14:textFill>
        </w:rPr>
        <w:t>项目采购活动提供本单位制造的货物（由</w:t>
      </w:r>
      <w:r>
        <w:rPr>
          <w:color w:val="000000" w:themeColor="text1"/>
          <w:spacing w:val="-15"/>
          <w:sz w:val="21"/>
          <w:szCs w:val="21"/>
          <w:highlight w:val="none"/>
          <w:lang w:eastAsia="zh-CN"/>
          <w14:textFill>
            <w14:solidFill>
              <w14:schemeClr w14:val="tx1"/>
            </w14:solidFill>
          </w14:textFill>
        </w:rPr>
        <w:t>本</w:t>
      </w:r>
      <w:r>
        <w:rPr>
          <w:color w:val="000000" w:themeColor="text1"/>
          <w:sz w:val="21"/>
          <w:szCs w:val="21"/>
          <w:highlight w:val="none"/>
          <w:lang w:eastAsia="zh-CN"/>
          <w14:textFill>
            <w14:solidFill>
              <w14:schemeClr w14:val="tx1"/>
            </w14:solidFill>
          </w14:textFill>
        </w:rPr>
        <w:t>单位承担工程/提供服务</w:t>
      </w:r>
      <w:r>
        <w:rPr>
          <w:color w:val="000000" w:themeColor="text1"/>
          <w:spacing w:val="-20"/>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或者提供其他</w:t>
      </w:r>
      <w:r>
        <w:rPr>
          <w:color w:val="000000" w:themeColor="text1"/>
          <w:spacing w:val="-3"/>
          <w:sz w:val="21"/>
          <w:szCs w:val="21"/>
          <w:highlight w:val="none"/>
          <w:lang w:eastAsia="zh-CN"/>
          <w14:textFill>
            <w14:solidFill>
              <w14:schemeClr w14:val="tx1"/>
            </w14:solidFill>
          </w14:textFill>
        </w:rPr>
        <w:t>残</w:t>
      </w:r>
      <w:r>
        <w:rPr>
          <w:color w:val="000000" w:themeColor="text1"/>
          <w:sz w:val="21"/>
          <w:szCs w:val="21"/>
          <w:highlight w:val="none"/>
          <w:lang w:eastAsia="zh-CN"/>
          <w14:textFill>
            <w14:solidFill>
              <w14:schemeClr w14:val="tx1"/>
            </w14:solidFill>
          </w14:textFill>
        </w:rPr>
        <w:t>疾人福利性单位制造的货</w:t>
      </w:r>
      <w:r>
        <w:rPr>
          <w:color w:val="000000" w:themeColor="text1"/>
          <w:spacing w:val="-20"/>
          <w:sz w:val="21"/>
          <w:szCs w:val="21"/>
          <w:highlight w:val="none"/>
          <w:lang w:eastAsia="zh-CN"/>
          <w14:textFill>
            <w14:solidFill>
              <w14:schemeClr w14:val="tx1"/>
            </w14:solidFill>
          </w14:textFill>
        </w:rPr>
        <w:t>物</w:t>
      </w:r>
      <w:r>
        <w:rPr>
          <w:color w:val="000000" w:themeColor="text1"/>
          <w:sz w:val="21"/>
          <w:szCs w:val="21"/>
          <w:highlight w:val="none"/>
          <w:lang w:eastAsia="zh-CN"/>
          <w14:textFill>
            <w14:solidFill>
              <w14:schemeClr w14:val="tx1"/>
            </w14:solidFill>
          </w14:textFill>
        </w:rPr>
        <w:t>（不包括使用</w:t>
      </w:r>
      <w:r>
        <w:rPr>
          <w:color w:val="000000" w:themeColor="text1"/>
          <w:spacing w:val="-12"/>
          <w:sz w:val="21"/>
          <w:szCs w:val="21"/>
          <w:highlight w:val="none"/>
          <w:lang w:eastAsia="zh-CN"/>
          <w14:textFill>
            <w14:solidFill>
              <w14:schemeClr w14:val="tx1"/>
            </w14:solidFill>
          </w14:textFill>
        </w:rPr>
        <w:t>非</w:t>
      </w:r>
      <w:r>
        <w:rPr>
          <w:color w:val="000000" w:themeColor="text1"/>
          <w:sz w:val="21"/>
          <w:szCs w:val="21"/>
          <w:highlight w:val="none"/>
          <w:lang w:eastAsia="zh-CN"/>
          <w14:textFill>
            <w14:solidFill>
              <w14:schemeClr w14:val="tx1"/>
            </w14:solidFill>
          </w14:textFill>
        </w:rPr>
        <w:t>残疾人福利性单位注册商标的货物）。</w:t>
      </w:r>
    </w:p>
    <w:p w14:paraId="60FFFEFD">
      <w:pPr>
        <w:pStyle w:val="18"/>
        <w:autoSpaceDE w:val="0"/>
        <w:spacing w:line="360" w:lineRule="auto"/>
        <w:ind w:firstLine="390" w:firstLineChars="20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本单位对上述声明的真实性负责。如有虚假，将依法承担相应责任。</w:t>
      </w:r>
    </w:p>
    <w:p w14:paraId="2E9C7237">
      <w:pPr>
        <w:pStyle w:val="18"/>
        <w:autoSpaceDE w:val="0"/>
        <w:spacing w:line="360" w:lineRule="auto"/>
        <w:rPr>
          <w:color w:val="000000" w:themeColor="text1"/>
          <w:sz w:val="21"/>
          <w:szCs w:val="21"/>
          <w:highlight w:val="none"/>
          <w:lang w:eastAsia="zh-CN"/>
          <w14:textFill>
            <w14:solidFill>
              <w14:schemeClr w14:val="tx1"/>
            </w14:solidFill>
          </w14:textFill>
        </w:rPr>
      </w:pPr>
    </w:p>
    <w:p w14:paraId="2F978B0C">
      <w:pPr>
        <w:pStyle w:val="33"/>
        <w:widowControl w:val="0"/>
        <w:adjustRightInd w:val="0"/>
        <w:snapToGrid w:val="0"/>
        <w:spacing w:before="0" w:beforeAutospacing="0" w:after="0" w:afterAutospacing="0" w:line="360" w:lineRule="exact"/>
        <w:ind w:right="420" w:firstLine="4962"/>
        <w:rPr>
          <w:color w:val="000000" w:themeColor="text1"/>
          <w:kern w:val="2"/>
          <w:sz w:val="21"/>
          <w:szCs w:val="21"/>
          <w:highlight w:val="none"/>
          <w:lang w:eastAsia="zh-CN"/>
          <w14:textFill>
            <w14:solidFill>
              <w14:schemeClr w14:val="tx1"/>
            </w14:solidFill>
          </w14:textFill>
        </w:rPr>
      </w:pPr>
      <w:r>
        <w:rPr>
          <w:rFonts w:hint="eastAsia"/>
          <w:color w:val="000000" w:themeColor="text1"/>
          <w:kern w:val="2"/>
          <w:sz w:val="21"/>
          <w:szCs w:val="21"/>
          <w:highlight w:val="none"/>
          <w:lang w:eastAsia="zh-CN"/>
          <w14:textFill>
            <w14:solidFill>
              <w14:schemeClr w14:val="tx1"/>
            </w14:solidFill>
          </w14:textFill>
        </w:rPr>
        <w:t xml:space="preserve">企业名称（盖章）： </w:t>
      </w:r>
    </w:p>
    <w:p w14:paraId="3C55CDD5">
      <w:pPr>
        <w:pStyle w:val="13"/>
        <w:adjustRightInd w:val="0"/>
        <w:snapToGrid w:val="0"/>
        <w:spacing w:line="360" w:lineRule="exact"/>
        <w:ind w:left="1414" w:firstLine="5130" w:firstLineChars="2565"/>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年    月    日</w:t>
      </w:r>
    </w:p>
    <w:p w14:paraId="458C5F4A">
      <w:pPr>
        <w:pStyle w:val="13"/>
        <w:adjustRightInd w:val="0"/>
        <w:snapToGrid w:val="0"/>
        <w:spacing w:line="360" w:lineRule="exact"/>
        <w:ind w:left="1414" w:firstLine="5130" w:firstLineChars="2565"/>
        <w:rPr>
          <w:rFonts w:ascii="宋体" w:hAnsi="宋体"/>
          <w:bCs/>
          <w:color w:val="000000" w:themeColor="text1"/>
          <w:szCs w:val="21"/>
          <w:highlight w:val="none"/>
          <w:lang w:eastAsia="zh-CN"/>
          <w14:textFill>
            <w14:solidFill>
              <w14:schemeClr w14:val="tx1"/>
            </w14:solidFill>
          </w14:textFill>
        </w:rPr>
      </w:pPr>
    </w:p>
    <w:p w14:paraId="4A204736">
      <w:pPr>
        <w:pStyle w:val="18"/>
        <w:autoSpaceDE w:val="0"/>
        <w:spacing w:line="360" w:lineRule="auto"/>
        <w:rPr>
          <w:color w:val="000000" w:themeColor="text1"/>
          <w:sz w:val="21"/>
          <w:szCs w:val="21"/>
          <w:highlight w:val="none"/>
          <w:lang w:eastAsia="zh-CN"/>
          <w14:textFill>
            <w14:solidFill>
              <w14:schemeClr w14:val="tx1"/>
            </w14:solidFill>
          </w14:textFill>
        </w:rPr>
      </w:pPr>
    </w:p>
    <w:p w14:paraId="7DA11C5D">
      <w:pPr>
        <w:pStyle w:val="18"/>
        <w:autoSpaceDE w:val="0"/>
        <w:spacing w:line="360" w:lineRule="auto"/>
        <w:rPr>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pacing w:val="6"/>
          <w:sz w:val="24"/>
          <w:szCs w:val="24"/>
          <w:highlight w:val="none"/>
          <w:lang w:eastAsia="zh-CN"/>
          <w14:textFill>
            <w14:solidFill>
              <w14:schemeClr w14:val="tx1"/>
            </w14:solidFill>
          </w14:textFill>
        </w:rPr>
        <w:t>注：1、投标人如为残疾人福利性单位并提供本《残疾人福利性单位声明函》的，必须对声明的真实性负责。采购人或采购代理机构在公告中标结果时，同时公告其《残疾人福利性单位声明函》，接受社会监督。</w:t>
      </w:r>
    </w:p>
    <w:p w14:paraId="68A9FD90">
      <w:pPr>
        <w:pStyle w:val="18"/>
        <w:autoSpaceDE w:val="0"/>
        <w:spacing w:line="360" w:lineRule="auto"/>
        <w:rPr>
          <w:color w:val="000000" w:themeColor="text1"/>
          <w:sz w:val="21"/>
          <w:szCs w:val="21"/>
          <w:highlight w:val="none"/>
          <w:lang w:eastAsia="zh-CN"/>
          <w14:textFill>
            <w14:solidFill>
              <w14:schemeClr w14:val="tx1"/>
            </w14:solidFill>
          </w14:textFill>
        </w:rPr>
      </w:pPr>
    </w:p>
    <w:p w14:paraId="22F1A47C">
      <w:pPr>
        <w:rPr>
          <w:color w:val="000000" w:themeColor="text1"/>
          <w:sz w:val="21"/>
          <w:szCs w:val="21"/>
          <w:highlight w:val="none"/>
          <w:lang w:eastAsia="zh-CN"/>
          <w14:textFill>
            <w14:solidFill>
              <w14:schemeClr w14:val="tx1"/>
            </w14:solidFill>
          </w14:textFill>
        </w:rPr>
      </w:pPr>
    </w:p>
    <w:p w14:paraId="474DED61">
      <w:pPr>
        <w:pStyle w:val="18"/>
        <w:rPr>
          <w:color w:val="000000" w:themeColor="text1"/>
          <w:sz w:val="21"/>
          <w:szCs w:val="21"/>
          <w:highlight w:val="none"/>
          <w:lang w:eastAsia="zh-CN"/>
          <w14:textFill>
            <w14:solidFill>
              <w14:schemeClr w14:val="tx1"/>
            </w14:solidFill>
          </w14:textFill>
        </w:rPr>
      </w:pPr>
    </w:p>
    <w:p w14:paraId="4D8D8D55">
      <w:pPr>
        <w:rPr>
          <w:color w:val="000000" w:themeColor="text1"/>
          <w:sz w:val="21"/>
          <w:szCs w:val="21"/>
          <w:highlight w:val="none"/>
          <w:lang w:eastAsia="zh-CN"/>
          <w14:textFill>
            <w14:solidFill>
              <w14:schemeClr w14:val="tx1"/>
            </w14:solidFill>
          </w14:textFill>
        </w:rPr>
      </w:pPr>
    </w:p>
    <w:p w14:paraId="386DCB7E">
      <w:pPr>
        <w:pStyle w:val="18"/>
        <w:rPr>
          <w:color w:val="000000" w:themeColor="text1"/>
          <w:sz w:val="21"/>
          <w:szCs w:val="21"/>
          <w:highlight w:val="none"/>
          <w:lang w:eastAsia="zh-CN"/>
          <w14:textFill>
            <w14:solidFill>
              <w14:schemeClr w14:val="tx1"/>
            </w14:solidFill>
          </w14:textFill>
        </w:rPr>
      </w:pPr>
    </w:p>
    <w:p w14:paraId="6FCB474B">
      <w:pPr>
        <w:rPr>
          <w:color w:val="000000" w:themeColor="text1"/>
          <w:highlight w:val="none"/>
          <w:lang w:eastAsia="zh-CN"/>
          <w14:textFill>
            <w14:solidFill>
              <w14:schemeClr w14:val="tx1"/>
            </w14:solidFill>
          </w14:textFill>
        </w:rPr>
      </w:pPr>
    </w:p>
    <w:p w14:paraId="0820715C">
      <w:pPr>
        <w:autoSpaceDE w:val="0"/>
        <w:spacing w:line="360" w:lineRule="auto"/>
        <w:ind w:firstLine="723" w:firstLineChars="200"/>
        <w:jc w:val="center"/>
        <w:outlineLvl w:val="0"/>
        <w:rPr>
          <w:rFonts w:ascii="方正小标宋简体" w:hAnsi="宋体" w:eastAsia="方正小标宋简体"/>
          <w:b/>
          <w:bCs/>
          <w:color w:val="000000" w:themeColor="text1"/>
          <w:kern w:val="2"/>
          <w:sz w:val="36"/>
          <w:szCs w:val="36"/>
          <w:highlight w:val="none"/>
          <w:lang w:eastAsia="zh-CN"/>
          <w14:textFill>
            <w14:solidFill>
              <w14:schemeClr w14:val="tx1"/>
            </w14:solidFill>
          </w14:textFill>
        </w:rPr>
      </w:pPr>
      <w:bookmarkStart w:id="224" w:name="_Toc16347"/>
      <w:bookmarkStart w:id="225" w:name="_Toc16570"/>
      <w:bookmarkStart w:id="226" w:name="_Toc14374"/>
      <w:bookmarkStart w:id="227" w:name="_Toc21852"/>
      <w:r>
        <w:rPr>
          <w:rFonts w:hint="eastAsia" w:ascii="方正小标宋简体" w:hAnsi="宋体" w:eastAsia="方正小标宋简体"/>
          <w:b/>
          <w:bCs/>
          <w:color w:val="000000" w:themeColor="text1"/>
          <w:kern w:val="2"/>
          <w:sz w:val="36"/>
          <w:szCs w:val="36"/>
          <w:highlight w:val="none"/>
          <w:lang w:eastAsia="zh-CN"/>
          <w14:textFill>
            <w14:solidFill>
              <w14:schemeClr w14:val="tx1"/>
            </w14:solidFill>
          </w14:textFill>
        </w:rPr>
        <w:t>监狱企业的证明文件</w:t>
      </w:r>
      <w:bookmarkEnd w:id="224"/>
      <w:bookmarkEnd w:id="225"/>
      <w:bookmarkEnd w:id="226"/>
      <w:bookmarkEnd w:id="227"/>
    </w:p>
    <w:p w14:paraId="48342AFD">
      <w:pPr>
        <w:spacing w:line="350" w:lineRule="exact"/>
        <w:ind w:firstLine="420" w:firstLineChars="200"/>
        <w:rPr>
          <w:rFonts w:ascii="宋体" w:hAnsi="宋体" w:cs="Courier New"/>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说明：监狱企业参加政府采购活动时，应当提供由</w:t>
      </w:r>
      <w:r>
        <w:rPr>
          <w:b/>
          <w:color w:val="000000" w:themeColor="text1"/>
          <w:sz w:val="21"/>
          <w:szCs w:val="21"/>
          <w:highlight w:val="none"/>
          <w:lang w:eastAsia="zh-CN"/>
          <w14:textFill>
            <w14:solidFill>
              <w14:schemeClr w14:val="tx1"/>
            </w14:solidFill>
          </w14:textFill>
        </w:rPr>
        <w:t>省级以上监狱管理局、戒毒管理局（含新疆生产建设兵团）出具的属于监狱企业的证明文件，</w:t>
      </w:r>
      <w:r>
        <w:rPr>
          <w:color w:val="000000" w:themeColor="text1"/>
          <w:sz w:val="21"/>
          <w:szCs w:val="21"/>
          <w:highlight w:val="none"/>
          <w:lang w:eastAsia="zh-CN"/>
          <w14:textFill>
            <w14:solidFill>
              <w14:schemeClr w14:val="tx1"/>
            </w14:solidFill>
          </w14:textFill>
        </w:rPr>
        <w:t>并加盖投标单位公章。</w:t>
      </w:r>
    </w:p>
    <w:p w14:paraId="0C38F532">
      <w:pPr>
        <w:pStyle w:val="96"/>
        <w:jc w:val="both"/>
        <w:rPr>
          <w:rFonts w:eastAsia="宋体"/>
          <w:color w:val="000000" w:themeColor="text1"/>
          <w:sz w:val="21"/>
          <w:szCs w:val="21"/>
          <w:highlight w:val="none"/>
          <w:lang w:eastAsia="zh-CN"/>
          <w14:textFill>
            <w14:solidFill>
              <w14:schemeClr w14:val="tx1"/>
            </w14:solidFill>
          </w14:textFill>
        </w:rPr>
      </w:pPr>
    </w:p>
    <w:p w14:paraId="5ACFFC6A">
      <w:pPr>
        <w:pStyle w:val="96"/>
        <w:jc w:val="both"/>
        <w:rPr>
          <w:rFonts w:eastAsia="宋体"/>
          <w:color w:val="000000" w:themeColor="text1"/>
          <w:sz w:val="21"/>
          <w:szCs w:val="21"/>
          <w:highlight w:val="none"/>
          <w:lang w:eastAsia="zh-CN"/>
          <w14:textFill>
            <w14:solidFill>
              <w14:schemeClr w14:val="tx1"/>
            </w14:solidFill>
          </w14:textFill>
        </w:rPr>
      </w:pPr>
    </w:p>
    <w:p w14:paraId="0D195897">
      <w:pPr>
        <w:pStyle w:val="96"/>
        <w:jc w:val="both"/>
        <w:rPr>
          <w:rFonts w:eastAsia="宋体"/>
          <w:color w:val="000000" w:themeColor="text1"/>
          <w:sz w:val="21"/>
          <w:szCs w:val="21"/>
          <w:highlight w:val="none"/>
          <w:lang w:eastAsia="zh-CN"/>
          <w14:textFill>
            <w14:solidFill>
              <w14:schemeClr w14:val="tx1"/>
            </w14:solidFill>
          </w14:textFill>
        </w:rPr>
      </w:pPr>
    </w:p>
    <w:p w14:paraId="7A3B056C">
      <w:pPr>
        <w:pStyle w:val="96"/>
        <w:jc w:val="both"/>
        <w:rPr>
          <w:rFonts w:eastAsia="宋体"/>
          <w:color w:val="000000" w:themeColor="text1"/>
          <w:sz w:val="21"/>
          <w:szCs w:val="21"/>
          <w:highlight w:val="none"/>
          <w:lang w:eastAsia="zh-CN"/>
          <w14:textFill>
            <w14:solidFill>
              <w14:schemeClr w14:val="tx1"/>
            </w14:solidFill>
          </w14:textFill>
        </w:rPr>
      </w:pPr>
    </w:p>
    <w:p w14:paraId="0B673645">
      <w:pPr>
        <w:pStyle w:val="96"/>
        <w:jc w:val="both"/>
        <w:rPr>
          <w:rFonts w:eastAsia="宋体"/>
          <w:color w:val="000000" w:themeColor="text1"/>
          <w:sz w:val="21"/>
          <w:szCs w:val="21"/>
          <w:highlight w:val="none"/>
          <w:lang w:eastAsia="zh-CN"/>
          <w14:textFill>
            <w14:solidFill>
              <w14:schemeClr w14:val="tx1"/>
            </w14:solidFill>
          </w14:textFill>
        </w:rPr>
      </w:pPr>
    </w:p>
    <w:p w14:paraId="1C4F7C94">
      <w:pPr>
        <w:pStyle w:val="96"/>
        <w:jc w:val="both"/>
        <w:rPr>
          <w:rFonts w:eastAsia="宋体"/>
          <w:color w:val="000000" w:themeColor="text1"/>
          <w:sz w:val="21"/>
          <w:szCs w:val="21"/>
          <w:highlight w:val="none"/>
          <w:lang w:eastAsia="zh-CN"/>
          <w14:textFill>
            <w14:solidFill>
              <w14:schemeClr w14:val="tx1"/>
            </w14:solidFill>
          </w14:textFill>
        </w:rPr>
      </w:pPr>
    </w:p>
    <w:p w14:paraId="3E346266">
      <w:pPr>
        <w:pStyle w:val="96"/>
        <w:jc w:val="both"/>
        <w:rPr>
          <w:rFonts w:eastAsia="宋体"/>
          <w:color w:val="000000" w:themeColor="text1"/>
          <w:sz w:val="21"/>
          <w:szCs w:val="21"/>
          <w:highlight w:val="none"/>
          <w:lang w:eastAsia="zh-CN"/>
          <w14:textFill>
            <w14:solidFill>
              <w14:schemeClr w14:val="tx1"/>
            </w14:solidFill>
          </w14:textFill>
        </w:rPr>
      </w:pPr>
    </w:p>
    <w:p w14:paraId="3555EA8E">
      <w:pPr>
        <w:pStyle w:val="96"/>
        <w:jc w:val="both"/>
        <w:rPr>
          <w:rFonts w:eastAsia="宋体"/>
          <w:color w:val="000000" w:themeColor="text1"/>
          <w:sz w:val="21"/>
          <w:szCs w:val="21"/>
          <w:highlight w:val="none"/>
          <w:lang w:eastAsia="zh-CN"/>
          <w14:textFill>
            <w14:solidFill>
              <w14:schemeClr w14:val="tx1"/>
            </w14:solidFill>
          </w14:textFill>
        </w:rPr>
      </w:pPr>
    </w:p>
    <w:p w14:paraId="19F3186C">
      <w:pPr>
        <w:pStyle w:val="96"/>
        <w:jc w:val="both"/>
        <w:rPr>
          <w:rFonts w:eastAsia="宋体"/>
          <w:color w:val="000000" w:themeColor="text1"/>
          <w:sz w:val="21"/>
          <w:szCs w:val="21"/>
          <w:highlight w:val="none"/>
          <w:lang w:eastAsia="zh-CN"/>
          <w14:textFill>
            <w14:solidFill>
              <w14:schemeClr w14:val="tx1"/>
            </w14:solidFill>
          </w14:textFill>
        </w:rPr>
      </w:pPr>
    </w:p>
    <w:p w14:paraId="0C68BF84">
      <w:pPr>
        <w:pStyle w:val="96"/>
        <w:jc w:val="both"/>
        <w:rPr>
          <w:rFonts w:eastAsia="宋体"/>
          <w:color w:val="000000" w:themeColor="text1"/>
          <w:sz w:val="21"/>
          <w:szCs w:val="21"/>
          <w:highlight w:val="none"/>
          <w:lang w:eastAsia="zh-CN"/>
          <w14:textFill>
            <w14:solidFill>
              <w14:schemeClr w14:val="tx1"/>
            </w14:solidFill>
          </w14:textFill>
        </w:rPr>
      </w:pPr>
    </w:p>
    <w:p w14:paraId="1C2AB43A">
      <w:pPr>
        <w:pStyle w:val="96"/>
        <w:jc w:val="both"/>
        <w:rPr>
          <w:rFonts w:eastAsia="宋体"/>
          <w:color w:val="000000" w:themeColor="text1"/>
          <w:sz w:val="21"/>
          <w:szCs w:val="21"/>
          <w:highlight w:val="none"/>
          <w:lang w:eastAsia="zh-CN"/>
          <w14:textFill>
            <w14:solidFill>
              <w14:schemeClr w14:val="tx1"/>
            </w14:solidFill>
          </w14:textFill>
        </w:rPr>
      </w:pPr>
    </w:p>
    <w:p w14:paraId="580B8607">
      <w:pPr>
        <w:pStyle w:val="96"/>
        <w:jc w:val="both"/>
        <w:rPr>
          <w:rFonts w:eastAsia="宋体"/>
          <w:color w:val="000000" w:themeColor="text1"/>
          <w:sz w:val="21"/>
          <w:szCs w:val="21"/>
          <w:highlight w:val="none"/>
          <w:lang w:eastAsia="zh-CN"/>
          <w14:textFill>
            <w14:solidFill>
              <w14:schemeClr w14:val="tx1"/>
            </w14:solidFill>
          </w14:textFill>
        </w:rPr>
      </w:pPr>
    </w:p>
    <w:p w14:paraId="39D77C9F">
      <w:pPr>
        <w:pStyle w:val="96"/>
        <w:jc w:val="both"/>
        <w:rPr>
          <w:rFonts w:eastAsia="宋体"/>
          <w:color w:val="000000" w:themeColor="text1"/>
          <w:sz w:val="21"/>
          <w:szCs w:val="21"/>
          <w:highlight w:val="none"/>
          <w:lang w:eastAsia="zh-CN"/>
          <w14:textFill>
            <w14:solidFill>
              <w14:schemeClr w14:val="tx1"/>
            </w14:solidFill>
          </w14:textFill>
        </w:rPr>
      </w:pPr>
    </w:p>
    <w:p w14:paraId="279691AE">
      <w:pPr>
        <w:snapToGrid w:val="0"/>
        <w:spacing w:line="360" w:lineRule="auto"/>
        <w:jc w:val="center"/>
        <w:rPr>
          <w:rFonts w:hint="eastAsia" w:ascii="宋体" w:hAnsi="宋体" w:eastAsia="宋体" w:cs="宋体"/>
          <w:color w:val="000000" w:themeColor="text1"/>
          <w:kern w:val="0"/>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关于符合本国产品标准的声明函</w:t>
      </w:r>
      <w:r>
        <w:rPr>
          <w:rFonts w:hint="eastAsia" w:ascii="宋体" w:hAnsi="宋体" w:eastAsia="宋体" w:cs="宋体"/>
          <w:b/>
          <w:bCs/>
          <w:color w:val="000000" w:themeColor="text1"/>
          <w:sz w:val="32"/>
          <w:szCs w:val="32"/>
          <w:highlight w:val="none"/>
          <w:lang w:eastAsia="zh-CN"/>
          <w14:textFill>
            <w14:solidFill>
              <w14:schemeClr w14:val="tx1"/>
            </w14:solidFill>
          </w14:textFill>
        </w:rPr>
        <w:t>（格式）</w:t>
      </w:r>
    </w:p>
    <w:p w14:paraId="53E6C439">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6EC20A9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1A9BB45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Style w:val="44"/>
          <w:rFonts w:hint="eastAsia" w:ascii="宋体" w:hAnsi="宋体" w:eastAsia="宋体" w:cs="宋体"/>
          <w:i w:val="0"/>
          <w:iCs w:val="0"/>
          <w:caps w:val="0"/>
          <w:color w:val="000000" w:themeColor="text1"/>
          <w:spacing w:val="0"/>
          <w:sz w:val="24"/>
          <w:szCs w:val="24"/>
          <w:u w:val="single"/>
          <w:shd w:val="clear" w:color="auto" w:fill="FFFFFF"/>
          <w:vertAlign w:val="superscript"/>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，生产厂为</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（厂名）</w:t>
      </w:r>
      <w:r>
        <w:rPr>
          <w:rStyle w:val="44"/>
          <w:rFonts w:hint="eastAsia" w:ascii="宋体" w:hAnsi="宋体" w:eastAsia="宋体" w:cs="宋体"/>
          <w:i w:val="0"/>
          <w:iCs w:val="0"/>
          <w:caps w:val="0"/>
          <w:color w:val="000000" w:themeColor="text1"/>
          <w:spacing w:val="0"/>
          <w:sz w:val="24"/>
          <w:szCs w:val="24"/>
          <w:u w:val="single"/>
          <w:shd w:val="clear" w:color="auto" w:fill="FFFFFF"/>
          <w:vertAlign w:val="superscript"/>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，厂址为</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的中国境内生产的组件成本占比≥</w:t>
      </w:r>
      <w:r>
        <w:rPr>
          <w:rStyle w:val="44"/>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（规定比例）</w:t>
      </w:r>
      <w:r>
        <w:rPr>
          <w:rStyle w:val="44"/>
          <w:rFonts w:hint="eastAsia" w:ascii="宋体" w:hAnsi="宋体" w:eastAsia="宋体" w:cs="宋体"/>
          <w:i w:val="0"/>
          <w:iCs w:val="0"/>
          <w:caps w:val="0"/>
          <w:color w:val="000000" w:themeColor="text1"/>
          <w:spacing w:val="0"/>
          <w:sz w:val="24"/>
          <w:szCs w:val="24"/>
          <w:shd w:val="clear" w:color="auto" w:fill="FFFFFF"/>
          <w:vertAlign w:val="superscript"/>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44"/>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（关键组件）</w:t>
      </w:r>
      <w:r>
        <w:rPr>
          <w:rStyle w:val="44"/>
          <w:rFonts w:hint="eastAsia" w:ascii="宋体" w:hAnsi="宋体" w:eastAsia="宋体" w:cs="宋体"/>
          <w:i w:val="0"/>
          <w:iCs w:val="0"/>
          <w:caps w:val="0"/>
          <w:color w:val="000000" w:themeColor="text1"/>
          <w:spacing w:val="0"/>
          <w:sz w:val="24"/>
          <w:szCs w:val="24"/>
          <w:shd w:val="clear" w:color="auto" w:fill="FFFFFF"/>
          <w:vertAlign w:val="superscript"/>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在中国境内生产。</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44"/>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（关键工序）</w:t>
      </w:r>
      <w:r>
        <w:rPr>
          <w:rStyle w:val="44"/>
          <w:rFonts w:hint="eastAsia" w:ascii="宋体" w:hAnsi="宋体" w:eastAsia="宋体" w:cs="宋体"/>
          <w:i w:val="0"/>
          <w:iCs w:val="0"/>
          <w:caps w:val="0"/>
          <w:color w:val="000000" w:themeColor="text1"/>
          <w:spacing w:val="0"/>
          <w:sz w:val="24"/>
          <w:szCs w:val="24"/>
          <w:shd w:val="clear" w:color="auto" w:fill="FFFFFF"/>
          <w:vertAlign w:val="superscript"/>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在中国境内完成。</w:t>
      </w:r>
    </w:p>
    <w:p w14:paraId="0B755F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，生产厂为</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（厂名）</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，厂址为</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的中国境内生产的组件成本占比≥</w:t>
      </w:r>
      <w:r>
        <w:rPr>
          <w:rStyle w:val="44"/>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（规定比例）</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44"/>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（关键组件）</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在中国境内生产。</w:t>
      </w:r>
      <w:r>
        <w:rPr>
          <w:rStyle w:val="44"/>
          <w:rFonts w:hint="eastAsia" w:ascii="宋体" w:hAnsi="宋体" w:eastAsia="宋体" w:cs="宋体"/>
          <w:i w:val="0"/>
          <w:iCs w:val="0"/>
          <w:caps w:val="0"/>
          <w:color w:val="000000" w:themeColor="text1"/>
          <w:spacing w:val="0"/>
          <w:sz w:val="24"/>
          <w:szCs w:val="24"/>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的</w:t>
      </w:r>
      <w:r>
        <w:rPr>
          <w:rStyle w:val="44"/>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（关键工序）</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在中国境内完成。</w:t>
      </w:r>
    </w:p>
    <w:p w14:paraId="05DD008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054E438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本公司（单位）对上述声明内容的真实性负责。如有虚假，愿承担相应法律责任。</w:t>
      </w:r>
    </w:p>
    <w:p w14:paraId="2FBD2F5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p>
    <w:p w14:paraId="3ACA86D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textAlignment w:val="auto"/>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p>
    <w:p w14:paraId="52AC44E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公司（单位）名称（</w:t>
      </w:r>
      <w:r>
        <w:rPr>
          <w:rFonts w:hint="eastAsia" w:ascii="宋体" w:hAnsi="宋体" w:eastAsia="宋体" w:cs="宋体"/>
          <w:color w:val="000000" w:themeColor="text1"/>
          <w:sz w:val="24"/>
          <w:highlight w:val="none"/>
          <w14:textFill>
            <w14:solidFill>
              <w14:schemeClr w14:val="tx1"/>
            </w14:solidFill>
          </w14:textFill>
        </w:rPr>
        <w:t>电子签章</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）：      </w:t>
      </w:r>
    </w:p>
    <w:p w14:paraId="2E821CE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8" w:lineRule="auto"/>
        <w:ind w:left="0" w:right="0" w:firstLine="42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日期：　　年　月　日    </w:t>
      </w:r>
    </w:p>
    <w:p w14:paraId="6592FE7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4788B08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14C3C84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_____________________________</w:t>
      </w:r>
    </w:p>
    <w:p w14:paraId="498246B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1.产品如有型号，请在“产品名称”栏一并填写。</w:t>
      </w:r>
    </w:p>
    <w:p w14:paraId="770E80C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2.生产厂名与厂址应与生产厂营业执照载明的相关信息保持一致。</w:t>
      </w:r>
    </w:p>
    <w:p w14:paraId="3F11D67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3.该产品的中国境内生产的组件成本占比相关要求实施前，“规定比例”栏可不填，下同。</w:t>
      </w:r>
    </w:p>
    <w:p w14:paraId="1201C19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4.该产品的关键组件要求实施前，“关键组件”栏可不填，下同。</w:t>
      </w:r>
    </w:p>
    <w:p w14:paraId="2DB10BC3">
      <w:pPr>
        <w:pStyle w:val="33"/>
        <w:widowControl/>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firstLine="420"/>
        <w:jc w:val="both"/>
        <w:rPr>
          <w:rFonts w:hint="eastAsia" w:ascii="宋体" w:eastAsia="宋体"/>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5.该产品的关键工序要求实施前，“关键工序”栏可不填，下同。</w:t>
      </w:r>
    </w:p>
    <w:p w14:paraId="0D3DC9DF">
      <w:pPr>
        <w:pStyle w:val="96"/>
        <w:jc w:val="both"/>
        <w:rPr>
          <w:rFonts w:eastAsia="宋体"/>
          <w:color w:val="000000" w:themeColor="text1"/>
          <w:sz w:val="21"/>
          <w:szCs w:val="21"/>
          <w:highlight w:val="none"/>
          <w:lang w:eastAsia="zh-CN"/>
          <w14:textFill>
            <w14:solidFill>
              <w14:schemeClr w14:val="tx1"/>
            </w14:solidFill>
          </w14:textFill>
        </w:rPr>
      </w:pPr>
    </w:p>
    <w:p w14:paraId="706B5E87">
      <w:pPr>
        <w:pStyle w:val="96"/>
        <w:jc w:val="both"/>
        <w:rPr>
          <w:rFonts w:eastAsia="宋体"/>
          <w:color w:val="000000" w:themeColor="text1"/>
          <w:sz w:val="21"/>
          <w:szCs w:val="21"/>
          <w:highlight w:val="none"/>
          <w:lang w:eastAsia="zh-CN"/>
          <w14:textFill>
            <w14:solidFill>
              <w14:schemeClr w14:val="tx1"/>
            </w14:solidFill>
          </w14:textFill>
        </w:rPr>
      </w:pPr>
    </w:p>
    <w:p w14:paraId="7761F73D">
      <w:pPr>
        <w:pStyle w:val="96"/>
        <w:jc w:val="both"/>
        <w:rPr>
          <w:rFonts w:eastAsia="宋体"/>
          <w:color w:val="000000" w:themeColor="text1"/>
          <w:sz w:val="21"/>
          <w:szCs w:val="21"/>
          <w:highlight w:val="none"/>
          <w:lang w:eastAsia="zh-CN"/>
          <w14:textFill>
            <w14:solidFill>
              <w14:schemeClr w14:val="tx1"/>
            </w14:solidFill>
          </w14:textFill>
        </w:rPr>
      </w:pPr>
    </w:p>
    <w:p w14:paraId="38E97CFC">
      <w:pPr>
        <w:pStyle w:val="96"/>
        <w:jc w:val="both"/>
        <w:rPr>
          <w:rFonts w:eastAsia="宋体"/>
          <w:color w:val="000000" w:themeColor="text1"/>
          <w:sz w:val="21"/>
          <w:szCs w:val="21"/>
          <w:highlight w:val="none"/>
          <w:lang w:eastAsia="zh-CN"/>
          <w14:textFill>
            <w14:solidFill>
              <w14:schemeClr w14:val="tx1"/>
            </w14:solidFill>
          </w14:textFill>
        </w:rPr>
      </w:pPr>
    </w:p>
    <w:p w14:paraId="23D5C147">
      <w:pPr>
        <w:pStyle w:val="96"/>
        <w:jc w:val="both"/>
        <w:rPr>
          <w:rFonts w:eastAsia="宋体"/>
          <w:color w:val="000000" w:themeColor="text1"/>
          <w:sz w:val="21"/>
          <w:szCs w:val="21"/>
          <w:highlight w:val="none"/>
          <w:lang w:eastAsia="zh-CN"/>
          <w14:textFill>
            <w14:solidFill>
              <w14:schemeClr w14:val="tx1"/>
            </w14:solidFill>
          </w14:textFill>
        </w:rPr>
      </w:pPr>
    </w:p>
    <w:p w14:paraId="097CFC79">
      <w:pPr>
        <w:pStyle w:val="96"/>
        <w:jc w:val="both"/>
        <w:rPr>
          <w:rFonts w:eastAsia="宋体"/>
          <w:color w:val="000000" w:themeColor="text1"/>
          <w:sz w:val="21"/>
          <w:szCs w:val="21"/>
          <w:highlight w:val="none"/>
          <w:lang w:eastAsia="zh-CN"/>
          <w14:textFill>
            <w14:solidFill>
              <w14:schemeClr w14:val="tx1"/>
            </w14:solidFill>
          </w14:textFill>
        </w:rPr>
      </w:pPr>
    </w:p>
    <w:p w14:paraId="3E255D72">
      <w:pPr>
        <w:pStyle w:val="96"/>
        <w:jc w:val="both"/>
        <w:rPr>
          <w:rFonts w:eastAsia="宋体"/>
          <w:color w:val="000000" w:themeColor="text1"/>
          <w:sz w:val="21"/>
          <w:szCs w:val="21"/>
          <w:highlight w:val="none"/>
          <w:lang w:eastAsia="zh-CN"/>
          <w14:textFill>
            <w14:solidFill>
              <w14:schemeClr w14:val="tx1"/>
            </w14:solidFill>
          </w14:textFill>
        </w:rPr>
      </w:pPr>
    </w:p>
    <w:p w14:paraId="47AB0C95">
      <w:pPr>
        <w:pStyle w:val="96"/>
        <w:jc w:val="both"/>
        <w:rPr>
          <w:rFonts w:eastAsia="宋体"/>
          <w:color w:val="000000" w:themeColor="text1"/>
          <w:sz w:val="21"/>
          <w:szCs w:val="21"/>
          <w:highlight w:val="none"/>
          <w:lang w:eastAsia="zh-CN"/>
          <w14:textFill>
            <w14:solidFill>
              <w14:schemeClr w14:val="tx1"/>
            </w14:solidFill>
          </w14:textFill>
        </w:rPr>
      </w:pPr>
    </w:p>
    <w:p w14:paraId="3A53B683">
      <w:pPr>
        <w:pStyle w:val="96"/>
        <w:jc w:val="both"/>
        <w:rPr>
          <w:rFonts w:eastAsia="宋体"/>
          <w:color w:val="000000" w:themeColor="text1"/>
          <w:sz w:val="21"/>
          <w:szCs w:val="21"/>
          <w:highlight w:val="none"/>
          <w:lang w:eastAsia="zh-CN"/>
          <w14:textFill>
            <w14:solidFill>
              <w14:schemeClr w14:val="tx1"/>
            </w14:solidFill>
          </w14:textFill>
        </w:rPr>
      </w:pPr>
    </w:p>
    <w:p w14:paraId="338952C2">
      <w:pPr>
        <w:pStyle w:val="96"/>
        <w:jc w:val="both"/>
        <w:rPr>
          <w:rFonts w:eastAsia="宋体"/>
          <w:color w:val="000000" w:themeColor="text1"/>
          <w:sz w:val="21"/>
          <w:szCs w:val="21"/>
          <w:highlight w:val="none"/>
          <w:lang w:eastAsia="zh-CN"/>
          <w14:textFill>
            <w14:solidFill>
              <w14:schemeClr w14:val="tx1"/>
            </w14:solidFill>
          </w14:textFill>
        </w:rPr>
      </w:pPr>
    </w:p>
    <w:p w14:paraId="07701B93">
      <w:pPr>
        <w:pStyle w:val="96"/>
        <w:jc w:val="both"/>
        <w:rPr>
          <w:rFonts w:eastAsia="宋体"/>
          <w:color w:val="000000" w:themeColor="text1"/>
          <w:sz w:val="21"/>
          <w:szCs w:val="21"/>
          <w:highlight w:val="none"/>
          <w:lang w:eastAsia="zh-CN"/>
          <w14:textFill>
            <w14:solidFill>
              <w14:schemeClr w14:val="tx1"/>
            </w14:solidFill>
          </w14:textFill>
        </w:rPr>
      </w:pPr>
    </w:p>
    <w:p w14:paraId="3034A946">
      <w:pPr>
        <w:pStyle w:val="96"/>
        <w:jc w:val="both"/>
        <w:rPr>
          <w:rFonts w:eastAsia="宋体"/>
          <w:color w:val="000000" w:themeColor="text1"/>
          <w:sz w:val="21"/>
          <w:szCs w:val="21"/>
          <w:highlight w:val="none"/>
          <w:lang w:eastAsia="zh-CN"/>
          <w14:textFill>
            <w14:solidFill>
              <w14:schemeClr w14:val="tx1"/>
            </w14:solidFill>
          </w14:textFill>
        </w:rPr>
      </w:pPr>
    </w:p>
    <w:p w14:paraId="59073D37">
      <w:pPr>
        <w:pStyle w:val="96"/>
        <w:jc w:val="both"/>
        <w:rPr>
          <w:rFonts w:eastAsia="宋体"/>
          <w:color w:val="000000" w:themeColor="text1"/>
          <w:sz w:val="21"/>
          <w:szCs w:val="21"/>
          <w:highlight w:val="none"/>
          <w:lang w:eastAsia="zh-CN"/>
          <w14:textFill>
            <w14:solidFill>
              <w14:schemeClr w14:val="tx1"/>
            </w14:solidFill>
          </w14:textFill>
        </w:rPr>
      </w:pPr>
    </w:p>
    <w:p w14:paraId="3F55E813">
      <w:pPr>
        <w:snapToGrid w:val="0"/>
        <w:spacing w:line="360" w:lineRule="exact"/>
        <w:jc w:val="center"/>
        <w:rPr>
          <w:rFonts w:ascii="宋体" w:hAnsi="宋体" w:eastAsia="宋体"/>
          <w:b/>
          <w:color w:val="000000" w:themeColor="text1"/>
          <w:sz w:val="21"/>
          <w:szCs w:val="21"/>
          <w:highlight w:val="none"/>
          <w:u w:val="double"/>
          <w:lang w:eastAsia="zh-CN"/>
          <w14:textFill>
            <w14:solidFill>
              <w14:schemeClr w14:val="tx1"/>
            </w14:solidFill>
          </w14:textFill>
        </w:rPr>
      </w:pPr>
      <w:r>
        <w:rPr>
          <w:rFonts w:hint="eastAsia" w:ascii="宋体" w:hAnsi="宋体" w:eastAsia="宋体"/>
          <w:b/>
          <w:color w:val="000000" w:themeColor="text1"/>
          <w:sz w:val="21"/>
          <w:szCs w:val="21"/>
          <w:highlight w:val="none"/>
          <w:u w:val="double"/>
          <w:lang w:eastAsia="zh-CN"/>
          <w14:textFill>
            <w14:solidFill>
              <w14:schemeClr w14:val="tx1"/>
            </w14:solidFill>
          </w14:textFill>
        </w:rPr>
        <w:t>（三）商务技术文件部分（格式）</w:t>
      </w:r>
    </w:p>
    <w:p w14:paraId="49C8011B">
      <w:pPr>
        <w:rPr>
          <w:color w:val="000000" w:themeColor="text1"/>
          <w:highlight w:val="none"/>
          <w:lang w:eastAsia="zh-CN"/>
          <w14:textFill>
            <w14:solidFill>
              <w14:schemeClr w14:val="tx1"/>
            </w14:solidFill>
          </w14:textFill>
        </w:rPr>
      </w:pPr>
    </w:p>
    <w:p w14:paraId="48EF5F69">
      <w:pPr>
        <w:pStyle w:val="27"/>
        <w:rPr>
          <w:color w:val="000000" w:themeColor="text1"/>
          <w:highlight w:val="none"/>
          <w:lang w:eastAsia="zh-CN"/>
          <w14:textFill>
            <w14:solidFill>
              <w14:schemeClr w14:val="tx1"/>
            </w14:solidFill>
          </w14:textFill>
        </w:rPr>
      </w:pPr>
    </w:p>
    <w:p w14:paraId="29200FE6">
      <w:pPr>
        <w:spacing w:line="520" w:lineRule="exact"/>
        <w:jc w:val="center"/>
        <w:outlineLvl w:val="1"/>
        <w:rPr>
          <w:rFonts w:ascii="Arial" w:hAnsi="Arial" w:cs="Arial"/>
          <w:b/>
          <w:bCs/>
          <w:color w:val="000000" w:themeColor="text1"/>
          <w:sz w:val="24"/>
          <w:szCs w:val="24"/>
          <w:highlight w:val="none"/>
          <w:lang w:eastAsia="zh-CN"/>
          <w14:textFill>
            <w14:solidFill>
              <w14:schemeClr w14:val="tx1"/>
            </w14:solidFill>
          </w14:textFill>
        </w:rPr>
      </w:pPr>
      <w:bookmarkStart w:id="228" w:name="_Toc32315"/>
      <w:bookmarkStart w:id="229" w:name="_Toc5952"/>
      <w:r>
        <w:rPr>
          <w:rFonts w:ascii="Arial" w:hAnsi="Arial" w:cs="Arial"/>
          <w:b/>
          <w:bCs/>
          <w:color w:val="000000" w:themeColor="text1"/>
          <w:sz w:val="32"/>
          <w:szCs w:val="32"/>
          <w:highlight w:val="none"/>
          <w:lang w:eastAsia="zh-CN"/>
          <w14:textFill>
            <w14:solidFill>
              <w14:schemeClr w14:val="tx1"/>
            </w14:solidFill>
          </w14:textFill>
        </w:rPr>
        <w:t>无串通</w:t>
      </w:r>
      <w:r>
        <w:rPr>
          <w:rFonts w:hint="eastAsia" w:ascii="Arial" w:hAnsi="Arial" w:cs="Arial"/>
          <w:b/>
          <w:bCs/>
          <w:color w:val="000000" w:themeColor="text1"/>
          <w:sz w:val="32"/>
          <w:szCs w:val="32"/>
          <w:highlight w:val="none"/>
          <w:lang w:eastAsia="zh-CN"/>
          <w14:textFill>
            <w14:solidFill>
              <w14:schemeClr w14:val="tx1"/>
            </w14:solidFill>
          </w14:textFill>
        </w:rPr>
        <w:t>投标</w:t>
      </w:r>
      <w:r>
        <w:rPr>
          <w:rFonts w:ascii="Arial" w:hAnsi="Arial" w:cs="Arial"/>
          <w:b/>
          <w:bCs/>
          <w:color w:val="000000" w:themeColor="text1"/>
          <w:sz w:val="32"/>
          <w:szCs w:val="32"/>
          <w:highlight w:val="none"/>
          <w:lang w:eastAsia="zh-CN"/>
          <w14:textFill>
            <w14:solidFill>
              <w14:schemeClr w14:val="tx1"/>
            </w14:solidFill>
          </w14:textFill>
        </w:rPr>
        <w:t>行为的承诺函</w:t>
      </w:r>
      <w:bookmarkEnd w:id="228"/>
      <w:bookmarkEnd w:id="229"/>
    </w:p>
    <w:p w14:paraId="2D3C8133">
      <w:pPr>
        <w:spacing w:line="520" w:lineRule="exact"/>
        <w:ind w:firstLine="640" w:firstLineChars="200"/>
        <w:rPr>
          <w:rFonts w:ascii="Arial" w:hAnsi="Arial" w:cs="Arial"/>
          <w:color w:val="000000" w:themeColor="text1"/>
          <w:sz w:val="32"/>
          <w:szCs w:val="32"/>
          <w:highlight w:val="none"/>
          <w:lang w:eastAsia="zh-CN"/>
          <w14:textFill>
            <w14:solidFill>
              <w14:schemeClr w14:val="tx1"/>
            </w14:solidFill>
          </w14:textFill>
        </w:rPr>
      </w:pPr>
    </w:p>
    <w:p w14:paraId="1C2CDE0F">
      <w:pPr>
        <w:spacing w:line="360" w:lineRule="auto"/>
        <w:ind w:firstLine="480" w:firstLineChars="200"/>
        <w:contextualSpacing/>
        <w:outlineLvl w:val="0"/>
        <w:rPr>
          <w:rFonts w:ascii="Arial" w:hAnsi="Arial" w:cs="Arial"/>
          <w:b/>
          <w:bCs/>
          <w:color w:val="000000" w:themeColor="text1"/>
          <w:sz w:val="24"/>
          <w:highlight w:val="none"/>
          <w:lang w:eastAsia="zh-CN"/>
          <w14:textFill>
            <w14:solidFill>
              <w14:schemeClr w14:val="tx1"/>
            </w14:solidFill>
          </w14:textFill>
        </w:rPr>
      </w:pPr>
      <w:bookmarkStart w:id="230" w:name="_Toc21296"/>
      <w:bookmarkStart w:id="231" w:name="_Toc30514"/>
      <w:bookmarkStart w:id="232" w:name="_Toc7092"/>
      <w:bookmarkStart w:id="233" w:name="_Toc6713"/>
      <w:bookmarkStart w:id="234" w:name="_Toc1121"/>
      <w:r>
        <w:rPr>
          <w:rFonts w:ascii="Arial" w:hAnsi="Arial" w:cs="Arial"/>
          <w:b/>
          <w:bCs/>
          <w:color w:val="000000" w:themeColor="text1"/>
          <w:sz w:val="24"/>
          <w:highlight w:val="none"/>
          <w:lang w:eastAsia="zh-CN"/>
          <w14:textFill>
            <w14:solidFill>
              <w14:schemeClr w14:val="tx1"/>
            </w14:solidFill>
          </w14:textFill>
        </w:rPr>
        <w:t>一、我方承诺无下列相互串通</w:t>
      </w:r>
      <w:r>
        <w:rPr>
          <w:rFonts w:hint="eastAsia" w:ascii="Arial" w:hAnsi="Arial" w:cs="Arial"/>
          <w:b/>
          <w:bCs/>
          <w:color w:val="000000" w:themeColor="text1"/>
          <w:sz w:val="24"/>
          <w:highlight w:val="none"/>
          <w:lang w:eastAsia="zh-CN"/>
          <w14:textFill>
            <w14:solidFill>
              <w14:schemeClr w14:val="tx1"/>
            </w14:solidFill>
          </w14:textFill>
        </w:rPr>
        <w:t>投标</w:t>
      </w:r>
      <w:r>
        <w:rPr>
          <w:rFonts w:ascii="Arial" w:hAnsi="Arial" w:cs="Arial"/>
          <w:b/>
          <w:bCs/>
          <w:color w:val="000000" w:themeColor="text1"/>
          <w:sz w:val="24"/>
          <w:highlight w:val="none"/>
          <w:lang w:eastAsia="zh-CN"/>
          <w14:textFill>
            <w14:solidFill>
              <w14:schemeClr w14:val="tx1"/>
            </w14:solidFill>
          </w14:textFill>
        </w:rPr>
        <w:t>的情形：</w:t>
      </w:r>
      <w:bookmarkEnd w:id="230"/>
      <w:bookmarkEnd w:id="231"/>
      <w:bookmarkEnd w:id="232"/>
      <w:bookmarkEnd w:id="233"/>
      <w:bookmarkEnd w:id="234"/>
    </w:p>
    <w:p w14:paraId="538D0C19">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 xml:space="preserve">1.不同供应商的响应文件由同一单位或者个人编制； </w:t>
      </w:r>
    </w:p>
    <w:p w14:paraId="5C56785E">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2.不同供应商委托同一单位或者个人办理</w:t>
      </w:r>
      <w:r>
        <w:rPr>
          <w:rFonts w:hint="eastAsia" w:ascii="Arial" w:hAnsi="Arial" w:cs="Arial"/>
          <w:color w:val="000000" w:themeColor="text1"/>
          <w:sz w:val="24"/>
          <w:highlight w:val="none"/>
          <w:lang w:eastAsia="zh-CN"/>
          <w14:textFill>
            <w14:solidFill>
              <w14:schemeClr w14:val="tx1"/>
            </w14:solidFill>
          </w14:textFill>
        </w:rPr>
        <w:t>投标</w:t>
      </w:r>
      <w:r>
        <w:rPr>
          <w:rFonts w:ascii="Arial" w:hAnsi="Arial" w:cs="Arial"/>
          <w:color w:val="000000" w:themeColor="text1"/>
          <w:sz w:val="24"/>
          <w:highlight w:val="none"/>
          <w:lang w:eastAsia="zh-CN"/>
          <w14:textFill>
            <w14:solidFill>
              <w14:schemeClr w14:val="tx1"/>
            </w14:solidFill>
          </w14:textFill>
        </w:rPr>
        <w:t>事宜；</w:t>
      </w:r>
    </w:p>
    <w:p w14:paraId="50E91453">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3.不同供应商的响应文件载明的项目管理员为同一个人；</w:t>
      </w:r>
    </w:p>
    <w:p w14:paraId="5001F30B">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4.不</w:t>
      </w:r>
      <w:r>
        <w:rPr>
          <w:rFonts w:ascii="Arial" w:hAnsi="Arial" w:cs="Arial"/>
          <w:color w:val="000000" w:themeColor="text1"/>
          <w:spacing w:val="-6"/>
          <w:sz w:val="24"/>
          <w:highlight w:val="none"/>
          <w:lang w:eastAsia="zh-CN"/>
          <w14:textFill>
            <w14:solidFill>
              <w14:schemeClr w14:val="tx1"/>
            </w14:solidFill>
          </w14:textFill>
        </w:rPr>
        <w:t>同供应商的响应文件异常一致或者响应报价呈规律性差异；</w:t>
      </w:r>
    </w:p>
    <w:p w14:paraId="59E6CAFE">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5.不同供应商的响应文件相互混装；</w:t>
      </w:r>
    </w:p>
    <w:p w14:paraId="771ABEC1">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6.不同供应商的磋商保证金从同一单位或者个人账户转出。</w:t>
      </w:r>
    </w:p>
    <w:p w14:paraId="753A0C52">
      <w:pPr>
        <w:spacing w:line="360" w:lineRule="auto"/>
        <w:ind w:firstLine="480" w:firstLineChars="200"/>
        <w:contextualSpacing/>
        <w:outlineLvl w:val="0"/>
        <w:rPr>
          <w:rFonts w:ascii="Arial" w:hAnsi="Arial" w:cs="Arial"/>
          <w:b/>
          <w:bCs/>
          <w:color w:val="000000" w:themeColor="text1"/>
          <w:sz w:val="24"/>
          <w:highlight w:val="none"/>
          <w:lang w:eastAsia="zh-CN"/>
          <w14:textFill>
            <w14:solidFill>
              <w14:schemeClr w14:val="tx1"/>
            </w14:solidFill>
          </w14:textFill>
        </w:rPr>
      </w:pPr>
      <w:bookmarkStart w:id="235" w:name="_Toc1459"/>
      <w:bookmarkStart w:id="236" w:name="_Toc16240"/>
      <w:bookmarkStart w:id="237" w:name="_Toc18732"/>
      <w:bookmarkStart w:id="238" w:name="_Toc21794"/>
      <w:bookmarkStart w:id="239" w:name="_Toc1264"/>
      <w:r>
        <w:rPr>
          <w:rFonts w:ascii="Arial" w:hAnsi="Arial" w:cs="Arial"/>
          <w:b/>
          <w:bCs/>
          <w:color w:val="000000" w:themeColor="text1"/>
          <w:sz w:val="24"/>
          <w:highlight w:val="none"/>
          <w:lang w:eastAsia="zh-CN"/>
          <w14:textFill>
            <w14:solidFill>
              <w14:schemeClr w14:val="tx1"/>
            </w14:solidFill>
          </w14:textFill>
        </w:rPr>
        <w:t>二、我方承诺无下列恶意串通的情形：</w:t>
      </w:r>
      <w:bookmarkEnd w:id="235"/>
      <w:bookmarkEnd w:id="236"/>
      <w:bookmarkEnd w:id="237"/>
      <w:bookmarkEnd w:id="238"/>
      <w:bookmarkEnd w:id="239"/>
    </w:p>
    <w:p w14:paraId="21E528F2">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1.供应商直接或者间接从采购人或者采购代理机构处获得其他供应商的相关信息并修改其响应文件；</w:t>
      </w:r>
    </w:p>
    <w:p w14:paraId="6D365EBF">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2.供应商按照采购人或者采购代理机构的授意撤换、修改响应文件；</w:t>
      </w:r>
    </w:p>
    <w:p w14:paraId="38DB97D0">
      <w:pPr>
        <w:spacing w:line="360" w:lineRule="auto"/>
        <w:ind w:firstLine="480" w:firstLineChars="200"/>
        <w:contextualSpacing/>
        <w:outlineLvl w:val="1"/>
        <w:rPr>
          <w:rFonts w:ascii="Arial" w:hAnsi="Arial" w:cs="Arial"/>
          <w:color w:val="000000" w:themeColor="text1"/>
          <w:sz w:val="24"/>
          <w:highlight w:val="none"/>
          <w:lang w:eastAsia="zh-CN"/>
          <w14:textFill>
            <w14:solidFill>
              <w14:schemeClr w14:val="tx1"/>
            </w14:solidFill>
          </w14:textFill>
        </w:rPr>
      </w:pPr>
      <w:bookmarkStart w:id="240" w:name="_Toc26021"/>
      <w:bookmarkStart w:id="241" w:name="_Toc32289"/>
      <w:r>
        <w:rPr>
          <w:rFonts w:ascii="Arial" w:hAnsi="Arial" w:cs="Arial"/>
          <w:color w:val="000000" w:themeColor="text1"/>
          <w:sz w:val="24"/>
          <w:highlight w:val="none"/>
          <w:lang w:eastAsia="zh-CN"/>
          <w14:textFill>
            <w14:solidFill>
              <w14:schemeClr w14:val="tx1"/>
            </w14:solidFill>
          </w14:textFill>
        </w:rPr>
        <w:t>3.供</w:t>
      </w:r>
      <w:r>
        <w:rPr>
          <w:rFonts w:ascii="Arial" w:hAnsi="Arial" w:cs="Arial"/>
          <w:color w:val="000000" w:themeColor="text1"/>
          <w:spacing w:val="-6"/>
          <w:sz w:val="24"/>
          <w:highlight w:val="none"/>
          <w:lang w:eastAsia="zh-CN"/>
          <w14:textFill>
            <w14:solidFill>
              <w14:schemeClr w14:val="tx1"/>
            </w14:solidFill>
          </w14:textFill>
        </w:rPr>
        <w:t>应商之间协商报价、技术方案等响应文件的实质性内容；</w:t>
      </w:r>
      <w:bookmarkEnd w:id="240"/>
      <w:bookmarkEnd w:id="241"/>
    </w:p>
    <w:p w14:paraId="512A167B">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4.属于同一集团、协会、商会等组织成员的供应商按照该组织要求协同参加政府采购活动；</w:t>
      </w:r>
    </w:p>
    <w:p w14:paraId="23550305">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5.供应商之间事先约定一致抬高或者压低响应报价，或者在</w:t>
      </w:r>
      <w:r>
        <w:rPr>
          <w:rFonts w:hint="eastAsia" w:ascii="Arial" w:hAnsi="Arial" w:cs="Arial"/>
          <w:color w:val="000000" w:themeColor="text1"/>
          <w:sz w:val="24"/>
          <w:highlight w:val="none"/>
          <w:lang w:eastAsia="zh-CN"/>
          <w14:textFill>
            <w14:solidFill>
              <w14:schemeClr w14:val="tx1"/>
            </w14:solidFill>
          </w14:textFill>
        </w:rPr>
        <w:t>采购</w:t>
      </w:r>
      <w:r>
        <w:rPr>
          <w:rFonts w:ascii="Arial" w:hAnsi="Arial" w:cs="Arial"/>
          <w:color w:val="000000" w:themeColor="text1"/>
          <w:sz w:val="24"/>
          <w:highlight w:val="none"/>
          <w:lang w:eastAsia="zh-CN"/>
          <w14:textFill>
            <w14:solidFill>
              <w14:schemeClr w14:val="tx1"/>
            </w14:solidFill>
          </w14:textFill>
        </w:rPr>
        <w:t>项目中事先约定轮流以高价位或者低价位</w:t>
      </w:r>
      <w:r>
        <w:rPr>
          <w:rFonts w:hint="eastAsia" w:ascii="Arial" w:hAnsi="Arial" w:cs="Arial"/>
          <w:color w:val="000000" w:themeColor="text1"/>
          <w:sz w:val="24"/>
          <w:highlight w:val="none"/>
          <w:lang w:eastAsia="zh-CN"/>
          <w14:textFill>
            <w14:solidFill>
              <w14:schemeClr w14:val="tx1"/>
            </w14:solidFill>
          </w14:textFill>
        </w:rPr>
        <w:t>中标</w:t>
      </w:r>
      <w:r>
        <w:rPr>
          <w:rFonts w:ascii="Arial" w:hAnsi="Arial" w:cs="Arial"/>
          <w:color w:val="000000" w:themeColor="text1"/>
          <w:sz w:val="24"/>
          <w:highlight w:val="none"/>
          <w:lang w:eastAsia="zh-CN"/>
          <w14:textFill>
            <w14:solidFill>
              <w14:schemeClr w14:val="tx1"/>
            </w14:solidFill>
          </w14:textFill>
        </w:rPr>
        <w:t>，或者事先约定由某一特定供应商</w:t>
      </w:r>
      <w:r>
        <w:rPr>
          <w:rFonts w:hint="eastAsia" w:ascii="Arial" w:hAnsi="Arial" w:cs="Arial"/>
          <w:color w:val="000000" w:themeColor="text1"/>
          <w:sz w:val="24"/>
          <w:highlight w:val="none"/>
          <w:lang w:eastAsia="zh-CN"/>
          <w14:textFill>
            <w14:solidFill>
              <w14:schemeClr w14:val="tx1"/>
            </w14:solidFill>
          </w14:textFill>
        </w:rPr>
        <w:t>中标</w:t>
      </w:r>
      <w:r>
        <w:rPr>
          <w:rFonts w:ascii="Arial" w:hAnsi="Arial" w:cs="Arial"/>
          <w:color w:val="000000" w:themeColor="text1"/>
          <w:sz w:val="24"/>
          <w:highlight w:val="none"/>
          <w:lang w:eastAsia="zh-CN"/>
          <w14:textFill>
            <w14:solidFill>
              <w14:schemeClr w14:val="tx1"/>
            </w14:solidFill>
          </w14:textFill>
        </w:rPr>
        <w:t>，然后再参加</w:t>
      </w:r>
      <w:r>
        <w:rPr>
          <w:rFonts w:hint="eastAsia" w:ascii="Arial" w:hAnsi="Arial" w:cs="Arial"/>
          <w:color w:val="000000" w:themeColor="text1"/>
          <w:sz w:val="24"/>
          <w:highlight w:val="none"/>
          <w:lang w:eastAsia="zh-CN"/>
          <w14:textFill>
            <w14:solidFill>
              <w14:schemeClr w14:val="tx1"/>
            </w14:solidFill>
          </w14:textFill>
        </w:rPr>
        <w:t>投标</w:t>
      </w:r>
      <w:r>
        <w:rPr>
          <w:rFonts w:ascii="Arial" w:hAnsi="Arial" w:cs="Arial"/>
          <w:color w:val="000000" w:themeColor="text1"/>
          <w:sz w:val="24"/>
          <w:highlight w:val="none"/>
          <w:lang w:eastAsia="zh-CN"/>
          <w14:textFill>
            <w14:solidFill>
              <w14:schemeClr w14:val="tx1"/>
            </w14:solidFill>
          </w14:textFill>
        </w:rPr>
        <w:t>；</w:t>
      </w:r>
    </w:p>
    <w:p w14:paraId="6835C9FA">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6.供应商之间商定部分供应商放弃参加政府采购活动或者放弃</w:t>
      </w:r>
      <w:r>
        <w:rPr>
          <w:rFonts w:hint="eastAsia" w:ascii="Arial" w:hAnsi="Arial" w:cs="Arial"/>
          <w:color w:val="000000" w:themeColor="text1"/>
          <w:sz w:val="24"/>
          <w:highlight w:val="none"/>
          <w:lang w:eastAsia="zh-CN"/>
          <w14:textFill>
            <w14:solidFill>
              <w14:schemeClr w14:val="tx1"/>
            </w14:solidFill>
          </w14:textFill>
        </w:rPr>
        <w:t>中标</w:t>
      </w:r>
      <w:r>
        <w:rPr>
          <w:rFonts w:ascii="Arial" w:hAnsi="Arial" w:cs="Arial"/>
          <w:color w:val="000000" w:themeColor="text1"/>
          <w:sz w:val="24"/>
          <w:highlight w:val="none"/>
          <w:lang w:eastAsia="zh-CN"/>
          <w14:textFill>
            <w14:solidFill>
              <w14:schemeClr w14:val="tx1"/>
            </w14:solidFill>
          </w14:textFill>
        </w:rPr>
        <w:t>；</w:t>
      </w:r>
    </w:p>
    <w:p w14:paraId="4AA9C2D3">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7.供应商与采购人或者采购代理机构之间、供应商相互之间，为</w:t>
      </w:r>
      <w:r>
        <w:rPr>
          <w:rFonts w:ascii="Arial" w:hAnsi="Arial" w:cs="Arial"/>
          <w:color w:val="000000" w:themeColor="text1"/>
          <w:spacing w:val="-6"/>
          <w:sz w:val="24"/>
          <w:highlight w:val="none"/>
          <w:lang w:eastAsia="zh-CN"/>
          <w14:textFill>
            <w14:solidFill>
              <w14:schemeClr w14:val="tx1"/>
            </w14:solidFill>
          </w14:textFill>
        </w:rPr>
        <w:t>谋求特定供应商</w:t>
      </w:r>
      <w:r>
        <w:rPr>
          <w:rFonts w:hint="eastAsia" w:ascii="Arial" w:hAnsi="Arial" w:cs="Arial"/>
          <w:color w:val="000000" w:themeColor="text1"/>
          <w:spacing w:val="-6"/>
          <w:sz w:val="24"/>
          <w:highlight w:val="none"/>
          <w:lang w:eastAsia="zh-CN"/>
          <w14:textFill>
            <w14:solidFill>
              <w14:schemeClr w14:val="tx1"/>
            </w14:solidFill>
          </w14:textFill>
        </w:rPr>
        <w:t>中标</w:t>
      </w:r>
      <w:r>
        <w:rPr>
          <w:rFonts w:ascii="Arial" w:hAnsi="Arial" w:cs="Arial"/>
          <w:color w:val="000000" w:themeColor="text1"/>
          <w:spacing w:val="-6"/>
          <w:sz w:val="24"/>
          <w:highlight w:val="none"/>
          <w:lang w:eastAsia="zh-CN"/>
          <w14:textFill>
            <w14:solidFill>
              <w14:schemeClr w14:val="tx1"/>
            </w14:solidFill>
          </w14:textFill>
        </w:rPr>
        <w:t>或者排斥其他供应商的其他串通行为。</w:t>
      </w:r>
    </w:p>
    <w:p w14:paraId="62B4FB3E">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p>
    <w:p w14:paraId="2FE607BC">
      <w:pPr>
        <w:spacing w:line="360" w:lineRule="auto"/>
        <w:ind w:firstLine="480" w:firstLineChars="200"/>
        <w:contextualSpacing/>
        <w:rPr>
          <w:rFonts w:ascii="Arial" w:hAnsi="Arial" w:cs="Arial"/>
          <w:b/>
          <w:bCs/>
          <w:color w:val="000000" w:themeColor="text1"/>
          <w:sz w:val="24"/>
          <w:highlight w:val="none"/>
          <w:lang w:eastAsia="zh-CN"/>
          <w14:textFill>
            <w14:solidFill>
              <w14:schemeClr w14:val="tx1"/>
            </w14:solidFill>
          </w14:textFill>
        </w:rPr>
      </w:pPr>
      <w:r>
        <w:rPr>
          <w:rFonts w:ascii="Arial" w:hAnsi="Arial" w:cs="Arial"/>
          <w:b/>
          <w:bCs/>
          <w:color w:val="000000" w:themeColor="text1"/>
          <w:sz w:val="24"/>
          <w:highlight w:val="none"/>
          <w:lang w:eastAsia="zh-CN"/>
          <w14:textFill>
            <w14:solidFill>
              <w14:schemeClr w14:val="tx1"/>
            </w14:solidFill>
          </w14:textFill>
        </w:rPr>
        <w:t>以上情形一经核查属实，我方愿意承担一切后果，并不再寻求任何旨在减轻或者免除法律责任的辩解。</w:t>
      </w:r>
    </w:p>
    <w:p w14:paraId="53D8E833">
      <w:pPr>
        <w:rPr>
          <w:color w:val="000000" w:themeColor="text1"/>
          <w:highlight w:val="none"/>
          <w:lang w:eastAsia="zh-CN"/>
          <w14:textFill>
            <w14:solidFill>
              <w14:schemeClr w14:val="tx1"/>
            </w14:solidFill>
          </w14:textFill>
        </w:rPr>
      </w:pPr>
    </w:p>
    <w:p w14:paraId="01711E42">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393CB664">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21CDC866">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14:paraId="52D2F280">
      <w:pPr>
        <w:pStyle w:val="3"/>
        <w:spacing w:line="288" w:lineRule="auto"/>
        <w:jc w:val="center"/>
        <w:rPr>
          <w:rFonts w:eastAsia="宋体"/>
          <w:color w:val="000000" w:themeColor="text1"/>
          <w:sz w:val="24"/>
          <w:highlight w:val="none"/>
          <w:lang w:eastAsia="zh-CN"/>
          <w14:textFill>
            <w14:solidFill>
              <w14:schemeClr w14:val="tx1"/>
            </w14:solidFill>
          </w14:textFill>
        </w:rPr>
      </w:pPr>
      <w:bookmarkStart w:id="242" w:name="_Toc370414849"/>
      <w:r>
        <w:rPr>
          <w:rFonts w:hint="eastAsia" w:ascii="宋体" w:hAnsi="宋体" w:eastAsia="宋体"/>
          <w:color w:val="000000" w:themeColor="text1"/>
          <w:sz w:val="24"/>
          <w:szCs w:val="24"/>
          <w:highlight w:val="none"/>
          <w:lang w:eastAsia="zh-CN"/>
          <w14:textFill>
            <w14:solidFill>
              <w14:schemeClr w14:val="tx1"/>
            </w14:solidFill>
          </w14:textFill>
        </w:rPr>
        <w:t>法定代表人资格证明书</w:t>
      </w:r>
      <w:bookmarkEnd w:id="242"/>
      <w:r>
        <w:rPr>
          <w:rFonts w:hint="eastAsia" w:ascii="宋体" w:hAnsi="宋体" w:eastAsia="宋体"/>
          <w:color w:val="000000" w:themeColor="text1"/>
          <w:sz w:val="24"/>
          <w:szCs w:val="24"/>
          <w:highlight w:val="none"/>
          <w:lang w:eastAsia="zh-CN"/>
          <w14:textFill>
            <w14:solidFill>
              <w14:schemeClr w14:val="tx1"/>
            </w14:solidFill>
          </w14:textFill>
        </w:rPr>
        <w:t>及身份证复印件</w:t>
      </w:r>
    </w:p>
    <w:p w14:paraId="1962D583">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单位名称：</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4F4CC030">
      <w:pPr>
        <w:autoSpaceDE w:val="0"/>
        <w:autoSpaceDN w:val="0"/>
        <w:adjustRightInd w:val="0"/>
        <w:spacing w:line="400" w:lineRule="exact"/>
        <w:jc w:val="left"/>
        <w:rPr>
          <w:rFonts w:ascii="宋体" w:hAnsi="宋体"/>
          <w:color w:val="000000" w:themeColor="text1"/>
          <w:sz w:val="21"/>
          <w:szCs w:val="21"/>
          <w:highlight w:val="none"/>
          <w:u w:val="single"/>
          <w:lang w:eastAsia="zh-CN"/>
          <w14:textFill>
            <w14:solidFill>
              <w14:schemeClr w14:val="tx1"/>
            </w14:solidFill>
          </w14:textFill>
        </w:rPr>
      </w:pPr>
      <w:r>
        <w:rPr>
          <w:rFonts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单位性质：</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5922B700">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地</w:t>
      </w:r>
      <w:r>
        <w:rPr>
          <w:rFonts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址：</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7DF8E5A9">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成立时间：</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7199A476">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经营期限：</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3AD94DE5">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姓</w:t>
      </w:r>
      <w:r>
        <w:rPr>
          <w:rFonts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名：</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性别：</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 xml:space="preserve"> 年龄：</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 xml:space="preserve"> 职务：</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503AFFA6">
      <w:pPr>
        <w:autoSpaceDE w:val="0"/>
        <w:autoSpaceDN w:val="0"/>
        <w:adjustRightInd w:val="0"/>
        <w:spacing w:line="400" w:lineRule="exact"/>
        <w:ind w:firstLine="420" w:firstLineChars="200"/>
        <w:jc w:val="left"/>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身份证号码：</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14:paraId="1A967E82">
      <w:pPr>
        <w:autoSpaceDE w:val="0"/>
        <w:autoSpaceDN w:val="0"/>
        <w:adjustRightInd w:val="0"/>
        <w:spacing w:line="400" w:lineRule="exact"/>
        <w:ind w:firstLine="420" w:firstLineChars="200"/>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系</w:t>
      </w:r>
      <w:r>
        <w:rPr>
          <w:rFonts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的法定代表人。</w:t>
      </w:r>
    </w:p>
    <w:p w14:paraId="7AB89EA5">
      <w:pPr>
        <w:autoSpaceDE w:val="0"/>
        <w:autoSpaceDN w:val="0"/>
        <w:adjustRightInd w:val="0"/>
        <w:spacing w:line="400" w:lineRule="exact"/>
        <w:rPr>
          <w:rFonts w:ascii="宋体" w:hAnsi="宋体"/>
          <w:color w:val="000000" w:themeColor="text1"/>
          <w:sz w:val="21"/>
          <w:szCs w:val="21"/>
          <w:highlight w:val="none"/>
          <w:lang w:eastAsia="zh-CN"/>
          <w14:textFill>
            <w14:solidFill>
              <w14:schemeClr w14:val="tx1"/>
            </w14:solidFill>
          </w14:textFill>
        </w:rPr>
      </w:pPr>
      <w:r>
        <w:rPr>
          <w:rFonts w:ascii="宋体" w:hAnsi="宋体"/>
          <w:color w:val="000000" w:themeColor="text1"/>
          <w:sz w:val="21"/>
          <w:szCs w:val="21"/>
          <w:highlight w:val="none"/>
          <w:lang w:eastAsia="zh-CN"/>
          <w14:textFill>
            <w14:solidFill>
              <w14:schemeClr w14:val="tx1"/>
            </w14:solidFill>
          </w14:textFill>
        </w:rPr>
        <w:t xml:space="preserve">    </w:t>
      </w:r>
    </w:p>
    <w:p w14:paraId="4F072157">
      <w:pPr>
        <w:autoSpaceDE w:val="0"/>
        <w:autoSpaceDN w:val="0"/>
        <w:adjustRightInd w:val="0"/>
        <w:spacing w:line="400" w:lineRule="exact"/>
        <w:ind w:right="-660" w:rightChars="-330" w:firstLine="420" w:firstLineChars="200"/>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特此证明。</w:t>
      </w:r>
    </w:p>
    <w:p w14:paraId="1CAC6791">
      <w:pPr>
        <w:autoSpaceDE w:val="0"/>
        <w:autoSpaceDN w:val="0"/>
        <w:adjustRightInd w:val="0"/>
        <w:spacing w:line="400" w:lineRule="exact"/>
        <w:jc w:val="left"/>
        <w:rPr>
          <w:rFonts w:ascii="宋体" w:hAnsi="宋体"/>
          <w:color w:val="000000" w:themeColor="text1"/>
          <w:sz w:val="21"/>
          <w:szCs w:val="21"/>
          <w:highlight w:val="none"/>
          <w:lang w:eastAsia="zh-CN"/>
          <w14:textFill>
            <w14:solidFill>
              <w14:schemeClr w14:val="tx1"/>
            </w14:solidFill>
          </w14:textFill>
        </w:rPr>
      </w:pPr>
    </w:p>
    <w:p w14:paraId="5E2F8612">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40874248">
      <w:pPr>
        <w:autoSpaceDE w:val="0"/>
        <w:autoSpaceDN w:val="0"/>
        <w:spacing w:line="360" w:lineRule="auto"/>
        <w:ind w:firstLine="6120" w:firstLineChars="255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14:textFill>
            <w14:solidFill>
              <w14:schemeClr w14:val="tx1"/>
            </w14:solidFill>
          </w14:textFill>
        </w:rPr>
        <w:t>年  月   日</w:t>
      </w:r>
      <w:r>
        <w:rPr>
          <w:rFonts w:hint="eastAsia" w:ascii="宋体" w:hAnsi="宋体"/>
          <w:color w:val="000000" w:themeColor="text1"/>
          <w:sz w:val="24"/>
          <w:szCs w:val="28"/>
          <w:highlight w:val="none"/>
          <w14:textFill>
            <w14:solidFill>
              <w14:schemeClr w14:val="tx1"/>
            </w14:solidFill>
          </w14:textFill>
        </w:rPr>
        <w:t xml:space="preserve">     </w:t>
      </w:r>
    </w:p>
    <w:p w14:paraId="55403EF6">
      <w:pPr>
        <w:pStyle w:val="55"/>
        <w:rPr>
          <w:color w:val="000000" w:themeColor="text1"/>
          <w:highlight w:val="none"/>
          <w:lang w:eastAsia="zh-CN"/>
          <w14:textFill>
            <w14:solidFill>
              <w14:schemeClr w14:val="tx1"/>
            </w14:solidFill>
          </w14:textFill>
        </w:rPr>
      </w:pPr>
    </w:p>
    <w:tbl>
      <w:tblPr>
        <w:tblStyle w:val="3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4E13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atLeast"/>
          <w:jc w:val="center"/>
        </w:trPr>
        <w:tc>
          <w:tcPr>
            <w:tcW w:w="8720" w:type="dxa"/>
          </w:tcPr>
          <w:p w14:paraId="72F585DF">
            <w:pPr>
              <w:pStyle w:val="55"/>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贴附“法定代表人身份证复印件”</w:t>
            </w:r>
          </w:p>
        </w:tc>
      </w:tr>
    </w:tbl>
    <w:p w14:paraId="7200DD85">
      <w:pPr>
        <w:snapToGrid w:val="0"/>
        <w:spacing w:line="360" w:lineRule="exact"/>
        <w:jc w:val="left"/>
        <w:rPr>
          <w:rFonts w:ascii="宋体" w:hAnsi="宋体" w:eastAsia="宋体"/>
          <w:b/>
          <w:bCs/>
          <w:color w:val="000000" w:themeColor="text1"/>
          <w:sz w:val="24"/>
          <w:szCs w:val="24"/>
          <w:highlight w:val="none"/>
          <w:lang w:eastAsia="zh-CN"/>
          <w14:textFill>
            <w14:solidFill>
              <w14:schemeClr w14:val="tx1"/>
            </w14:solidFill>
          </w14:textFill>
        </w:rPr>
      </w:pPr>
    </w:p>
    <w:p w14:paraId="2CE314ED">
      <w:pPr>
        <w:snapToGrid w:val="0"/>
        <w:spacing w:line="360" w:lineRule="exact"/>
        <w:ind w:firstLine="3855" w:firstLineChars="1600"/>
        <w:jc w:val="left"/>
        <w:rPr>
          <w:rFonts w:ascii="宋体" w:hAnsi="宋体" w:eastAsia="宋体"/>
          <w:b/>
          <w:bCs/>
          <w:color w:val="000000" w:themeColor="text1"/>
          <w:sz w:val="24"/>
          <w:szCs w:val="24"/>
          <w:highlight w:val="none"/>
          <w:lang w:eastAsia="zh-CN"/>
          <w14:textFill>
            <w14:solidFill>
              <w14:schemeClr w14:val="tx1"/>
            </w14:solidFill>
          </w14:textFill>
        </w:rPr>
      </w:pPr>
    </w:p>
    <w:p w14:paraId="008026C9">
      <w:pPr>
        <w:pStyle w:val="27"/>
        <w:rPr>
          <w:rFonts w:ascii="宋体" w:hAnsi="宋体" w:eastAsia="宋体"/>
          <w:b/>
          <w:bCs/>
          <w:color w:val="000000" w:themeColor="text1"/>
          <w:highlight w:val="none"/>
          <w:lang w:eastAsia="zh-CN"/>
          <w14:textFill>
            <w14:solidFill>
              <w14:schemeClr w14:val="tx1"/>
            </w14:solidFill>
          </w14:textFill>
        </w:rPr>
      </w:pPr>
    </w:p>
    <w:p w14:paraId="1655ED42">
      <w:pPr>
        <w:rPr>
          <w:color w:val="000000" w:themeColor="text1"/>
          <w:highlight w:val="none"/>
          <w:lang w:eastAsia="zh-CN"/>
          <w14:textFill>
            <w14:solidFill>
              <w14:schemeClr w14:val="tx1"/>
            </w14:solidFill>
          </w14:textFill>
        </w:rPr>
      </w:pPr>
    </w:p>
    <w:p w14:paraId="617BE7BC">
      <w:pPr>
        <w:snapToGrid w:val="0"/>
        <w:spacing w:line="360" w:lineRule="exact"/>
        <w:ind w:firstLine="3855" w:firstLineChars="1600"/>
        <w:jc w:val="left"/>
        <w:rPr>
          <w:rFonts w:ascii="宋体" w:hAnsi="宋体" w:eastAsia="宋体"/>
          <w:b/>
          <w:bCs/>
          <w:color w:val="000000" w:themeColor="text1"/>
          <w:sz w:val="24"/>
          <w:szCs w:val="24"/>
          <w:highlight w:val="none"/>
          <w:lang w:eastAsia="zh-CN"/>
          <w14:textFill>
            <w14:solidFill>
              <w14:schemeClr w14:val="tx1"/>
            </w14:solidFill>
          </w14:textFill>
        </w:rPr>
      </w:pPr>
    </w:p>
    <w:p w14:paraId="47B190B3">
      <w:pPr>
        <w:snapToGrid w:val="0"/>
        <w:spacing w:line="360" w:lineRule="exact"/>
        <w:jc w:val="left"/>
        <w:rPr>
          <w:rFonts w:ascii="宋体" w:hAnsi="宋体" w:eastAsia="宋体"/>
          <w:b/>
          <w:bCs/>
          <w:color w:val="000000" w:themeColor="text1"/>
          <w:sz w:val="24"/>
          <w:szCs w:val="24"/>
          <w:highlight w:val="none"/>
          <w:lang w:eastAsia="zh-CN"/>
          <w14:textFill>
            <w14:solidFill>
              <w14:schemeClr w14:val="tx1"/>
            </w14:solidFill>
          </w14:textFill>
        </w:rPr>
      </w:pPr>
    </w:p>
    <w:p w14:paraId="7E309592">
      <w:pPr>
        <w:snapToGrid w:val="0"/>
        <w:spacing w:line="360" w:lineRule="exact"/>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法定代表人授权委托书和委托代理人身份证复印件</w:t>
      </w:r>
    </w:p>
    <w:p w14:paraId="219B642D">
      <w:pPr>
        <w:snapToGrid w:val="0"/>
        <w:spacing w:line="360" w:lineRule="exact"/>
        <w:rPr>
          <w:rFonts w:ascii="宋体" w:hAnsi="宋体" w:eastAsia="宋体"/>
          <w:bCs/>
          <w:color w:val="000000" w:themeColor="text1"/>
          <w:sz w:val="21"/>
          <w:szCs w:val="21"/>
          <w:highlight w:val="none"/>
          <w:lang w:eastAsia="zh-CN"/>
          <w14:textFill>
            <w14:solidFill>
              <w14:schemeClr w14:val="tx1"/>
            </w14:solidFill>
          </w14:textFill>
        </w:rPr>
      </w:pPr>
    </w:p>
    <w:p w14:paraId="6D57D7B4">
      <w:pPr>
        <w:snapToGrid w:val="0"/>
        <w:spacing w:line="360" w:lineRule="exac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致：</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u w:val="single"/>
          <w:lang w:eastAsia="zh-CN"/>
          <w14:textFill>
            <w14:solidFill>
              <w14:schemeClr w14:val="tx1"/>
            </w14:solidFill>
          </w14:textFill>
        </w:rPr>
        <w:t>（采购代理机构名称）</w:t>
      </w:r>
      <w:r>
        <w:rPr>
          <w:rFonts w:hint="eastAsia" w:ascii="宋体" w:hAnsi="宋体" w:eastAsia="宋体"/>
          <w:color w:val="000000" w:themeColor="text1"/>
          <w:sz w:val="21"/>
          <w:szCs w:val="21"/>
          <w:highlight w:val="none"/>
          <w:lang w:eastAsia="zh-CN"/>
          <w14:textFill>
            <w14:solidFill>
              <w14:schemeClr w14:val="tx1"/>
            </w14:solidFill>
          </w14:textFill>
        </w:rPr>
        <w:t>：</w:t>
      </w:r>
    </w:p>
    <w:p w14:paraId="22614B55">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（姓名）系</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（投标人名称）的法定代表人，现授权委托本单位在职职工 </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（姓名）以我方的名义参加</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（项目名称、项目编号、分标号）的投标活动，并代表我方全权办理针对上述项目的投标、开标、评标、签约等具体事务和签署相关文件。</w:t>
      </w:r>
    </w:p>
    <w:p w14:paraId="738953DE">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我方对被授权人的签名事项负全部责任。</w:t>
      </w:r>
    </w:p>
    <w:p w14:paraId="5811B7E0">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在撤销授权的书面通知以前，本授权书一直有效。被授权人在授权书有效期内签署的所有文件不因授权的撤销而失效。</w:t>
      </w:r>
    </w:p>
    <w:p w14:paraId="69BCD440">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被授权人无转委托权，特此委托。</w:t>
      </w:r>
    </w:p>
    <w:p w14:paraId="7601DF7E">
      <w:pPr>
        <w:snapToGrid w:val="0"/>
        <w:spacing w:line="360" w:lineRule="exact"/>
        <w:ind w:firstLine="420"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被授权人签名：</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法定代表人签名：</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14:paraId="61F02CAA">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所在部门职务：</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职务：</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14:paraId="4A651E9F">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被授权人身份证号码：</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5226B43C">
      <w:pPr>
        <w:snapToGrid w:val="0"/>
        <w:spacing w:line="360" w:lineRule="exact"/>
        <w:ind w:firstLine="420" w:firstLineChars="200"/>
        <w:rPr>
          <w:rFonts w:ascii="宋体" w:hAnsi="宋体" w:eastAsia="宋体"/>
          <w:color w:val="000000" w:themeColor="text1"/>
          <w:sz w:val="21"/>
          <w:szCs w:val="21"/>
          <w:highlight w:val="none"/>
          <w:u w:val="singl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联系电话：</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手机号： </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14:paraId="04225638">
      <w:pPr>
        <w:snapToGrid w:val="0"/>
        <w:spacing w:line="360" w:lineRule="exac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w:t>
      </w:r>
    </w:p>
    <w:p w14:paraId="33F1D70A">
      <w:pPr>
        <w:pStyle w:val="55"/>
        <w:rPr>
          <w:rFonts w:ascii="宋体" w:hAnsi="宋体" w:eastAsia="宋体"/>
          <w:color w:val="000000" w:themeColor="text1"/>
          <w:sz w:val="21"/>
          <w:szCs w:val="21"/>
          <w:highlight w:val="none"/>
          <w14:textFill>
            <w14:solidFill>
              <w14:schemeClr w14:val="tx1"/>
            </w14:solidFill>
          </w14:textFill>
        </w:rPr>
      </w:pPr>
    </w:p>
    <w:tbl>
      <w:tblPr>
        <w:tblStyle w:val="3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5760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8720" w:type="dxa"/>
          </w:tcPr>
          <w:p w14:paraId="0ACF6737">
            <w:pPr>
              <w:pStyle w:val="55"/>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贴附“委托代理人身份证复印件”</w:t>
            </w:r>
          </w:p>
        </w:tc>
      </w:tr>
    </w:tbl>
    <w:p w14:paraId="1082A382">
      <w:pPr>
        <w:pStyle w:val="55"/>
        <w:jc w:val="center"/>
        <w:rPr>
          <w:rFonts w:ascii="宋体" w:hAnsi="宋体" w:eastAsia="宋体"/>
          <w:color w:val="000000" w:themeColor="text1"/>
          <w:sz w:val="21"/>
          <w:szCs w:val="21"/>
          <w:highlight w:val="none"/>
          <w:lang w:eastAsia="zh-CN"/>
          <w14:textFill>
            <w14:solidFill>
              <w14:schemeClr w14:val="tx1"/>
            </w14:solidFill>
          </w14:textFill>
        </w:rPr>
      </w:pPr>
    </w:p>
    <w:p w14:paraId="22ACA8DD">
      <w:pPr>
        <w:snapToGrid w:val="0"/>
        <w:spacing w:line="360" w:lineRule="exact"/>
        <w:ind w:firstLine="4620" w:firstLineChars="2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14:paraId="0497CF65">
      <w:pPr>
        <w:snapToGrid w:val="0"/>
        <w:spacing w:line="360" w:lineRule="exact"/>
        <w:rPr>
          <w:rFonts w:ascii="宋体" w:hAnsi="宋体" w:eastAsia="宋体"/>
          <w:color w:val="000000" w:themeColor="text1"/>
          <w:sz w:val="21"/>
          <w:szCs w:val="21"/>
          <w:highlight w:val="none"/>
          <w:lang w:eastAsia="zh-CN"/>
          <w14:textFill>
            <w14:solidFill>
              <w14:schemeClr w14:val="tx1"/>
            </w14:solidFill>
          </w14:textFill>
        </w:rPr>
      </w:pPr>
    </w:p>
    <w:p w14:paraId="11FE89D6">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7CA49FE8">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4BE8A185">
      <w:pPr>
        <w:pStyle w:val="55"/>
        <w:spacing w:line="360" w:lineRule="exact"/>
        <w:rPr>
          <w:rFonts w:ascii="宋体" w:hAnsi="宋体" w:eastAsia="宋体"/>
          <w:color w:val="000000" w:themeColor="text1"/>
          <w:sz w:val="21"/>
          <w:szCs w:val="21"/>
          <w:highlight w:val="none"/>
          <w:lang w:eastAsia="zh-CN"/>
          <w14:textFill>
            <w14:solidFill>
              <w14:schemeClr w14:val="tx1"/>
            </w14:solidFill>
          </w14:textFill>
        </w:rPr>
      </w:pPr>
    </w:p>
    <w:p w14:paraId="33302189">
      <w:pPr>
        <w:pStyle w:val="55"/>
        <w:rPr>
          <w:rFonts w:ascii="宋体" w:hAnsi="宋体" w:eastAsia="宋体"/>
          <w:color w:val="000000" w:themeColor="text1"/>
          <w:sz w:val="21"/>
          <w:szCs w:val="21"/>
          <w:highlight w:val="none"/>
          <w:lang w:eastAsia="zh-CN"/>
          <w14:textFill>
            <w14:solidFill>
              <w14:schemeClr w14:val="tx1"/>
            </w14:solidFill>
          </w14:textFill>
        </w:rPr>
      </w:pPr>
    </w:p>
    <w:p w14:paraId="100D4E43">
      <w:pPr>
        <w:pStyle w:val="55"/>
        <w:rPr>
          <w:rFonts w:ascii="宋体" w:hAnsi="宋体" w:eastAsia="宋体"/>
          <w:color w:val="000000" w:themeColor="text1"/>
          <w:sz w:val="21"/>
          <w:szCs w:val="21"/>
          <w:highlight w:val="none"/>
          <w:lang w:eastAsia="zh-CN"/>
          <w14:textFill>
            <w14:solidFill>
              <w14:schemeClr w14:val="tx1"/>
            </w14:solidFill>
          </w14:textFill>
        </w:rPr>
      </w:pPr>
    </w:p>
    <w:p w14:paraId="7972B46F">
      <w:pPr>
        <w:pStyle w:val="55"/>
        <w:rPr>
          <w:rFonts w:ascii="宋体" w:hAnsi="宋体" w:eastAsia="宋体"/>
          <w:color w:val="000000" w:themeColor="text1"/>
          <w:sz w:val="21"/>
          <w:szCs w:val="21"/>
          <w:highlight w:val="none"/>
          <w:lang w:eastAsia="zh-CN"/>
          <w14:textFill>
            <w14:solidFill>
              <w14:schemeClr w14:val="tx1"/>
            </w14:solidFill>
          </w14:textFill>
        </w:rPr>
      </w:pPr>
    </w:p>
    <w:p w14:paraId="3E6F5611">
      <w:pPr>
        <w:keepNext/>
        <w:snapToGrid w:val="0"/>
        <w:spacing w:line="360" w:lineRule="exact"/>
        <w:rPr>
          <w:rFonts w:ascii="宋体" w:hAnsi="宋体" w:eastAsia="宋体"/>
          <w:b/>
          <w:bCs/>
          <w:color w:val="000000" w:themeColor="text1"/>
          <w:sz w:val="24"/>
          <w:szCs w:val="24"/>
          <w:highlight w:val="none"/>
          <w:lang w:eastAsia="zh-CN"/>
          <w14:textFill>
            <w14:solidFill>
              <w14:schemeClr w14:val="tx1"/>
            </w14:solidFill>
          </w14:textFill>
        </w:rPr>
      </w:pPr>
    </w:p>
    <w:p w14:paraId="4AEEAE62">
      <w:pPr>
        <w:keepNext/>
        <w:snapToGrid w:val="0"/>
        <w:spacing w:line="360" w:lineRule="exact"/>
        <w:rPr>
          <w:rFonts w:ascii="宋体" w:hAnsi="宋体" w:eastAsia="宋体"/>
          <w:b/>
          <w:bCs/>
          <w:color w:val="000000" w:themeColor="text1"/>
          <w:sz w:val="24"/>
          <w:szCs w:val="24"/>
          <w:highlight w:val="none"/>
          <w:lang w:eastAsia="zh-CN"/>
          <w14:textFill>
            <w14:solidFill>
              <w14:schemeClr w14:val="tx1"/>
            </w14:solidFill>
          </w14:textFill>
        </w:rPr>
      </w:pPr>
    </w:p>
    <w:p w14:paraId="789C8643">
      <w:pPr>
        <w:pStyle w:val="55"/>
        <w:rPr>
          <w:color w:val="000000" w:themeColor="text1"/>
          <w:highlight w:val="none"/>
          <w:lang w:eastAsia="zh-CN"/>
          <w14:textFill>
            <w14:solidFill>
              <w14:schemeClr w14:val="tx1"/>
            </w14:solidFill>
          </w14:textFill>
        </w:rPr>
      </w:pPr>
    </w:p>
    <w:p w14:paraId="5ABC481C">
      <w:pPr>
        <w:pStyle w:val="55"/>
        <w:rPr>
          <w:rFonts w:ascii="宋体" w:hAnsi="宋体" w:eastAsia="宋体"/>
          <w:b/>
          <w:color w:val="000000" w:themeColor="text1"/>
          <w:sz w:val="21"/>
          <w:szCs w:val="21"/>
          <w:highlight w:val="none"/>
          <w:lang w:eastAsia="zh-CN"/>
          <w14:textFill>
            <w14:solidFill>
              <w14:schemeClr w14:val="tx1"/>
            </w14:solidFill>
          </w14:textFill>
        </w:rPr>
      </w:pPr>
    </w:p>
    <w:p w14:paraId="6007F880">
      <w:pPr>
        <w:adjustRightInd w:val="0"/>
        <w:snapToGrid w:val="0"/>
        <w:spacing w:line="340" w:lineRule="exact"/>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商务响应表</w:t>
      </w:r>
    </w:p>
    <w:p w14:paraId="290B3363">
      <w:pPr>
        <w:pStyle w:val="55"/>
        <w:rPr>
          <w:color w:val="000000" w:themeColor="text1"/>
          <w:highlight w:val="none"/>
          <w:lang w:eastAsia="zh-CN"/>
          <w14:textFill>
            <w14:solidFill>
              <w14:schemeClr w14:val="tx1"/>
            </w14:solidFill>
          </w14:textFill>
        </w:rPr>
      </w:pPr>
    </w:p>
    <w:tbl>
      <w:tblPr>
        <w:tblStyle w:val="38"/>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931"/>
      </w:tblGrid>
      <w:tr w14:paraId="5F708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tcPr>
          <w:p w14:paraId="2D9CC971">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w:t>
            </w:r>
          </w:p>
        </w:tc>
        <w:tc>
          <w:tcPr>
            <w:tcW w:w="3600" w:type="dxa"/>
            <w:tcBorders>
              <w:top w:val="single" w:color="auto" w:sz="4" w:space="0"/>
              <w:left w:val="single" w:color="auto" w:sz="4" w:space="0"/>
              <w:bottom w:val="single" w:color="auto" w:sz="4" w:space="0"/>
              <w:right w:val="single" w:color="auto" w:sz="4" w:space="0"/>
            </w:tcBorders>
          </w:tcPr>
          <w:p w14:paraId="5FE46DD2">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招标文件要求</w:t>
            </w:r>
          </w:p>
        </w:tc>
        <w:tc>
          <w:tcPr>
            <w:tcW w:w="1440" w:type="dxa"/>
            <w:tcBorders>
              <w:top w:val="single" w:color="auto" w:sz="4" w:space="0"/>
              <w:left w:val="single" w:color="auto" w:sz="4" w:space="0"/>
              <w:bottom w:val="single" w:color="auto" w:sz="4" w:space="0"/>
              <w:right w:val="single" w:color="auto" w:sz="4" w:space="0"/>
            </w:tcBorders>
          </w:tcPr>
          <w:p w14:paraId="5227A0ED">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是否响应</w:t>
            </w:r>
          </w:p>
        </w:tc>
        <w:tc>
          <w:tcPr>
            <w:tcW w:w="2931" w:type="dxa"/>
            <w:tcBorders>
              <w:top w:val="single" w:color="auto" w:sz="4" w:space="0"/>
              <w:left w:val="single" w:color="auto" w:sz="4" w:space="0"/>
              <w:bottom w:val="single" w:color="auto" w:sz="4" w:space="0"/>
              <w:right w:val="single" w:color="auto" w:sz="4" w:space="0"/>
            </w:tcBorders>
          </w:tcPr>
          <w:p w14:paraId="38EA48F4">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投标人的承诺或说明</w:t>
            </w:r>
          </w:p>
        </w:tc>
      </w:tr>
      <w:tr w14:paraId="7C30A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tcPr>
          <w:p w14:paraId="5ACF81A8">
            <w:pPr>
              <w:snapToGrid w:val="0"/>
              <w:spacing w:before="120" w:beforeLines="50" w:line="2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（一）声明</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top"/>
          </w:tcPr>
          <w:p w14:paraId="344FCB9E">
            <w:pPr>
              <w:spacing w:line="340" w:lineRule="exact"/>
              <w:rPr>
                <w:rFonts w:hint="default" w:ascii="宋体" w:hAnsi="宋体" w:eastAsia="宋体" w:cs="宋体"/>
                <w:color w:val="000000" w:themeColor="text1"/>
                <w:szCs w:val="21"/>
                <w:highlight w:val="none"/>
                <w:lang w:val="en-US" w:eastAsia="zh-CN" w:bidi="ar-SA"/>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832EF70">
            <w:pPr>
              <w:spacing w:line="340" w:lineRule="exact"/>
              <w:rPr>
                <w:rFonts w:hint="eastAsia" w:ascii="宋体" w:hAnsi="宋体" w:eastAsia="宋体" w:cs="宋体"/>
                <w:color w:val="000000" w:themeColor="text1"/>
                <w:szCs w:val="21"/>
                <w:highlight w:val="none"/>
                <w:lang w:val="en-US" w:eastAsia="en-US" w:bidi="ar-SA"/>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14:paraId="21A222DA">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r>
      <w:tr w14:paraId="59D04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548" w:type="dxa"/>
            <w:tcBorders>
              <w:top w:val="single" w:color="auto" w:sz="4" w:space="0"/>
              <w:left w:val="single" w:color="auto" w:sz="4" w:space="0"/>
              <w:bottom w:val="single" w:color="auto" w:sz="4" w:space="0"/>
              <w:right w:val="single" w:color="auto" w:sz="4" w:space="0"/>
            </w:tcBorders>
          </w:tcPr>
          <w:p w14:paraId="4777E8FB">
            <w:pPr>
              <w:snapToGrid w:val="0"/>
              <w:spacing w:before="120" w:beforeLines="50" w:line="2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（二）合同签订期</w:t>
            </w:r>
          </w:p>
        </w:tc>
        <w:tc>
          <w:tcPr>
            <w:tcW w:w="3600" w:type="dxa"/>
            <w:tcBorders>
              <w:top w:val="single" w:color="auto" w:sz="4" w:space="0"/>
              <w:left w:val="single" w:color="auto" w:sz="4" w:space="0"/>
              <w:bottom w:val="single" w:color="auto" w:sz="4" w:space="0"/>
              <w:right w:val="single" w:color="auto" w:sz="4" w:space="0"/>
            </w:tcBorders>
          </w:tcPr>
          <w:p w14:paraId="7A572139">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8DA281C">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14:paraId="19E332A6">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r>
      <w:tr w14:paraId="14102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548" w:type="dxa"/>
            <w:tcBorders>
              <w:top w:val="single" w:color="auto" w:sz="4" w:space="0"/>
              <w:left w:val="single" w:color="auto" w:sz="4" w:space="0"/>
              <w:bottom w:val="single" w:color="auto" w:sz="4" w:space="0"/>
              <w:right w:val="single" w:color="auto" w:sz="4" w:space="0"/>
            </w:tcBorders>
          </w:tcPr>
          <w:p w14:paraId="1897ADF1">
            <w:pPr>
              <w:snapToGrid w:val="0"/>
              <w:spacing w:before="120" w:beforeLines="50" w:line="2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质保期</w:t>
            </w:r>
          </w:p>
        </w:tc>
        <w:tc>
          <w:tcPr>
            <w:tcW w:w="3600" w:type="dxa"/>
            <w:tcBorders>
              <w:top w:val="single" w:color="auto" w:sz="4" w:space="0"/>
              <w:left w:val="single" w:color="auto" w:sz="4" w:space="0"/>
              <w:bottom w:val="single" w:color="auto" w:sz="4" w:space="0"/>
              <w:right w:val="single" w:color="auto" w:sz="4" w:space="0"/>
            </w:tcBorders>
          </w:tcPr>
          <w:p w14:paraId="34062AAD">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9866EBD">
            <w:pPr>
              <w:snapToGrid w:val="0"/>
              <w:spacing w:before="120" w:beforeLines="50" w:line="360" w:lineRule="exact"/>
              <w:ind w:left="43"/>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14:paraId="156DFDBE">
            <w:pPr>
              <w:snapToGrid w:val="0"/>
              <w:spacing w:before="120" w:beforeLines="50" w:line="360" w:lineRule="exact"/>
              <w:ind w:left="43"/>
              <w:rPr>
                <w:rFonts w:ascii="宋体" w:hAnsi="宋体" w:eastAsia="宋体"/>
                <w:color w:val="000000" w:themeColor="text1"/>
                <w:sz w:val="21"/>
                <w:szCs w:val="21"/>
                <w:highlight w:val="none"/>
                <w14:textFill>
                  <w14:solidFill>
                    <w14:schemeClr w14:val="tx1"/>
                  </w14:solidFill>
                </w14:textFill>
              </w:rPr>
            </w:pPr>
          </w:p>
        </w:tc>
      </w:tr>
      <w:tr w14:paraId="40E38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548" w:type="dxa"/>
            <w:tcBorders>
              <w:top w:val="single" w:color="auto" w:sz="4" w:space="0"/>
              <w:left w:val="single" w:color="auto" w:sz="4" w:space="0"/>
              <w:bottom w:val="single" w:color="auto" w:sz="4" w:space="0"/>
              <w:right w:val="single" w:color="auto" w:sz="4" w:space="0"/>
            </w:tcBorders>
          </w:tcPr>
          <w:p w14:paraId="64DB1918">
            <w:pPr>
              <w:snapToGrid w:val="0"/>
              <w:spacing w:before="120" w:beforeLines="50" w:line="2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tcPr>
          <w:p w14:paraId="55F578DF">
            <w:pPr>
              <w:snapToGrid w:val="0"/>
              <w:spacing w:before="120" w:beforeLines="50" w:line="360" w:lineRule="exact"/>
              <w:ind w:left="105" w:hanging="105" w:hangingChars="50"/>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2B2FB72">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14:paraId="3B2A6516">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r>
    </w:tbl>
    <w:p w14:paraId="257E5A3A">
      <w:pPr>
        <w:snapToGrid w:val="0"/>
        <w:spacing w:before="120" w:beforeLines="50" w:after="120" w:afterLines="50" w:line="36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说明：按照“第三章 货物需求一览表 商务要求”部分逐一填写。</w:t>
      </w:r>
    </w:p>
    <w:p w14:paraId="167AC17D">
      <w:pPr>
        <w:snapToGrid w:val="0"/>
        <w:spacing w:before="120" w:beforeLines="50" w:after="120" w:afterLines="50" w:line="360" w:lineRule="exact"/>
        <w:rPr>
          <w:rFonts w:ascii="宋体" w:hAnsi="宋体" w:eastAsia="宋体"/>
          <w:color w:val="000000" w:themeColor="text1"/>
          <w:sz w:val="21"/>
          <w:szCs w:val="21"/>
          <w:highlight w:val="none"/>
          <w:lang w:eastAsia="zh-CN"/>
          <w14:textFill>
            <w14:solidFill>
              <w14:schemeClr w14:val="tx1"/>
            </w14:solidFill>
          </w14:textFill>
        </w:rPr>
      </w:pPr>
    </w:p>
    <w:p w14:paraId="7056DFA0">
      <w:pPr>
        <w:pStyle w:val="27"/>
        <w:rPr>
          <w:color w:val="000000" w:themeColor="text1"/>
          <w:highlight w:val="none"/>
          <w:lang w:eastAsia="zh-CN"/>
          <w14:textFill>
            <w14:solidFill>
              <w14:schemeClr w14:val="tx1"/>
            </w14:solidFill>
          </w14:textFill>
        </w:rPr>
      </w:pPr>
    </w:p>
    <w:p w14:paraId="19A3DC56">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32D4B3AA">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02A99223">
      <w:pPr>
        <w:wordWrap w:val="0"/>
        <w:topLinePunct/>
        <w:adjustRightInd w:val="0"/>
        <w:snapToGrid w:val="0"/>
        <w:spacing w:line="40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p>
    <w:p w14:paraId="537DBF02">
      <w:pPr>
        <w:pStyle w:val="55"/>
        <w:rPr>
          <w:rFonts w:ascii="宋体" w:hAnsi="宋体" w:eastAsia="宋体"/>
          <w:b/>
          <w:color w:val="000000" w:themeColor="text1"/>
          <w:sz w:val="21"/>
          <w:szCs w:val="21"/>
          <w:highlight w:val="none"/>
          <w:lang w:eastAsia="zh-CN"/>
          <w14:textFill>
            <w14:solidFill>
              <w14:schemeClr w14:val="tx1"/>
            </w14:solidFill>
          </w14:textFill>
        </w:rPr>
      </w:pPr>
    </w:p>
    <w:p w14:paraId="31567E73">
      <w:pPr>
        <w:pStyle w:val="55"/>
        <w:rPr>
          <w:rFonts w:ascii="宋体" w:hAnsi="宋体" w:eastAsia="宋体"/>
          <w:b/>
          <w:color w:val="000000" w:themeColor="text1"/>
          <w:sz w:val="21"/>
          <w:szCs w:val="21"/>
          <w:highlight w:val="none"/>
          <w:lang w:eastAsia="zh-CN"/>
          <w14:textFill>
            <w14:solidFill>
              <w14:schemeClr w14:val="tx1"/>
            </w14:solidFill>
          </w14:textFill>
        </w:rPr>
      </w:pPr>
    </w:p>
    <w:p w14:paraId="7F211BB8">
      <w:pPr>
        <w:pStyle w:val="55"/>
        <w:rPr>
          <w:rFonts w:ascii="宋体" w:hAnsi="宋体" w:eastAsia="宋体"/>
          <w:b/>
          <w:color w:val="000000" w:themeColor="text1"/>
          <w:sz w:val="21"/>
          <w:szCs w:val="21"/>
          <w:highlight w:val="none"/>
          <w:lang w:eastAsia="zh-CN"/>
          <w14:textFill>
            <w14:solidFill>
              <w14:schemeClr w14:val="tx1"/>
            </w14:solidFill>
          </w14:textFill>
        </w:rPr>
      </w:pPr>
    </w:p>
    <w:p w14:paraId="3798CF47">
      <w:pPr>
        <w:pStyle w:val="55"/>
        <w:rPr>
          <w:rFonts w:ascii="宋体" w:hAnsi="宋体" w:eastAsia="宋体"/>
          <w:b/>
          <w:color w:val="000000" w:themeColor="text1"/>
          <w:sz w:val="21"/>
          <w:szCs w:val="21"/>
          <w:highlight w:val="none"/>
          <w:lang w:eastAsia="zh-CN"/>
          <w14:textFill>
            <w14:solidFill>
              <w14:schemeClr w14:val="tx1"/>
            </w14:solidFill>
          </w14:textFill>
        </w:rPr>
      </w:pPr>
    </w:p>
    <w:p w14:paraId="217AE8C3">
      <w:pPr>
        <w:pStyle w:val="55"/>
        <w:rPr>
          <w:rFonts w:ascii="宋体" w:hAnsi="宋体" w:eastAsia="宋体"/>
          <w:b/>
          <w:color w:val="000000" w:themeColor="text1"/>
          <w:sz w:val="21"/>
          <w:szCs w:val="21"/>
          <w:highlight w:val="none"/>
          <w:lang w:eastAsia="zh-CN"/>
          <w14:textFill>
            <w14:solidFill>
              <w14:schemeClr w14:val="tx1"/>
            </w14:solidFill>
          </w14:textFill>
        </w:rPr>
      </w:pPr>
    </w:p>
    <w:p w14:paraId="6FD46024">
      <w:pPr>
        <w:pStyle w:val="55"/>
        <w:rPr>
          <w:rFonts w:ascii="宋体" w:hAnsi="宋体" w:eastAsia="宋体"/>
          <w:b/>
          <w:color w:val="000000" w:themeColor="text1"/>
          <w:sz w:val="21"/>
          <w:szCs w:val="21"/>
          <w:highlight w:val="none"/>
          <w:lang w:eastAsia="zh-CN"/>
          <w14:textFill>
            <w14:solidFill>
              <w14:schemeClr w14:val="tx1"/>
            </w14:solidFill>
          </w14:textFill>
        </w:rPr>
      </w:pPr>
    </w:p>
    <w:p w14:paraId="64F29966">
      <w:pPr>
        <w:pStyle w:val="55"/>
        <w:rPr>
          <w:rFonts w:ascii="宋体" w:hAnsi="宋体" w:eastAsia="宋体"/>
          <w:b/>
          <w:color w:val="000000" w:themeColor="text1"/>
          <w:sz w:val="21"/>
          <w:szCs w:val="21"/>
          <w:highlight w:val="none"/>
          <w:lang w:eastAsia="zh-CN"/>
          <w14:textFill>
            <w14:solidFill>
              <w14:schemeClr w14:val="tx1"/>
            </w14:solidFill>
          </w14:textFill>
        </w:rPr>
      </w:pPr>
    </w:p>
    <w:p w14:paraId="624D8131">
      <w:pPr>
        <w:pStyle w:val="55"/>
        <w:rPr>
          <w:rFonts w:ascii="宋体" w:hAnsi="宋体" w:eastAsia="宋体"/>
          <w:b/>
          <w:color w:val="000000" w:themeColor="text1"/>
          <w:sz w:val="21"/>
          <w:szCs w:val="21"/>
          <w:highlight w:val="none"/>
          <w:lang w:eastAsia="zh-CN"/>
          <w14:textFill>
            <w14:solidFill>
              <w14:schemeClr w14:val="tx1"/>
            </w14:solidFill>
          </w14:textFill>
        </w:rPr>
      </w:pPr>
    </w:p>
    <w:p w14:paraId="5D2732A6">
      <w:pPr>
        <w:pStyle w:val="55"/>
        <w:rPr>
          <w:rFonts w:ascii="宋体" w:hAnsi="宋体" w:eastAsia="宋体"/>
          <w:b/>
          <w:color w:val="000000" w:themeColor="text1"/>
          <w:sz w:val="21"/>
          <w:szCs w:val="21"/>
          <w:highlight w:val="none"/>
          <w:lang w:eastAsia="zh-CN"/>
          <w14:textFill>
            <w14:solidFill>
              <w14:schemeClr w14:val="tx1"/>
            </w14:solidFill>
          </w14:textFill>
        </w:rPr>
      </w:pPr>
    </w:p>
    <w:p w14:paraId="74F30057">
      <w:pPr>
        <w:pStyle w:val="55"/>
        <w:rPr>
          <w:rFonts w:ascii="宋体" w:hAnsi="宋体" w:eastAsia="宋体"/>
          <w:b/>
          <w:color w:val="000000" w:themeColor="text1"/>
          <w:sz w:val="21"/>
          <w:szCs w:val="21"/>
          <w:highlight w:val="none"/>
          <w:lang w:eastAsia="zh-CN"/>
          <w14:textFill>
            <w14:solidFill>
              <w14:schemeClr w14:val="tx1"/>
            </w14:solidFill>
          </w14:textFill>
        </w:rPr>
      </w:pPr>
    </w:p>
    <w:p w14:paraId="625F2081">
      <w:pPr>
        <w:pStyle w:val="55"/>
        <w:rPr>
          <w:rFonts w:ascii="宋体" w:hAnsi="宋体" w:eastAsia="宋体"/>
          <w:b/>
          <w:color w:val="000000" w:themeColor="text1"/>
          <w:sz w:val="21"/>
          <w:szCs w:val="21"/>
          <w:highlight w:val="none"/>
          <w:lang w:eastAsia="zh-CN"/>
          <w14:textFill>
            <w14:solidFill>
              <w14:schemeClr w14:val="tx1"/>
            </w14:solidFill>
          </w14:textFill>
        </w:rPr>
      </w:pPr>
    </w:p>
    <w:p w14:paraId="4CCECD5C">
      <w:pPr>
        <w:pStyle w:val="55"/>
        <w:rPr>
          <w:rFonts w:ascii="宋体" w:hAnsi="宋体" w:eastAsia="宋体"/>
          <w:b/>
          <w:color w:val="000000" w:themeColor="text1"/>
          <w:sz w:val="21"/>
          <w:szCs w:val="21"/>
          <w:highlight w:val="none"/>
          <w:lang w:eastAsia="zh-CN"/>
          <w14:textFill>
            <w14:solidFill>
              <w14:schemeClr w14:val="tx1"/>
            </w14:solidFill>
          </w14:textFill>
        </w:rPr>
      </w:pPr>
    </w:p>
    <w:p w14:paraId="34A7D183">
      <w:pPr>
        <w:pStyle w:val="55"/>
        <w:rPr>
          <w:rFonts w:ascii="宋体" w:hAnsi="宋体" w:eastAsia="宋体"/>
          <w:b/>
          <w:color w:val="000000" w:themeColor="text1"/>
          <w:sz w:val="21"/>
          <w:szCs w:val="21"/>
          <w:highlight w:val="none"/>
          <w:lang w:eastAsia="zh-CN"/>
          <w14:textFill>
            <w14:solidFill>
              <w14:schemeClr w14:val="tx1"/>
            </w14:solidFill>
          </w14:textFill>
        </w:rPr>
      </w:pPr>
    </w:p>
    <w:p w14:paraId="526E308D">
      <w:pPr>
        <w:pStyle w:val="55"/>
        <w:rPr>
          <w:rFonts w:ascii="宋体" w:hAnsi="宋体" w:eastAsia="宋体"/>
          <w:b/>
          <w:color w:val="000000" w:themeColor="text1"/>
          <w:sz w:val="21"/>
          <w:szCs w:val="21"/>
          <w:highlight w:val="none"/>
          <w:lang w:eastAsia="zh-CN"/>
          <w14:textFill>
            <w14:solidFill>
              <w14:schemeClr w14:val="tx1"/>
            </w14:solidFill>
          </w14:textFill>
        </w:rPr>
      </w:pPr>
    </w:p>
    <w:p w14:paraId="71FD2D2C">
      <w:pPr>
        <w:pStyle w:val="55"/>
        <w:rPr>
          <w:rFonts w:ascii="宋体" w:hAnsi="宋体" w:eastAsia="宋体"/>
          <w:b/>
          <w:color w:val="000000" w:themeColor="text1"/>
          <w:sz w:val="21"/>
          <w:szCs w:val="21"/>
          <w:highlight w:val="none"/>
          <w:lang w:eastAsia="zh-CN"/>
          <w14:textFill>
            <w14:solidFill>
              <w14:schemeClr w14:val="tx1"/>
            </w14:solidFill>
          </w14:textFill>
        </w:rPr>
      </w:pPr>
    </w:p>
    <w:p w14:paraId="36F55E6C">
      <w:pPr>
        <w:pStyle w:val="55"/>
        <w:rPr>
          <w:rFonts w:ascii="宋体" w:hAnsi="宋体" w:eastAsia="宋体"/>
          <w:b/>
          <w:color w:val="000000" w:themeColor="text1"/>
          <w:sz w:val="21"/>
          <w:szCs w:val="21"/>
          <w:highlight w:val="none"/>
          <w:lang w:eastAsia="zh-CN"/>
          <w14:textFill>
            <w14:solidFill>
              <w14:schemeClr w14:val="tx1"/>
            </w14:solidFill>
          </w14:textFill>
        </w:rPr>
      </w:pPr>
    </w:p>
    <w:p w14:paraId="026CDD43">
      <w:pPr>
        <w:pStyle w:val="55"/>
        <w:rPr>
          <w:rFonts w:ascii="宋体" w:hAnsi="宋体" w:eastAsia="宋体"/>
          <w:b/>
          <w:color w:val="000000" w:themeColor="text1"/>
          <w:sz w:val="21"/>
          <w:szCs w:val="21"/>
          <w:highlight w:val="none"/>
          <w:lang w:eastAsia="zh-CN"/>
          <w14:textFill>
            <w14:solidFill>
              <w14:schemeClr w14:val="tx1"/>
            </w14:solidFill>
          </w14:textFill>
        </w:rPr>
      </w:pPr>
    </w:p>
    <w:p w14:paraId="20B26B1B">
      <w:pPr>
        <w:pStyle w:val="55"/>
        <w:rPr>
          <w:rFonts w:ascii="宋体" w:hAnsi="宋体" w:eastAsia="宋体"/>
          <w:b/>
          <w:color w:val="000000" w:themeColor="text1"/>
          <w:sz w:val="21"/>
          <w:szCs w:val="21"/>
          <w:highlight w:val="none"/>
          <w:lang w:eastAsia="zh-CN"/>
          <w14:textFill>
            <w14:solidFill>
              <w14:schemeClr w14:val="tx1"/>
            </w14:solidFill>
          </w14:textFill>
        </w:rPr>
      </w:pPr>
    </w:p>
    <w:p w14:paraId="1012B007">
      <w:pPr>
        <w:pStyle w:val="55"/>
        <w:rPr>
          <w:rFonts w:ascii="宋体" w:hAnsi="宋体" w:eastAsia="宋体"/>
          <w:b/>
          <w:color w:val="000000" w:themeColor="text1"/>
          <w:sz w:val="21"/>
          <w:szCs w:val="21"/>
          <w:highlight w:val="none"/>
          <w:lang w:eastAsia="zh-CN"/>
          <w14:textFill>
            <w14:solidFill>
              <w14:schemeClr w14:val="tx1"/>
            </w14:solidFill>
          </w14:textFill>
        </w:rPr>
      </w:pPr>
    </w:p>
    <w:p w14:paraId="230A5B7E">
      <w:pPr>
        <w:pStyle w:val="55"/>
        <w:rPr>
          <w:rFonts w:ascii="宋体" w:hAnsi="宋体" w:eastAsia="宋体"/>
          <w:b/>
          <w:color w:val="000000" w:themeColor="text1"/>
          <w:sz w:val="21"/>
          <w:szCs w:val="21"/>
          <w:highlight w:val="none"/>
          <w:lang w:eastAsia="zh-CN"/>
          <w14:textFill>
            <w14:solidFill>
              <w14:schemeClr w14:val="tx1"/>
            </w14:solidFill>
          </w14:textFill>
        </w:rPr>
      </w:pPr>
    </w:p>
    <w:p w14:paraId="5BDF4B6A">
      <w:pPr>
        <w:wordWrap w:val="0"/>
        <w:topLinePunct/>
        <w:adjustRightInd w:val="0"/>
        <w:snapToGrid w:val="0"/>
        <w:spacing w:line="40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p>
    <w:p w14:paraId="56A24806">
      <w:pPr>
        <w:snapToGrid w:val="0"/>
        <w:spacing w:line="360" w:lineRule="exact"/>
        <w:rPr>
          <w:rFonts w:ascii="宋体" w:hAnsi="宋体" w:eastAsia="宋体"/>
          <w:b/>
          <w:color w:val="000000" w:themeColor="text1"/>
          <w:sz w:val="21"/>
          <w:szCs w:val="21"/>
          <w:highlight w:val="none"/>
          <w:u w:val="double"/>
          <w:lang w:eastAsia="zh-CN"/>
          <w14:textFill>
            <w14:solidFill>
              <w14:schemeClr w14:val="tx1"/>
            </w14:solidFill>
          </w14:textFill>
        </w:rPr>
      </w:pPr>
    </w:p>
    <w:p w14:paraId="6F056B2C">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14:paraId="37E63B9C">
      <w:pPr>
        <w:snapToGrid w:val="0"/>
        <w:spacing w:line="360" w:lineRule="exact"/>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技术响应表</w:t>
      </w:r>
    </w:p>
    <w:p w14:paraId="56452837">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tbl>
      <w:tblPr>
        <w:tblStyle w:val="38"/>
        <w:tblW w:w="100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1725"/>
        <w:gridCol w:w="1665"/>
        <w:gridCol w:w="900"/>
        <w:gridCol w:w="900"/>
      </w:tblGrid>
      <w:tr w14:paraId="282EB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vMerge w:val="restart"/>
            <w:tcBorders>
              <w:top w:val="single" w:color="auto" w:sz="4" w:space="0"/>
              <w:left w:val="single" w:color="auto" w:sz="4" w:space="0"/>
              <w:right w:val="single" w:color="auto" w:sz="4" w:space="0"/>
            </w:tcBorders>
            <w:vAlign w:val="center"/>
          </w:tcPr>
          <w:p w14:paraId="71FD6FAF">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43" w:name="_Toc13152"/>
            <w:bookmarkStart w:id="244" w:name="_Toc1388"/>
            <w:bookmarkStart w:id="245" w:name="_Toc31047"/>
            <w:bookmarkStart w:id="246" w:name="_Toc11258"/>
            <w:bookmarkStart w:id="247" w:name="_Toc28819"/>
            <w:r>
              <w:rPr>
                <w:rFonts w:hint="eastAsia" w:hAnsi="宋体" w:cs="宋体"/>
                <w:color w:val="000000" w:themeColor="text1"/>
                <w:szCs w:val="21"/>
                <w:highlight w:val="none"/>
                <w14:textFill>
                  <w14:solidFill>
                    <w14:schemeClr w14:val="tx1"/>
                  </w14:solidFill>
                </w14:textFill>
              </w:rPr>
              <w:t>序号</w:t>
            </w:r>
            <w:bookmarkEnd w:id="243"/>
            <w:bookmarkEnd w:id="244"/>
            <w:bookmarkEnd w:id="245"/>
            <w:bookmarkEnd w:id="246"/>
            <w:bookmarkEnd w:id="247"/>
          </w:p>
        </w:tc>
        <w:tc>
          <w:tcPr>
            <w:tcW w:w="4259" w:type="dxa"/>
            <w:gridSpan w:val="2"/>
            <w:tcBorders>
              <w:top w:val="single" w:color="auto" w:sz="4" w:space="0"/>
              <w:left w:val="single" w:color="auto" w:sz="4" w:space="0"/>
              <w:bottom w:val="single" w:color="auto" w:sz="4" w:space="0"/>
              <w:right w:val="single" w:color="auto" w:sz="4" w:space="0"/>
            </w:tcBorders>
            <w:vAlign w:val="center"/>
          </w:tcPr>
          <w:p w14:paraId="69883E1B">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48" w:name="_Toc254970558"/>
            <w:bookmarkStart w:id="249" w:name="_Toc8092"/>
            <w:bookmarkStart w:id="250" w:name="_Toc8845"/>
            <w:bookmarkStart w:id="251" w:name="_Toc11157"/>
            <w:bookmarkStart w:id="252" w:name="_Toc8742"/>
            <w:bookmarkStart w:id="253" w:name="_Toc4616"/>
            <w:bookmarkStart w:id="254" w:name="_Toc254970699"/>
            <w:r>
              <w:rPr>
                <w:rFonts w:hint="eastAsia" w:hAnsi="宋体" w:cs="宋体"/>
                <w:color w:val="000000" w:themeColor="text1"/>
                <w:szCs w:val="21"/>
                <w:highlight w:val="none"/>
                <w14:textFill>
                  <w14:solidFill>
                    <w14:schemeClr w14:val="tx1"/>
                  </w14:solidFill>
                </w14:textFill>
              </w:rPr>
              <w:t>招标文件要求</w:t>
            </w:r>
            <w:bookmarkEnd w:id="248"/>
            <w:bookmarkEnd w:id="249"/>
            <w:bookmarkEnd w:id="250"/>
            <w:bookmarkEnd w:id="251"/>
            <w:bookmarkEnd w:id="252"/>
            <w:bookmarkEnd w:id="253"/>
            <w:bookmarkEnd w:id="254"/>
          </w:p>
        </w:tc>
        <w:tc>
          <w:tcPr>
            <w:tcW w:w="3390" w:type="dxa"/>
            <w:gridSpan w:val="2"/>
            <w:tcBorders>
              <w:top w:val="single" w:color="auto" w:sz="4" w:space="0"/>
              <w:left w:val="single" w:color="auto" w:sz="4" w:space="0"/>
              <w:bottom w:val="single" w:color="auto" w:sz="4" w:space="0"/>
              <w:right w:val="single" w:color="auto" w:sz="4" w:space="0"/>
            </w:tcBorders>
            <w:vAlign w:val="center"/>
          </w:tcPr>
          <w:p w14:paraId="378CC750">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55" w:name="_Toc5140"/>
            <w:bookmarkStart w:id="256" w:name="_Toc254970559"/>
            <w:bookmarkStart w:id="257" w:name="_Toc20342"/>
            <w:bookmarkStart w:id="258" w:name="_Toc2466"/>
            <w:bookmarkStart w:id="259" w:name="_Toc23823"/>
            <w:bookmarkStart w:id="260" w:name="_Toc254970700"/>
            <w:bookmarkStart w:id="261" w:name="_Toc32500"/>
            <w:r>
              <w:rPr>
                <w:rFonts w:hint="eastAsia" w:hAnsi="宋体" w:cs="宋体"/>
                <w:color w:val="000000" w:themeColor="text1"/>
                <w:szCs w:val="21"/>
                <w:highlight w:val="none"/>
                <w14:textFill>
                  <w14:solidFill>
                    <w14:schemeClr w14:val="tx1"/>
                  </w14:solidFill>
                </w14:textFill>
              </w:rPr>
              <w:t>投标文件响应</w:t>
            </w:r>
            <w:bookmarkEnd w:id="255"/>
            <w:bookmarkEnd w:id="256"/>
            <w:bookmarkEnd w:id="257"/>
            <w:bookmarkEnd w:id="258"/>
            <w:bookmarkEnd w:id="259"/>
            <w:bookmarkEnd w:id="260"/>
            <w:bookmarkEnd w:id="261"/>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01570CE9">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62" w:name="_Toc18071"/>
            <w:bookmarkStart w:id="263" w:name="_Toc26881"/>
            <w:bookmarkStart w:id="264" w:name="_Toc1895"/>
            <w:bookmarkStart w:id="265" w:name="_Toc7609"/>
            <w:bookmarkStart w:id="266" w:name="_Toc8600"/>
            <w:bookmarkStart w:id="267" w:name="_Toc254970701"/>
            <w:bookmarkStart w:id="268" w:name="_Toc254970560"/>
            <w:r>
              <w:rPr>
                <w:rFonts w:hint="eastAsia" w:hAnsi="宋体" w:cs="宋体"/>
                <w:color w:val="000000" w:themeColor="text1"/>
                <w:szCs w:val="21"/>
                <w:highlight w:val="none"/>
                <w14:textFill>
                  <w14:solidFill>
                    <w14:schemeClr w14:val="tx1"/>
                  </w14:solidFill>
                </w14:textFill>
              </w:rPr>
              <w:t>偏离</w:t>
            </w:r>
            <w:bookmarkEnd w:id="262"/>
            <w:bookmarkEnd w:id="263"/>
            <w:bookmarkEnd w:id="264"/>
            <w:bookmarkEnd w:id="265"/>
            <w:bookmarkEnd w:id="266"/>
          </w:p>
          <w:p w14:paraId="582DEE19">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69" w:name="_Toc13371"/>
            <w:bookmarkStart w:id="270" w:name="_Toc31855"/>
            <w:bookmarkStart w:id="271" w:name="_Toc20544"/>
            <w:bookmarkStart w:id="272" w:name="_Toc20286"/>
            <w:bookmarkStart w:id="273" w:name="_Toc31417"/>
            <w:r>
              <w:rPr>
                <w:rFonts w:hint="eastAsia" w:hAnsi="宋体" w:cs="宋体"/>
                <w:color w:val="000000" w:themeColor="text1"/>
                <w:szCs w:val="21"/>
                <w:highlight w:val="none"/>
                <w14:textFill>
                  <w14:solidFill>
                    <w14:schemeClr w14:val="tx1"/>
                  </w14:solidFill>
                </w14:textFill>
              </w:rPr>
              <w:t>情况</w:t>
            </w:r>
            <w:bookmarkEnd w:id="267"/>
            <w:bookmarkEnd w:id="268"/>
            <w:bookmarkEnd w:id="269"/>
            <w:bookmarkEnd w:id="270"/>
            <w:bookmarkEnd w:id="271"/>
            <w:bookmarkEnd w:id="272"/>
            <w:bookmarkEnd w:id="273"/>
          </w:p>
        </w:tc>
        <w:tc>
          <w:tcPr>
            <w:tcW w:w="900" w:type="dxa"/>
            <w:vMerge w:val="restart"/>
            <w:tcBorders>
              <w:top w:val="single" w:color="auto" w:sz="4" w:space="0"/>
              <w:left w:val="single" w:color="auto" w:sz="4" w:space="0"/>
              <w:right w:val="single" w:color="auto" w:sz="4" w:space="0"/>
            </w:tcBorders>
            <w:vAlign w:val="center"/>
          </w:tcPr>
          <w:p w14:paraId="4DD429FB">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74" w:name="_Toc16436"/>
            <w:bookmarkStart w:id="275" w:name="_Toc3548"/>
            <w:bookmarkStart w:id="276" w:name="_Toc14711"/>
            <w:r>
              <w:rPr>
                <w:rFonts w:hint="eastAsia" w:hAnsi="宋体" w:cs="宋体"/>
                <w:color w:val="000000" w:themeColor="text1"/>
                <w:szCs w:val="21"/>
                <w:highlight w:val="none"/>
                <w14:textFill>
                  <w14:solidFill>
                    <w14:schemeClr w14:val="tx1"/>
                  </w14:solidFill>
                </w14:textFill>
              </w:rPr>
              <w:t>证明材料所在页码</w:t>
            </w:r>
            <w:bookmarkEnd w:id="274"/>
            <w:bookmarkEnd w:id="275"/>
            <w:bookmarkEnd w:id="276"/>
          </w:p>
        </w:tc>
      </w:tr>
      <w:tr w14:paraId="4AEDD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636" w:type="dxa"/>
            <w:vMerge w:val="continue"/>
            <w:tcBorders>
              <w:left w:val="single" w:color="auto" w:sz="4" w:space="0"/>
              <w:bottom w:val="single" w:color="auto" w:sz="4" w:space="0"/>
              <w:right w:val="single" w:color="auto" w:sz="4" w:space="0"/>
            </w:tcBorders>
            <w:vAlign w:val="center"/>
          </w:tcPr>
          <w:p w14:paraId="22B274B6">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63A88DAB">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77" w:name="_Toc2517"/>
            <w:bookmarkStart w:id="278" w:name="_Toc4194"/>
            <w:bookmarkStart w:id="279" w:name="_Toc12364"/>
            <w:bookmarkStart w:id="280" w:name="_Toc12907"/>
            <w:bookmarkStart w:id="281" w:name="_Toc6628"/>
            <w:r>
              <w:rPr>
                <w:rFonts w:hint="eastAsia" w:hAnsi="宋体" w:cs="宋体"/>
                <w:color w:val="000000" w:themeColor="text1"/>
                <w:szCs w:val="21"/>
                <w:highlight w:val="none"/>
                <w14:textFill>
                  <w14:solidFill>
                    <w14:schemeClr w14:val="tx1"/>
                  </w14:solidFill>
                </w14:textFill>
              </w:rPr>
              <w:t>设备名称</w:t>
            </w:r>
            <w:bookmarkEnd w:id="277"/>
            <w:bookmarkEnd w:id="278"/>
            <w:bookmarkEnd w:id="279"/>
            <w:bookmarkEnd w:id="280"/>
            <w:bookmarkEnd w:id="281"/>
          </w:p>
        </w:tc>
        <w:tc>
          <w:tcPr>
            <w:tcW w:w="2743" w:type="dxa"/>
            <w:tcBorders>
              <w:top w:val="single" w:color="auto" w:sz="4" w:space="0"/>
              <w:left w:val="single" w:color="auto" w:sz="4" w:space="0"/>
              <w:bottom w:val="single" w:color="auto" w:sz="4" w:space="0"/>
              <w:right w:val="single" w:color="auto" w:sz="4" w:space="0"/>
            </w:tcBorders>
            <w:vAlign w:val="center"/>
          </w:tcPr>
          <w:p w14:paraId="49A3DDC0">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82" w:name="_Toc21623"/>
            <w:bookmarkStart w:id="283" w:name="_Toc26098"/>
            <w:bookmarkStart w:id="284" w:name="_Toc13671"/>
            <w:bookmarkStart w:id="285" w:name="_Toc25802"/>
            <w:bookmarkStart w:id="286" w:name="_Toc11247"/>
            <w:r>
              <w:rPr>
                <w:rFonts w:hint="eastAsia" w:hAnsi="宋体" w:cs="宋体"/>
                <w:color w:val="000000" w:themeColor="text1"/>
                <w:szCs w:val="21"/>
                <w:highlight w:val="none"/>
                <w14:textFill>
                  <w14:solidFill>
                    <w14:schemeClr w14:val="tx1"/>
                  </w14:solidFill>
                </w14:textFill>
              </w:rPr>
              <w:t>性能及指标</w:t>
            </w:r>
            <w:bookmarkEnd w:id="282"/>
            <w:bookmarkEnd w:id="283"/>
            <w:bookmarkEnd w:id="284"/>
            <w:bookmarkEnd w:id="285"/>
            <w:bookmarkEnd w:id="286"/>
          </w:p>
        </w:tc>
        <w:tc>
          <w:tcPr>
            <w:tcW w:w="1725" w:type="dxa"/>
            <w:tcBorders>
              <w:top w:val="single" w:color="auto" w:sz="4" w:space="0"/>
              <w:left w:val="single" w:color="auto" w:sz="4" w:space="0"/>
              <w:bottom w:val="single" w:color="auto" w:sz="4" w:space="0"/>
              <w:right w:val="single" w:color="auto" w:sz="4" w:space="0"/>
            </w:tcBorders>
            <w:vAlign w:val="center"/>
          </w:tcPr>
          <w:p w14:paraId="3F725300">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87" w:name="_Toc254970563"/>
            <w:bookmarkStart w:id="288" w:name="_Toc13086"/>
            <w:bookmarkStart w:id="289" w:name="_Toc27632"/>
            <w:bookmarkStart w:id="290" w:name="_Toc24651"/>
            <w:bookmarkStart w:id="291" w:name="_Toc254970704"/>
            <w:bookmarkStart w:id="292" w:name="_Toc25818"/>
            <w:bookmarkStart w:id="293" w:name="_Toc32114"/>
            <w:r>
              <w:rPr>
                <w:rFonts w:hint="eastAsia" w:hAnsi="宋体" w:cs="宋体"/>
                <w:color w:val="000000" w:themeColor="text1"/>
                <w:szCs w:val="21"/>
                <w:highlight w:val="none"/>
                <w14:textFill>
                  <w14:solidFill>
                    <w14:schemeClr w14:val="tx1"/>
                  </w14:solidFill>
                </w14:textFill>
              </w:rPr>
              <w:t>设备名称</w:t>
            </w:r>
            <w:bookmarkEnd w:id="287"/>
            <w:bookmarkEnd w:id="288"/>
            <w:bookmarkEnd w:id="289"/>
            <w:bookmarkEnd w:id="290"/>
            <w:bookmarkEnd w:id="291"/>
            <w:bookmarkEnd w:id="292"/>
            <w:bookmarkEnd w:id="293"/>
          </w:p>
        </w:tc>
        <w:tc>
          <w:tcPr>
            <w:tcW w:w="1665" w:type="dxa"/>
            <w:tcBorders>
              <w:top w:val="single" w:color="auto" w:sz="4" w:space="0"/>
              <w:left w:val="single" w:color="auto" w:sz="4" w:space="0"/>
              <w:bottom w:val="single" w:color="auto" w:sz="4" w:space="0"/>
              <w:right w:val="single" w:color="auto" w:sz="4" w:space="0"/>
            </w:tcBorders>
            <w:vAlign w:val="center"/>
          </w:tcPr>
          <w:p w14:paraId="2226AA80">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94" w:name="_Toc790"/>
            <w:bookmarkStart w:id="295" w:name="_Toc1367"/>
            <w:bookmarkStart w:id="296" w:name="_Toc254970705"/>
            <w:bookmarkStart w:id="297" w:name="_Toc10294"/>
            <w:bookmarkStart w:id="298" w:name="_Toc254970564"/>
            <w:bookmarkStart w:id="299" w:name="_Toc2257"/>
            <w:bookmarkStart w:id="300" w:name="_Toc26487"/>
            <w:r>
              <w:rPr>
                <w:rFonts w:hint="eastAsia" w:hAnsi="宋体" w:cs="宋体"/>
                <w:color w:val="000000" w:themeColor="text1"/>
                <w:szCs w:val="21"/>
                <w:highlight w:val="none"/>
                <w14:textFill>
                  <w14:solidFill>
                    <w14:schemeClr w14:val="tx1"/>
                  </w14:solidFill>
                </w14:textFill>
              </w:rPr>
              <w:t>性能及指标</w:t>
            </w:r>
            <w:bookmarkEnd w:id="294"/>
            <w:bookmarkEnd w:id="295"/>
            <w:bookmarkEnd w:id="296"/>
            <w:bookmarkEnd w:id="297"/>
            <w:bookmarkEnd w:id="298"/>
            <w:bookmarkEnd w:id="299"/>
            <w:bookmarkEnd w:id="300"/>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0ABDD73">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c>
          <w:tcPr>
            <w:tcW w:w="900" w:type="dxa"/>
            <w:vMerge w:val="continue"/>
            <w:tcBorders>
              <w:left w:val="single" w:color="auto" w:sz="4" w:space="0"/>
              <w:bottom w:val="single" w:color="auto" w:sz="4" w:space="0"/>
              <w:right w:val="single" w:color="auto" w:sz="4" w:space="0"/>
            </w:tcBorders>
            <w:vAlign w:val="center"/>
          </w:tcPr>
          <w:p w14:paraId="1BAD8E0A">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r>
      <w:tr w14:paraId="67E66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14:paraId="31A8BD9D">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bookmarkStart w:id="301" w:name="_Toc27982"/>
            <w:bookmarkStart w:id="302" w:name="_Toc28284"/>
            <w:bookmarkStart w:id="303" w:name="_Toc15921"/>
            <w:bookmarkStart w:id="304" w:name="_Toc29321"/>
            <w:bookmarkStart w:id="305" w:name="_Toc28596"/>
            <w:r>
              <w:rPr>
                <w:rFonts w:hint="eastAsia" w:hAnsi="宋体" w:cs="宋体"/>
                <w:color w:val="000000" w:themeColor="text1"/>
                <w:szCs w:val="21"/>
                <w:highlight w:val="none"/>
                <w14:textFill>
                  <w14:solidFill>
                    <w14:schemeClr w14:val="tx1"/>
                  </w14:solidFill>
                </w14:textFill>
              </w:rPr>
              <w:t>1</w:t>
            </w:r>
            <w:bookmarkEnd w:id="301"/>
            <w:bookmarkEnd w:id="302"/>
            <w:bookmarkEnd w:id="303"/>
            <w:bookmarkEnd w:id="304"/>
            <w:bookmarkEnd w:id="305"/>
          </w:p>
        </w:tc>
        <w:tc>
          <w:tcPr>
            <w:tcW w:w="1516" w:type="dxa"/>
            <w:tcBorders>
              <w:top w:val="single" w:color="auto" w:sz="4" w:space="0"/>
              <w:left w:val="single" w:color="auto" w:sz="4" w:space="0"/>
              <w:bottom w:val="single" w:color="auto" w:sz="4" w:space="0"/>
              <w:right w:val="single" w:color="auto" w:sz="4" w:space="0"/>
            </w:tcBorders>
            <w:vAlign w:val="center"/>
          </w:tcPr>
          <w:p w14:paraId="29743E1B">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14:paraId="373BCCB6">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03765FC7">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7C95EAE4">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6D61F174">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61ADBB46">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r>
      <w:tr w14:paraId="0A17D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14:paraId="37E2138B">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bookmarkStart w:id="306" w:name="_Toc28146"/>
            <w:bookmarkStart w:id="307" w:name="_Toc10756"/>
            <w:bookmarkStart w:id="308" w:name="_Toc27890"/>
            <w:bookmarkStart w:id="309" w:name="_Toc16427"/>
            <w:bookmarkStart w:id="310" w:name="_Toc22296"/>
            <w:r>
              <w:rPr>
                <w:rFonts w:hint="default" w:hAnsi="宋体" w:cs="宋体"/>
                <w:color w:val="000000" w:themeColor="text1"/>
                <w:szCs w:val="21"/>
                <w:highlight w:val="none"/>
                <w14:textFill>
                  <w14:solidFill>
                    <w14:schemeClr w14:val="tx1"/>
                  </w14:solidFill>
                </w14:textFill>
              </w:rPr>
              <w:t>2</w:t>
            </w:r>
            <w:bookmarkEnd w:id="306"/>
            <w:bookmarkEnd w:id="307"/>
            <w:bookmarkEnd w:id="308"/>
            <w:bookmarkEnd w:id="309"/>
            <w:bookmarkEnd w:id="310"/>
          </w:p>
        </w:tc>
        <w:tc>
          <w:tcPr>
            <w:tcW w:w="1516" w:type="dxa"/>
            <w:tcBorders>
              <w:top w:val="single" w:color="auto" w:sz="4" w:space="0"/>
              <w:left w:val="single" w:color="auto" w:sz="4" w:space="0"/>
              <w:bottom w:val="single" w:color="auto" w:sz="4" w:space="0"/>
              <w:right w:val="single" w:color="auto" w:sz="4" w:space="0"/>
            </w:tcBorders>
            <w:vAlign w:val="center"/>
          </w:tcPr>
          <w:p w14:paraId="395281FF">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14:paraId="033EB1A8">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43E50F38">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6B39B0A8">
            <w:pPr>
              <w:pStyle w:val="21"/>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0D82CAEE">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5A6999CC">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r>
      <w:tr w14:paraId="55C36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14:paraId="1CCC0F24">
            <w:pPr>
              <w:pStyle w:val="21"/>
              <w:snapToGrid w:val="0"/>
              <w:spacing w:before="0" w:after="0" w:line="320" w:lineRule="exact"/>
              <w:jc w:val="center"/>
              <w:outlineLvl w:val="0"/>
              <w:rPr>
                <w:rFonts w:hAnsi="宋体" w:cs="宋体"/>
                <w:color w:val="000000" w:themeColor="text1"/>
                <w:szCs w:val="21"/>
                <w:highlight w:val="none"/>
                <w14:textFill>
                  <w14:solidFill>
                    <w14:schemeClr w14:val="tx1"/>
                  </w14:solidFill>
                </w14:textFill>
              </w:rPr>
            </w:pPr>
            <w:bookmarkStart w:id="311" w:name="_Toc13174"/>
            <w:bookmarkStart w:id="312" w:name="_Toc4297"/>
            <w:bookmarkStart w:id="313" w:name="_Toc11563"/>
            <w:bookmarkStart w:id="314" w:name="_Toc13214"/>
            <w:bookmarkStart w:id="315" w:name="_Toc18999"/>
            <w:r>
              <w:rPr>
                <w:rFonts w:hint="default" w:hAnsi="宋体" w:cs="宋体"/>
                <w:color w:val="000000" w:themeColor="text1"/>
                <w:szCs w:val="21"/>
                <w:highlight w:val="none"/>
                <w14:textFill>
                  <w14:solidFill>
                    <w14:schemeClr w14:val="tx1"/>
                  </w14:solidFill>
                </w14:textFill>
              </w:rPr>
              <w:t>…</w:t>
            </w:r>
            <w:bookmarkEnd w:id="311"/>
            <w:bookmarkEnd w:id="312"/>
            <w:bookmarkEnd w:id="313"/>
            <w:bookmarkEnd w:id="314"/>
            <w:bookmarkEnd w:id="315"/>
          </w:p>
        </w:tc>
        <w:tc>
          <w:tcPr>
            <w:tcW w:w="1516" w:type="dxa"/>
            <w:tcBorders>
              <w:top w:val="single" w:color="auto" w:sz="4" w:space="0"/>
              <w:left w:val="single" w:color="auto" w:sz="4" w:space="0"/>
              <w:bottom w:val="single" w:color="auto" w:sz="4" w:space="0"/>
              <w:right w:val="single" w:color="auto" w:sz="4" w:space="0"/>
            </w:tcBorders>
            <w:vAlign w:val="center"/>
          </w:tcPr>
          <w:p w14:paraId="3DD8F485">
            <w:pPr>
              <w:pStyle w:val="21"/>
              <w:snapToGrid w:val="0"/>
              <w:spacing w:before="295" w:after="295" w:line="360" w:lineRule="exact"/>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14:paraId="1F335FCE">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3220026C">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6C9684CF">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7609D048">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75F6E256">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r>
      <w:tr w14:paraId="7386C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14:paraId="22A765D4">
            <w:pPr>
              <w:pStyle w:val="21"/>
              <w:snapToGrid w:val="0"/>
              <w:spacing w:before="0" w:after="0" w:line="320" w:lineRule="exact"/>
              <w:jc w:val="center"/>
              <w:outlineLvl w:val="0"/>
              <w:rPr>
                <w:rFonts w:hint="default" w:hAnsi="宋体" w:cs="宋体"/>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245AA31F">
            <w:pPr>
              <w:pStyle w:val="21"/>
              <w:snapToGrid w:val="0"/>
              <w:spacing w:before="295" w:after="295" w:line="360" w:lineRule="exact"/>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14:paraId="5093CE42">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5624F411">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14:paraId="3392F1A5">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702BC84">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17B0C5DC">
            <w:pPr>
              <w:pStyle w:val="21"/>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r>
    </w:tbl>
    <w:p w14:paraId="18886EE9">
      <w:pPr>
        <w:pStyle w:val="17"/>
        <w:spacing w:line="360" w:lineRule="exact"/>
        <w:ind w:firstLine="420" w:firstLineChars="200"/>
        <w:jc w:val="left"/>
        <w:rPr>
          <w:rFonts w:hAnsi="宋体" w:eastAsia="宋体"/>
          <w:color w:val="000000" w:themeColor="text1"/>
          <w:sz w:val="21"/>
          <w:szCs w:val="21"/>
          <w:highlight w:val="none"/>
          <w:lang w:eastAsia="zh-CN"/>
          <w14:textFill>
            <w14:solidFill>
              <w14:schemeClr w14:val="tx1"/>
            </w14:solidFill>
          </w14:textFill>
        </w:rPr>
      </w:pPr>
      <w:r>
        <w:rPr>
          <w:rFonts w:hint="eastAsia" w:hAnsi="宋体" w:eastAsia="宋体"/>
          <w:color w:val="000000" w:themeColor="text1"/>
          <w:sz w:val="21"/>
          <w:szCs w:val="21"/>
          <w:highlight w:val="none"/>
          <w:lang w:eastAsia="zh-CN"/>
          <w14:textFill>
            <w14:solidFill>
              <w14:schemeClr w14:val="tx1"/>
            </w14:solidFill>
          </w14:textFill>
        </w:rPr>
        <w:t>注：1、投标人应根据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w:t>
      </w:r>
    </w:p>
    <w:p w14:paraId="5C12E7DC">
      <w:pPr>
        <w:pStyle w:val="17"/>
        <w:ind w:firstLine="420" w:firstLineChars="200"/>
        <w:jc w:val="left"/>
        <w:rPr>
          <w:rFonts w:hAnsi="宋体" w:eastAsia="宋体"/>
          <w:color w:val="000000" w:themeColor="text1"/>
          <w:sz w:val="21"/>
          <w:szCs w:val="21"/>
          <w:highlight w:val="none"/>
          <w:lang w:eastAsia="zh-CN"/>
          <w14:textFill>
            <w14:solidFill>
              <w14:schemeClr w14:val="tx1"/>
            </w14:solidFill>
          </w14:textFill>
        </w:rPr>
      </w:pPr>
      <w:r>
        <w:rPr>
          <w:rFonts w:hint="eastAsia" w:hAnsi="宋体" w:eastAsia="宋体"/>
          <w:color w:val="000000" w:themeColor="text1"/>
          <w:sz w:val="21"/>
          <w:szCs w:val="21"/>
          <w:highlight w:val="none"/>
          <w:lang w:eastAsia="zh-CN"/>
          <w14:textFill>
            <w14:solidFill>
              <w14:schemeClr w14:val="tx1"/>
            </w14:solidFill>
          </w14:textFill>
        </w:rPr>
        <w:t>2、如有提供证明材料的请在本表中应答证明材料具体位置。</w:t>
      </w:r>
    </w:p>
    <w:p w14:paraId="0AB9D766">
      <w:pPr>
        <w:pStyle w:val="27"/>
        <w:rPr>
          <w:rFonts w:ascii="宋体" w:hAnsi="宋体" w:eastAsia="宋体"/>
          <w:color w:val="000000" w:themeColor="text1"/>
          <w:spacing w:val="20"/>
          <w:sz w:val="21"/>
          <w:szCs w:val="21"/>
          <w:highlight w:val="none"/>
          <w:lang w:eastAsia="zh-CN"/>
          <w14:textFill>
            <w14:solidFill>
              <w14:schemeClr w14:val="tx1"/>
            </w14:solidFill>
          </w14:textFill>
        </w:rPr>
      </w:pPr>
    </w:p>
    <w:p w14:paraId="67659456">
      <w:pPr>
        <w:rPr>
          <w:color w:val="000000" w:themeColor="text1"/>
          <w:highlight w:val="none"/>
          <w:lang w:eastAsia="zh-CN"/>
          <w14:textFill>
            <w14:solidFill>
              <w14:schemeClr w14:val="tx1"/>
            </w14:solidFill>
          </w14:textFill>
        </w:rPr>
      </w:pPr>
    </w:p>
    <w:p w14:paraId="330B3F5D">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32F93526">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3094DB8D">
      <w:pPr>
        <w:spacing w:line="600" w:lineRule="exact"/>
        <w:ind w:firstLine="3373" w:firstLineChars="1400"/>
        <w:rPr>
          <w:rFonts w:ascii="宋体" w:hAnsi="宋体" w:eastAsia="宋体"/>
          <w:b/>
          <w:bCs/>
          <w:color w:val="000000" w:themeColor="text1"/>
          <w:sz w:val="24"/>
          <w:szCs w:val="24"/>
          <w:highlight w:val="none"/>
          <w:lang w:eastAsia="zh-CN"/>
          <w14:textFill>
            <w14:solidFill>
              <w14:schemeClr w14:val="tx1"/>
            </w14:solidFill>
          </w14:textFill>
        </w:rPr>
      </w:pPr>
    </w:p>
    <w:p w14:paraId="2544D184">
      <w:pPr>
        <w:pStyle w:val="18"/>
        <w:rPr>
          <w:rFonts w:ascii="宋体" w:hAnsi="宋体" w:eastAsia="宋体"/>
          <w:bCs/>
          <w:color w:val="000000" w:themeColor="text1"/>
          <w:sz w:val="24"/>
          <w:szCs w:val="24"/>
          <w:highlight w:val="none"/>
          <w:lang w:eastAsia="zh-CN"/>
          <w14:textFill>
            <w14:solidFill>
              <w14:schemeClr w14:val="tx1"/>
            </w14:solidFill>
          </w14:textFill>
        </w:rPr>
      </w:pPr>
    </w:p>
    <w:p w14:paraId="422567D1">
      <w:pPr>
        <w:rPr>
          <w:rFonts w:ascii="宋体" w:hAnsi="宋体" w:eastAsia="宋体"/>
          <w:b/>
          <w:bCs/>
          <w:color w:val="000000" w:themeColor="text1"/>
          <w:sz w:val="24"/>
          <w:szCs w:val="24"/>
          <w:highlight w:val="none"/>
          <w:lang w:eastAsia="zh-CN"/>
          <w14:textFill>
            <w14:solidFill>
              <w14:schemeClr w14:val="tx1"/>
            </w14:solidFill>
          </w14:textFill>
        </w:rPr>
      </w:pPr>
    </w:p>
    <w:p w14:paraId="4E3E8817">
      <w:pPr>
        <w:pStyle w:val="18"/>
        <w:rPr>
          <w:rFonts w:ascii="宋体" w:hAnsi="宋体" w:eastAsia="宋体"/>
          <w:bCs/>
          <w:color w:val="000000" w:themeColor="text1"/>
          <w:sz w:val="24"/>
          <w:szCs w:val="24"/>
          <w:highlight w:val="none"/>
          <w:lang w:eastAsia="zh-CN"/>
          <w14:textFill>
            <w14:solidFill>
              <w14:schemeClr w14:val="tx1"/>
            </w14:solidFill>
          </w14:textFill>
        </w:rPr>
      </w:pPr>
    </w:p>
    <w:p w14:paraId="05A7DCC7">
      <w:pPr>
        <w:rPr>
          <w:rFonts w:ascii="宋体" w:hAnsi="宋体" w:eastAsia="宋体"/>
          <w:b/>
          <w:bCs/>
          <w:color w:val="000000" w:themeColor="text1"/>
          <w:sz w:val="24"/>
          <w:szCs w:val="24"/>
          <w:highlight w:val="none"/>
          <w:lang w:eastAsia="zh-CN"/>
          <w14:textFill>
            <w14:solidFill>
              <w14:schemeClr w14:val="tx1"/>
            </w14:solidFill>
          </w14:textFill>
        </w:rPr>
      </w:pPr>
    </w:p>
    <w:p w14:paraId="1F611A1C">
      <w:pPr>
        <w:pStyle w:val="18"/>
        <w:rPr>
          <w:rFonts w:ascii="宋体" w:hAnsi="宋体" w:eastAsia="宋体"/>
          <w:bCs/>
          <w:color w:val="000000" w:themeColor="text1"/>
          <w:sz w:val="24"/>
          <w:szCs w:val="24"/>
          <w:highlight w:val="none"/>
          <w:lang w:eastAsia="zh-CN"/>
          <w14:textFill>
            <w14:solidFill>
              <w14:schemeClr w14:val="tx1"/>
            </w14:solidFill>
          </w14:textFill>
        </w:rPr>
      </w:pPr>
    </w:p>
    <w:p w14:paraId="0A1591AF">
      <w:pPr>
        <w:rPr>
          <w:rFonts w:ascii="宋体" w:hAnsi="宋体" w:eastAsia="宋体"/>
          <w:b/>
          <w:bCs/>
          <w:color w:val="000000" w:themeColor="text1"/>
          <w:sz w:val="24"/>
          <w:szCs w:val="24"/>
          <w:highlight w:val="none"/>
          <w:lang w:eastAsia="zh-CN"/>
          <w14:textFill>
            <w14:solidFill>
              <w14:schemeClr w14:val="tx1"/>
            </w14:solidFill>
          </w14:textFill>
        </w:rPr>
      </w:pPr>
    </w:p>
    <w:p w14:paraId="61EE5D69">
      <w:pPr>
        <w:pStyle w:val="18"/>
        <w:rPr>
          <w:rFonts w:ascii="宋体" w:hAnsi="宋体" w:eastAsia="宋体"/>
          <w:bCs/>
          <w:color w:val="000000" w:themeColor="text1"/>
          <w:sz w:val="24"/>
          <w:szCs w:val="24"/>
          <w:highlight w:val="none"/>
          <w:lang w:eastAsia="zh-CN"/>
          <w14:textFill>
            <w14:solidFill>
              <w14:schemeClr w14:val="tx1"/>
            </w14:solidFill>
          </w14:textFill>
        </w:rPr>
      </w:pPr>
    </w:p>
    <w:p w14:paraId="0649E427">
      <w:pPr>
        <w:rPr>
          <w:rFonts w:ascii="宋体" w:hAnsi="宋体" w:eastAsia="宋体"/>
          <w:b/>
          <w:bCs/>
          <w:color w:val="000000" w:themeColor="text1"/>
          <w:sz w:val="24"/>
          <w:szCs w:val="24"/>
          <w:highlight w:val="none"/>
          <w:lang w:eastAsia="zh-CN"/>
          <w14:textFill>
            <w14:solidFill>
              <w14:schemeClr w14:val="tx1"/>
            </w14:solidFill>
          </w14:textFill>
        </w:rPr>
      </w:pPr>
    </w:p>
    <w:p w14:paraId="282EE43D">
      <w:pPr>
        <w:pStyle w:val="18"/>
        <w:rPr>
          <w:rFonts w:ascii="宋体" w:hAnsi="宋体" w:eastAsia="宋体"/>
          <w:bCs/>
          <w:color w:val="000000" w:themeColor="text1"/>
          <w:sz w:val="24"/>
          <w:szCs w:val="24"/>
          <w:highlight w:val="none"/>
          <w:lang w:eastAsia="zh-CN"/>
          <w14:textFill>
            <w14:solidFill>
              <w14:schemeClr w14:val="tx1"/>
            </w14:solidFill>
          </w14:textFill>
        </w:rPr>
      </w:pPr>
    </w:p>
    <w:p w14:paraId="11B88058">
      <w:pPr>
        <w:rPr>
          <w:rFonts w:ascii="宋体" w:hAnsi="宋体" w:eastAsia="宋体"/>
          <w:b/>
          <w:bCs/>
          <w:color w:val="000000" w:themeColor="text1"/>
          <w:sz w:val="24"/>
          <w:szCs w:val="24"/>
          <w:highlight w:val="none"/>
          <w:lang w:eastAsia="zh-CN"/>
          <w14:textFill>
            <w14:solidFill>
              <w14:schemeClr w14:val="tx1"/>
            </w14:solidFill>
          </w14:textFill>
        </w:rPr>
      </w:pPr>
    </w:p>
    <w:p w14:paraId="2B5CAF62">
      <w:pPr>
        <w:pStyle w:val="18"/>
        <w:rPr>
          <w:rFonts w:ascii="宋体" w:hAnsi="宋体" w:eastAsia="宋体"/>
          <w:bCs/>
          <w:color w:val="000000" w:themeColor="text1"/>
          <w:sz w:val="24"/>
          <w:szCs w:val="24"/>
          <w:highlight w:val="none"/>
          <w:lang w:eastAsia="zh-CN"/>
          <w14:textFill>
            <w14:solidFill>
              <w14:schemeClr w14:val="tx1"/>
            </w14:solidFill>
          </w14:textFill>
        </w:rPr>
      </w:pPr>
    </w:p>
    <w:p w14:paraId="09254C7A">
      <w:pPr>
        <w:rPr>
          <w:rFonts w:ascii="宋体" w:hAnsi="宋体" w:eastAsia="宋体"/>
          <w:b/>
          <w:bCs/>
          <w:color w:val="000000" w:themeColor="text1"/>
          <w:sz w:val="24"/>
          <w:szCs w:val="24"/>
          <w:highlight w:val="none"/>
          <w:lang w:eastAsia="zh-CN"/>
          <w14:textFill>
            <w14:solidFill>
              <w14:schemeClr w14:val="tx1"/>
            </w14:solidFill>
          </w14:textFill>
        </w:rPr>
      </w:pPr>
    </w:p>
    <w:p w14:paraId="3DFCC95D">
      <w:pPr>
        <w:pStyle w:val="18"/>
        <w:rPr>
          <w:rFonts w:ascii="宋体" w:hAnsi="宋体" w:eastAsia="宋体"/>
          <w:bCs/>
          <w:color w:val="000000" w:themeColor="text1"/>
          <w:sz w:val="24"/>
          <w:szCs w:val="24"/>
          <w:highlight w:val="none"/>
          <w:lang w:eastAsia="zh-CN"/>
          <w14:textFill>
            <w14:solidFill>
              <w14:schemeClr w14:val="tx1"/>
            </w14:solidFill>
          </w14:textFill>
        </w:rPr>
      </w:pPr>
    </w:p>
    <w:p w14:paraId="29F029FC">
      <w:pPr>
        <w:rPr>
          <w:rFonts w:ascii="宋体" w:hAnsi="宋体" w:eastAsia="宋体"/>
          <w:b/>
          <w:bCs/>
          <w:color w:val="000000" w:themeColor="text1"/>
          <w:sz w:val="24"/>
          <w:szCs w:val="24"/>
          <w:highlight w:val="none"/>
          <w:lang w:eastAsia="zh-CN"/>
          <w14:textFill>
            <w14:solidFill>
              <w14:schemeClr w14:val="tx1"/>
            </w14:solidFill>
          </w14:textFill>
        </w:rPr>
      </w:pPr>
    </w:p>
    <w:p w14:paraId="756F3E26">
      <w:pPr>
        <w:pStyle w:val="18"/>
        <w:rPr>
          <w:rFonts w:ascii="宋体" w:hAnsi="宋体" w:eastAsia="宋体"/>
          <w:bCs/>
          <w:color w:val="000000" w:themeColor="text1"/>
          <w:sz w:val="24"/>
          <w:szCs w:val="24"/>
          <w:highlight w:val="none"/>
          <w:lang w:eastAsia="zh-CN"/>
          <w14:textFill>
            <w14:solidFill>
              <w14:schemeClr w14:val="tx1"/>
            </w14:solidFill>
          </w14:textFill>
        </w:rPr>
      </w:pPr>
    </w:p>
    <w:p w14:paraId="42BCF52F">
      <w:pPr>
        <w:rPr>
          <w:rFonts w:ascii="宋体" w:hAnsi="宋体" w:eastAsia="宋体"/>
          <w:b/>
          <w:bCs/>
          <w:color w:val="000000" w:themeColor="text1"/>
          <w:sz w:val="24"/>
          <w:szCs w:val="24"/>
          <w:highlight w:val="none"/>
          <w:lang w:eastAsia="zh-CN"/>
          <w14:textFill>
            <w14:solidFill>
              <w14:schemeClr w14:val="tx1"/>
            </w14:solidFill>
          </w14:textFill>
        </w:rPr>
      </w:pPr>
    </w:p>
    <w:p w14:paraId="73072035">
      <w:pPr>
        <w:pStyle w:val="18"/>
        <w:rPr>
          <w:rFonts w:ascii="宋体" w:hAnsi="宋体" w:eastAsia="宋体"/>
          <w:bCs/>
          <w:color w:val="000000" w:themeColor="text1"/>
          <w:sz w:val="24"/>
          <w:szCs w:val="24"/>
          <w:highlight w:val="none"/>
          <w:lang w:eastAsia="zh-CN"/>
          <w14:textFill>
            <w14:solidFill>
              <w14:schemeClr w14:val="tx1"/>
            </w14:solidFill>
          </w14:textFill>
        </w:rPr>
      </w:pPr>
    </w:p>
    <w:p w14:paraId="315A8C19">
      <w:pPr>
        <w:rPr>
          <w:rFonts w:ascii="宋体" w:hAnsi="宋体" w:eastAsia="宋体"/>
          <w:b/>
          <w:bCs/>
          <w:color w:val="000000" w:themeColor="text1"/>
          <w:sz w:val="24"/>
          <w:szCs w:val="24"/>
          <w:highlight w:val="none"/>
          <w:lang w:eastAsia="zh-CN"/>
          <w14:textFill>
            <w14:solidFill>
              <w14:schemeClr w14:val="tx1"/>
            </w14:solidFill>
          </w14:textFill>
        </w:rPr>
      </w:pPr>
    </w:p>
    <w:p w14:paraId="6703E43E">
      <w:pPr>
        <w:pStyle w:val="18"/>
        <w:rPr>
          <w:rFonts w:ascii="宋体" w:hAnsi="宋体" w:eastAsia="宋体"/>
          <w:bCs/>
          <w:color w:val="000000" w:themeColor="text1"/>
          <w:sz w:val="24"/>
          <w:szCs w:val="24"/>
          <w:highlight w:val="none"/>
          <w:lang w:eastAsia="zh-CN"/>
          <w14:textFill>
            <w14:solidFill>
              <w14:schemeClr w14:val="tx1"/>
            </w14:solidFill>
          </w14:textFill>
        </w:rPr>
      </w:pPr>
    </w:p>
    <w:p w14:paraId="0EA7615E">
      <w:pPr>
        <w:rPr>
          <w:rFonts w:ascii="宋体" w:hAnsi="宋体" w:eastAsia="宋体"/>
          <w:b/>
          <w:bCs/>
          <w:color w:val="000000" w:themeColor="text1"/>
          <w:sz w:val="24"/>
          <w:szCs w:val="24"/>
          <w:highlight w:val="none"/>
          <w:lang w:eastAsia="zh-CN"/>
          <w14:textFill>
            <w14:solidFill>
              <w14:schemeClr w14:val="tx1"/>
            </w14:solidFill>
          </w14:textFill>
        </w:rPr>
      </w:pPr>
    </w:p>
    <w:p w14:paraId="6F148C95">
      <w:pPr>
        <w:spacing w:line="600" w:lineRule="exact"/>
        <w:ind w:firstLine="3855" w:firstLineChars="1600"/>
        <w:rPr>
          <w:rFonts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产品质量保证书</w:t>
      </w:r>
    </w:p>
    <w:p w14:paraId="62659557">
      <w:pPr>
        <w:spacing w:line="500" w:lineRule="exact"/>
        <w:ind w:left="420" w:hanging="42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致</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（采购人）：</w:t>
      </w:r>
    </w:p>
    <w:p w14:paraId="58F765D2">
      <w:pPr>
        <w:spacing w:line="5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我公司在此向贵方承诺：</w:t>
      </w:r>
    </w:p>
    <w:p w14:paraId="7E8EE1B4">
      <w:pPr>
        <w:spacing w:line="5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我方参与投标的</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分标，一旦中标，我方保证按照招标文件文件和投标文件的要求提供合格的产品，如出现弄虚作假，包括掺杂、掺假、以假充真、以次充好、以不合格产品冒充合格产品的，我方愿按《中华人民共和国政府采购法》《中华人民共和国民法典》、《中华人民共和国产品质量法》、《中华人民共和国消费者权益保护法》等法律法规规定，承担相应的经济责任和法律责任。</w:t>
      </w:r>
    </w:p>
    <w:p w14:paraId="1615C3DC">
      <w:pPr>
        <w:spacing w:line="300" w:lineRule="auto"/>
        <w:rPr>
          <w:rFonts w:ascii="宋体" w:hAnsi="宋体" w:eastAsia="宋体"/>
          <w:b/>
          <w:color w:val="000000" w:themeColor="text1"/>
          <w:sz w:val="21"/>
          <w:szCs w:val="21"/>
          <w:highlight w:val="none"/>
          <w:lang w:eastAsia="zh-CN"/>
          <w14:textFill>
            <w14:solidFill>
              <w14:schemeClr w14:val="tx1"/>
            </w14:solidFill>
          </w14:textFill>
        </w:rPr>
      </w:pPr>
    </w:p>
    <w:p w14:paraId="1244E731">
      <w:pPr>
        <w:spacing w:line="300" w:lineRule="auto"/>
        <w:ind w:left="420" w:hanging="420"/>
        <w:jc w:val="center"/>
        <w:rPr>
          <w:rFonts w:ascii="宋体" w:hAnsi="宋体" w:eastAsia="宋体"/>
          <w:b/>
          <w:color w:val="000000" w:themeColor="text1"/>
          <w:sz w:val="21"/>
          <w:szCs w:val="21"/>
          <w:highlight w:val="none"/>
          <w:lang w:eastAsia="zh-CN"/>
          <w14:textFill>
            <w14:solidFill>
              <w14:schemeClr w14:val="tx1"/>
            </w14:solidFill>
          </w14:textFill>
        </w:rPr>
      </w:pPr>
    </w:p>
    <w:p w14:paraId="24F93E76">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14:paraId="7502AB06">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14:paraId="2AE309C9">
      <w:pPr>
        <w:pStyle w:val="21"/>
        <w:spacing w:line="288" w:lineRule="auto"/>
        <w:jc w:val="center"/>
        <w:rPr>
          <w:rFonts w:hAnsi="宋体" w:cs="宋体"/>
          <w:b/>
          <w:color w:val="000000" w:themeColor="text1"/>
          <w:szCs w:val="21"/>
          <w:highlight w:val="none"/>
          <w14:textFill>
            <w14:solidFill>
              <w14:schemeClr w14:val="tx1"/>
            </w14:solidFill>
          </w14:textFill>
        </w:rPr>
      </w:pPr>
    </w:p>
    <w:p w14:paraId="285168EC">
      <w:pPr>
        <w:pStyle w:val="55"/>
        <w:rPr>
          <w:rFonts w:ascii="宋体" w:hAnsi="宋体" w:eastAsia="宋体"/>
          <w:b/>
          <w:color w:val="000000" w:themeColor="text1"/>
          <w:sz w:val="21"/>
          <w:szCs w:val="21"/>
          <w:highlight w:val="none"/>
          <w:u w:val="double"/>
          <w:lang w:eastAsia="zh-CN"/>
          <w14:textFill>
            <w14:solidFill>
              <w14:schemeClr w14:val="tx1"/>
            </w14:solidFill>
          </w14:textFill>
        </w:rPr>
      </w:pPr>
    </w:p>
    <w:p w14:paraId="645521EE">
      <w:pPr>
        <w:pStyle w:val="96"/>
        <w:jc w:val="both"/>
        <w:rPr>
          <w:rFonts w:eastAsia="宋体"/>
          <w:color w:val="000000" w:themeColor="text1"/>
          <w:sz w:val="21"/>
          <w:szCs w:val="21"/>
          <w:highlight w:val="none"/>
          <w:lang w:eastAsia="zh-CN"/>
          <w14:textFill>
            <w14:solidFill>
              <w14:schemeClr w14:val="tx1"/>
            </w14:solidFill>
          </w14:textFill>
        </w:rPr>
      </w:pPr>
    </w:p>
    <w:p w14:paraId="32A94598">
      <w:pPr>
        <w:pStyle w:val="96"/>
        <w:jc w:val="both"/>
        <w:rPr>
          <w:rFonts w:eastAsia="宋体"/>
          <w:color w:val="000000" w:themeColor="text1"/>
          <w:sz w:val="21"/>
          <w:szCs w:val="21"/>
          <w:highlight w:val="none"/>
          <w:lang w:eastAsia="zh-CN"/>
          <w14:textFill>
            <w14:solidFill>
              <w14:schemeClr w14:val="tx1"/>
            </w14:solidFill>
          </w14:textFill>
        </w:rPr>
      </w:pPr>
    </w:p>
    <w:p w14:paraId="49187E08">
      <w:pPr>
        <w:pStyle w:val="96"/>
        <w:jc w:val="both"/>
        <w:rPr>
          <w:rFonts w:eastAsia="宋体"/>
          <w:color w:val="000000" w:themeColor="text1"/>
          <w:sz w:val="21"/>
          <w:szCs w:val="21"/>
          <w:highlight w:val="none"/>
          <w:lang w:eastAsia="zh-CN"/>
          <w14:textFill>
            <w14:solidFill>
              <w14:schemeClr w14:val="tx1"/>
            </w14:solidFill>
          </w14:textFill>
        </w:rPr>
      </w:pPr>
    </w:p>
    <w:p w14:paraId="2A66143B">
      <w:pPr>
        <w:pStyle w:val="96"/>
        <w:jc w:val="both"/>
        <w:rPr>
          <w:rFonts w:eastAsia="宋体"/>
          <w:color w:val="000000" w:themeColor="text1"/>
          <w:sz w:val="21"/>
          <w:szCs w:val="21"/>
          <w:highlight w:val="none"/>
          <w:lang w:eastAsia="zh-CN"/>
          <w14:textFill>
            <w14:solidFill>
              <w14:schemeClr w14:val="tx1"/>
            </w14:solidFill>
          </w14:textFill>
        </w:rPr>
      </w:pPr>
    </w:p>
    <w:p w14:paraId="00D42928">
      <w:pPr>
        <w:pStyle w:val="96"/>
        <w:jc w:val="both"/>
        <w:rPr>
          <w:rFonts w:eastAsia="宋体"/>
          <w:color w:val="000000" w:themeColor="text1"/>
          <w:sz w:val="21"/>
          <w:szCs w:val="21"/>
          <w:highlight w:val="none"/>
          <w:lang w:eastAsia="zh-CN"/>
          <w14:textFill>
            <w14:solidFill>
              <w14:schemeClr w14:val="tx1"/>
            </w14:solidFill>
          </w14:textFill>
        </w:rPr>
      </w:pPr>
    </w:p>
    <w:p w14:paraId="220145FC">
      <w:pPr>
        <w:pStyle w:val="96"/>
        <w:jc w:val="both"/>
        <w:rPr>
          <w:rFonts w:eastAsia="宋体"/>
          <w:color w:val="000000" w:themeColor="text1"/>
          <w:sz w:val="21"/>
          <w:szCs w:val="21"/>
          <w:highlight w:val="none"/>
          <w:lang w:eastAsia="zh-CN"/>
          <w14:textFill>
            <w14:solidFill>
              <w14:schemeClr w14:val="tx1"/>
            </w14:solidFill>
          </w14:textFill>
        </w:rPr>
      </w:pPr>
    </w:p>
    <w:p w14:paraId="526F5AF4">
      <w:pPr>
        <w:pStyle w:val="96"/>
        <w:jc w:val="both"/>
        <w:rPr>
          <w:rFonts w:eastAsia="宋体"/>
          <w:color w:val="000000" w:themeColor="text1"/>
          <w:sz w:val="21"/>
          <w:szCs w:val="21"/>
          <w:highlight w:val="none"/>
          <w:lang w:eastAsia="zh-CN"/>
          <w14:textFill>
            <w14:solidFill>
              <w14:schemeClr w14:val="tx1"/>
            </w14:solidFill>
          </w14:textFill>
        </w:rPr>
      </w:pPr>
    </w:p>
    <w:p w14:paraId="61980D4C">
      <w:pPr>
        <w:pStyle w:val="96"/>
        <w:jc w:val="both"/>
        <w:rPr>
          <w:rFonts w:eastAsia="宋体"/>
          <w:color w:val="000000" w:themeColor="text1"/>
          <w:sz w:val="21"/>
          <w:szCs w:val="21"/>
          <w:highlight w:val="none"/>
          <w:lang w:eastAsia="zh-CN"/>
          <w14:textFill>
            <w14:solidFill>
              <w14:schemeClr w14:val="tx1"/>
            </w14:solidFill>
          </w14:textFill>
        </w:rPr>
      </w:pPr>
    </w:p>
    <w:p w14:paraId="504374EA">
      <w:pPr>
        <w:pStyle w:val="96"/>
        <w:jc w:val="both"/>
        <w:rPr>
          <w:rFonts w:eastAsia="宋体"/>
          <w:color w:val="000000" w:themeColor="text1"/>
          <w:sz w:val="21"/>
          <w:szCs w:val="21"/>
          <w:highlight w:val="none"/>
          <w:lang w:eastAsia="zh-CN"/>
          <w14:textFill>
            <w14:solidFill>
              <w14:schemeClr w14:val="tx1"/>
            </w14:solidFill>
          </w14:textFill>
        </w:rPr>
      </w:pPr>
    </w:p>
    <w:p w14:paraId="7BD3CAF3">
      <w:pPr>
        <w:pStyle w:val="96"/>
        <w:jc w:val="both"/>
        <w:rPr>
          <w:rFonts w:eastAsia="宋体"/>
          <w:color w:val="000000" w:themeColor="text1"/>
          <w:sz w:val="21"/>
          <w:szCs w:val="21"/>
          <w:highlight w:val="none"/>
          <w:lang w:eastAsia="zh-CN"/>
          <w14:textFill>
            <w14:solidFill>
              <w14:schemeClr w14:val="tx1"/>
            </w14:solidFill>
          </w14:textFill>
        </w:rPr>
      </w:pPr>
    </w:p>
    <w:p w14:paraId="23650837">
      <w:pPr>
        <w:pStyle w:val="96"/>
        <w:jc w:val="both"/>
        <w:rPr>
          <w:rFonts w:eastAsia="宋体"/>
          <w:color w:val="000000" w:themeColor="text1"/>
          <w:sz w:val="21"/>
          <w:szCs w:val="21"/>
          <w:highlight w:val="none"/>
          <w:lang w:eastAsia="zh-CN"/>
          <w14:textFill>
            <w14:solidFill>
              <w14:schemeClr w14:val="tx1"/>
            </w14:solidFill>
          </w14:textFill>
        </w:rPr>
      </w:pPr>
    </w:p>
    <w:p w14:paraId="53A152E6">
      <w:pPr>
        <w:pStyle w:val="96"/>
        <w:jc w:val="both"/>
        <w:rPr>
          <w:rFonts w:eastAsia="宋体"/>
          <w:color w:val="000000" w:themeColor="text1"/>
          <w:sz w:val="21"/>
          <w:szCs w:val="21"/>
          <w:highlight w:val="none"/>
          <w:lang w:eastAsia="zh-CN"/>
          <w14:textFill>
            <w14:solidFill>
              <w14:schemeClr w14:val="tx1"/>
            </w14:solidFill>
          </w14:textFill>
        </w:rPr>
      </w:pPr>
    </w:p>
    <w:p w14:paraId="1798FA21">
      <w:pPr>
        <w:pStyle w:val="96"/>
        <w:jc w:val="both"/>
        <w:rPr>
          <w:rFonts w:eastAsia="宋体"/>
          <w:color w:val="000000" w:themeColor="text1"/>
          <w:sz w:val="21"/>
          <w:szCs w:val="21"/>
          <w:highlight w:val="none"/>
          <w:lang w:eastAsia="zh-CN"/>
          <w14:textFill>
            <w14:solidFill>
              <w14:schemeClr w14:val="tx1"/>
            </w14:solidFill>
          </w14:textFill>
        </w:rPr>
      </w:pPr>
    </w:p>
    <w:p w14:paraId="0A1DFCDF">
      <w:pPr>
        <w:pStyle w:val="96"/>
        <w:jc w:val="both"/>
        <w:rPr>
          <w:rFonts w:eastAsia="宋体"/>
          <w:color w:val="000000" w:themeColor="text1"/>
          <w:sz w:val="21"/>
          <w:szCs w:val="21"/>
          <w:highlight w:val="none"/>
          <w:lang w:eastAsia="zh-CN"/>
          <w14:textFill>
            <w14:solidFill>
              <w14:schemeClr w14:val="tx1"/>
            </w14:solidFill>
          </w14:textFill>
        </w:rPr>
      </w:pPr>
    </w:p>
    <w:p w14:paraId="0981FCCD">
      <w:pPr>
        <w:pStyle w:val="96"/>
        <w:jc w:val="both"/>
        <w:rPr>
          <w:rFonts w:eastAsia="宋体"/>
          <w:color w:val="000000" w:themeColor="text1"/>
          <w:sz w:val="21"/>
          <w:szCs w:val="21"/>
          <w:highlight w:val="none"/>
          <w:lang w:eastAsia="zh-CN"/>
          <w14:textFill>
            <w14:solidFill>
              <w14:schemeClr w14:val="tx1"/>
            </w14:solidFill>
          </w14:textFill>
        </w:rPr>
      </w:pPr>
    </w:p>
    <w:p w14:paraId="6304D0E0">
      <w:pPr>
        <w:pStyle w:val="96"/>
        <w:jc w:val="both"/>
        <w:rPr>
          <w:rFonts w:eastAsia="宋体"/>
          <w:color w:val="000000" w:themeColor="text1"/>
          <w:sz w:val="21"/>
          <w:szCs w:val="21"/>
          <w:highlight w:val="none"/>
          <w:lang w:eastAsia="zh-CN"/>
          <w14:textFill>
            <w14:solidFill>
              <w14:schemeClr w14:val="tx1"/>
            </w14:solidFill>
          </w14:textFill>
        </w:rPr>
      </w:pPr>
    </w:p>
    <w:p w14:paraId="60C11C10">
      <w:pPr>
        <w:pStyle w:val="96"/>
        <w:jc w:val="both"/>
        <w:rPr>
          <w:rFonts w:eastAsia="宋体"/>
          <w:color w:val="000000" w:themeColor="text1"/>
          <w:sz w:val="21"/>
          <w:szCs w:val="21"/>
          <w:highlight w:val="none"/>
          <w:lang w:eastAsia="zh-CN"/>
          <w14:textFill>
            <w14:solidFill>
              <w14:schemeClr w14:val="tx1"/>
            </w14:solidFill>
          </w14:textFill>
        </w:rPr>
      </w:pPr>
    </w:p>
    <w:p w14:paraId="297CE56C">
      <w:pPr>
        <w:pStyle w:val="96"/>
        <w:jc w:val="both"/>
        <w:rPr>
          <w:rFonts w:eastAsia="宋体"/>
          <w:color w:val="000000" w:themeColor="text1"/>
          <w:sz w:val="21"/>
          <w:szCs w:val="21"/>
          <w:highlight w:val="none"/>
          <w:lang w:eastAsia="zh-CN"/>
          <w14:textFill>
            <w14:solidFill>
              <w14:schemeClr w14:val="tx1"/>
            </w14:solidFill>
          </w14:textFill>
        </w:rPr>
      </w:pPr>
    </w:p>
    <w:p w14:paraId="1DDC76AA">
      <w:pPr>
        <w:pStyle w:val="96"/>
        <w:jc w:val="both"/>
        <w:rPr>
          <w:rFonts w:eastAsia="宋体"/>
          <w:color w:val="000000" w:themeColor="text1"/>
          <w:sz w:val="21"/>
          <w:szCs w:val="21"/>
          <w:highlight w:val="none"/>
          <w:lang w:eastAsia="zh-CN"/>
          <w14:textFill>
            <w14:solidFill>
              <w14:schemeClr w14:val="tx1"/>
            </w14:solidFill>
          </w14:textFill>
        </w:rPr>
      </w:pPr>
    </w:p>
    <w:p w14:paraId="7B815113">
      <w:pPr>
        <w:pStyle w:val="96"/>
        <w:jc w:val="both"/>
        <w:rPr>
          <w:rFonts w:eastAsia="宋体"/>
          <w:color w:val="000000" w:themeColor="text1"/>
          <w:sz w:val="21"/>
          <w:szCs w:val="21"/>
          <w:highlight w:val="none"/>
          <w:lang w:eastAsia="zh-CN"/>
          <w14:textFill>
            <w14:solidFill>
              <w14:schemeClr w14:val="tx1"/>
            </w14:solidFill>
          </w14:textFill>
        </w:rPr>
      </w:pPr>
    </w:p>
    <w:p w14:paraId="0C88FC7D">
      <w:pPr>
        <w:pStyle w:val="96"/>
        <w:jc w:val="both"/>
        <w:rPr>
          <w:rFonts w:eastAsia="宋体"/>
          <w:color w:val="000000" w:themeColor="text1"/>
          <w:sz w:val="21"/>
          <w:szCs w:val="21"/>
          <w:highlight w:val="none"/>
          <w:lang w:eastAsia="zh-CN"/>
          <w14:textFill>
            <w14:solidFill>
              <w14:schemeClr w14:val="tx1"/>
            </w14:solidFill>
          </w14:textFill>
        </w:rPr>
      </w:pPr>
    </w:p>
    <w:p w14:paraId="7E207854">
      <w:pPr>
        <w:pStyle w:val="96"/>
        <w:jc w:val="both"/>
        <w:rPr>
          <w:rFonts w:eastAsia="宋体"/>
          <w:color w:val="000000" w:themeColor="text1"/>
          <w:sz w:val="21"/>
          <w:szCs w:val="21"/>
          <w:highlight w:val="none"/>
          <w:lang w:eastAsia="zh-CN"/>
          <w14:textFill>
            <w14:solidFill>
              <w14:schemeClr w14:val="tx1"/>
            </w14:solidFill>
          </w14:textFill>
        </w:rPr>
      </w:pPr>
    </w:p>
    <w:p w14:paraId="7079857A">
      <w:pPr>
        <w:pStyle w:val="96"/>
        <w:jc w:val="both"/>
        <w:rPr>
          <w:rFonts w:eastAsia="宋体"/>
          <w:color w:val="000000" w:themeColor="text1"/>
          <w:sz w:val="21"/>
          <w:szCs w:val="21"/>
          <w:highlight w:val="none"/>
          <w:lang w:eastAsia="zh-CN"/>
          <w14:textFill>
            <w14:solidFill>
              <w14:schemeClr w14:val="tx1"/>
            </w14:solidFill>
          </w14:textFill>
        </w:rPr>
      </w:pPr>
    </w:p>
    <w:p w14:paraId="25E6DB53">
      <w:pPr>
        <w:tabs>
          <w:tab w:val="left" w:pos="2472"/>
        </w:tabs>
        <w:spacing w:line="460" w:lineRule="exact"/>
        <w:jc w:val="center"/>
        <w:outlineLvl w:val="0"/>
        <w:rPr>
          <w:rFonts w:hint="eastAsia" w:ascii="宋体" w:hAnsi="宋体" w:eastAsia="宋体" w:cs="宋体"/>
          <w:b/>
          <w:color w:val="000000" w:themeColor="text1"/>
          <w:sz w:val="36"/>
          <w:szCs w:val="20"/>
          <w:highlight w:val="none"/>
          <w14:textFill>
            <w14:solidFill>
              <w14:schemeClr w14:val="tx1"/>
            </w14:solidFill>
          </w14:textFill>
        </w:rPr>
      </w:pPr>
      <w:bookmarkStart w:id="316" w:name="_Toc16023"/>
      <w:bookmarkStart w:id="317" w:name="_Toc6550"/>
      <w:bookmarkStart w:id="318" w:name="_Toc27389"/>
      <w:r>
        <w:rPr>
          <w:rFonts w:hint="eastAsia" w:ascii="宋体" w:hAnsi="宋体" w:eastAsia="宋体" w:cs="宋体"/>
          <w:b/>
          <w:color w:val="000000" w:themeColor="text1"/>
          <w:sz w:val="36"/>
          <w:szCs w:val="20"/>
          <w:highlight w:val="none"/>
          <w14:textFill>
            <w14:solidFill>
              <w14:schemeClr w14:val="tx1"/>
            </w14:solidFill>
          </w14:textFill>
        </w:rPr>
        <w:t>第七章 质疑、投诉证明材料格式</w:t>
      </w:r>
      <w:bookmarkEnd w:id="316"/>
      <w:bookmarkEnd w:id="317"/>
      <w:bookmarkEnd w:id="318"/>
    </w:p>
    <w:p w14:paraId="5D293637">
      <w:pPr>
        <w:tabs>
          <w:tab w:val="left" w:pos="2472"/>
        </w:tabs>
        <w:spacing w:line="460" w:lineRule="exact"/>
        <w:jc w:val="center"/>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319" w:name="_Toc4461"/>
      <w:r>
        <w:rPr>
          <w:rFonts w:hint="eastAsia" w:ascii="宋体" w:hAnsi="宋体" w:eastAsia="宋体" w:cs="宋体"/>
          <w:b/>
          <w:bCs/>
          <w:color w:val="000000" w:themeColor="text1"/>
          <w:sz w:val="32"/>
          <w:szCs w:val="32"/>
          <w:highlight w:val="none"/>
          <w14:textFill>
            <w14:solidFill>
              <w14:schemeClr w14:val="tx1"/>
            </w14:solidFill>
          </w14:textFill>
        </w:rPr>
        <w:t>第一节 质疑函</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格式）</w:t>
      </w:r>
      <w:bookmarkEnd w:id="319"/>
    </w:p>
    <w:p w14:paraId="7FB884B8">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质疑函范本</w:t>
      </w:r>
    </w:p>
    <w:p w14:paraId="5B8CFCCC">
      <w:pPr>
        <w:adjustRightInd w:val="0"/>
        <w:snapToGrid w:val="0"/>
        <w:spacing w:before="331" w:beforeLines="100"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一、质疑供应商基本信息</w:t>
      </w:r>
    </w:p>
    <w:p w14:paraId="600648DC">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质疑供应商</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011D2C67">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邮编</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322988D7">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联系人</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联系电话</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6E6E4EAD">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授权代表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4331059E">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60BD97CA">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邮编</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040B2710">
      <w:pPr>
        <w:adjustRightInd w:val="0"/>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二、质疑项目基本情况</w:t>
      </w:r>
    </w:p>
    <w:p w14:paraId="55556714">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质疑项目的名称</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7AE5D637">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质疑项目的编号</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包号</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2DE066A0">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采购人名称</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0CA1DA9A">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采购文件获取日期</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7F887D86">
      <w:pPr>
        <w:adjustRightInd w:val="0"/>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三、质疑事项具体内容</w:t>
      </w:r>
    </w:p>
    <w:p w14:paraId="6896E524">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质疑事项1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1DC7A32F">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事实依据</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2BB91D8E">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545CF05E">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法律依据</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5B47E25E">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49BB9655">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质疑事项2</w:t>
      </w:r>
    </w:p>
    <w:p w14:paraId="44272884">
      <w:pPr>
        <w:adjustRightInd w:val="0"/>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p w14:paraId="1583FB3E">
      <w:pPr>
        <w:adjustRightInd w:val="0"/>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四、与质疑事项相关的质疑请求</w:t>
      </w:r>
    </w:p>
    <w:p w14:paraId="230E04CD">
      <w:pPr>
        <w:adjustRightInd w:val="0"/>
        <w:snapToGrid w:val="0"/>
        <w:spacing w:line="288"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请求</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dotted"/>
          <w14:textFill>
            <w14:solidFill>
              <w14:schemeClr w14:val="tx1"/>
            </w14:solidFill>
          </w14:textFill>
        </w:rPr>
        <w:t xml:space="preserve">                                              </w:t>
      </w:r>
    </w:p>
    <w:p w14:paraId="477123A3">
      <w:pPr>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签字</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签章</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公章</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08CBAA83">
      <w:pPr>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3BEB93DE">
      <w:pPr>
        <w:adjustRightInd w:val="0"/>
        <w:snapToGrid w:val="0"/>
        <w:spacing w:line="360" w:lineRule="auto"/>
        <w:rPr>
          <w:rFonts w:hint="eastAsia" w:ascii="宋体" w:hAnsi="宋体" w:eastAsia="宋体" w:cs="宋体"/>
          <w:color w:val="000000" w:themeColor="text1"/>
          <w:sz w:val="32"/>
          <w:szCs w:val="32"/>
          <w:highlight w:val="none"/>
          <w14:textFill>
            <w14:solidFill>
              <w14:schemeClr w14:val="tx1"/>
            </w14:solidFill>
          </w14:textFill>
        </w:rPr>
      </w:pPr>
    </w:p>
    <w:p w14:paraId="29EF71E0">
      <w:pPr>
        <w:adjustRightInd w:val="0"/>
        <w:snapToGrid w:val="0"/>
        <w:spacing w:line="360" w:lineRule="auto"/>
        <w:rPr>
          <w:rFonts w:hint="eastAsia" w:ascii="宋体" w:hAnsi="宋体" w:eastAsia="宋体" w:cs="宋体"/>
          <w:color w:val="000000" w:themeColor="text1"/>
          <w:sz w:val="32"/>
          <w:szCs w:val="32"/>
          <w:highlight w:val="none"/>
          <w14:textFill>
            <w14:solidFill>
              <w14:schemeClr w14:val="tx1"/>
            </w14:solidFill>
          </w14:textFill>
        </w:rPr>
      </w:pPr>
    </w:p>
    <w:p w14:paraId="004DDC29">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质疑函制作说明：</w:t>
      </w:r>
    </w:p>
    <w:p w14:paraId="4CC60666">
      <w:pPr>
        <w:widowControl/>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1.供应商提出质疑时，应提交质疑函和必要的证明材料。</w:t>
      </w:r>
    </w:p>
    <w:p w14:paraId="36BAABA6">
      <w:pPr>
        <w:widowControl/>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32"/>
          <w:szCs w:val="32"/>
          <w:highlight w:val="none"/>
          <w14:textFill>
            <w14:solidFill>
              <w14:schemeClr w14:val="tx1"/>
            </w14:solidFill>
          </w14:textFill>
        </w:rPr>
        <w:t>供应商签署的授权委托书。授权委托书应载明代理人的姓名或者名称、代理事项、具体权限、期限和相关事项。</w:t>
      </w:r>
    </w:p>
    <w:p w14:paraId="5DC6AD4F">
      <w:pPr>
        <w:widowControl/>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3.质疑供应商若对项目的某一分包进行质疑，质疑函中应列明具体分包号。</w:t>
      </w:r>
    </w:p>
    <w:p w14:paraId="0CBB3E56">
      <w:pPr>
        <w:widowControl/>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4.质疑函的质疑事项应具体、明确，并有必要的事实依据和法律依据。</w:t>
      </w:r>
    </w:p>
    <w:p w14:paraId="24AB444D">
      <w:pPr>
        <w:widowControl/>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5.质疑函的质疑请求应与质疑事项相关。</w:t>
      </w:r>
    </w:p>
    <w:p w14:paraId="5814C586">
      <w:pPr>
        <w:widowControl/>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655A497">
      <w:pPr>
        <w:widowControl/>
        <w:ind w:firstLine="600" w:firstLineChars="200"/>
        <w:jc w:val="left"/>
        <w:rPr>
          <w:rFonts w:hint="eastAsia" w:ascii="宋体" w:hAnsi="宋体" w:eastAsia="宋体" w:cs="宋体"/>
          <w:color w:val="000000" w:themeColor="text1"/>
          <w:sz w:val="30"/>
          <w:szCs w:val="30"/>
          <w:highlight w:val="none"/>
          <w14:textFill>
            <w14:solidFill>
              <w14:schemeClr w14:val="tx1"/>
            </w14:solidFill>
          </w14:textFill>
        </w:rPr>
      </w:pPr>
    </w:p>
    <w:p w14:paraId="1D7CB205">
      <w:pPr>
        <w:snapToGrid w:val="0"/>
        <w:spacing w:before="50" w:after="165" w:afterLines="50"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sectPr>
          <w:headerReference r:id="rId11" w:type="default"/>
          <w:footerReference r:id="rId12" w:type="default"/>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8EC7EAF">
      <w:pPr>
        <w:keepNext/>
        <w:keepLines/>
        <w:spacing w:before="260" w:after="260" w:line="413" w:lineRule="auto"/>
        <w:jc w:val="center"/>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320" w:name="_Toc17567"/>
      <w:r>
        <w:rPr>
          <w:rFonts w:hint="eastAsia" w:ascii="宋体" w:hAnsi="宋体" w:eastAsia="宋体" w:cs="宋体"/>
          <w:b/>
          <w:bCs/>
          <w:color w:val="000000" w:themeColor="text1"/>
          <w:sz w:val="32"/>
          <w:szCs w:val="32"/>
          <w:highlight w:val="none"/>
          <w14:textFill>
            <w14:solidFill>
              <w14:schemeClr w14:val="tx1"/>
            </w14:solidFill>
          </w14:textFill>
        </w:rPr>
        <w:t>第二节 投诉书</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格式）</w:t>
      </w:r>
      <w:bookmarkEnd w:id="320"/>
    </w:p>
    <w:p w14:paraId="2D53B926">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投诉书范本</w:t>
      </w:r>
    </w:p>
    <w:p w14:paraId="63C7B4A3">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一、投诉相关主体基本情况</w:t>
      </w:r>
    </w:p>
    <w:p w14:paraId="3BEEE227">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投诉人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3657B5AC">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地     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邮编</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083A4A7D">
      <w:pPr>
        <w:tabs>
          <w:tab w:val="left" w:pos="6510"/>
        </w:tabs>
        <w:spacing w:line="288" w:lineRule="auto"/>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法定代表人/主要负责人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4A245999">
      <w:pPr>
        <w:tabs>
          <w:tab w:val="left" w:pos="6510"/>
        </w:tabs>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联系电话</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3CEB5720">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授权代表</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联系电话</w:t>
      </w:r>
      <w:r>
        <w:rPr>
          <w:rFonts w:hint="eastAsia" w:ascii="宋体" w:hAnsi="宋体" w:eastAsia="宋体" w:cs="宋体"/>
          <w:color w:val="000000" w:themeColor="text1"/>
          <w:sz w:val="32"/>
          <w:szCs w:val="32"/>
          <w:highlight w:val="none"/>
          <w:u w:val="dotted"/>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201FC365">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地     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邮编</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131F2E1C">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被投诉人1</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0C6AFA9F">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地     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邮编</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57C8C728">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联系人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联系电话</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2609A675">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被投诉人2</w:t>
      </w:r>
    </w:p>
    <w:p w14:paraId="00AA2D15">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w:t>
      </w:r>
    </w:p>
    <w:p w14:paraId="5D842738">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相关供应商</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53619D1A">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地     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邮编</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09DBFB5A">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联系人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联系电话</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2DD362D2">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二、投诉项目基本情况</w:t>
      </w:r>
    </w:p>
    <w:p w14:paraId="15F6A1ED">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采购项目名称</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7A89F5E2">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采购项目编号</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包号</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1E341925">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采购人名称</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58EDB4A6">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代理机构名称</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412F9456">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采购文件公告</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是/否 </w:t>
      </w:r>
      <w:r>
        <w:rPr>
          <w:rFonts w:hint="eastAsia" w:ascii="宋体" w:hAnsi="宋体" w:eastAsia="宋体" w:cs="宋体"/>
          <w:color w:val="000000" w:themeColor="text1"/>
          <w:sz w:val="32"/>
          <w:szCs w:val="32"/>
          <w:highlight w:val="none"/>
          <w14:textFill>
            <w14:solidFill>
              <w14:schemeClr w14:val="tx1"/>
            </w14:solidFill>
          </w14:textFill>
        </w:rPr>
        <w:t>公告期限</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3DABD5FD">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采购结果公告</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是/否 </w:t>
      </w:r>
      <w:r>
        <w:rPr>
          <w:rFonts w:hint="eastAsia" w:ascii="宋体" w:hAnsi="宋体" w:eastAsia="宋体" w:cs="宋体"/>
          <w:color w:val="000000" w:themeColor="text1"/>
          <w:sz w:val="32"/>
          <w:szCs w:val="32"/>
          <w:highlight w:val="none"/>
          <w14:textFill>
            <w14:solidFill>
              <w14:schemeClr w14:val="tx1"/>
            </w14:solidFill>
          </w14:textFill>
        </w:rPr>
        <w:t>公告期限</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10F2274E">
      <w:pPr>
        <w:tabs>
          <w:tab w:val="right" w:pos="9638"/>
        </w:tabs>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三、质疑基本情况</w:t>
      </w:r>
      <w:r>
        <w:rPr>
          <w:rFonts w:hint="eastAsia" w:ascii="宋体" w:hAnsi="宋体" w:eastAsia="宋体" w:cs="宋体"/>
          <w:color w:val="000000" w:themeColor="text1"/>
          <w:sz w:val="32"/>
          <w:szCs w:val="32"/>
          <w:highlight w:val="none"/>
          <w14:textFill>
            <w14:solidFill>
              <w14:schemeClr w14:val="tx1"/>
            </w14:solidFill>
          </w14:textFill>
        </w:rPr>
        <w:tab/>
      </w:r>
    </w:p>
    <w:p w14:paraId="5A9614EC">
      <w:pPr>
        <w:spacing w:line="288" w:lineRule="auto"/>
        <w:ind w:firstLine="640" w:firstLineChars="200"/>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投诉人于</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年</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月</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日</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向</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提出质疑，质疑事项为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3AC9D38D">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21570599">
      <w:pPr>
        <w:spacing w:line="288" w:lineRule="auto"/>
        <w:ind w:firstLine="480" w:firstLineChars="15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u w:val="dotted"/>
          <w14:textFill>
            <w14:solidFill>
              <w14:schemeClr w14:val="tx1"/>
            </w14:solidFill>
          </w14:textFill>
        </w:rPr>
        <w:t>采购人/代理机构</w:t>
      </w:r>
      <w:r>
        <w:rPr>
          <w:rFonts w:hint="eastAsia" w:ascii="宋体" w:hAnsi="宋体" w:eastAsia="宋体" w:cs="宋体"/>
          <w:color w:val="000000" w:themeColor="text1"/>
          <w:sz w:val="32"/>
          <w:szCs w:val="32"/>
          <w:highlight w:val="none"/>
          <w14:textFill>
            <w14:solidFill>
              <w14:schemeClr w14:val="tx1"/>
            </w14:solidFill>
          </w14:textFill>
        </w:rPr>
        <w:t>于</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年</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月</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日</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就质疑事项作出了答复/没有在法定期限内作出答复。</w:t>
      </w:r>
    </w:p>
    <w:p w14:paraId="2555D479">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四、投诉事项具体内容</w:t>
      </w:r>
    </w:p>
    <w:p w14:paraId="408E6764">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投诉事项 1</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5285C2E3">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事实依据</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60677D96">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29E1058F">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法律依据</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32EBC401">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p>
    <w:p w14:paraId="15A9DB6B">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投诉事项2</w:t>
      </w:r>
    </w:p>
    <w:p w14:paraId="5129F40C">
      <w:pPr>
        <w:spacing w:line="288" w:lineRule="auto"/>
        <w:rPr>
          <w:rFonts w:hint="eastAsia" w:ascii="宋体" w:hAnsi="宋体" w:eastAsia="宋体" w:cs="宋体"/>
          <w:color w:val="000000" w:themeColor="text1"/>
          <w:sz w:val="32"/>
          <w:szCs w:val="32"/>
          <w:highlight w:val="none"/>
          <w:u w:val="dotted"/>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w:t>
      </w:r>
    </w:p>
    <w:p w14:paraId="71524E47">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五、与投诉事项相关的投诉请求</w:t>
      </w:r>
    </w:p>
    <w:p w14:paraId="1EA380B1">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请求</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u w:val="dotted"/>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4394C867">
      <w:pPr>
        <w:spacing w:line="288" w:lineRule="auto"/>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3B0FE7BA">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签字</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签章</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 xml:space="preserve">                  公章</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64E91E41">
      <w:pPr>
        <w:spacing w:line="288"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日期</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 xml:space="preserve">   </w:t>
      </w:r>
    </w:p>
    <w:p w14:paraId="66B0373A">
      <w:pPr>
        <w:rPr>
          <w:rFonts w:hint="eastAsia" w:ascii="宋体" w:hAnsi="宋体" w:eastAsia="宋体" w:cs="宋体"/>
          <w:color w:val="000000" w:themeColor="text1"/>
          <w:sz w:val="32"/>
          <w:szCs w:val="32"/>
          <w:highlight w:val="none"/>
          <w14:textFill>
            <w14:solidFill>
              <w14:schemeClr w14:val="tx1"/>
            </w14:solidFill>
          </w14:textFill>
        </w:rPr>
      </w:pPr>
    </w:p>
    <w:p w14:paraId="07F14D54">
      <w:pPr>
        <w:rPr>
          <w:rFonts w:hint="eastAsia" w:ascii="宋体" w:hAnsi="宋体" w:eastAsia="宋体" w:cs="宋体"/>
          <w:color w:val="000000" w:themeColor="text1"/>
          <w:sz w:val="32"/>
          <w:szCs w:val="32"/>
          <w:highlight w:val="none"/>
          <w14:textFill>
            <w14:solidFill>
              <w14:schemeClr w14:val="tx1"/>
            </w14:solidFill>
          </w14:textFill>
        </w:rPr>
      </w:pPr>
    </w:p>
    <w:p w14:paraId="1122B5B4">
      <w:pPr>
        <w:rPr>
          <w:rFonts w:hint="eastAsia" w:ascii="宋体" w:hAnsi="宋体" w:eastAsia="宋体" w:cs="宋体"/>
          <w:color w:val="000000" w:themeColor="text1"/>
          <w:sz w:val="32"/>
          <w:szCs w:val="32"/>
          <w:highlight w:val="none"/>
          <w14:textFill>
            <w14:solidFill>
              <w14:schemeClr w14:val="tx1"/>
            </w14:solidFill>
          </w14:textFill>
        </w:rPr>
      </w:pPr>
    </w:p>
    <w:p w14:paraId="329FE7A7">
      <w:pPr>
        <w:rPr>
          <w:rFonts w:hint="eastAsia" w:ascii="宋体" w:hAnsi="宋体" w:eastAsia="宋体" w:cs="宋体"/>
          <w:color w:val="000000" w:themeColor="text1"/>
          <w:sz w:val="32"/>
          <w:szCs w:val="32"/>
          <w:highlight w:val="none"/>
          <w14:textFill>
            <w14:solidFill>
              <w14:schemeClr w14:val="tx1"/>
            </w14:solidFill>
          </w14:textFill>
        </w:rPr>
      </w:pPr>
    </w:p>
    <w:p w14:paraId="09BDEDBC">
      <w:pPr>
        <w:rPr>
          <w:rFonts w:hint="eastAsia" w:ascii="宋体" w:hAnsi="宋体" w:eastAsia="宋体" w:cs="宋体"/>
          <w:color w:val="000000" w:themeColor="text1"/>
          <w:sz w:val="32"/>
          <w:szCs w:val="32"/>
          <w:highlight w:val="none"/>
          <w14:textFill>
            <w14:solidFill>
              <w14:schemeClr w14:val="tx1"/>
            </w14:solidFill>
          </w14:textFill>
        </w:rPr>
      </w:pPr>
    </w:p>
    <w:p w14:paraId="30B4F12C">
      <w:pPr>
        <w:rPr>
          <w:rFonts w:hint="eastAsia" w:ascii="宋体" w:hAnsi="宋体" w:eastAsia="宋体" w:cs="宋体"/>
          <w:color w:val="000000" w:themeColor="text1"/>
          <w:sz w:val="32"/>
          <w:szCs w:val="32"/>
          <w:highlight w:val="none"/>
          <w14:textFill>
            <w14:solidFill>
              <w14:schemeClr w14:val="tx1"/>
            </w14:solidFill>
          </w14:textFill>
        </w:rPr>
      </w:pPr>
    </w:p>
    <w:p w14:paraId="62AF209B">
      <w:pPr>
        <w:rPr>
          <w:rFonts w:hint="eastAsia" w:ascii="宋体" w:hAnsi="宋体" w:eastAsia="宋体" w:cs="宋体"/>
          <w:color w:val="000000" w:themeColor="text1"/>
          <w:sz w:val="32"/>
          <w:szCs w:val="32"/>
          <w:highlight w:val="none"/>
          <w14:textFill>
            <w14:solidFill>
              <w14:schemeClr w14:val="tx1"/>
            </w14:solidFill>
          </w14:textFill>
        </w:rPr>
      </w:pPr>
    </w:p>
    <w:p w14:paraId="5F006018">
      <w:pPr>
        <w:rPr>
          <w:rFonts w:hint="eastAsia" w:ascii="宋体" w:hAnsi="宋体" w:eastAsia="宋体" w:cs="宋体"/>
          <w:color w:val="000000" w:themeColor="text1"/>
          <w:sz w:val="32"/>
          <w:szCs w:val="32"/>
          <w:highlight w:val="none"/>
          <w14:textFill>
            <w14:solidFill>
              <w14:schemeClr w14:val="tx1"/>
            </w14:solidFill>
          </w14:textFill>
        </w:rPr>
      </w:pPr>
    </w:p>
    <w:p w14:paraId="2FB9BDED">
      <w:pPr>
        <w:rPr>
          <w:rFonts w:hint="eastAsia" w:ascii="宋体" w:hAnsi="宋体" w:eastAsia="宋体" w:cs="宋体"/>
          <w:color w:val="000000" w:themeColor="text1"/>
          <w:sz w:val="32"/>
          <w:szCs w:val="32"/>
          <w:highlight w:val="none"/>
          <w14:textFill>
            <w14:solidFill>
              <w14:schemeClr w14:val="tx1"/>
            </w14:solidFill>
          </w14:textFill>
        </w:rPr>
      </w:pPr>
    </w:p>
    <w:p w14:paraId="67EBC5E6">
      <w:pPr>
        <w:rPr>
          <w:rFonts w:hint="eastAsia" w:ascii="宋体" w:hAnsi="宋体" w:eastAsia="宋体" w:cs="宋体"/>
          <w:color w:val="000000" w:themeColor="text1"/>
          <w:sz w:val="32"/>
          <w:szCs w:val="32"/>
          <w:highlight w:val="none"/>
          <w14:textFill>
            <w14:solidFill>
              <w14:schemeClr w14:val="tx1"/>
            </w14:solidFill>
          </w14:textFill>
        </w:rPr>
      </w:pPr>
    </w:p>
    <w:p w14:paraId="6C0E6726">
      <w:pPr>
        <w:rPr>
          <w:rFonts w:hint="eastAsia" w:ascii="宋体" w:hAnsi="宋体" w:eastAsia="宋体" w:cs="宋体"/>
          <w:color w:val="000000" w:themeColor="text1"/>
          <w:sz w:val="32"/>
          <w:szCs w:val="32"/>
          <w:highlight w:val="none"/>
          <w14:textFill>
            <w14:solidFill>
              <w14:schemeClr w14:val="tx1"/>
            </w14:solidFill>
          </w14:textFill>
        </w:rPr>
      </w:pPr>
    </w:p>
    <w:p w14:paraId="33E8FB24">
      <w:pPr>
        <w:rPr>
          <w:rFonts w:hint="eastAsia" w:ascii="宋体" w:hAnsi="宋体" w:eastAsia="宋体" w:cs="宋体"/>
          <w:color w:val="000000" w:themeColor="text1"/>
          <w:sz w:val="32"/>
          <w:szCs w:val="32"/>
          <w:highlight w:val="none"/>
          <w14:textFill>
            <w14:solidFill>
              <w14:schemeClr w14:val="tx1"/>
            </w14:solidFill>
          </w14:textFill>
        </w:rPr>
      </w:pPr>
    </w:p>
    <w:p w14:paraId="6338F067">
      <w:pPr>
        <w:rPr>
          <w:rFonts w:hint="eastAsia" w:ascii="宋体" w:hAnsi="宋体" w:eastAsia="宋体" w:cs="宋体"/>
          <w:color w:val="000000" w:themeColor="text1"/>
          <w:sz w:val="32"/>
          <w:szCs w:val="32"/>
          <w:highlight w:val="none"/>
          <w14:textFill>
            <w14:solidFill>
              <w14:schemeClr w14:val="tx1"/>
            </w14:solidFill>
          </w14:textFill>
        </w:rPr>
      </w:pPr>
    </w:p>
    <w:p w14:paraId="43A3C71D">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投诉书制作说明：</w:t>
      </w:r>
    </w:p>
    <w:p w14:paraId="4CF5EB71">
      <w:pPr>
        <w:widowControl/>
        <w:spacing w:line="360" w:lineRule="auto"/>
        <w:ind w:firstLine="640" w:firstLineChars="20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1.投诉人提起投诉时，应当提交投诉书和必要的证明材料，并按照被投诉人和与投诉事项有关的供应商数量提供投诉书副本。</w:t>
      </w:r>
    </w:p>
    <w:p w14:paraId="0CAE8F13">
      <w:pPr>
        <w:widowControl/>
        <w:spacing w:line="360" w:lineRule="auto"/>
        <w:ind w:firstLine="640" w:firstLineChars="20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32"/>
          <w:szCs w:val="32"/>
          <w:highlight w:val="none"/>
          <w14:textFill>
            <w14:solidFill>
              <w14:schemeClr w14:val="tx1"/>
            </w14:solidFill>
          </w14:textFill>
        </w:rPr>
        <w:t>投诉人签署的授权委托书。授权委托书应当载明代理人的姓名或者名称、代理事项、具体权限、期限和相关事项。</w:t>
      </w:r>
    </w:p>
    <w:p w14:paraId="361FF840">
      <w:pPr>
        <w:widowControl/>
        <w:spacing w:line="360" w:lineRule="auto"/>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3.投诉人若对项目的某一分包进行投诉，投诉书应列明具体分包号。</w:t>
      </w:r>
    </w:p>
    <w:p w14:paraId="206FFF6F">
      <w:pPr>
        <w:widowControl/>
        <w:spacing w:line="360" w:lineRule="auto"/>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4.投诉书应简要列明质疑事项，质疑函、质疑答复等作为附件材料提供。</w:t>
      </w:r>
    </w:p>
    <w:p w14:paraId="2E4D55A4">
      <w:pPr>
        <w:widowControl/>
        <w:spacing w:line="360" w:lineRule="auto"/>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5.投诉书的投诉事项应具体、明确，并有必要的事实依据和法律依据。</w:t>
      </w:r>
    </w:p>
    <w:p w14:paraId="5A640727">
      <w:pPr>
        <w:widowControl/>
        <w:spacing w:line="360" w:lineRule="auto"/>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6.投诉书的投诉请求应与投诉事项相关。</w:t>
      </w:r>
    </w:p>
    <w:p w14:paraId="159C2CD8">
      <w:pPr>
        <w:widowControl/>
        <w:spacing w:line="360" w:lineRule="auto"/>
        <w:ind w:firstLine="640" w:firstLineChars="20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3A658B16">
      <w:pPr>
        <w:snapToGrid w:val="0"/>
        <w:spacing w:before="50" w:after="165" w:afterLines="50"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14:paraId="51A3C5AA">
      <w:pPr>
        <w:rPr>
          <w:rFonts w:hint="eastAsia" w:ascii="宋体" w:hAnsi="宋体" w:eastAsia="宋体" w:cs="宋体"/>
          <w:color w:val="000000" w:themeColor="text1"/>
          <w:highlight w:val="none"/>
          <w14:textFill>
            <w14:solidFill>
              <w14:schemeClr w14:val="tx1"/>
            </w14:solidFill>
          </w14:textFill>
        </w:rPr>
      </w:pPr>
    </w:p>
    <w:p w14:paraId="49A38310">
      <w:pPr>
        <w:rPr>
          <w:color w:val="000000" w:themeColor="text1"/>
          <w:highlight w:val="none"/>
          <w14:textFill>
            <w14:solidFill>
              <w14:schemeClr w14:val="tx1"/>
            </w14:solidFill>
          </w14:textFill>
        </w:rPr>
      </w:pPr>
    </w:p>
    <w:sectPr>
      <w:headerReference r:id="rId13" w:type="first"/>
      <w:footerReference r:id="rId15" w:type="first"/>
      <w:footerReference r:id="rId14" w:type="default"/>
      <w:pgSz w:w="11906" w:h="16838"/>
      <w:pgMar w:top="1440" w:right="1080" w:bottom="1440" w:left="1080" w:header="680" w:footer="680" w:gutter="0"/>
      <w:pgNumType w:fmt="decimal"/>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9878B95-FC4A-4098-B902-0FD9DE84DDFA}"/>
  </w:font>
  <w:font w:name="黑体">
    <w:panose1 w:val="02010609060101010101"/>
    <w:charset w:val="86"/>
    <w:family w:val="auto"/>
    <w:pitch w:val="default"/>
    <w:sig w:usb0="800002BF" w:usb1="38CF7CFA" w:usb2="00000016" w:usb3="00000000" w:csb0="00040001" w:csb1="00000000"/>
    <w:embedRegular r:id="rId2" w:fontKey="{7DAE2F8A-B625-46E4-A98A-9CE2958151F2}"/>
  </w:font>
  <w:font w:name="Courier New">
    <w:panose1 w:val="02070309020205020404"/>
    <w:charset w:val="01"/>
    <w:family w:val="modern"/>
    <w:pitch w:val="default"/>
    <w:sig w:usb0="E0002AFF" w:usb1="C0007843" w:usb2="00000009" w:usb3="00000000" w:csb0="400001FF" w:csb1="FFFF0000"/>
    <w:embedRegular r:id="rId3" w:fontKey="{0BCCF367-B31F-4371-AB56-17702241A32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DA4794BE-DCEF-4082-BF90-E7E4AF06D3A5}"/>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embedRegular r:id="rId5" w:fontKey="{FC2924C7-DA31-489A-99D5-1BEAD53E2E6A}"/>
  </w:font>
  <w:font w:name="方正小标宋简体">
    <w:panose1 w:val="03000509000000000000"/>
    <w:charset w:val="86"/>
    <w:family w:val="auto"/>
    <w:pitch w:val="default"/>
    <w:sig w:usb0="00000001" w:usb1="080E0000" w:usb2="00000000" w:usb3="00000000" w:csb0="00040000" w:csb1="00000000"/>
    <w:embedRegular r:id="rId6" w:fontKey="{2C9D7942-E0CB-49E5-A398-2104E18F8374}"/>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94E0">
    <w:pPr>
      <w:pStyle w:val="25"/>
      <w:rPr>
        <w:rStyle w:val="42"/>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EDC2">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36EDC2">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31B9923A">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4593">
    <w:pPr>
      <w:pStyle w:val="25"/>
      <w:framePr w:wrap="around" w:vAnchor="text" w:hAnchor="margin" w:xAlign="center" w:y="1"/>
      <w:rPr>
        <w:rStyle w:val="42"/>
      </w:rPr>
    </w:pPr>
    <w:r>
      <w:fldChar w:fldCharType="begin"/>
    </w:r>
    <w:r>
      <w:rPr>
        <w:rStyle w:val="42"/>
      </w:rPr>
      <w:instrText xml:space="preserve">PAGE  </w:instrText>
    </w:r>
    <w:r>
      <w:fldChar w:fldCharType="separate"/>
    </w:r>
    <w:r>
      <w:rPr>
        <w:rStyle w:val="42"/>
      </w:rPr>
      <w:t>0</w:t>
    </w:r>
    <w:r>
      <w:fldChar w:fldCharType="end"/>
    </w:r>
  </w:p>
  <w:p w14:paraId="0AAFFABE">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D5F5">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66934">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866934">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AFA8">
    <w:pPr>
      <w:spacing w:line="176" w:lineRule="auto"/>
      <w:ind w:left="4492"/>
      <w:rPr>
        <w:rFonts w:ascii="Times New Roman" w:hAnsi="Times New Roman" w:eastAsia="Times New Roman" w:cs="Times New Roman"/>
        <w:kern w:val="0"/>
        <w:sz w:val="18"/>
        <w:szCs w:val="18"/>
        <w:lang w:eastAsia="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C76D8">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9C76D8">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7438">
    <w:pPr>
      <w:spacing w:line="176" w:lineRule="auto"/>
      <w:ind w:left="4492"/>
      <w:rPr>
        <w:rFonts w:ascii="Times New Roman" w:hAnsi="Times New Roman" w:eastAsia="Times New Roman" w:cs="Times New Roman"/>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E3AB">
                          <w:pPr>
                            <w:pStyle w:val="2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3BE3AB">
                    <w:pPr>
                      <w:pStyle w:val="25"/>
                    </w:pPr>
                    <w:r>
                      <w:fldChar w:fldCharType="begin"/>
                    </w:r>
                    <w:r>
                      <w:instrText xml:space="preserve"> PAGE  \* MERGEFORMAT </w:instrText>
                    </w:r>
                    <w:r>
                      <w:fldChar w:fldCharType="separate"/>
                    </w:r>
                    <w:r>
                      <w:t>28</w:t>
                    </w:r>
                    <w:r>
                      <w:fldChar w:fldCharType="end"/>
                    </w:r>
                  </w:p>
                </w:txbxContent>
              </v:textbox>
            </v:shape>
          </w:pict>
        </mc:Fallback>
      </mc:AlternateContent>
    </w:r>
    <w:r>
      <w:rPr>
        <w:rFonts w:ascii="Times New Roman" w:hAnsi="Times New Roman" w:eastAsia="Times New Roman" w:cs="Times New Roman"/>
        <w:spacing w:val="-4"/>
        <w:kern w:val="0"/>
        <w:sz w:val="18"/>
        <w:szCs w:val="18"/>
        <w:lang w:eastAsia="en-US"/>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7DC2">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2A639">
                          <w:pPr>
                            <w:pStyle w:val="25"/>
                            <w:jc w:val="center"/>
                          </w:pPr>
                          <w:r>
                            <w:fldChar w:fldCharType="begin"/>
                          </w:r>
                          <w:r>
                            <w:instrText xml:space="preserve"> PAGE   \* MERGEFORMAT </w:instrText>
                          </w:r>
                          <w:r>
                            <w:fldChar w:fldCharType="separate"/>
                          </w:r>
                          <w:r>
                            <w:rPr>
                              <w:lang w:val="zh-CN"/>
                            </w:rPr>
                            <w:t>123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942A639">
                    <w:pPr>
                      <w:pStyle w:val="25"/>
                      <w:jc w:val="center"/>
                    </w:pPr>
                    <w:r>
                      <w:fldChar w:fldCharType="begin"/>
                    </w:r>
                    <w:r>
                      <w:instrText xml:space="preserve"> PAGE   \* MERGEFORMAT </w:instrText>
                    </w:r>
                    <w:r>
                      <w:fldChar w:fldCharType="separate"/>
                    </w:r>
                    <w:r>
                      <w:rPr>
                        <w:lang w:val="zh-CN"/>
                      </w:rPr>
                      <w:t>123</w:t>
                    </w:r>
                    <w:r>
                      <w:fldChar w:fldCharType="end"/>
                    </w:r>
                  </w:p>
                </w:txbxContent>
              </v:textbox>
            </v:shape>
          </w:pict>
        </mc:Fallback>
      </mc:AlternateContent>
    </w:r>
  </w:p>
  <w:p w14:paraId="6FCE3B81">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634C">
    <w:pPr>
      <w:pStyle w:val="25"/>
      <w:rPr>
        <w:rStyle w:val="42"/>
        <w:sz w:val="21"/>
      </w:rPr>
    </w:pPr>
    <w:r>
      <w:rPr>
        <w:sz w:val="21"/>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DB0618">
                          <w:pPr>
                            <w:pStyle w:val="2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X01JF1AEAAKYDAAAOAAAAAAAAAAEAIAAA&#10;ACIBAABkcnMvZTJvRG9jLnhtbFBLBQYAAAAABgAGAFkBAABoBQAAAAA=&#10;">
              <v:fill on="f" focussize="0,0"/>
              <v:stroke on="f" weight="1.25pt"/>
              <v:imagedata o:title=""/>
              <o:lock v:ext="edit" aspectratio="f"/>
              <v:textbox inset="0mm,0mm,0mm,0mm" style="mso-fit-shape-to-text:t;">
                <w:txbxContent>
                  <w:p w14:paraId="78DB0618">
                    <w:pPr>
                      <w:pStyle w:val="2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v:textbox>
            </v:shape>
          </w:pict>
        </mc:Fallback>
      </mc:AlternateContent>
    </w:r>
  </w:p>
  <w:p w14:paraId="4B7D1FFD">
    <w:pPr>
      <w:pStyle w:val="2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4AA5F">
    <w:pPr>
      <w:pStyle w:val="25"/>
      <w:jc w:val="center"/>
      <w:rPr>
        <w:color w:val="FFFFFF"/>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134AE2">
                          <w:pPr>
                            <w:pStyle w:val="2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bjmC91AEAAKYDAAAOAAAAAAAAAAEAIAAA&#10;ACIBAABkcnMvZTJvRG9jLnhtbFBLBQYAAAAABgAGAFkBAABoBQAAAAA=&#10;">
              <v:fill on="f" focussize="0,0"/>
              <v:stroke on="f" weight="1.25pt"/>
              <v:imagedata o:title=""/>
              <o:lock v:ext="edit" aspectratio="f"/>
              <v:textbox inset="0mm,0mm,0mm,0mm" style="mso-fit-shape-to-text:t;">
                <w:txbxContent>
                  <w:p w14:paraId="01134AE2">
                    <w:pPr>
                      <w:pStyle w:val="2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shape>
          </w:pict>
        </mc:Fallback>
      </mc:AlternateContent>
    </w:r>
    <w:r>
      <w:rPr>
        <w:rFonts w:hint="eastAsia" w:eastAsia="宋体"/>
        <w:color w:val="FFFFFF"/>
        <w:lang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D04E">
    <w:pPr>
      <w:pStyle w:val="26"/>
      <w:pBdr>
        <w:bottom w:val="none" w:color="auto" w:sz="0" w:space="1"/>
      </w:pBdr>
      <w:ind w:right="360"/>
      <w:jc w:val="left"/>
    </w:pPr>
    <w:r>
      <w:rPr>
        <w:rFonts w:hint="eastAsia"/>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D43D">
    <w:pPr>
      <w:pStyle w:val="26"/>
      <w:jc w:val="right"/>
    </w:pPr>
    <w:r>
      <w:rPr>
        <w:rFonts w:hint="eastAsia"/>
        <w:color w:val="000000"/>
      </w:rPr>
      <w:t>医疗器械采购</w:t>
    </w:r>
    <w:r>
      <w:rPr>
        <w:rFonts w:hint="eastAsia"/>
      </w:rPr>
      <w:t>（GXRHHG2010H031）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BAB0">
    <w:pPr>
      <w:wordWrap w:val="0"/>
      <w:topLinePunct/>
    </w:pPr>
    <w:r>
      <w:rPr>
        <w:rFonts w:hint="eastAsia"/>
      </w:rPr>
      <w:t xml:space="preserve"> </w:t>
    </w:r>
    <w:r>
      <w:rPr>
        <w:rFonts w:hint="eastAsia" w:ascii="宋体" w:hAnsi="宋体" w:eastAsia="宋体"/>
      </w:rPr>
      <w:t xml:space="preserve">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824DB">
    <w:pPr>
      <w:pStyle w:val="26"/>
      <w:pBdr>
        <w:bottom w:val="none" w:color="auto" w:sz="0" w:space="1"/>
      </w:pBdr>
      <w:tabs>
        <w:tab w:val="center" w:pos="0"/>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2B1E">
    <w:pPr>
      <w:wordWrap w:val="0"/>
      <w:topLinePunct/>
    </w:pPr>
    <w:r>
      <w:rPr>
        <w:rFonts w:hint="eastAsia" w:ascii="宋体" w:hAnsi="宋体" w:eastAsia="宋体"/>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0B690"/>
    <w:multiLevelType w:val="singleLevel"/>
    <w:tmpl w:val="0AF0B690"/>
    <w:lvl w:ilvl="0" w:tentative="0">
      <w:start w:val="5"/>
      <w:numFmt w:val="chineseCounting"/>
      <w:suff w:val="space"/>
      <w:lvlText w:val="第%1章"/>
      <w:lvlJc w:val="left"/>
      <w:rPr>
        <w:rFonts w:hint="eastAsia"/>
      </w:rPr>
    </w:lvl>
  </w:abstractNum>
  <w:abstractNum w:abstractNumId="1">
    <w:nsid w:val="0B043AC3"/>
    <w:multiLevelType w:val="singleLevel"/>
    <w:tmpl w:val="0B043AC3"/>
    <w:lvl w:ilvl="0" w:tentative="0">
      <w:start w:val="1"/>
      <w:numFmt w:val="decimal"/>
      <w:lvlText w:val="%1."/>
      <w:lvlJc w:val="left"/>
      <w:pPr>
        <w:tabs>
          <w:tab w:val="left" w:pos="312"/>
        </w:tabs>
      </w:pPr>
    </w:lvl>
  </w:abstractNum>
  <w:abstractNum w:abstractNumId="2">
    <w:nsid w:val="4EE4595A"/>
    <w:multiLevelType w:val="singleLevel"/>
    <w:tmpl w:val="4EE4595A"/>
    <w:lvl w:ilvl="0" w:tentative="0">
      <w:start w:val="3"/>
      <w:numFmt w:val="chineseCounting"/>
      <w:suff w:val="space"/>
      <w:lvlText w:val="第%1章"/>
      <w:lvlJc w:val="left"/>
      <w:rPr>
        <w:rFonts w:hint="eastAsia"/>
      </w:rPr>
    </w:lvl>
  </w:abstractNum>
  <w:abstractNum w:abstractNumId="3">
    <w:nsid w:val="59278A8F"/>
    <w:multiLevelType w:val="singleLevel"/>
    <w:tmpl w:val="59278A8F"/>
    <w:lvl w:ilvl="0" w:tentative="0">
      <w:start w:val="1"/>
      <w:numFmt w:val="decimal"/>
      <w:pStyle w:val="12"/>
      <w:lvlText w:val="%1."/>
      <w:lvlJc w:val="left"/>
      <w:pPr>
        <w:tabs>
          <w:tab w:val="left" w:pos="360"/>
        </w:tabs>
        <w:ind w:left="360" w:hanging="360"/>
      </w:pPr>
    </w:lvl>
  </w:abstractNum>
  <w:abstractNum w:abstractNumId="4">
    <w:nsid w:val="59F97582"/>
    <w:multiLevelType w:val="singleLevel"/>
    <w:tmpl w:val="59F97582"/>
    <w:lvl w:ilvl="0" w:tentative="0">
      <w:start w:val="4"/>
      <w:numFmt w:val="chineseCounting"/>
      <w:suff w:val="nothing"/>
      <w:lvlText w:val="%1 "/>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hideSpellingErrors/>
  <w:revisionView w:markup="0"/>
  <w:trackRevisions w:val="1"/>
  <w:documentProtection w:enforcement="0"/>
  <w:defaultTabStop w:val="425"/>
  <w:drawingGridHorizontalSpacing w:val="200"/>
  <w:drawingGridVerticalSpacing w:val="16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NWU5MjZhM2E2ZDJmOTYyNWI2YTMxZjQ5NjYyNGYifQ=="/>
  </w:docVars>
  <w:rsids>
    <w:rsidRoot w:val="00172A27"/>
    <w:rsid w:val="00003FDE"/>
    <w:rsid w:val="000244A2"/>
    <w:rsid w:val="00061ADE"/>
    <w:rsid w:val="00063AE1"/>
    <w:rsid w:val="00067B0B"/>
    <w:rsid w:val="00087545"/>
    <w:rsid w:val="0009593A"/>
    <w:rsid w:val="000A392E"/>
    <w:rsid w:val="000A6BB8"/>
    <w:rsid w:val="000F7884"/>
    <w:rsid w:val="00102742"/>
    <w:rsid w:val="00103670"/>
    <w:rsid w:val="00116377"/>
    <w:rsid w:val="00123ED7"/>
    <w:rsid w:val="001361E3"/>
    <w:rsid w:val="001375D9"/>
    <w:rsid w:val="00172A27"/>
    <w:rsid w:val="00182BDE"/>
    <w:rsid w:val="001843AE"/>
    <w:rsid w:val="0019085F"/>
    <w:rsid w:val="0019322C"/>
    <w:rsid w:val="001C66D8"/>
    <w:rsid w:val="001F4DCF"/>
    <w:rsid w:val="00200690"/>
    <w:rsid w:val="00207852"/>
    <w:rsid w:val="00210BC6"/>
    <w:rsid w:val="00230886"/>
    <w:rsid w:val="002426B1"/>
    <w:rsid w:val="0024331A"/>
    <w:rsid w:val="0026422A"/>
    <w:rsid w:val="00271774"/>
    <w:rsid w:val="0029049C"/>
    <w:rsid w:val="002B24B5"/>
    <w:rsid w:val="002B53A8"/>
    <w:rsid w:val="002F05BA"/>
    <w:rsid w:val="003004FF"/>
    <w:rsid w:val="00300F28"/>
    <w:rsid w:val="003035C1"/>
    <w:rsid w:val="00316F31"/>
    <w:rsid w:val="00326DB3"/>
    <w:rsid w:val="003427A0"/>
    <w:rsid w:val="003503CA"/>
    <w:rsid w:val="00352BD3"/>
    <w:rsid w:val="00361D50"/>
    <w:rsid w:val="003743BB"/>
    <w:rsid w:val="00382E92"/>
    <w:rsid w:val="003864D0"/>
    <w:rsid w:val="00387AD6"/>
    <w:rsid w:val="003916EC"/>
    <w:rsid w:val="003B7FF0"/>
    <w:rsid w:val="003C2B42"/>
    <w:rsid w:val="003C776D"/>
    <w:rsid w:val="003D4CDC"/>
    <w:rsid w:val="003E5119"/>
    <w:rsid w:val="00411E6A"/>
    <w:rsid w:val="0042086F"/>
    <w:rsid w:val="0042382A"/>
    <w:rsid w:val="00426FBA"/>
    <w:rsid w:val="00430B90"/>
    <w:rsid w:val="004317B8"/>
    <w:rsid w:val="00437E88"/>
    <w:rsid w:val="00450E35"/>
    <w:rsid w:val="00461815"/>
    <w:rsid w:val="004700E4"/>
    <w:rsid w:val="00475221"/>
    <w:rsid w:val="004849A3"/>
    <w:rsid w:val="00486F9A"/>
    <w:rsid w:val="00492A05"/>
    <w:rsid w:val="004B130C"/>
    <w:rsid w:val="004B323C"/>
    <w:rsid w:val="004B57EC"/>
    <w:rsid w:val="004E266A"/>
    <w:rsid w:val="0050023C"/>
    <w:rsid w:val="00501912"/>
    <w:rsid w:val="005105E8"/>
    <w:rsid w:val="0052795F"/>
    <w:rsid w:val="00541E21"/>
    <w:rsid w:val="00542793"/>
    <w:rsid w:val="005560E3"/>
    <w:rsid w:val="00562038"/>
    <w:rsid w:val="005844DB"/>
    <w:rsid w:val="00593830"/>
    <w:rsid w:val="005B2860"/>
    <w:rsid w:val="005B3673"/>
    <w:rsid w:val="005B4523"/>
    <w:rsid w:val="005B6EBD"/>
    <w:rsid w:val="005D5E05"/>
    <w:rsid w:val="005D68F0"/>
    <w:rsid w:val="005F21AE"/>
    <w:rsid w:val="005F650D"/>
    <w:rsid w:val="00605905"/>
    <w:rsid w:val="00615A54"/>
    <w:rsid w:val="0061617B"/>
    <w:rsid w:val="00635713"/>
    <w:rsid w:val="00640273"/>
    <w:rsid w:val="00640A87"/>
    <w:rsid w:val="00651725"/>
    <w:rsid w:val="00652C23"/>
    <w:rsid w:val="00655B80"/>
    <w:rsid w:val="00663308"/>
    <w:rsid w:val="00694D08"/>
    <w:rsid w:val="006A7321"/>
    <w:rsid w:val="006B1A1E"/>
    <w:rsid w:val="006B3189"/>
    <w:rsid w:val="006B3894"/>
    <w:rsid w:val="006B49B2"/>
    <w:rsid w:val="006D1C2D"/>
    <w:rsid w:val="006F39B9"/>
    <w:rsid w:val="006F4B3F"/>
    <w:rsid w:val="006F6A84"/>
    <w:rsid w:val="00700DFE"/>
    <w:rsid w:val="00714121"/>
    <w:rsid w:val="007236D8"/>
    <w:rsid w:val="00735E2B"/>
    <w:rsid w:val="00756E73"/>
    <w:rsid w:val="00784DBF"/>
    <w:rsid w:val="007A4215"/>
    <w:rsid w:val="007B39F9"/>
    <w:rsid w:val="007E64AF"/>
    <w:rsid w:val="007F16C2"/>
    <w:rsid w:val="007F5CDD"/>
    <w:rsid w:val="007F70C3"/>
    <w:rsid w:val="00801D0B"/>
    <w:rsid w:val="00812976"/>
    <w:rsid w:val="0081544A"/>
    <w:rsid w:val="00815729"/>
    <w:rsid w:val="0082596F"/>
    <w:rsid w:val="008318AD"/>
    <w:rsid w:val="008347E1"/>
    <w:rsid w:val="00834AED"/>
    <w:rsid w:val="00835509"/>
    <w:rsid w:val="008415E9"/>
    <w:rsid w:val="00844C39"/>
    <w:rsid w:val="00855737"/>
    <w:rsid w:val="0087005E"/>
    <w:rsid w:val="008810C1"/>
    <w:rsid w:val="00882622"/>
    <w:rsid w:val="00896D04"/>
    <w:rsid w:val="008A2874"/>
    <w:rsid w:val="008C3525"/>
    <w:rsid w:val="008D1058"/>
    <w:rsid w:val="008E6B82"/>
    <w:rsid w:val="008F255B"/>
    <w:rsid w:val="00901864"/>
    <w:rsid w:val="00912167"/>
    <w:rsid w:val="009132A3"/>
    <w:rsid w:val="00937463"/>
    <w:rsid w:val="00961DB0"/>
    <w:rsid w:val="00976985"/>
    <w:rsid w:val="00985BE8"/>
    <w:rsid w:val="009A73DE"/>
    <w:rsid w:val="009A7FD3"/>
    <w:rsid w:val="009C31C8"/>
    <w:rsid w:val="009D5B1A"/>
    <w:rsid w:val="009E4769"/>
    <w:rsid w:val="00A14340"/>
    <w:rsid w:val="00A24DA6"/>
    <w:rsid w:val="00A327E4"/>
    <w:rsid w:val="00A36641"/>
    <w:rsid w:val="00A36ED3"/>
    <w:rsid w:val="00A410E6"/>
    <w:rsid w:val="00A41296"/>
    <w:rsid w:val="00A54EF3"/>
    <w:rsid w:val="00A57866"/>
    <w:rsid w:val="00A65182"/>
    <w:rsid w:val="00A71700"/>
    <w:rsid w:val="00A71D78"/>
    <w:rsid w:val="00A74169"/>
    <w:rsid w:val="00AA114A"/>
    <w:rsid w:val="00AA1507"/>
    <w:rsid w:val="00AA47E9"/>
    <w:rsid w:val="00AB789D"/>
    <w:rsid w:val="00AD4F2D"/>
    <w:rsid w:val="00B00D54"/>
    <w:rsid w:val="00B15E47"/>
    <w:rsid w:val="00B15EA4"/>
    <w:rsid w:val="00B20E1D"/>
    <w:rsid w:val="00B34ADF"/>
    <w:rsid w:val="00B44C43"/>
    <w:rsid w:val="00B563CC"/>
    <w:rsid w:val="00B7723D"/>
    <w:rsid w:val="00BA2EF3"/>
    <w:rsid w:val="00BF454E"/>
    <w:rsid w:val="00BF6E67"/>
    <w:rsid w:val="00C03B64"/>
    <w:rsid w:val="00C23079"/>
    <w:rsid w:val="00C53E9A"/>
    <w:rsid w:val="00C65F53"/>
    <w:rsid w:val="00C72A74"/>
    <w:rsid w:val="00C90F02"/>
    <w:rsid w:val="00CA4434"/>
    <w:rsid w:val="00CB607F"/>
    <w:rsid w:val="00CE6E82"/>
    <w:rsid w:val="00D02A60"/>
    <w:rsid w:val="00D14C1E"/>
    <w:rsid w:val="00D20350"/>
    <w:rsid w:val="00D23234"/>
    <w:rsid w:val="00D53A0F"/>
    <w:rsid w:val="00D54EC9"/>
    <w:rsid w:val="00D60B1D"/>
    <w:rsid w:val="00D73235"/>
    <w:rsid w:val="00D74425"/>
    <w:rsid w:val="00D77138"/>
    <w:rsid w:val="00D8018A"/>
    <w:rsid w:val="00D816AC"/>
    <w:rsid w:val="00D81CCB"/>
    <w:rsid w:val="00D868BF"/>
    <w:rsid w:val="00DB4D48"/>
    <w:rsid w:val="00DC2A2B"/>
    <w:rsid w:val="00DD47B2"/>
    <w:rsid w:val="00DE03F6"/>
    <w:rsid w:val="00DE689A"/>
    <w:rsid w:val="00DF07EA"/>
    <w:rsid w:val="00DF7C31"/>
    <w:rsid w:val="00E0367B"/>
    <w:rsid w:val="00E21DD6"/>
    <w:rsid w:val="00E23F36"/>
    <w:rsid w:val="00E267F5"/>
    <w:rsid w:val="00E2772F"/>
    <w:rsid w:val="00E27B1A"/>
    <w:rsid w:val="00E311FF"/>
    <w:rsid w:val="00E51599"/>
    <w:rsid w:val="00E76182"/>
    <w:rsid w:val="00E769DC"/>
    <w:rsid w:val="00E77649"/>
    <w:rsid w:val="00E80F83"/>
    <w:rsid w:val="00E966CB"/>
    <w:rsid w:val="00EA1528"/>
    <w:rsid w:val="00EA3062"/>
    <w:rsid w:val="00EB2293"/>
    <w:rsid w:val="00EB53CD"/>
    <w:rsid w:val="00EC6682"/>
    <w:rsid w:val="00F043D6"/>
    <w:rsid w:val="00F171E1"/>
    <w:rsid w:val="00F50CDF"/>
    <w:rsid w:val="00F50CED"/>
    <w:rsid w:val="00F53835"/>
    <w:rsid w:val="00F5747A"/>
    <w:rsid w:val="00F74E05"/>
    <w:rsid w:val="00F86D9B"/>
    <w:rsid w:val="00F90070"/>
    <w:rsid w:val="00FA6860"/>
    <w:rsid w:val="00FB425F"/>
    <w:rsid w:val="00FD0C65"/>
    <w:rsid w:val="00FD1DE6"/>
    <w:rsid w:val="00FD1DF0"/>
    <w:rsid w:val="00FD3889"/>
    <w:rsid w:val="00FD7633"/>
    <w:rsid w:val="00FE4EB5"/>
    <w:rsid w:val="00FE5231"/>
    <w:rsid w:val="012030A2"/>
    <w:rsid w:val="01286382"/>
    <w:rsid w:val="012F16F7"/>
    <w:rsid w:val="01310FDC"/>
    <w:rsid w:val="01332CA2"/>
    <w:rsid w:val="01541EA9"/>
    <w:rsid w:val="01543FC0"/>
    <w:rsid w:val="01657089"/>
    <w:rsid w:val="01713F44"/>
    <w:rsid w:val="017B5FFC"/>
    <w:rsid w:val="0183728A"/>
    <w:rsid w:val="01A116FC"/>
    <w:rsid w:val="01B4561C"/>
    <w:rsid w:val="01C47228"/>
    <w:rsid w:val="01C50530"/>
    <w:rsid w:val="01F036D4"/>
    <w:rsid w:val="021772B1"/>
    <w:rsid w:val="02400174"/>
    <w:rsid w:val="02434EA2"/>
    <w:rsid w:val="0252665D"/>
    <w:rsid w:val="02553F5F"/>
    <w:rsid w:val="02555ED9"/>
    <w:rsid w:val="026259A2"/>
    <w:rsid w:val="027A3F9F"/>
    <w:rsid w:val="028441F5"/>
    <w:rsid w:val="028C4EDD"/>
    <w:rsid w:val="02A62807"/>
    <w:rsid w:val="02A9706C"/>
    <w:rsid w:val="02BD3EC5"/>
    <w:rsid w:val="02E04C89"/>
    <w:rsid w:val="02E56FC6"/>
    <w:rsid w:val="02F516EA"/>
    <w:rsid w:val="02FF4E46"/>
    <w:rsid w:val="033F771B"/>
    <w:rsid w:val="0361681B"/>
    <w:rsid w:val="038A6F6C"/>
    <w:rsid w:val="038D3DD0"/>
    <w:rsid w:val="03A643B4"/>
    <w:rsid w:val="03BF48F7"/>
    <w:rsid w:val="03C4523A"/>
    <w:rsid w:val="03C644AD"/>
    <w:rsid w:val="03EF2A28"/>
    <w:rsid w:val="03F0790E"/>
    <w:rsid w:val="03F73119"/>
    <w:rsid w:val="04000A5C"/>
    <w:rsid w:val="04477AD3"/>
    <w:rsid w:val="044F06A2"/>
    <w:rsid w:val="04501A74"/>
    <w:rsid w:val="04525DA3"/>
    <w:rsid w:val="046F6001"/>
    <w:rsid w:val="047675DD"/>
    <w:rsid w:val="04814856"/>
    <w:rsid w:val="04CF7C00"/>
    <w:rsid w:val="04E81B1A"/>
    <w:rsid w:val="04FB4623"/>
    <w:rsid w:val="050256FE"/>
    <w:rsid w:val="050504DC"/>
    <w:rsid w:val="05071319"/>
    <w:rsid w:val="05096E54"/>
    <w:rsid w:val="05453FE3"/>
    <w:rsid w:val="05464685"/>
    <w:rsid w:val="054664A5"/>
    <w:rsid w:val="05574E62"/>
    <w:rsid w:val="058977D9"/>
    <w:rsid w:val="058A4BA6"/>
    <w:rsid w:val="059336B1"/>
    <w:rsid w:val="05C30D0D"/>
    <w:rsid w:val="05CF2CB8"/>
    <w:rsid w:val="05DA5D0F"/>
    <w:rsid w:val="05E33A02"/>
    <w:rsid w:val="05E855AB"/>
    <w:rsid w:val="05F10C6A"/>
    <w:rsid w:val="05F936EA"/>
    <w:rsid w:val="06016B42"/>
    <w:rsid w:val="060C3799"/>
    <w:rsid w:val="063F38E3"/>
    <w:rsid w:val="064640DB"/>
    <w:rsid w:val="064E014A"/>
    <w:rsid w:val="064F0BF6"/>
    <w:rsid w:val="065906F6"/>
    <w:rsid w:val="06716F1B"/>
    <w:rsid w:val="067667CE"/>
    <w:rsid w:val="06811DB9"/>
    <w:rsid w:val="06840641"/>
    <w:rsid w:val="068C5CA4"/>
    <w:rsid w:val="06964591"/>
    <w:rsid w:val="06996569"/>
    <w:rsid w:val="06B93618"/>
    <w:rsid w:val="06D0743C"/>
    <w:rsid w:val="06F05772"/>
    <w:rsid w:val="06FF7D4E"/>
    <w:rsid w:val="0700783C"/>
    <w:rsid w:val="07181283"/>
    <w:rsid w:val="071C1AB9"/>
    <w:rsid w:val="0725090D"/>
    <w:rsid w:val="07361B2C"/>
    <w:rsid w:val="074C35B5"/>
    <w:rsid w:val="07534192"/>
    <w:rsid w:val="076C662E"/>
    <w:rsid w:val="0775017A"/>
    <w:rsid w:val="07774745"/>
    <w:rsid w:val="07784B70"/>
    <w:rsid w:val="077C521D"/>
    <w:rsid w:val="07AA1094"/>
    <w:rsid w:val="07B1144F"/>
    <w:rsid w:val="07D53F12"/>
    <w:rsid w:val="07DF19DD"/>
    <w:rsid w:val="07E23849"/>
    <w:rsid w:val="07ED3379"/>
    <w:rsid w:val="07F630C2"/>
    <w:rsid w:val="07FB3367"/>
    <w:rsid w:val="08124A9A"/>
    <w:rsid w:val="08151011"/>
    <w:rsid w:val="08360B30"/>
    <w:rsid w:val="08575FBE"/>
    <w:rsid w:val="085D1723"/>
    <w:rsid w:val="085D3E09"/>
    <w:rsid w:val="08604909"/>
    <w:rsid w:val="08862C99"/>
    <w:rsid w:val="08937255"/>
    <w:rsid w:val="089A3C31"/>
    <w:rsid w:val="08C14368"/>
    <w:rsid w:val="08C463E4"/>
    <w:rsid w:val="08C52D6F"/>
    <w:rsid w:val="08D13DDE"/>
    <w:rsid w:val="08E9605B"/>
    <w:rsid w:val="08F02AC4"/>
    <w:rsid w:val="08F21FDF"/>
    <w:rsid w:val="092766EA"/>
    <w:rsid w:val="09423BD8"/>
    <w:rsid w:val="09556D02"/>
    <w:rsid w:val="09561FC3"/>
    <w:rsid w:val="095B6D6F"/>
    <w:rsid w:val="096F69C3"/>
    <w:rsid w:val="097218F7"/>
    <w:rsid w:val="0972418C"/>
    <w:rsid w:val="09800821"/>
    <w:rsid w:val="09875C97"/>
    <w:rsid w:val="09D73B28"/>
    <w:rsid w:val="09DD14F7"/>
    <w:rsid w:val="09E0252C"/>
    <w:rsid w:val="09E10026"/>
    <w:rsid w:val="09EC6903"/>
    <w:rsid w:val="0A2741DD"/>
    <w:rsid w:val="0A6767EA"/>
    <w:rsid w:val="0A994DDC"/>
    <w:rsid w:val="0AAE4AE2"/>
    <w:rsid w:val="0AB05024"/>
    <w:rsid w:val="0ACD7131"/>
    <w:rsid w:val="0AD84D58"/>
    <w:rsid w:val="0ADE1535"/>
    <w:rsid w:val="0ADE70E4"/>
    <w:rsid w:val="0AE230E9"/>
    <w:rsid w:val="0AED602E"/>
    <w:rsid w:val="0B0D77B0"/>
    <w:rsid w:val="0B171B31"/>
    <w:rsid w:val="0B381634"/>
    <w:rsid w:val="0B393FE0"/>
    <w:rsid w:val="0B44435A"/>
    <w:rsid w:val="0B5A014A"/>
    <w:rsid w:val="0B5B22EB"/>
    <w:rsid w:val="0B6B7BF9"/>
    <w:rsid w:val="0B6F3DCE"/>
    <w:rsid w:val="0B7B175C"/>
    <w:rsid w:val="0BA576BF"/>
    <w:rsid w:val="0BAA7144"/>
    <w:rsid w:val="0BB86230"/>
    <w:rsid w:val="0BBC084E"/>
    <w:rsid w:val="0BBE75D4"/>
    <w:rsid w:val="0BC13A3D"/>
    <w:rsid w:val="0BE96EBF"/>
    <w:rsid w:val="0BEF4A34"/>
    <w:rsid w:val="0BF32F26"/>
    <w:rsid w:val="0C0444C5"/>
    <w:rsid w:val="0C0B3E50"/>
    <w:rsid w:val="0C27300E"/>
    <w:rsid w:val="0C4E54DD"/>
    <w:rsid w:val="0C691C6B"/>
    <w:rsid w:val="0C747FFC"/>
    <w:rsid w:val="0C7868D3"/>
    <w:rsid w:val="0C7A7140"/>
    <w:rsid w:val="0C844A23"/>
    <w:rsid w:val="0C946333"/>
    <w:rsid w:val="0C965FB3"/>
    <w:rsid w:val="0CA737D5"/>
    <w:rsid w:val="0CB6451E"/>
    <w:rsid w:val="0CCC4B0B"/>
    <w:rsid w:val="0CE15265"/>
    <w:rsid w:val="0CEA3875"/>
    <w:rsid w:val="0CF9035B"/>
    <w:rsid w:val="0D0C1474"/>
    <w:rsid w:val="0D173089"/>
    <w:rsid w:val="0D2E6D19"/>
    <w:rsid w:val="0D2E70F4"/>
    <w:rsid w:val="0D3D0BDC"/>
    <w:rsid w:val="0D536D39"/>
    <w:rsid w:val="0D555D1A"/>
    <w:rsid w:val="0D582312"/>
    <w:rsid w:val="0D8C2B0E"/>
    <w:rsid w:val="0D8D06B0"/>
    <w:rsid w:val="0DB7190D"/>
    <w:rsid w:val="0DBA2892"/>
    <w:rsid w:val="0DC23A0E"/>
    <w:rsid w:val="0DC94D0A"/>
    <w:rsid w:val="0DD128E2"/>
    <w:rsid w:val="0DDF4A84"/>
    <w:rsid w:val="0DE320AC"/>
    <w:rsid w:val="0DED5D9B"/>
    <w:rsid w:val="0E263246"/>
    <w:rsid w:val="0E2F7356"/>
    <w:rsid w:val="0E43798B"/>
    <w:rsid w:val="0E602036"/>
    <w:rsid w:val="0E633750"/>
    <w:rsid w:val="0E70151A"/>
    <w:rsid w:val="0E705B37"/>
    <w:rsid w:val="0E8F3927"/>
    <w:rsid w:val="0E937FF7"/>
    <w:rsid w:val="0EA02AFE"/>
    <w:rsid w:val="0EB76628"/>
    <w:rsid w:val="0EC66F49"/>
    <w:rsid w:val="0EC73D3C"/>
    <w:rsid w:val="0EED6FE6"/>
    <w:rsid w:val="0F027D69"/>
    <w:rsid w:val="0F271CA8"/>
    <w:rsid w:val="0F426830"/>
    <w:rsid w:val="0F4B2FF3"/>
    <w:rsid w:val="0F4F093D"/>
    <w:rsid w:val="0F5D6F49"/>
    <w:rsid w:val="0F7D7C0A"/>
    <w:rsid w:val="0F9F6A2F"/>
    <w:rsid w:val="0FA838C2"/>
    <w:rsid w:val="0FB35ED0"/>
    <w:rsid w:val="0FB748D6"/>
    <w:rsid w:val="0FD66E50"/>
    <w:rsid w:val="0FD90911"/>
    <w:rsid w:val="0FF15012"/>
    <w:rsid w:val="1023528A"/>
    <w:rsid w:val="1047115D"/>
    <w:rsid w:val="10487021"/>
    <w:rsid w:val="1057184E"/>
    <w:rsid w:val="10743E95"/>
    <w:rsid w:val="1078664F"/>
    <w:rsid w:val="107D0C51"/>
    <w:rsid w:val="10847299"/>
    <w:rsid w:val="10932CD1"/>
    <w:rsid w:val="10D63C7B"/>
    <w:rsid w:val="10F178FB"/>
    <w:rsid w:val="110527BD"/>
    <w:rsid w:val="110C54D5"/>
    <w:rsid w:val="11137369"/>
    <w:rsid w:val="112514D8"/>
    <w:rsid w:val="1128589D"/>
    <w:rsid w:val="112A3B00"/>
    <w:rsid w:val="113128F4"/>
    <w:rsid w:val="113F225A"/>
    <w:rsid w:val="11525C8F"/>
    <w:rsid w:val="11726BC2"/>
    <w:rsid w:val="117719CC"/>
    <w:rsid w:val="118B5AD6"/>
    <w:rsid w:val="119D1305"/>
    <w:rsid w:val="11A01843"/>
    <w:rsid w:val="11AB7203"/>
    <w:rsid w:val="11D17DFA"/>
    <w:rsid w:val="12156074"/>
    <w:rsid w:val="121B15B2"/>
    <w:rsid w:val="12314CD0"/>
    <w:rsid w:val="123F3465"/>
    <w:rsid w:val="12435284"/>
    <w:rsid w:val="124F597E"/>
    <w:rsid w:val="12576C18"/>
    <w:rsid w:val="12764995"/>
    <w:rsid w:val="12C703A3"/>
    <w:rsid w:val="12CF1C08"/>
    <w:rsid w:val="12D26E5A"/>
    <w:rsid w:val="12DD1185"/>
    <w:rsid w:val="12E91563"/>
    <w:rsid w:val="12F23C89"/>
    <w:rsid w:val="13185D0D"/>
    <w:rsid w:val="13235AD8"/>
    <w:rsid w:val="132528C6"/>
    <w:rsid w:val="13464504"/>
    <w:rsid w:val="13485299"/>
    <w:rsid w:val="135350C1"/>
    <w:rsid w:val="13862905"/>
    <w:rsid w:val="138F7BFA"/>
    <w:rsid w:val="13974C62"/>
    <w:rsid w:val="13A45004"/>
    <w:rsid w:val="13AC11AF"/>
    <w:rsid w:val="13CC0B78"/>
    <w:rsid w:val="13CF5D64"/>
    <w:rsid w:val="13D279D0"/>
    <w:rsid w:val="13D46B8F"/>
    <w:rsid w:val="13D6307A"/>
    <w:rsid w:val="140569B8"/>
    <w:rsid w:val="14162C01"/>
    <w:rsid w:val="141E0B8E"/>
    <w:rsid w:val="142A526B"/>
    <w:rsid w:val="14426F48"/>
    <w:rsid w:val="144512B9"/>
    <w:rsid w:val="14553873"/>
    <w:rsid w:val="14576EEE"/>
    <w:rsid w:val="145964AF"/>
    <w:rsid w:val="145D489D"/>
    <w:rsid w:val="146D2ABC"/>
    <w:rsid w:val="1479286A"/>
    <w:rsid w:val="147F38F9"/>
    <w:rsid w:val="148B6962"/>
    <w:rsid w:val="148E171F"/>
    <w:rsid w:val="14A35CE8"/>
    <w:rsid w:val="14A47052"/>
    <w:rsid w:val="14B46A8F"/>
    <w:rsid w:val="14B8240A"/>
    <w:rsid w:val="14C13E08"/>
    <w:rsid w:val="14D55ACD"/>
    <w:rsid w:val="14DB1E19"/>
    <w:rsid w:val="14EA708B"/>
    <w:rsid w:val="14FB6FF2"/>
    <w:rsid w:val="150E4C22"/>
    <w:rsid w:val="15164F69"/>
    <w:rsid w:val="154410F5"/>
    <w:rsid w:val="15475D78"/>
    <w:rsid w:val="15477966"/>
    <w:rsid w:val="15506043"/>
    <w:rsid w:val="15553E32"/>
    <w:rsid w:val="155B362D"/>
    <w:rsid w:val="156670AB"/>
    <w:rsid w:val="15697DE7"/>
    <w:rsid w:val="157A3AA2"/>
    <w:rsid w:val="158937AA"/>
    <w:rsid w:val="158C476E"/>
    <w:rsid w:val="158E6621"/>
    <w:rsid w:val="15961970"/>
    <w:rsid w:val="159A0182"/>
    <w:rsid w:val="15A34E55"/>
    <w:rsid w:val="15A7507E"/>
    <w:rsid w:val="15AE2D22"/>
    <w:rsid w:val="15C4624B"/>
    <w:rsid w:val="15E027E9"/>
    <w:rsid w:val="15F117A8"/>
    <w:rsid w:val="160429FB"/>
    <w:rsid w:val="162717AD"/>
    <w:rsid w:val="163D20FF"/>
    <w:rsid w:val="16797F2D"/>
    <w:rsid w:val="167F55F9"/>
    <w:rsid w:val="16987C99"/>
    <w:rsid w:val="16BA7CC3"/>
    <w:rsid w:val="16CB486A"/>
    <w:rsid w:val="16CE3909"/>
    <w:rsid w:val="16D3218C"/>
    <w:rsid w:val="16D85C88"/>
    <w:rsid w:val="170A70D7"/>
    <w:rsid w:val="170D06E0"/>
    <w:rsid w:val="171A5877"/>
    <w:rsid w:val="171C69AA"/>
    <w:rsid w:val="171F284E"/>
    <w:rsid w:val="17566556"/>
    <w:rsid w:val="178A3E37"/>
    <w:rsid w:val="17924332"/>
    <w:rsid w:val="17A6366F"/>
    <w:rsid w:val="17BF65DC"/>
    <w:rsid w:val="17C359BA"/>
    <w:rsid w:val="17CC658F"/>
    <w:rsid w:val="17D05A1A"/>
    <w:rsid w:val="17ED79FC"/>
    <w:rsid w:val="17FA400C"/>
    <w:rsid w:val="17FC2567"/>
    <w:rsid w:val="18006155"/>
    <w:rsid w:val="182868AE"/>
    <w:rsid w:val="18522F76"/>
    <w:rsid w:val="18624A54"/>
    <w:rsid w:val="18705885"/>
    <w:rsid w:val="18A2644E"/>
    <w:rsid w:val="18A93985"/>
    <w:rsid w:val="18AB3604"/>
    <w:rsid w:val="18C00DA1"/>
    <w:rsid w:val="18C747A0"/>
    <w:rsid w:val="18CC16D5"/>
    <w:rsid w:val="191434C4"/>
    <w:rsid w:val="192C277A"/>
    <w:rsid w:val="1953606A"/>
    <w:rsid w:val="195A4F69"/>
    <w:rsid w:val="1967588A"/>
    <w:rsid w:val="19831D50"/>
    <w:rsid w:val="198B5CB7"/>
    <w:rsid w:val="198E4D6D"/>
    <w:rsid w:val="1998580B"/>
    <w:rsid w:val="19AF5431"/>
    <w:rsid w:val="19B8346B"/>
    <w:rsid w:val="19C96EF3"/>
    <w:rsid w:val="19E47E89"/>
    <w:rsid w:val="1A02441E"/>
    <w:rsid w:val="1A0A6191"/>
    <w:rsid w:val="1A5B3AC3"/>
    <w:rsid w:val="1A7D44B8"/>
    <w:rsid w:val="1AA700C1"/>
    <w:rsid w:val="1AA85649"/>
    <w:rsid w:val="1AC47300"/>
    <w:rsid w:val="1B0803C8"/>
    <w:rsid w:val="1B162E30"/>
    <w:rsid w:val="1B290F15"/>
    <w:rsid w:val="1B2E2CD8"/>
    <w:rsid w:val="1B30771C"/>
    <w:rsid w:val="1B321E29"/>
    <w:rsid w:val="1B490032"/>
    <w:rsid w:val="1B6B3188"/>
    <w:rsid w:val="1B80312D"/>
    <w:rsid w:val="1B854D22"/>
    <w:rsid w:val="1BA40CA7"/>
    <w:rsid w:val="1BA50B8A"/>
    <w:rsid w:val="1BA92D7C"/>
    <w:rsid w:val="1BB6200A"/>
    <w:rsid w:val="1C046B5F"/>
    <w:rsid w:val="1C0E1A98"/>
    <w:rsid w:val="1C167B36"/>
    <w:rsid w:val="1C1945A6"/>
    <w:rsid w:val="1C3C1EE0"/>
    <w:rsid w:val="1C3F3EDC"/>
    <w:rsid w:val="1C4567F4"/>
    <w:rsid w:val="1C70018C"/>
    <w:rsid w:val="1C7A6502"/>
    <w:rsid w:val="1C8837E7"/>
    <w:rsid w:val="1CB64C9B"/>
    <w:rsid w:val="1CC659C3"/>
    <w:rsid w:val="1CCB786F"/>
    <w:rsid w:val="1CD80254"/>
    <w:rsid w:val="1CDB5968"/>
    <w:rsid w:val="1CE17609"/>
    <w:rsid w:val="1CEF625F"/>
    <w:rsid w:val="1CF40ED1"/>
    <w:rsid w:val="1CF72AFE"/>
    <w:rsid w:val="1CF72BCE"/>
    <w:rsid w:val="1D0023BC"/>
    <w:rsid w:val="1D057F8C"/>
    <w:rsid w:val="1D065424"/>
    <w:rsid w:val="1D120041"/>
    <w:rsid w:val="1D25067D"/>
    <w:rsid w:val="1D345FF7"/>
    <w:rsid w:val="1D3A0B63"/>
    <w:rsid w:val="1D532B00"/>
    <w:rsid w:val="1D601C12"/>
    <w:rsid w:val="1D793EB5"/>
    <w:rsid w:val="1D87271C"/>
    <w:rsid w:val="1D911DA9"/>
    <w:rsid w:val="1D941973"/>
    <w:rsid w:val="1DA055B9"/>
    <w:rsid w:val="1DBC4A7C"/>
    <w:rsid w:val="1DC77417"/>
    <w:rsid w:val="1DCA77EF"/>
    <w:rsid w:val="1DD545C7"/>
    <w:rsid w:val="1DFD6C01"/>
    <w:rsid w:val="1E0C009A"/>
    <w:rsid w:val="1E1D26E8"/>
    <w:rsid w:val="1E522C62"/>
    <w:rsid w:val="1E595A00"/>
    <w:rsid w:val="1E6A4AC7"/>
    <w:rsid w:val="1E864C59"/>
    <w:rsid w:val="1E912E3F"/>
    <w:rsid w:val="1E9A3EFE"/>
    <w:rsid w:val="1EAF32E5"/>
    <w:rsid w:val="1EDA2821"/>
    <w:rsid w:val="1EF42F16"/>
    <w:rsid w:val="1EF84610"/>
    <w:rsid w:val="1F2E7F16"/>
    <w:rsid w:val="1F47475D"/>
    <w:rsid w:val="1F5A0625"/>
    <w:rsid w:val="1F5C446C"/>
    <w:rsid w:val="1F5E4382"/>
    <w:rsid w:val="1F717558"/>
    <w:rsid w:val="1F7C2888"/>
    <w:rsid w:val="1F7D6E36"/>
    <w:rsid w:val="1F996695"/>
    <w:rsid w:val="1F9D34DF"/>
    <w:rsid w:val="1FA31B5D"/>
    <w:rsid w:val="1FA52578"/>
    <w:rsid w:val="1FBD354A"/>
    <w:rsid w:val="1FBD4FCB"/>
    <w:rsid w:val="1FC00D66"/>
    <w:rsid w:val="1FCE7E42"/>
    <w:rsid w:val="1FD3713E"/>
    <w:rsid w:val="1FE402F7"/>
    <w:rsid w:val="1FEF72E1"/>
    <w:rsid w:val="20060E41"/>
    <w:rsid w:val="20541BF9"/>
    <w:rsid w:val="206B2CF7"/>
    <w:rsid w:val="206D2076"/>
    <w:rsid w:val="2081109B"/>
    <w:rsid w:val="20871035"/>
    <w:rsid w:val="20893ECB"/>
    <w:rsid w:val="20923496"/>
    <w:rsid w:val="20F62651"/>
    <w:rsid w:val="20FC27C6"/>
    <w:rsid w:val="210A5BB6"/>
    <w:rsid w:val="21274C73"/>
    <w:rsid w:val="213A3C94"/>
    <w:rsid w:val="214F15B9"/>
    <w:rsid w:val="216B32E8"/>
    <w:rsid w:val="217A344A"/>
    <w:rsid w:val="217F7A57"/>
    <w:rsid w:val="21967733"/>
    <w:rsid w:val="21C2676E"/>
    <w:rsid w:val="21EE4DDC"/>
    <w:rsid w:val="220A2903"/>
    <w:rsid w:val="22193425"/>
    <w:rsid w:val="221C07CF"/>
    <w:rsid w:val="22353B2B"/>
    <w:rsid w:val="22385F5F"/>
    <w:rsid w:val="224A024D"/>
    <w:rsid w:val="224C3750"/>
    <w:rsid w:val="22551E62"/>
    <w:rsid w:val="226267E7"/>
    <w:rsid w:val="226A72A2"/>
    <w:rsid w:val="227B65E3"/>
    <w:rsid w:val="2280269A"/>
    <w:rsid w:val="22953D02"/>
    <w:rsid w:val="22D35E62"/>
    <w:rsid w:val="22D52136"/>
    <w:rsid w:val="22D6367D"/>
    <w:rsid w:val="22DB51A6"/>
    <w:rsid w:val="22ED32DA"/>
    <w:rsid w:val="22FE1B6F"/>
    <w:rsid w:val="230D6356"/>
    <w:rsid w:val="231E1F9F"/>
    <w:rsid w:val="23443A43"/>
    <w:rsid w:val="23564902"/>
    <w:rsid w:val="23906366"/>
    <w:rsid w:val="23961850"/>
    <w:rsid w:val="23B0014D"/>
    <w:rsid w:val="23C74DC1"/>
    <w:rsid w:val="23D33BDE"/>
    <w:rsid w:val="23E34059"/>
    <w:rsid w:val="23E45AB2"/>
    <w:rsid w:val="23E45E74"/>
    <w:rsid w:val="23EA6ABB"/>
    <w:rsid w:val="23FA3B82"/>
    <w:rsid w:val="23FA3F18"/>
    <w:rsid w:val="23FB3B3B"/>
    <w:rsid w:val="23FC3497"/>
    <w:rsid w:val="242A340E"/>
    <w:rsid w:val="242C5A4F"/>
    <w:rsid w:val="24391C2B"/>
    <w:rsid w:val="243A7A24"/>
    <w:rsid w:val="243D7784"/>
    <w:rsid w:val="243F5C4A"/>
    <w:rsid w:val="24443260"/>
    <w:rsid w:val="24596D0B"/>
    <w:rsid w:val="24766921"/>
    <w:rsid w:val="247E08B3"/>
    <w:rsid w:val="24812BBA"/>
    <w:rsid w:val="248E50C8"/>
    <w:rsid w:val="2494490F"/>
    <w:rsid w:val="24982AE4"/>
    <w:rsid w:val="249B5983"/>
    <w:rsid w:val="24AD7D7F"/>
    <w:rsid w:val="24BD1999"/>
    <w:rsid w:val="24CA788F"/>
    <w:rsid w:val="24CD465D"/>
    <w:rsid w:val="24EB08AB"/>
    <w:rsid w:val="24F22898"/>
    <w:rsid w:val="24F41B79"/>
    <w:rsid w:val="250052C3"/>
    <w:rsid w:val="250222CC"/>
    <w:rsid w:val="251132B8"/>
    <w:rsid w:val="251D2038"/>
    <w:rsid w:val="253674C7"/>
    <w:rsid w:val="25371EEC"/>
    <w:rsid w:val="253B7081"/>
    <w:rsid w:val="254017AF"/>
    <w:rsid w:val="254C40BE"/>
    <w:rsid w:val="25501E0E"/>
    <w:rsid w:val="25800B12"/>
    <w:rsid w:val="25924832"/>
    <w:rsid w:val="25A75EFF"/>
    <w:rsid w:val="25AE66E1"/>
    <w:rsid w:val="25B06D46"/>
    <w:rsid w:val="25CE52F9"/>
    <w:rsid w:val="25DA2A28"/>
    <w:rsid w:val="25F57E3D"/>
    <w:rsid w:val="25FC3C24"/>
    <w:rsid w:val="26152681"/>
    <w:rsid w:val="261A6E2C"/>
    <w:rsid w:val="26303437"/>
    <w:rsid w:val="263504CF"/>
    <w:rsid w:val="264E2DAF"/>
    <w:rsid w:val="2650100D"/>
    <w:rsid w:val="26543C2E"/>
    <w:rsid w:val="265B18F9"/>
    <w:rsid w:val="26614B35"/>
    <w:rsid w:val="266369EF"/>
    <w:rsid w:val="267122DE"/>
    <w:rsid w:val="268C1DC5"/>
    <w:rsid w:val="269624CD"/>
    <w:rsid w:val="269C1F0B"/>
    <w:rsid w:val="26A17D3C"/>
    <w:rsid w:val="26AB6A95"/>
    <w:rsid w:val="26AE4916"/>
    <w:rsid w:val="26BD7452"/>
    <w:rsid w:val="26C72ED7"/>
    <w:rsid w:val="26CF1A0F"/>
    <w:rsid w:val="26DA186B"/>
    <w:rsid w:val="26E22E55"/>
    <w:rsid w:val="26F500DB"/>
    <w:rsid w:val="270D6149"/>
    <w:rsid w:val="273F35F4"/>
    <w:rsid w:val="274B0951"/>
    <w:rsid w:val="274E3909"/>
    <w:rsid w:val="274F111B"/>
    <w:rsid w:val="277508FF"/>
    <w:rsid w:val="278F7F7A"/>
    <w:rsid w:val="279738A0"/>
    <w:rsid w:val="27AD6AEB"/>
    <w:rsid w:val="27AF36B1"/>
    <w:rsid w:val="27B60980"/>
    <w:rsid w:val="27BA1991"/>
    <w:rsid w:val="27CA0655"/>
    <w:rsid w:val="27F519A4"/>
    <w:rsid w:val="2814454E"/>
    <w:rsid w:val="281954D5"/>
    <w:rsid w:val="281E3593"/>
    <w:rsid w:val="28233866"/>
    <w:rsid w:val="2826784C"/>
    <w:rsid w:val="282F1F8D"/>
    <w:rsid w:val="28463A4A"/>
    <w:rsid w:val="284D31E1"/>
    <w:rsid w:val="28601A8B"/>
    <w:rsid w:val="28656627"/>
    <w:rsid w:val="287518AD"/>
    <w:rsid w:val="288E3E57"/>
    <w:rsid w:val="289055F8"/>
    <w:rsid w:val="28AF169E"/>
    <w:rsid w:val="28C94B72"/>
    <w:rsid w:val="28CA2360"/>
    <w:rsid w:val="29057815"/>
    <w:rsid w:val="290B2129"/>
    <w:rsid w:val="291259A7"/>
    <w:rsid w:val="2923241B"/>
    <w:rsid w:val="293F234E"/>
    <w:rsid w:val="295419DA"/>
    <w:rsid w:val="29577FC4"/>
    <w:rsid w:val="29591E39"/>
    <w:rsid w:val="29693571"/>
    <w:rsid w:val="296F57EF"/>
    <w:rsid w:val="299F760C"/>
    <w:rsid w:val="29BA777C"/>
    <w:rsid w:val="29BD28CD"/>
    <w:rsid w:val="29BE05F2"/>
    <w:rsid w:val="29CB1608"/>
    <w:rsid w:val="29D01C9F"/>
    <w:rsid w:val="2A0C4A0C"/>
    <w:rsid w:val="2A4D4366"/>
    <w:rsid w:val="2A65641F"/>
    <w:rsid w:val="2A897C54"/>
    <w:rsid w:val="2A9B2C30"/>
    <w:rsid w:val="2AA56849"/>
    <w:rsid w:val="2AAC79F9"/>
    <w:rsid w:val="2AE666DB"/>
    <w:rsid w:val="2AE93D1E"/>
    <w:rsid w:val="2AFC0D01"/>
    <w:rsid w:val="2B03016F"/>
    <w:rsid w:val="2B0538F2"/>
    <w:rsid w:val="2B102FB5"/>
    <w:rsid w:val="2B223FCE"/>
    <w:rsid w:val="2B295CAA"/>
    <w:rsid w:val="2B4C38A9"/>
    <w:rsid w:val="2B4D5B67"/>
    <w:rsid w:val="2B6E79D3"/>
    <w:rsid w:val="2B883392"/>
    <w:rsid w:val="2BA76CD7"/>
    <w:rsid w:val="2BEB2DF4"/>
    <w:rsid w:val="2BEF39FC"/>
    <w:rsid w:val="2BF27BBC"/>
    <w:rsid w:val="2C0C011A"/>
    <w:rsid w:val="2C0D6CFD"/>
    <w:rsid w:val="2C1600FD"/>
    <w:rsid w:val="2C1D2053"/>
    <w:rsid w:val="2C385C17"/>
    <w:rsid w:val="2C4A6645"/>
    <w:rsid w:val="2C50709A"/>
    <w:rsid w:val="2C541C45"/>
    <w:rsid w:val="2C6512CA"/>
    <w:rsid w:val="2C6B108B"/>
    <w:rsid w:val="2C6C546F"/>
    <w:rsid w:val="2C70220F"/>
    <w:rsid w:val="2C9E492E"/>
    <w:rsid w:val="2CBD7124"/>
    <w:rsid w:val="2CC35E7E"/>
    <w:rsid w:val="2CC70BAB"/>
    <w:rsid w:val="2D0568E8"/>
    <w:rsid w:val="2D1F13EC"/>
    <w:rsid w:val="2D281F31"/>
    <w:rsid w:val="2D4A2EAC"/>
    <w:rsid w:val="2D52226A"/>
    <w:rsid w:val="2D53167B"/>
    <w:rsid w:val="2D570467"/>
    <w:rsid w:val="2D5B72F6"/>
    <w:rsid w:val="2D716F5D"/>
    <w:rsid w:val="2D901D4F"/>
    <w:rsid w:val="2D92250C"/>
    <w:rsid w:val="2D9F77BD"/>
    <w:rsid w:val="2DA95170"/>
    <w:rsid w:val="2DA96B01"/>
    <w:rsid w:val="2DDD43CD"/>
    <w:rsid w:val="2DE64B73"/>
    <w:rsid w:val="2DED4CD8"/>
    <w:rsid w:val="2DF44035"/>
    <w:rsid w:val="2E082C92"/>
    <w:rsid w:val="2E087C0E"/>
    <w:rsid w:val="2E111EF6"/>
    <w:rsid w:val="2E260937"/>
    <w:rsid w:val="2E390ACF"/>
    <w:rsid w:val="2E454E68"/>
    <w:rsid w:val="2E4B4B9C"/>
    <w:rsid w:val="2E533769"/>
    <w:rsid w:val="2E5B05AA"/>
    <w:rsid w:val="2E601123"/>
    <w:rsid w:val="2E6658F7"/>
    <w:rsid w:val="2E691866"/>
    <w:rsid w:val="2E8A5ECE"/>
    <w:rsid w:val="2E8D157A"/>
    <w:rsid w:val="2E95361B"/>
    <w:rsid w:val="2E9637FB"/>
    <w:rsid w:val="2E9B20E7"/>
    <w:rsid w:val="2EAC6AB3"/>
    <w:rsid w:val="2EAF4EAF"/>
    <w:rsid w:val="2EE47706"/>
    <w:rsid w:val="2F000DF7"/>
    <w:rsid w:val="2F0D7107"/>
    <w:rsid w:val="2F1A30A4"/>
    <w:rsid w:val="2F4171A8"/>
    <w:rsid w:val="2F62362F"/>
    <w:rsid w:val="2F766D04"/>
    <w:rsid w:val="2F895A6F"/>
    <w:rsid w:val="2FA743A8"/>
    <w:rsid w:val="2FB33A7D"/>
    <w:rsid w:val="2FB93180"/>
    <w:rsid w:val="2FBA6BB1"/>
    <w:rsid w:val="2FC6259F"/>
    <w:rsid w:val="2FCB5391"/>
    <w:rsid w:val="300660E1"/>
    <w:rsid w:val="30336A9F"/>
    <w:rsid w:val="30383BBC"/>
    <w:rsid w:val="303D27F3"/>
    <w:rsid w:val="305C5978"/>
    <w:rsid w:val="30673FA3"/>
    <w:rsid w:val="30964AD1"/>
    <w:rsid w:val="30A91F61"/>
    <w:rsid w:val="30A9554F"/>
    <w:rsid w:val="30AD7F61"/>
    <w:rsid w:val="30C12BF7"/>
    <w:rsid w:val="30CA5838"/>
    <w:rsid w:val="30DE023D"/>
    <w:rsid w:val="30E16A06"/>
    <w:rsid w:val="30F56008"/>
    <w:rsid w:val="310038BD"/>
    <w:rsid w:val="31364E15"/>
    <w:rsid w:val="3146347B"/>
    <w:rsid w:val="31520222"/>
    <w:rsid w:val="31564940"/>
    <w:rsid w:val="316840FC"/>
    <w:rsid w:val="316E2FA4"/>
    <w:rsid w:val="318E12DA"/>
    <w:rsid w:val="319375DC"/>
    <w:rsid w:val="31966CB2"/>
    <w:rsid w:val="31977ED8"/>
    <w:rsid w:val="319815A7"/>
    <w:rsid w:val="31AE7611"/>
    <w:rsid w:val="31D2335F"/>
    <w:rsid w:val="31D55206"/>
    <w:rsid w:val="31DF3243"/>
    <w:rsid w:val="31E41CE9"/>
    <w:rsid w:val="31F93347"/>
    <w:rsid w:val="323B26F8"/>
    <w:rsid w:val="32447AA5"/>
    <w:rsid w:val="32676FB6"/>
    <w:rsid w:val="32705150"/>
    <w:rsid w:val="327F66B9"/>
    <w:rsid w:val="328714F2"/>
    <w:rsid w:val="32913DA7"/>
    <w:rsid w:val="32917078"/>
    <w:rsid w:val="329D0C8D"/>
    <w:rsid w:val="32AE4A9F"/>
    <w:rsid w:val="32B00F88"/>
    <w:rsid w:val="32B25BB9"/>
    <w:rsid w:val="32BC65E7"/>
    <w:rsid w:val="32BD61DB"/>
    <w:rsid w:val="32BE5EBF"/>
    <w:rsid w:val="32BF4B25"/>
    <w:rsid w:val="32CF5169"/>
    <w:rsid w:val="32EB24C0"/>
    <w:rsid w:val="331D2CEA"/>
    <w:rsid w:val="33367B5E"/>
    <w:rsid w:val="33430D33"/>
    <w:rsid w:val="33453DE1"/>
    <w:rsid w:val="33540C46"/>
    <w:rsid w:val="33694846"/>
    <w:rsid w:val="336B72E1"/>
    <w:rsid w:val="338101D3"/>
    <w:rsid w:val="3387347E"/>
    <w:rsid w:val="33904534"/>
    <w:rsid w:val="33A17B5A"/>
    <w:rsid w:val="33A61CB9"/>
    <w:rsid w:val="33BD1A8A"/>
    <w:rsid w:val="33C95567"/>
    <w:rsid w:val="33CC5722"/>
    <w:rsid w:val="33DC4DF9"/>
    <w:rsid w:val="34022063"/>
    <w:rsid w:val="34204F76"/>
    <w:rsid w:val="343524B2"/>
    <w:rsid w:val="34473878"/>
    <w:rsid w:val="34773DE0"/>
    <w:rsid w:val="34872F9D"/>
    <w:rsid w:val="34896756"/>
    <w:rsid w:val="349C315B"/>
    <w:rsid w:val="349D121D"/>
    <w:rsid w:val="34B34F64"/>
    <w:rsid w:val="34BC1492"/>
    <w:rsid w:val="34C27B9B"/>
    <w:rsid w:val="34C65EEC"/>
    <w:rsid w:val="34C67823"/>
    <w:rsid w:val="34DF61CE"/>
    <w:rsid w:val="34E95754"/>
    <w:rsid w:val="3539091B"/>
    <w:rsid w:val="353F0CC9"/>
    <w:rsid w:val="354719F1"/>
    <w:rsid w:val="354D7D49"/>
    <w:rsid w:val="355A7737"/>
    <w:rsid w:val="356A4C2D"/>
    <w:rsid w:val="35740C40"/>
    <w:rsid w:val="359676ED"/>
    <w:rsid w:val="35B05C49"/>
    <w:rsid w:val="35B13ECA"/>
    <w:rsid w:val="35C032BE"/>
    <w:rsid w:val="35E05D71"/>
    <w:rsid w:val="35F70081"/>
    <w:rsid w:val="362570C0"/>
    <w:rsid w:val="362C03EF"/>
    <w:rsid w:val="36300CFB"/>
    <w:rsid w:val="36334E4D"/>
    <w:rsid w:val="36486F8B"/>
    <w:rsid w:val="366D0E58"/>
    <w:rsid w:val="36724B65"/>
    <w:rsid w:val="369F7374"/>
    <w:rsid w:val="36A22AC0"/>
    <w:rsid w:val="36C04E1D"/>
    <w:rsid w:val="36E67606"/>
    <w:rsid w:val="370F7848"/>
    <w:rsid w:val="37102FB7"/>
    <w:rsid w:val="3743238D"/>
    <w:rsid w:val="37656A1F"/>
    <w:rsid w:val="377D0F3F"/>
    <w:rsid w:val="37852741"/>
    <w:rsid w:val="378E6E2A"/>
    <w:rsid w:val="378F513D"/>
    <w:rsid w:val="37A80BE0"/>
    <w:rsid w:val="37B336EE"/>
    <w:rsid w:val="37B855F7"/>
    <w:rsid w:val="37C628B3"/>
    <w:rsid w:val="37D17C49"/>
    <w:rsid w:val="37E40AC1"/>
    <w:rsid w:val="380421F3"/>
    <w:rsid w:val="3805337F"/>
    <w:rsid w:val="38070185"/>
    <w:rsid w:val="3808394E"/>
    <w:rsid w:val="381157C5"/>
    <w:rsid w:val="38145D11"/>
    <w:rsid w:val="38366DA9"/>
    <w:rsid w:val="38493D4D"/>
    <w:rsid w:val="384A0770"/>
    <w:rsid w:val="384D6BB0"/>
    <w:rsid w:val="38607EC9"/>
    <w:rsid w:val="386C3837"/>
    <w:rsid w:val="38774730"/>
    <w:rsid w:val="387A34EE"/>
    <w:rsid w:val="388C0E52"/>
    <w:rsid w:val="38A65F39"/>
    <w:rsid w:val="38B21DB1"/>
    <w:rsid w:val="38B35383"/>
    <w:rsid w:val="38BC6BE9"/>
    <w:rsid w:val="38BF185E"/>
    <w:rsid w:val="38C90965"/>
    <w:rsid w:val="38F26560"/>
    <w:rsid w:val="38F37ADC"/>
    <w:rsid w:val="38FE4529"/>
    <w:rsid w:val="390356DE"/>
    <w:rsid w:val="390610F4"/>
    <w:rsid w:val="390B40FD"/>
    <w:rsid w:val="39233BC9"/>
    <w:rsid w:val="39435DA4"/>
    <w:rsid w:val="395F47E1"/>
    <w:rsid w:val="39744E6B"/>
    <w:rsid w:val="39753E71"/>
    <w:rsid w:val="397F62E3"/>
    <w:rsid w:val="398354CF"/>
    <w:rsid w:val="398648EE"/>
    <w:rsid w:val="398C5DC5"/>
    <w:rsid w:val="398C66E0"/>
    <w:rsid w:val="3993794D"/>
    <w:rsid w:val="399A1B61"/>
    <w:rsid w:val="39C2142E"/>
    <w:rsid w:val="39D26F6B"/>
    <w:rsid w:val="39D33D81"/>
    <w:rsid w:val="39DD52FC"/>
    <w:rsid w:val="39E123FD"/>
    <w:rsid w:val="3A1C2D7C"/>
    <w:rsid w:val="3A204156"/>
    <w:rsid w:val="3A593EA2"/>
    <w:rsid w:val="3A6374E1"/>
    <w:rsid w:val="3A691F6B"/>
    <w:rsid w:val="3A850402"/>
    <w:rsid w:val="3A962984"/>
    <w:rsid w:val="3AA466A4"/>
    <w:rsid w:val="3AC66028"/>
    <w:rsid w:val="3ACE2178"/>
    <w:rsid w:val="3AEB54BA"/>
    <w:rsid w:val="3AF05602"/>
    <w:rsid w:val="3B181335"/>
    <w:rsid w:val="3B182285"/>
    <w:rsid w:val="3B281DC7"/>
    <w:rsid w:val="3B2D17A6"/>
    <w:rsid w:val="3B40411F"/>
    <w:rsid w:val="3B487138"/>
    <w:rsid w:val="3B5612B9"/>
    <w:rsid w:val="3B600243"/>
    <w:rsid w:val="3B6405FB"/>
    <w:rsid w:val="3B642F93"/>
    <w:rsid w:val="3B89083B"/>
    <w:rsid w:val="3B985F13"/>
    <w:rsid w:val="3B9B6100"/>
    <w:rsid w:val="3BB23AB2"/>
    <w:rsid w:val="3BEA58B1"/>
    <w:rsid w:val="3BF40042"/>
    <w:rsid w:val="3C0C47F5"/>
    <w:rsid w:val="3C1A3083"/>
    <w:rsid w:val="3C2A03C4"/>
    <w:rsid w:val="3C391845"/>
    <w:rsid w:val="3C563ECF"/>
    <w:rsid w:val="3C577297"/>
    <w:rsid w:val="3C5D4096"/>
    <w:rsid w:val="3C7D0AD3"/>
    <w:rsid w:val="3C847C5D"/>
    <w:rsid w:val="3CA01D51"/>
    <w:rsid w:val="3CA21593"/>
    <w:rsid w:val="3CBA41AC"/>
    <w:rsid w:val="3CC911C7"/>
    <w:rsid w:val="3CC95D96"/>
    <w:rsid w:val="3CD42DDC"/>
    <w:rsid w:val="3CDE3B27"/>
    <w:rsid w:val="3CE430FC"/>
    <w:rsid w:val="3CF1188A"/>
    <w:rsid w:val="3CF45BF2"/>
    <w:rsid w:val="3D104F68"/>
    <w:rsid w:val="3D137E8E"/>
    <w:rsid w:val="3D367EEF"/>
    <w:rsid w:val="3D383580"/>
    <w:rsid w:val="3D3E0382"/>
    <w:rsid w:val="3D7B6C52"/>
    <w:rsid w:val="3D98370B"/>
    <w:rsid w:val="3DB568F8"/>
    <w:rsid w:val="3DBD0913"/>
    <w:rsid w:val="3DD17650"/>
    <w:rsid w:val="3DDB2309"/>
    <w:rsid w:val="3DDD78D6"/>
    <w:rsid w:val="3DFB0CF9"/>
    <w:rsid w:val="3DFC2539"/>
    <w:rsid w:val="3E0F7983"/>
    <w:rsid w:val="3E1047AD"/>
    <w:rsid w:val="3E105517"/>
    <w:rsid w:val="3E1E49D9"/>
    <w:rsid w:val="3E1F3122"/>
    <w:rsid w:val="3E2A38DE"/>
    <w:rsid w:val="3E491AE8"/>
    <w:rsid w:val="3E5E471A"/>
    <w:rsid w:val="3E8B5DDF"/>
    <w:rsid w:val="3E9C24D7"/>
    <w:rsid w:val="3EC447DC"/>
    <w:rsid w:val="3ECB572B"/>
    <w:rsid w:val="3ECE641A"/>
    <w:rsid w:val="3EDB4A95"/>
    <w:rsid w:val="3EFD4DD3"/>
    <w:rsid w:val="3EFE2981"/>
    <w:rsid w:val="3F086D61"/>
    <w:rsid w:val="3F2B54D2"/>
    <w:rsid w:val="3F2F5111"/>
    <w:rsid w:val="3F3831B5"/>
    <w:rsid w:val="3F5A01FC"/>
    <w:rsid w:val="3F6324B6"/>
    <w:rsid w:val="3F747922"/>
    <w:rsid w:val="3F753D18"/>
    <w:rsid w:val="3F761A63"/>
    <w:rsid w:val="3F9410E8"/>
    <w:rsid w:val="3FAB2584"/>
    <w:rsid w:val="3FB314FC"/>
    <w:rsid w:val="3FBA4E07"/>
    <w:rsid w:val="3FC4377B"/>
    <w:rsid w:val="3FD768CC"/>
    <w:rsid w:val="3FDE1666"/>
    <w:rsid w:val="3FE67D2C"/>
    <w:rsid w:val="40025EBC"/>
    <w:rsid w:val="400B5E14"/>
    <w:rsid w:val="4021252A"/>
    <w:rsid w:val="402356C6"/>
    <w:rsid w:val="40302CFA"/>
    <w:rsid w:val="4039566C"/>
    <w:rsid w:val="403B7598"/>
    <w:rsid w:val="40427B4E"/>
    <w:rsid w:val="404339FD"/>
    <w:rsid w:val="409A440B"/>
    <w:rsid w:val="409F5428"/>
    <w:rsid w:val="40BD2208"/>
    <w:rsid w:val="40F819A8"/>
    <w:rsid w:val="40F9201A"/>
    <w:rsid w:val="41036F50"/>
    <w:rsid w:val="410D1E87"/>
    <w:rsid w:val="41107AB3"/>
    <w:rsid w:val="41177EF9"/>
    <w:rsid w:val="412C5CB1"/>
    <w:rsid w:val="41384CFB"/>
    <w:rsid w:val="413C605E"/>
    <w:rsid w:val="413E1CEA"/>
    <w:rsid w:val="413F24AF"/>
    <w:rsid w:val="4172666D"/>
    <w:rsid w:val="419A1160"/>
    <w:rsid w:val="41A1500D"/>
    <w:rsid w:val="41D50910"/>
    <w:rsid w:val="41EA08B5"/>
    <w:rsid w:val="42004FD7"/>
    <w:rsid w:val="4203190A"/>
    <w:rsid w:val="421B164C"/>
    <w:rsid w:val="42440991"/>
    <w:rsid w:val="42912178"/>
    <w:rsid w:val="429C6A1E"/>
    <w:rsid w:val="42A66CE4"/>
    <w:rsid w:val="42D32DB1"/>
    <w:rsid w:val="42DE4A7F"/>
    <w:rsid w:val="42E966C5"/>
    <w:rsid w:val="431B31A5"/>
    <w:rsid w:val="432324B9"/>
    <w:rsid w:val="433E6B55"/>
    <w:rsid w:val="436157EC"/>
    <w:rsid w:val="43A7379F"/>
    <w:rsid w:val="43AF2718"/>
    <w:rsid w:val="43B23B58"/>
    <w:rsid w:val="43D2650A"/>
    <w:rsid w:val="43D47D05"/>
    <w:rsid w:val="43E1499C"/>
    <w:rsid w:val="43E72BBB"/>
    <w:rsid w:val="43E86E0D"/>
    <w:rsid w:val="43F82293"/>
    <w:rsid w:val="44094A19"/>
    <w:rsid w:val="4412373D"/>
    <w:rsid w:val="444B1319"/>
    <w:rsid w:val="444C144A"/>
    <w:rsid w:val="445A19CB"/>
    <w:rsid w:val="44675168"/>
    <w:rsid w:val="4485335D"/>
    <w:rsid w:val="44C147DB"/>
    <w:rsid w:val="44C15470"/>
    <w:rsid w:val="44CA5BBB"/>
    <w:rsid w:val="44D437F2"/>
    <w:rsid w:val="44D84400"/>
    <w:rsid w:val="44DB0B3E"/>
    <w:rsid w:val="44DF77BD"/>
    <w:rsid w:val="44E87CFE"/>
    <w:rsid w:val="44F52199"/>
    <w:rsid w:val="44FD0DFE"/>
    <w:rsid w:val="4513292F"/>
    <w:rsid w:val="452428B8"/>
    <w:rsid w:val="45347B3E"/>
    <w:rsid w:val="45441531"/>
    <w:rsid w:val="454F78C2"/>
    <w:rsid w:val="4559518C"/>
    <w:rsid w:val="455B5252"/>
    <w:rsid w:val="456C1E61"/>
    <w:rsid w:val="459031BE"/>
    <w:rsid w:val="45C46E6C"/>
    <w:rsid w:val="45DA7928"/>
    <w:rsid w:val="45F71F2D"/>
    <w:rsid w:val="460042E3"/>
    <w:rsid w:val="46196C74"/>
    <w:rsid w:val="462D24FB"/>
    <w:rsid w:val="46334947"/>
    <w:rsid w:val="463F2C33"/>
    <w:rsid w:val="465316EE"/>
    <w:rsid w:val="465A12E5"/>
    <w:rsid w:val="465E3302"/>
    <w:rsid w:val="46737A24"/>
    <w:rsid w:val="467B54C7"/>
    <w:rsid w:val="46914B8F"/>
    <w:rsid w:val="46965F46"/>
    <w:rsid w:val="469A5FB6"/>
    <w:rsid w:val="46B20EE7"/>
    <w:rsid w:val="46C164E6"/>
    <w:rsid w:val="46C46241"/>
    <w:rsid w:val="46CA7A60"/>
    <w:rsid w:val="46CB7C7E"/>
    <w:rsid w:val="46DD66CA"/>
    <w:rsid w:val="46E10058"/>
    <w:rsid w:val="46E147D5"/>
    <w:rsid w:val="46E926FE"/>
    <w:rsid w:val="46F5150D"/>
    <w:rsid w:val="46F6477A"/>
    <w:rsid w:val="46FA70CD"/>
    <w:rsid w:val="46FC65DE"/>
    <w:rsid w:val="47351EC7"/>
    <w:rsid w:val="473B636C"/>
    <w:rsid w:val="47426DF8"/>
    <w:rsid w:val="47533CD5"/>
    <w:rsid w:val="4759319A"/>
    <w:rsid w:val="476A6CB8"/>
    <w:rsid w:val="477479A1"/>
    <w:rsid w:val="4781136B"/>
    <w:rsid w:val="47882866"/>
    <w:rsid w:val="478D3D1C"/>
    <w:rsid w:val="479033A0"/>
    <w:rsid w:val="47A45B98"/>
    <w:rsid w:val="47B0417D"/>
    <w:rsid w:val="47B86C1D"/>
    <w:rsid w:val="47BE22B7"/>
    <w:rsid w:val="47C27EAB"/>
    <w:rsid w:val="47D1167F"/>
    <w:rsid w:val="47D602EB"/>
    <w:rsid w:val="47D9633E"/>
    <w:rsid w:val="47E549F6"/>
    <w:rsid w:val="4801641E"/>
    <w:rsid w:val="480745B8"/>
    <w:rsid w:val="48084003"/>
    <w:rsid w:val="482D29B3"/>
    <w:rsid w:val="48310C7F"/>
    <w:rsid w:val="483E07EF"/>
    <w:rsid w:val="485508A7"/>
    <w:rsid w:val="485649FC"/>
    <w:rsid w:val="485C5346"/>
    <w:rsid w:val="487D32FD"/>
    <w:rsid w:val="48895321"/>
    <w:rsid w:val="48A0294C"/>
    <w:rsid w:val="48A35A84"/>
    <w:rsid w:val="48A436E9"/>
    <w:rsid w:val="48BA069A"/>
    <w:rsid w:val="48BF3D66"/>
    <w:rsid w:val="48BF4BDF"/>
    <w:rsid w:val="48C062EE"/>
    <w:rsid w:val="48C920F7"/>
    <w:rsid w:val="48F5643E"/>
    <w:rsid w:val="490B63E4"/>
    <w:rsid w:val="49441B46"/>
    <w:rsid w:val="494C6E4D"/>
    <w:rsid w:val="494D6D8E"/>
    <w:rsid w:val="497927E1"/>
    <w:rsid w:val="49810E5E"/>
    <w:rsid w:val="49825129"/>
    <w:rsid w:val="499264A7"/>
    <w:rsid w:val="49936277"/>
    <w:rsid w:val="4996509B"/>
    <w:rsid w:val="49A0390D"/>
    <w:rsid w:val="49A17BDC"/>
    <w:rsid w:val="49A67337"/>
    <w:rsid w:val="49A737AF"/>
    <w:rsid w:val="49B83F7E"/>
    <w:rsid w:val="49C04C0E"/>
    <w:rsid w:val="49C35B92"/>
    <w:rsid w:val="49C6090C"/>
    <w:rsid w:val="49C8459E"/>
    <w:rsid w:val="49CE58A0"/>
    <w:rsid w:val="49D81149"/>
    <w:rsid w:val="49EA40A6"/>
    <w:rsid w:val="49EF34DC"/>
    <w:rsid w:val="49FF506D"/>
    <w:rsid w:val="4A29573D"/>
    <w:rsid w:val="4A2A3112"/>
    <w:rsid w:val="4A365275"/>
    <w:rsid w:val="4A504658"/>
    <w:rsid w:val="4A5B3045"/>
    <w:rsid w:val="4A5B30D4"/>
    <w:rsid w:val="4A70372C"/>
    <w:rsid w:val="4A7F334D"/>
    <w:rsid w:val="4A940729"/>
    <w:rsid w:val="4AC40C78"/>
    <w:rsid w:val="4AC655AC"/>
    <w:rsid w:val="4AC724FA"/>
    <w:rsid w:val="4AD25D50"/>
    <w:rsid w:val="4ADC40E1"/>
    <w:rsid w:val="4ADF42C5"/>
    <w:rsid w:val="4AF04194"/>
    <w:rsid w:val="4B3D106F"/>
    <w:rsid w:val="4B4A789D"/>
    <w:rsid w:val="4B5A748F"/>
    <w:rsid w:val="4B706B2D"/>
    <w:rsid w:val="4B8A54FE"/>
    <w:rsid w:val="4BA3693A"/>
    <w:rsid w:val="4BEB73A8"/>
    <w:rsid w:val="4C226310"/>
    <w:rsid w:val="4C293183"/>
    <w:rsid w:val="4C336FBA"/>
    <w:rsid w:val="4C396E36"/>
    <w:rsid w:val="4C3F3A11"/>
    <w:rsid w:val="4C4E2CBD"/>
    <w:rsid w:val="4C57494D"/>
    <w:rsid w:val="4C5B0FC3"/>
    <w:rsid w:val="4C6378EA"/>
    <w:rsid w:val="4C787385"/>
    <w:rsid w:val="4C855396"/>
    <w:rsid w:val="4C945674"/>
    <w:rsid w:val="4C9B184A"/>
    <w:rsid w:val="4CA76A05"/>
    <w:rsid w:val="4CAF6C9F"/>
    <w:rsid w:val="4CB224A6"/>
    <w:rsid w:val="4CC11D7A"/>
    <w:rsid w:val="4CD012C4"/>
    <w:rsid w:val="4CD40D99"/>
    <w:rsid w:val="4CEF423E"/>
    <w:rsid w:val="4CF936AF"/>
    <w:rsid w:val="4D0E0E67"/>
    <w:rsid w:val="4D260FA0"/>
    <w:rsid w:val="4D29525C"/>
    <w:rsid w:val="4D3177B3"/>
    <w:rsid w:val="4D5D2E7B"/>
    <w:rsid w:val="4D7D4DFB"/>
    <w:rsid w:val="4D815B38"/>
    <w:rsid w:val="4D935553"/>
    <w:rsid w:val="4D9A1043"/>
    <w:rsid w:val="4DB832FD"/>
    <w:rsid w:val="4DD51840"/>
    <w:rsid w:val="4DD66D36"/>
    <w:rsid w:val="4DE11507"/>
    <w:rsid w:val="4DE20EE7"/>
    <w:rsid w:val="4DE367DE"/>
    <w:rsid w:val="4DEA5F62"/>
    <w:rsid w:val="4DF542F3"/>
    <w:rsid w:val="4E0E741B"/>
    <w:rsid w:val="4E2A34C8"/>
    <w:rsid w:val="4E34731C"/>
    <w:rsid w:val="4E3B7854"/>
    <w:rsid w:val="4E4826DC"/>
    <w:rsid w:val="4E532CC9"/>
    <w:rsid w:val="4E8B1976"/>
    <w:rsid w:val="4E8F0CC4"/>
    <w:rsid w:val="4E984B80"/>
    <w:rsid w:val="4EB71E32"/>
    <w:rsid w:val="4EB73F3D"/>
    <w:rsid w:val="4EB75602"/>
    <w:rsid w:val="4EB95335"/>
    <w:rsid w:val="4ECC6159"/>
    <w:rsid w:val="4ED5689F"/>
    <w:rsid w:val="4EE419FD"/>
    <w:rsid w:val="4EEB038B"/>
    <w:rsid w:val="4EEF2567"/>
    <w:rsid w:val="4F00648F"/>
    <w:rsid w:val="4F1C423B"/>
    <w:rsid w:val="4F2D5593"/>
    <w:rsid w:val="4F4F1E6C"/>
    <w:rsid w:val="4F511531"/>
    <w:rsid w:val="4F6734AF"/>
    <w:rsid w:val="4F693A80"/>
    <w:rsid w:val="4F714AE4"/>
    <w:rsid w:val="4F792D92"/>
    <w:rsid w:val="4F7F0E49"/>
    <w:rsid w:val="4F8C6E38"/>
    <w:rsid w:val="4F952547"/>
    <w:rsid w:val="4F9C11AB"/>
    <w:rsid w:val="4FA377A2"/>
    <w:rsid w:val="4FAD38AB"/>
    <w:rsid w:val="4FAD676B"/>
    <w:rsid w:val="4FB43531"/>
    <w:rsid w:val="4FB80E06"/>
    <w:rsid w:val="4FBE7162"/>
    <w:rsid w:val="4FC926E8"/>
    <w:rsid w:val="4FCE75E2"/>
    <w:rsid w:val="4FD364D8"/>
    <w:rsid w:val="4FF1474E"/>
    <w:rsid w:val="50006E2D"/>
    <w:rsid w:val="50125E3D"/>
    <w:rsid w:val="50203FF1"/>
    <w:rsid w:val="50211AFD"/>
    <w:rsid w:val="50297892"/>
    <w:rsid w:val="504B2E04"/>
    <w:rsid w:val="50531967"/>
    <w:rsid w:val="50724E15"/>
    <w:rsid w:val="508B2546"/>
    <w:rsid w:val="50A8253B"/>
    <w:rsid w:val="50A93EF1"/>
    <w:rsid w:val="50BB4B91"/>
    <w:rsid w:val="50C46753"/>
    <w:rsid w:val="50C50F8F"/>
    <w:rsid w:val="50C95B12"/>
    <w:rsid w:val="50CC731F"/>
    <w:rsid w:val="50CE603E"/>
    <w:rsid w:val="50E35563"/>
    <w:rsid w:val="50EB7458"/>
    <w:rsid w:val="510B6912"/>
    <w:rsid w:val="51217E0B"/>
    <w:rsid w:val="51237E3E"/>
    <w:rsid w:val="51283613"/>
    <w:rsid w:val="51314E02"/>
    <w:rsid w:val="513F0401"/>
    <w:rsid w:val="5147244E"/>
    <w:rsid w:val="51596C70"/>
    <w:rsid w:val="51927164"/>
    <w:rsid w:val="51977585"/>
    <w:rsid w:val="51A229CF"/>
    <w:rsid w:val="51A759CE"/>
    <w:rsid w:val="51B165B8"/>
    <w:rsid w:val="51B42C01"/>
    <w:rsid w:val="51B606DA"/>
    <w:rsid w:val="51D1435E"/>
    <w:rsid w:val="51EE4687"/>
    <w:rsid w:val="5204189E"/>
    <w:rsid w:val="521C7F46"/>
    <w:rsid w:val="522762D7"/>
    <w:rsid w:val="5249616C"/>
    <w:rsid w:val="529F4C9C"/>
    <w:rsid w:val="52A47DC0"/>
    <w:rsid w:val="52BF2FD2"/>
    <w:rsid w:val="52C62286"/>
    <w:rsid w:val="52CA7674"/>
    <w:rsid w:val="52DA15FD"/>
    <w:rsid w:val="52E7693F"/>
    <w:rsid w:val="52EE6944"/>
    <w:rsid w:val="52F9524E"/>
    <w:rsid w:val="52FF4F1D"/>
    <w:rsid w:val="52FF767E"/>
    <w:rsid w:val="530A5087"/>
    <w:rsid w:val="53300617"/>
    <w:rsid w:val="533B26D7"/>
    <w:rsid w:val="534268D9"/>
    <w:rsid w:val="535B0F56"/>
    <w:rsid w:val="535B6612"/>
    <w:rsid w:val="535F3EDA"/>
    <w:rsid w:val="53600104"/>
    <w:rsid w:val="53635089"/>
    <w:rsid w:val="53744426"/>
    <w:rsid w:val="53772781"/>
    <w:rsid w:val="537C15A1"/>
    <w:rsid w:val="538254BE"/>
    <w:rsid w:val="53861892"/>
    <w:rsid w:val="538F329D"/>
    <w:rsid w:val="53922AE1"/>
    <w:rsid w:val="539622D0"/>
    <w:rsid w:val="53963F2F"/>
    <w:rsid w:val="539E013A"/>
    <w:rsid w:val="53AE4E59"/>
    <w:rsid w:val="53B27DD0"/>
    <w:rsid w:val="53C21DA5"/>
    <w:rsid w:val="53D03154"/>
    <w:rsid w:val="53D66273"/>
    <w:rsid w:val="53E66E14"/>
    <w:rsid w:val="541F5C0C"/>
    <w:rsid w:val="542E3E47"/>
    <w:rsid w:val="542F165A"/>
    <w:rsid w:val="54403622"/>
    <w:rsid w:val="54471B54"/>
    <w:rsid w:val="54543C79"/>
    <w:rsid w:val="54725469"/>
    <w:rsid w:val="549459BA"/>
    <w:rsid w:val="549A7050"/>
    <w:rsid w:val="549F4CA5"/>
    <w:rsid w:val="54B06E89"/>
    <w:rsid w:val="54C8763E"/>
    <w:rsid w:val="54D810A7"/>
    <w:rsid w:val="54D91F12"/>
    <w:rsid w:val="54E24860"/>
    <w:rsid w:val="54FF3C4C"/>
    <w:rsid w:val="55017F84"/>
    <w:rsid w:val="55117C89"/>
    <w:rsid w:val="5529594A"/>
    <w:rsid w:val="553838C7"/>
    <w:rsid w:val="55401D6C"/>
    <w:rsid w:val="554F070D"/>
    <w:rsid w:val="555621DD"/>
    <w:rsid w:val="555D3B1E"/>
    <w:rsid w:val="55656F80"/>
    <w:rsid w:val="557939A9"/>
    <w:rsid w:val="557A1FB5"/>
    <w:rsid w:val="557B3B59"/>
    <w:rsid w:val="558979C6"/>
    <w:rsid w:val="558F2E48"/>
    <w:rsid w:val="55AD47CE"/>
    <w:rsid w:val="55B514D8"/>
    <w:rsid w:val="55BE4C30"/>
    <w:rsid w:val="55E31575"/>
    <w:rsid w:val="55E92281"/>
    <w:rsid w:val="55F95AD7"/>
    <w:rsid w:val="55FC0081"/>
    <w:rsid w:val="560D2069"/>
    <w:rsid w:val="560D493A"/>
    <w:rsid w:val="56497E00"/>
    <w:rsid w:val="565751FC"/>
    <w:rsid w:val="5679405A"/>
    <w:rsid w:val="568860F3"/>
    <w:rsid w:val="56894374"/>
    <w:rsid w:val="568C5A4B"/>
    <w:rsid w:val="569B62F5"/>
    <w:rsid w:val="569D5CCC"/>
    <w:rsid w:val="56C00271"/>
    <w:rsid w:val="56C01625"/>
    <w:rsid w:val="56C65BD3"/>
    <w:rsid w:val="56C74250"/>
    <w:rsid w:val="56CA0498"/>
    <w:rsid w:val="57060A6B"/>
    <w:rsid w:val="57071445"/>
    <w:rsid w:val="570F628D"/>
    <w:rsid w:val="57106536"/>
    <w:rsid w:val="571421EF"/>
    <w:rsid w:val="571F02C5"/>
    <w:rsid w:val="5727472E"/>
    <w:rsid w:val="57283E0B"/>
    <w:rsid w:val="57292C34"/>
    <w:rsid w:val="574303F5"/>
    <w:rsid w:val="574A1DC1"/>
    <w:rsid w:val="57746489"/>
    <w:rsid w:val="57781F65"/>
    <w:rsid w:val="577A0392"/>
    <w:rsid w:val="5793367D"/>
    <w:rsid w:val="57BB7F71"/>
    <w:rsid w:val="57CF40C1"/>
    <w:rsid w:val="57DF0E3B"/>
    <w:rsid w:val="57E667DC"/>
    <w:rsid w:val="57E8255B"/>
    <w:rsid w:val="57FB5A25"/>
    <w:rsid w:val="58035304"/>
    <w:rsid w:val="58133334"/>
    <w:rsid w:val="582C477D"/>
    <w:rsid w:val="58543C62"/>
    <w:rsid w:val="585B2DCC"/>
    <w:rsid w:val="58661C72"/>
    <w:rsid w:val="58912A97"/>
    <w:rsid w:val="58A27D89"/>
    <w:rsid w:val="58B63457"/>
    <w:rsid w:val="58BA28E3"/>
    <w:rsid w:val="58C81614"/>
    <w:rsid w:val="58CB127E"/>
    <w:rsid w:val="58D56CC3"/>
    <w:rsid w:val="58D97E3F"/>
    <w:rsid w:val="58DC1C16"/>
    <w:rsid w:val="58E65065"/>
    <w:rsid w:val="58ED3C74"/>
    <w:rsid w:val="58F330C2"/>
    <w:rsid w:val="58F42DB2"/>
    <w:rsid w:val="58FA08E8"/>
    <w:rsid w:val="593A5EFA"/>
    <w:rsid w:val="59427C64"/>
    <w:rsid w:val="59515CCD"/>
    <w:rsid w:val="59522196"/>
    <w:rsid w:val="59707BDF"/>
    <w:rsid w:val="59752023"/>
    <w:rsid w:val="59763CCB"/>
    <w:rsid w:val="59820838"/>
    <w:rsid w:val="5991709B"/>
    <w:rsid w:val="59AD4BD2"/>
    <w:rsid w:val="59B65248"/>
    <w:rsid w:val="59C5611F"/>
    <w:rsid w:val="59D340B2"/>
    <w:rsid w:val="59D4166E"/>
    <w:rsid w:val="59EC59BE"/>
    <w:rsid w:val="5A1248BF"/>
    <w:rsid w:val="5A141C10"/>
    <w:rsid w:val="5A153559"/>
    <w:rsid w:val="5A1F28BD"/>
    <w:rsid w:val="5A230F48"/>
    <w:rsid w:val="5A3571E7"/>
    <w:rsid w:val="5A3C2880"/>
    <w:rsid w:val="5A416AC1"/>
    <w:rsid w:val="5A4264D8"/>
    <w:rsid w:val="5A495E92"/>
    <w:rsid w:val="5A4B7B15"/>
    <w:rsid w:val="5A6D0190"/>
    <w:rsid w:val="5A6D3852"/>
    <w:rsid w:val="5A7240F6"/>
    <w:rsid w:val="5A897D75"/>
    <w:rsid w:val="5AA327F0"/>
    <w:rsid w:val="5AAE60D0"/>
    <w:rsid w:val="5ACE6DC6"/>
    <w:rsid w:val="5AD31961"/>
    <w:rsid w:val="5AD63805"/>
    <w:rsid w:val="5AD90D18"/>
    <w:rsid w:val="5AE34AD3"/>
    <w:rsid w:val="5AF62FE4"/>
    <w:rsid w:val="5AF9704F"/>
    <w:rsid w:val="5B223F90"/>
    <w:rsid w:val="5B285CE9"/>
    <w:rsid w:val="5B301727"/>
    <w:rsid w:val="5B4E585F"/>
    <w:rsid w:val="5B52110F"/>
    <w:rsid w:val="5B5846C9"/>
    <w:rsid w:val="5B632C39"/>
    <w:rsid w:val="5B705D94"/>
    <w:rsid w:val="5B73358B"/>
    <w:rsid w:val="5B751975"/>
    <w:rsid w:val="5B864AD4"/>
    <w:rsid w:val="5B8A5D6E"/>
    <w:rsid w:val="5B8D543C"/>
    <w:rsid w:val="5B91519F"/>
    <w:rsid w:val="5BA64951"/>
    <w:rsid w:val="5BAC25EB"/>
    <w:rsid w:val="5C1F6E31"/>
    <w:rsid w:val="5C272C70"/>
    <w:rsid w:val="5C411637"/>
    <w:rsid w:val="5C477482"/>
    <w:rsid w:val="5C48646E"/>
    <w:rsid w:val="5C545D10"/>
    <w:rsid w:val="5C555369"/>
    <w:rsid w:val="5C757E7F"/>
    <w:rsid w:val="5C7D6D25"/>
    <w:rsid w:val="5C987287"/>
    <w:rsid w:val="5CB43116"/>
    <w:rsid w:val="5CCD127A"/>
    <w:rsid w:val="5CD5324B"/>
    <w:rsid w:val="5CD765E0"/>
    <w:rsid w:val="5CE1390D"/>
    <w:rsid w:val="5CE7400F"/>
    <w:rsid w:val="5D1C428D"/>
    <w:rsid w:val="5D254C77"/>
    <w:rsid w:val="5D2B278E"/>
    <w:rsid w:val="5D763917"/>
    <w:rsid w:val="5D790367"/>
    <w:rsid w:val="5D852F87"/>
    <w:rsid w:val="5D8F2F40"/>
    <w:rsid w:val="5DA74947"/>
    <w:rsid w:val="5DBC6426"/>
    <w:rsid w:val="5DC14993"/>
    <w:rsid w:val="5E066CD2"/>
    <w:rsid w:val="5E0F4E7B"/>
    <w:rsid w:val="5E1E405F"/>
    <w:rsid w:val="5E26153F"/>
    <w:rsid w:val="5E3E346A"/>
    <w:rsid w:val="5E454C48"/>
    <w:rsid w:val="5E4577D3"/>
    <w:rsid w:val="5E47553D"/>
    <w:rsid w:val="5E723DA7"/>
    <w:rsid w:val="5E9F2932"/>
    <w:rsid w:val="5ED50624"/>
    <w:rsid w:val="5ED81592"/>
    <w:rsid w:val="5EDC3C7C"/>
    <w:rsid w:val="5EFF18D5"/>
    <w:rsid w:val="5F0937D8"/>
    <w:rsid w:val="5F1437E3"/>
    <w:rsid w:val="5F2D5073"/>
    <w:rsid w:val="5F377091"/>
    <w:rsid w:val="5F476912"/>
    <w:rsid w:val="5F5B5684"/>
    <w:rsid w:val="5F62370B"/>
    <w:rsid w:val="5F6252AE"/>
    <w:rsid w:val="5F8800C7"/>
    <w:rsid w:val="5FAD001D"/>
    <w:rsid w:val="5FAE2505"/>
    <w:rsid w:val="5FD554D2"/>
    <w:rsid w:val="5FDA4D33"/>
    <w:rsid w:val="5FE254E8"/>
    <w:rsid w:val="5FE50461"/>
    <w:rsid w:val="5FFA6F16"/>
    <w:rsid w:val="601102AA"/>
    <w:rsid w:val="601345A6"/>
    <w:rsid w:val="601A2EBA"/>
    <w:rsid w:val="6020654D"/>
    <w:rsid w:val="60215D26"/>
    <w:rsid w:val="602F02AA"/>
    <w:rsid w:val="603A6D77"/>
    <w:rsid w:val="604212CD"/>
    <w:rsid w:val="604E7853"/>
    <w:rsid w:val="60524457"/>
    <w:rsid w:val="60591A3E"/>
    <w:rsid w:val="605B3923"/>
    <w:rsid w:val="60737E23"/>
    <w:rsid w:val="607C27C5"/>
    <w:rsid w:val="607F4F7D"/>
    <w:rsid w:val="60863BD5"/>
    <w:rsid w:val="60C842D7"/>
    <w:rsid w:val="60F34760"/>
    <w:rsid w:val="61132728"/>
    <w:rsid w:val="61236980"/>
    <w:rsid w:val="61370EED"/>
    <w:rsid w:val="61483DB4"/>
    <w:rsid w:val="616943B5"/>
    <w:rsid w:val="61762179"/>
    <w:rsid w:val="61832854"/>
    <w:rsid w:val="618B0F77"/>
    <w:rsid w:val="61A822F9"/>
    <w:rsid w:val="61A96A35"/>
    <w:rsid w:val="61AF3D12"/>
    <w:rsid w:val="61B067D3"/>
    <w:rsid w:val="61B948EB"/>
    <w:rsid w:val="61BE322C"/>
    <w:rsid w:val="61C06846"/>
    <w:rsid w:val="61D96575"/>
    <w:rsid w:val="61E324A5"/>
    <w:rsid w:val="61F45D0A"/>
    <w:rsid w:val="61FD197B"/>
    <w:rsid w:val="620B40AD"/>
    <w:rsid w:val="622E3EE6"/>
    <w:rsid w:val="622E4738"/>
    <w:rsid w:val="626323D0"/>
    <w:rsid w:val="62780FF4"/>
    <w:rsid w:val="628B3106"/>
    <w:rsid w:val="628D17BA"/>
    <w:rsid w:val="629038C3"/>
    <w:rsid w:val="62911344"/>
    <w:rsid w:val="62A90F28"/>
    <w:rsid w:val="62BB1735"/>
    <w:rsid w:val="62C47198"/>
    <w:rsid w:val="62C6574E"/>
    <w:rsid w:val="62DF6575"/>
    <w:rsid w:val="62EB31EC"/>
    <w:rsid w:val="62EC753E"/>
    <w:rsid w:val="62F12662"/>
    <w:rsid w:val="62F905F4"/>
    <w:rsid w:val="62FC3892"/>
    <w:rsid w:val="633330CC"/>
    <w:rsid w:val="63363EB7"/>
    <w:rsid w:val="638A735E"/>
    <w:rsid w:val="63A464DC"/>
    <w:rsid w:val="63AB1A91"/>
    <w:rsid w:val="63B44B67"/>
    <w:rsid w:val="63CB3A33"/>
    <w:rsid w:val="63CD076E"/>
    <w:rsid w:val="63DB3AFA"/>
    <w:rsid w:val="64037FC1"/>
    <w:rsid w:val="64837576"/>
    <w:rsid w:val="648E3A23"/>
    <w:rsid w:val="64C14E7B"/>
    <w:rsid w:val="64E94ED8"/>
    <w:rsid w:val="650C50F9"/>
    <w:rsid w:val="650E5624"/>
    <w:rsid w:val="651D7306"/>
    <w:rsid w:val="65474D35"/>
    <w:rsid w:val="654870A0"/>
    <w:rsid w:val="65537B65"/>
    <w:rsid w:val="655F2893"/>
    <w:rsid w:val="657D3011"/>
    <w:rsid w:val="658713A2"/>
    <w:rsid w:val="65A11F4C"/>
    <w:rsid w:val="65A20151"/>
    <w:rsid w:val="65A70B71"/>
    <w:rsid w:val="65C30B03"/>
    <w:rsid w:val="65EA7DC1"/>
    <w:rsid w:val="65F1746D"/>
    <w:rsid w:val="65F66288"/>
    <w:rsid w:val="660A04C6"/>
    <w:rsid w:val="660A3AE5"/>
    <w:rsid w:val="661159C2"/>
    <w:rsid w:val="661E073D"/>
    <w:rsid w:val="666D6FE3"/>
    <w:rsid w:val="66767360"/>
    <w:rsid w:val="668F585F"/>
    <w:rsid w:val="66A3772E"/>
    <w:rsid w:val="66A46773"/>
    <w:rsid w:val="66EF1BEE"/>
    <w:rsid w:val="670767B3"/>
    <w:rsid w:val="673F2C72"/>
    <w:rsid w:val="67456D79"/>
    <w:rsid w:val="674A63AC"/>
    <w:rsid w:val="67511747"/>
    <w:rsid w:val="67530DBD"/>
    <w:rsid w:val="675A6D1E"/>
    <w:rsid w:val="679B3AE9"/>
    <w:rsid w:val="679F57C4"/>
    <w:rsid w:val="67A057C4"/>
    <w:rsid w:val="67A33DD3"/>
    <w:rsid w:val="67B7598B"/>
    <w:rsid w:val="67C563CE"/>
    <w:rsid w:val="67DE53C1"/>
    <w:rsid w:val="67ED1B11"/>
    <w:rsid w:val="680F3FE9"/>
    <w:rsid w:val="6813125A"/>
    <w:rsid w:val="681A6923"/>
    <w:rsid w:val="682D4F2F"/>
    <w:rsid w:val="68407EDD"/>
    <w:rsid w:val="685516D6"/>
    <w:rsid w:val="685F260D"/>
    <w:rsid w:val="6872088B"/>
    <w:rsid w:val="687801F3"/>
    <w:rsid w:val="68804688"/>
    <w:rsid w:val="688B2BC8"/>
    <w:rsid w:val="689E3524"/>
    <w:rsid w:val="68A04E37"/>
    <w:rsid w:val="68B333B8"/>
    <w:rsid w:val="68B37B9F"/>
    <w:rsid w:val="68B6315F"/>
    <w:rsid w:val="68BB2474"/>
    <w:rsid w:val="68BD2B94"/>
    <w:rsid w:val="68E258A1"/>
    <w:rsid w:val="68EC4874"/>
    <w:rsid w:val="69086F7B"/>
    <w:rsid w:val="690F2EED"/>
    <w:rsid w:val="69247D62"/>
    <w:rsid w:val="692E75CA"/>
    <w:rsid w:val="69356BE4"/>
    <w:rsid w:val="693670D1"/>
    <w:rsid w:val="69431418"/>
    <w:rsid w:val="69847A68"/>
    <w:rsid w:val="69B64F08"/>
    <w:rsid w:val="69CB10D0"/>
    <w:rsid w:val="69E07846"/>
    <w:rsid w:val="69E54585"/>
    <w:rsid w:val="69F1427E"/>
    <w:rsid w:val="6A1A084E"/>
    <w:rsid w:val="6A2011E5"/>
    <w:rsid w:val="6A215CA0"/>
    <w:rsid w:val="6A3C2EAA"/>
    <w:rsid w:val="6A4F0AFF"/>
    <w:rsid w:val="6A50267B"/>
    <w:rsid w:val="6A572334"/>
    <w:rsid w:val="6A7C6F17"/>
    <w:rsid w:val="6A904323"/>
    <w:rsid w:val="6AA728E2"/>
    <w:rsid w:val="6AA866F0"/>
    <w:rsid w:val="6AAD5E11"/>
    <w:rsid w:val="6AC13AB9"/>
    <w:rsid w:val="6ACA0DBF"/>
    <w:rsid w:val="6AD13ABB"/>
    <w:rsid w:val="6ADD3E44"/>
    <w:rsid w:val="6AED067B"/>
    <w:rsid w:val="6AFD2496"/>
    <w:rsid w:val="6AFF5C1B"/>
    <w:rsid w:val="6B001065"/>
    <w:rsid w:val="6B095F99"/>
    <w:rsid w:val="6B2C7AEA"/>
    <w:rsid w:val="6B3314D2"/>
    <w:rsid w:val="6B403A04"/>
    <w:rsid w:val="6B4D3A49"/>
    <w:rsid w:val="6B5F004D"/>
    <w:rsid w:val="6B62463B"/>
    <w:rsid w:val="6B8776F9"/>
    <w:rsid w:val="6B90212A"/>
    <w:rsid w:val="6B96763C"/>
    <w:rsid w:val="6B976074"/>
    <w:rsid w:val="6BBB7487"/>
    <w:rsid w:val="6BBC1D22"/>
    <w:rsid w:val="6BCD5C74"/>
    <w:rsid w:val="6BFB0138"/>
    <w:rsid w:val="6BFD7789"/>
    <w:rsid w:val="6C0F21D5"/>
    <w:rsid w:val="6C24541E"/>
    <w:rsid w:val="6C344D3C"/>
    <w:rsid w:val="6C4504B1"/>
    <w:rsid w:val="6C5C00D6"/>
    <w:rsid w:val="6C786C77"/>
    <w:rsid w:val="6C7878B3"/>
    <w:rsid w:val="6C790F18"/>
    <w:rsid w:val="6C797AF0"/>
    <w:rsid w:val="6C867AAB"/>
    <w:rsid w:val="6C960F3B"/>
    <w:rsid w:val="6CB25261"/>
    <w:rsid w:val="6CF13215"/>
    <w:rsid w:val="6CF61EA1"/>
    <w:rsid w:val="6CFF670B"/>
    <w:rsid w:val="6D211CF4"/>
    <w:rsid w:val="6D2E0ACA"/>
    <w:rsid w:val="6D5B28B0"/>
    <w:rsid w:val="6D621868"/>
    <w:rsid w:val="6D65469A"/>
    <w:rsid w:val="6D714693"/>
    <w:rsid w:val="6D7B3183"/>
    <w:rsid w:val="6D8D6725"/>
    <w:rsid w:val="6D9C2F10"/>
    <w:rsid w:val="6DA105C4"/>
    <w:rsid w:val="6DBF0705"/>
    <w:rsid w:val="6DC40400"/>
    <w:rsid w:val="6DDD6393"/>
    <w:rsid w:val="6DEB6449"/>
    <w:rsid w:val="6E5508C9"/>
    <w:rsid w:val="6E5713D3"/>
    <w:rsid w:val="6E6140FE"/>
    <w:rsid w:val="6E7C56EF"/>
    <w:rsid w:val="6E9E614A"/>
    <w:rsid w:val="6EA62827"/>
    <w:rsid w:val="6EBB0EBA"/>
    <w:rsid w:val="6EC14738"/>
    <w:rsid w:val="6EC304C5"/>
    <w:rsid w:val="6EC97B4B"/>
    <w:rsid w:val="6ECC4891"/>
    <w:rsid w:val="6EE17723"/>
    <w:rsid w:val="6EF91E6E"/>
    <w:rsid w:val="6F0313CA"/>
    <w:rsid w:val="6F054410"/>
    <w:rsid w:val="6F12410F"/>
    <w:rsid w:val="6F143370"/>
    <w:rsid w:val="6F2E2693"/>
    <w:rsid w:val="6F2F1D02"/>
    <w:rsid w:val="6F3702A6"/>
    <w:rsid w:val="6F39679C"/>
    <w:rsid w:val="6F406BBF"/>
    <w:rsid w:val="6F422009"/>
    <w:rsid w:val="6F486B43"/>
    <w:rsid w:val="6F5821E9"/>
    <w:rsid w:val="6F620589"/>
    <w:rsid w:val="6F677334"/>
    <w:rsid w:val="6F8A4A0A"/>
    <w:rsid w:val="6F8E6691"/>
    <w:rsid w:val="6F926F48"/>
    <w:rsid w:val="6F9A0DC2"/>
    <w:rsid w:val="6FA724C0"/>
    <w:rsid w:val="6FAD7138"/>
    <w:rsid w:val="6FE00103"/>
    <w:rsid w:val="6FED026F"/>
    <w:rsid w:val="701D437B"/>
    <w:rsid w:val="702657D6"/>
    <w:rsid w:val="702C7543"/>
    <w:rsid w:val="702C7A97"/>
    <w:rsid w:val="70535634"/>
    <w:rsid w:val="70726C73"/>
    <w:rsid w:val="7078162C"/>
    <w:rsid w:val="70901DF0"/>
    <w:rsid w:val="70A236FA"/>
    <w:rsid w:val="70BA2B7E"/>
    <w:rsid w:val="70BD5570"/>
    <w:rsid w:val="70E035FF"/>
    <w:rsid w:val="70F136D4"/>
    <w:rsid w:val="70F57D72"/>
    <w:rsid w:val="70FD606C"/>
    <w:rsid w:val="71025D81"/>
    <w:rsid w:val="71060671"/>
    <w:rsid w:val="712533EC"/>
    <w:rsid w:val="713517A8"/>
    <w:rsid w:val="71383234"/>
    <w:rsid w:val="714E1979"/>
    <w:rsid w:val="71673F9B"/>
    <w:rsid w:val="716B1E44"/>
    <w:rsid w:val="717D06BD"/>
    <w:rsid w:val="71BB77C4"/>
    <w:rsid w:val="71E20153"/>
    <w:rsid w:val="71F070B4"/>
    <w:rsid w:val="721C7C83"/>
    <w:rsid w:val="722A535E"/>
    <w:rsid w:val="72310E6B"/>
    <w:rsid w:val="724442BA"/>
    <w:rsid w:val="724A7E11"/>
    <w:rsid w:val="724D696B"/>
    <w:rsid w:val="72576105"/>
    <w:rsid w:val="72587F6C"/>
    <w:rsid w:val="727B49DF"/>
    <w:rsid w:val="7284279E"/>
    <w:rsid w:val="72920F75"/>
    <w:rsid w:val="7296248F"/>
    <w:rsid w:val="7297440A"/>
    <w:rsid w:val="72B71F3B"/>
    <w:rsid w:val="730E6B3B"/>
    <w:rsid w:val="73481195"/>
    <w:rsid w:val="7349730C"/>
    <w:rsid w:val="73630DD3"/>
    <w:rsid w:val="73716ED3"/>
    <w:rsid w:val="73804F65"/>
    <w:rsid w:val="73807B82"/>
    <w:rsid w:val="73927DA8"/>
    <w:rsid w:val="73A3513F"/>
    <w:rsid w:val="73A66A49"/>
    <w:rsid w:val="73AB3D2F"/>
    <w:rsid w:val="73AB5F89"/>
    <w:rsid w:val="73AB637E"/>
    <w:rsid w:val="73B61F92"/>
    <w:rsid w:val="73BE1EF1"/>
    <w:rsid w:val="73BF3D53"/>
    <w:rsid w:val="73C70602"/>
    <w:rsid w:val="73CD36A7"/>
    <w:rsid w:val="73E82D35"/>
    <w:rsid w:val="73E9403A"/>
    <w:rsid w:val="73FD7457"/>
    <w:rsid w:val="740436FA"/>
    <w:rsid w:val="741D578E"/>
    <w:rsid w:val="7420337B"/>
    <w:rsid w:val="74376E85"/>
    <w:rsid w:val="745C1D20"/>
    <w:rsid w:val="747E1801"/>
    <w:rsid w:val="74810702"/>
    <w:rsid w:val="748F004B"/>
    <w:rsid w:val="74A35919"/>
    <w:rsid w:val="74A57C4B"/>
    <w:rsid w:val="74AB43FE"/>
    <w:rsid w:val="74E0106B"/>
    <w:rsid w:val="74F07818"/>
    <w:rsid w:val="74F2464C"/>
    <w:rsid w:val="75011284"/>
    <w:rsid w:val="750B50F8"/>
    <w:rsid w:val="75435570"/>
    <w:rsid w:val="75441110"/>
    <w:rsid w:val="75581C92"/>
    <w:rsid w:val="756937A6"/>
    <w:rsid w:val="756E1C38"/>
    <w:rsid w:val="75787FC9"/>
    <w:rsid w:val="75866F5E"/>
    <w:rsid w:val="758E0BA3"/>
    <w:rsid w:val="75B00FA4"/>
    <w:rsid w:val="75B45DFF"/>
    <w:rsid w:val="75E20B7D"/>
    <w:rsid w:val="75E33E80"/>
    <w:rsid w:val="75E572F8"/>
    <w:rsid w:val="7624741C"/>
    <w:rsid w:val="76316E3E"/>
    <w:rsid w:val="763C19CF"/>
    <w:rsid w:val="76595C07"/>
    <w:rsid w:val="766A3814"/>
    <w:rsid w:val="766E0017"/>
    <w:rsid w:val="76D138C1"/>
    <w:rsid w:val="76D24D3E"/>
    <w:rsid w:val="76D70B13"/>
    <w:rsid w:val="76D90CEF"/>
    <w:rsid w:val="76DB0BEA"/>
    <w:rsid w:val="76F319AA"/>
    <w:rsid w:val="76F7010B"/>
    <w:rsid w:val="770E390F"/>
    <w:rsid w:val="7732001F"/>
    <w:rsid w:val="775A028B"/>
    <w:rsid w:val="77706EEF"/>
    <w:rsid w:val="777906C9"/>
    <w:rsid w:val="77A26354"/>
    <w:rsid w:val="77D60771"/>
    <w:rsid w:val="77DE2FD8"/>
    <w:rsid w:val="77EB2EEA"/>
    <w:rsid w:val="782B18E2"/>
    <w:rsid w:val="783234F8"/>
    <w:rsid w:val="783A3050"/>
    <w:rsid w:val="78526E6F"/>
    <w:rsid w:val="78557A50"/>
    <w:rsid w:val="785C1FBF"/>
    <w:rsid w:val="786252CD"/>
    <w:rsid w:val="78694430"/>
    <w:rsid w:val="78715728"/>
    <w:rsid w:val="78761B5B"/>
    <w:rsid w:val="787C6235"/>
    <w:rsid w:val="787F7067"/>
    <w:rsid w:val="7880362F"/>
    <w:rsid w:val="78A052E1"/>
    <w:rsid w:val="78A83046"/>
    <w:rsid w:val="78B831EA"/>
    <w:rsid w:val="78C66D48"/>
    <w:rsid w:val="78E1295E"/>
    <w:rsid w:val="78F227FE"/>
    <w:rsid w:val="78F850A6"/>
    <w:rsid w:val="78FF080F"/>
    <w:rsid w:val="791F5947"/>
    <w:rsid w:val="791F7B85"/>
    <w:rsid w:val="795728B8"/>
    <w:rsid w:val="798A3C76"/>
    <w:rsid w:val="798F67E9"/>
    <w:rsid w:val="79943429"/>
    <w:rsid w:val="7998105A"/>
    <w:rsid w:val="79A55693"/>
    <w:rsid w:val="79B5371A"/>
    <w:rsid w:val="79DF24D1"/>
    <w:rsid w:val="7A0E07E7"/>
    <w:rsid w:val="7A147790"/>
    <w:rsid w:val="7A2034DA"/>
    <w:rsid w:val="7A2709CD"/>
    <w:rsid w:val="7A3E45A5"/>
    <w:rsid w:val="7A427D64"/>
    <w:rsid w:val="7A4948A4"/>
    <w:rsid w:val="7A4F7F78"/>
    <w:rsid w:val="7A804666"/>
    <w:rsid w:val="7A893B99"/>
    <w:rsid w:val="7A980796"/>
    <w:rsid w:val="7A984624"/>
    <w:rsid w:val="7A9D3C6B"/>
    <w:rsid w:val="7AA40B71"/>
    <w:rsid w:val="7AB75E88"/>
    <w:rsid w:val="7AC259F7"/>
    <w:rsid w:val="7AD0650C"/>
    <w:rsid w:val="7AE76131"/>
    <w:rsid w:val="7AFB6536"/>
    <w:rsid w:val="7B002A85"/>
    <w:rsid w:val="7B121081"/>
    <w:rsid w:val="7B1F2BC5"/>
    <w:rsid w:val="7B4A3299"/>
    <w:rsid w:val="7B4D4648"/>
    <w:rsid w:val="7B7D7929"/>
    <w:rsid w:val="7B841B0E"/>
    <w:rsid w:val="7B861048"/>
    <w:rsid w:val="7B95754E"/>
    <w:rsid w:val="7B9C706E"/>
    <w:rsid w:val="7B9F205C"/>
    <w:rsid w:val="7BA55FC3"/>
    <w:rsid w:val="7BA92CD4"/>
    <w:rsid w:val="7BD35741"/>
    <w:rsid w:val="7BD400D4"/>
    <w:rsid w:val="7BD4262D"/>
    <w:rsid w:val="7BDF7C23"/>
    <w:rsid w:val="7BE26255"/>
    <w:rsid w:val="7BEB7F5D"/>
    <w:rsid w:val="7BF80823"/>
    <w:rsid w:val="7C0242FF"/>
    <w:rsid w:val="7C0B2A10"/>
    <w:rsid w:val="7C1666A5"/>
    <w:rsid w:val="7C1816DB"/>
    <w:rsid w:val="7C30325F"/>
    <w:rsid w:val="7C3874BD"/>
    <w:rsid w:val="7C5070E4"/>
    <w:rsid w:val="7C55741F"/>
    <w:rsid w:val="7C807618"/>
    <w:rsid w:val="7CAE5A9D"/>
    <w:rsid w:val="7CBC30C6"/>
    <w:rsid w:val="7CD35E95"/>
    <w:rsid w:val="7CDA062C"/>
    <w:rsid w:val="7CDB0E13"/>
    <w:rsid w:val="7D0B2A17"/>
    <w:rsid w:val="7D101CB4"/>
    <w:rsid w:val="7D160944"/>
    <w:rsid w:val="7D190427"/>
    <w:rsid w:val="7D466F15"/>
    <w:rsid w:val="7D5E7849"/>
    <w:rsid w:val="7D6049F8"/>
    <w:rsid w:val="7D6623E7"/>
    <w:rsid w:val="7D7246CA"/>
    <w:rsid w:val="7D773241"/>
    <w:rsid w:val="7D921593"/>
    <w:rsid w:val="7D9475AC"/>
    <w:rsid w:val="7D9D7924"/>
    <w:rsid w:val="7DBA1CA3"/>
    <w:rsid w:val="7DC16B25"/>
    <w:rsid w:val="7DCD0287"/>
    <w:rsid w:val="7DDB3514"/>
    <w:rsid w:val="7DE51971"/>
    <w:rsid w:val="7DFB3DBD"/>
    <w:rsid w:val="7E087814"/>
    <w:rsid w:val="7E0B59D9"/>
    <w:rsid w:val="7E324E80"/>
    <w:rsid w:val="7E457734"/>
    <w:rsid w:val="7E474B33"/>
    <w:rsid w:val="7E4A003D"/>
    <w:rsid w:val="7E4D74B1"/>
    <w:rsid w:val="7E6A3B44"/>
    <w:rsid w:val="7E7A6445"/>
    <w:rsid w:val="7EAD7761"/>
    <w:rsid w:val="7ED01709"/>
    <w:rsid w:val="7ED9655E"/>
    <w:rsid w:val="7EE235AB"/>
    <w:rsid w:val="7EFD6049"/>
    <w:rsid w:val="7F0143E1"/>
    <w:rsid w:val="7F17453D"/>
    <w:rsid w:val="7F1801F5"/>
    <w:rsid w:val="7F2D5DEA"/>
    <w:rsid w:val="7F2E4837"/>
    <w:rsid w:val="7F3A2352"/>
    <w:rsid w:val="7F3C5E9D"/>
    <w:rsid w:val="7F3E2634"/>
    <w:rsid w:val="7F545F9B"/>
    <w:rsid w:val="7F671E0F"/>
    <w:rsid w:val="7F684A2E"/>
    <w:rsid w:val="7F6E443F"/>
    <w:rsid w:val="7F8D090B"/>
    <w:rsid w:val="7F927D44"/>
    <w:rsid w:val="7FA30658"/>
    <w:rsid w:val="7FD43E8E"/>
    <w:rsid w:val="7FE1373C"/>
    <w:rsid w:val="7FE630FD"/>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宋体"/>
      <w:lang w:val="en-US" w:eastAsia="en-US" w:bidi="ar-SA"/>
    </w:rPr>
  </w:style>
  <w:style w:type="paragraph" w:styleId="2">
    <w:name w:val="heading 1"/>
    <w:basedOn w:val="1"/>
    <w:next w:val="1"/>
    <w:link w:val="62"/>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after="260" w:line="413" w:lineRule="auto"/>
      <w:outlineLvl w:val="2"/>
    </w:pPr>
    <w:rPr>
      <w:rFonts w:eastAsia="宋体" w:cs="Times New Roman"/>
      <w:b/>
      <w:bCs/>
      <w:sz w:val="32"/>
      <w:szCs w:val="32"/>
    </w:rPr>
  </w:style>
  <w:style w:type="paragraph" w:styleId="5">
    <w:name w:val="heading 4"/>
    <w:basedOn w:val="1"/>
    <w:next w:val="1"/>
    <w:link w:val="81"/>
    <w:qFormat/>
    <w:uiPriority w:val="0"/>
    <w:pPr>
      <w:keepNext/>
      <w:keepLines/>
      <w:spacing w:before="280" w:after="290" w:line="372" w:lineRule="auto"/>
      <w:outlineLvl w:val="3"/>
    </w:pPr>
    <w:rPr>
      <w:rFonts w:ascii="Arial" w:hAnsi="Arial" w:eastAsia="黑体" w:cs="Times New Roman"/>
      <w:b/>
      <w:bCs/>
      <w:sz w:val="28"/>
      <w:szCs w:val="28"/>
    </w:rPr>
  </w:style>
  <w:style w:type="paragraph" w:styleId="6">
    <w:name w:val="heading 5"/>
    <w:basedOn w:val="1"/>
    <w:next w:val="1"/>
    <w:link w:val="72"/>
    <w:qFormat/>
    <w:uiPriority w:val="0"/>
    <w:pPr>
      <w:keepNext/>
      <w:keepLines/>
      <w:spacing w:before="280" w:after="290" w:line="372" w:lineRule="auto"/>
      <w:outlineLvl w:val="4"/>
    </w:pPr>
    <w:rPr>
      <w:rFonts w:eastAsia="宋体" w:cs="Times New Roman"/>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17" w:lineRule="auto"/>
      <w:outlineLvl w:val="6"/>
    </w:pPr>
    <w:rPr>
      <w:b/>
      <w:bCs/>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style>
  <w:style w:type="paragraph" w:styleId="10">
    <w:name w:val="table of authorities"/>
    <w:basedOn w:val="1"/>
    <w:next w:val="1"/>
    <w:qFormat/>
    <w:uiPriority w:val="99"/>
    <w:pPr>
      <w:ind w:left="420" w:leftChars="200"/>
    </w:pPr>
  </w:style>
  <w:style w:type="paragraph" w:styleId="11">
    <w:name w:val="index 8"/>
    <w:basedOn w:val="1"/>
    <w:next w:val="1"/>
    <w:unhideWhenUsed/>
    <w:qFormat/>
    <w:uiPriority w:val="99"/>
    <w:pPr>
      <w:ind w:left="1400" w:leftChars="1400"/>
    </w:pPr>
  </w:style>
  <w:style w:type="paragraph" w:styleId="12">
    <w:name w:val="List Number"/>
    <w:basedOn w:val="1"/>
    <w:qFormat/>
    <w:uiPriority w:val="0"/>
    <w:pPr>
      <w:numPr>
        <w:ilvl w:val="0"/>
        <w:numId w:val="1"/>
      </w:numPr>
    </w:pPr>
  </w:style>
  <w:style w:type="paragraph" w:styleId="13">
    <w:name w:val="Normal Indent"/>
    <w:basedOn w:val="1"/>
    <w:next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rPr>
  </w:style>
  <w:style w:type="paragraph" w:styleId="15">
    <w:name w:val="Document Map"/>
    <w:basedOn w:val="1"/>
    <w:qFormat/>
    <w:uiPriority w:val="0"/>
    <w:pPr>
      <w:shd w:val="clear" w:color="auto" w:fill="000080"/>
    </w:pPr>
    <w:rPr>
      <w:rFonts w:ascii="宋体" w:hAnsi="Courier New"/>
      <w:kern w:val="2"/>
      <w:sz w:val="21"/>
      <w:shd w:val="clear" w:color="auto" w:fill="000080"/>
    </w:rPr>
  </w:style>
  <w:style w:type="paragraph" w:styleId="16">
    <w:name w:val="annotation text"/>
    <w:basedOn w:val="1"/>
    <w:qFormat/>
    <w:uiPriority w:val="0"/>
    <w:pPr>
      <w:jc w:val="left"/>
    </w:pPr>
  </w:style>
  <w:style w:type="paragraph" w:styleId="17">
    <w:name w:val="Body Text 3"/>
    <w:basedOn w:val="1"/>
    <w:qFormat/>
    <w:uiPriority w:val="0"/>
    <w:pPr>
      <w:widowControl/>
      <w:adjustRightInd w:val="0"/>
      <w:snapToGrid w:val="0"/>
      <w:spacing w:line="360" w:lineRule="auto"/>
    </w:pPr>
    <w:rPr>
      <w:rFonts w:ascii="宋体" w:hAnsi="Courier New"/>
      <w:color w:val="000000"/>
    </w:rPr>
  </w:style>
  <w:style w:type="paragraph" w:styleId="18">
    <w:name w:val="Body Text"/>
    <w:basedOn w:val="1"/>
    <w:next w:val="1"/>
    <w:qFormat/>
    <w:uiPriority w:val="0"/>
    <w:rPr>
      <w:rFonts w:ascii="金山简黑体" w:eastAsia="金山简黑体"/>
      <w:b/>
      <w:spacing w:val="-8"/>
      <w:sz w:val="44"/>
    </w:rPr>
  </w:style>
  <w:style w:type="paragraph" w:styleId="19">
    <w:name w:val="Body Text Indent"/>
    <w:basedOn w:val="1"/>
    <w:qFormat/>
    <w:uiPriority w:val="0"/>
    <w:pPr>
      <w:spacing w:line="200" w:lineRule="exact"/>
      <w:ind w:firstLine="301"/>
    </w:pPr>
    <w:rPr>
      <w:spacing w:val="-4"/>
      <w:sz w:val="18"/>
    </w:rPr>
  </w:style>
  <w:style w:type="paragraph" w:styleId="20">
    <w:name w:val="List 2"/>
    <w:basedOn w:val="1"/>
    <w:qFormat/>
    <w:uiPriority w:val="0"/>
    <w:pPr>
      <w:ind w:left="100" w:leftChars="200" w:hanging="200" w:hangingChars="200"/>
    </w:pPr>
  </w:style>
  <w:style w:type="paragraph" w:styleId="21">
    <w:name w:val="Plain Text"/>
    <w:basedOn w:val="1"/>
    <w:link w:val="75"/>
    <w:qFormat/>
    <w:uiPriority w:val="0"/>
    <w:rPr>
      <w:rFonts w:ascii="宋体" w:hAnsi="Courier New" w:eastAsia="宋体" w:cs="Times New Roman"/>
      <w:kern w:val="2"/>
      <w:sz w:val="21"/>
      <w:lang w:eastAsia="zh-CN"/>
    </w:rPr>
  </w:style>
  <w:style w:type="paragraph" w:styleId="22">
    <w:name w:val="Date"/>
    <w:basedOn w:val="1"/>
    <w:next w:val="1"/>
    <w:link w:val="63"/>
    <w:qFormat/>
    <w:uiPriority w:val="0"/>
    <w:pPr>
      <w:ind w:left="100" w:leftChars="2500"/>
    </w:pPr>
    <w:rPr>
      <w:rFonts w:ascii="宋体" w:hAnsi="Courier New" w:eastAsia="宋体" w:cs="Times New Roman"/>
      <w:bCs/>
      <w:kern w:val="2"/>
      <w:sz w:val="24"/>
      <w:lang w:eastAsia="zh-CN"/>
    </w:rPr>
  </w:style>
  <w:style w:type="paragraph" w:styleId="23">
    <w:name w:val="Body Text Indent 2"/>
    <w:basedOn w:val="1"/>
    <w:qFormat/>
    <w:uiPriority w:val="0"/>
    <w:pPr>
      <w:ind w:firstLine="480" w:firstLineChars="200"/>
      <w:jc w:val="left"/>
    </w:pPr>
    <w:rPr>
      <w:rFonts w:hAnsi="宋体"/>
      <w:sz w:val="24"/>
      <w:szCs w:val="24"/>
    </w:r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rFonts w:ascii="宋体" w:hAnsi="Courier New"/>
      <w:kern w:val="2"/>
      <w:sz w:val="18"/>
    </w:rPr>
  </w:style>
  <w:style w:type="paragraph" w:styleId="26">
    <w:name w:val="header"/>
    <w:basedOn w:val="1"/>
    <w:link w:val="76"/>
    <w:qFormat/>
    <w:uiPriority w:val="0"/>
    <w:pPr>
      <w:pBdr>
        <w:bottom w:val="single" w:color="auto" w:sz="6" w:space="1"/>
      </w:pBdr>
      <w:tabs>
        <w:tab w:val="center" w:pos="4153"/>
        <w:tab w:val="right" w:pos="8306"/>
      </w:tabs>
      <w:snapToGrid w:val="0"/>
      <w:jc w:val="center"/>
    </w:pPr>
    <w:rPr>
      <w:rFonts w:ascii="宋体" w:hAnsi="Courier New" w:eastAsia="宋体" w:cs="Times New Roman"/>
      <w:kern w:val="2"/>
      <w:sz w:val="18"/>
      <w:lang w:eastAsia="zh-CN"/>
    </w:rPr>
  </w:style>
  <w:style w:type="paragraph" w:styleId="27">
    <w:name w:val="toc 1"/>
    <w:basedOn w:val="1"/>
    <w:next w:val="1"/>
    <w:qFormat/>
    <w:uiPriority w:val="0"/>
    <w:pPr>
      <w:tabs>
        <w:tab w:val="right" w:leader="dot" w:pos="9072"/>
      </w:tabs>
    </w:pPr>
    <w:rPr>
      <w:sz w:val="24"/>
      <w:szCs w:val="24"/>
    </w:rPr>
  </w:style>
  <w:style w:type="paragraph" w:styleId="28">
    <w:name w:val="List"/>
    <w:basedOn w:val="1"/>
    <w:qFormat/>
    <w:uiPriority w:val="0"/>
    <w:pPr>
      <w:ind w:left="200" w:hanging="200" w:hangingChars="200"/>
    </w:pPr>
  </w:style>
  <w:style w:type="paragraph" w:styleId="29">
    <w:name w:val="Body Text Indent 3"/>
    <w:basedOn w:val="1"/>
    <w:qFormat/>
    <w:uiPriority w:val="0"/>
    <w:pPr>
      <w:ind w:firstLine="420" w:firstLineChars="200"/>
      <w:jc w:val="left"/>
    </w:pPr>
    <w:rPr>
      <w:rFonts w:hAnsi="宋体"/>
      <w:szCs w:val="24"/>
    </w:rPr>
  </w:style>
  <w:style w:type="paragraph" w:styleId="30">
    <w:name w:val="toc 2"/>
    <w:basedOn w:val="1"/>
    <w:next w:val="1"/>
    <w:qFormat/>
    <w:uiPriority w:val="0"/>
    <w:pPr>
      <w:tabs>
        <w:tab w:val="right" w:leader="dot" w:pos="9072"/>
      </w:tabs>
      <w:ind w:left="420" w:leftChars="200"/>
    </w:pPr>
  </w:style>
  <w:style w:type="paragraph" w:styleId="31">
    <w:name w:val="Body Text 2"/>
    <w:basedOn w:val="1"/>
    <w:qFormat/>
    <w:uiPriority w:val="0"/>
    <w:pPr>
      <w:spacing w:after="120" w:line="480" w:lineRule="auto"/>
    </w:pPr>
  </w:style>
  <w:style w:type="paragraph" w:styleId="32">
    <w:name w:val="List Continue 2"/>
    <w:basedOn w:val="1"/>
    <w:qFormat/>
    <w:uiPriority w:val="0"/>
    <w:pPr>
      <w:spacing w:after="120"/>
      <w:ind w:left="840" w:leftChars="400"/>
    </w:pPr>
  </w:style>
  <w:style w:type="paragraph" w:styleId="33">
    <w:name w:val="Normal (Web)"/>
    <w:basedOn w:val="1"/>
    <w:qFormat/>
    <w:uiPriority w:val="0"/>
    <w:pPr>
      <w:widowControl/>
      <w:spacing w:before="100" w:beforeAutospacing="1" w:after="100" w:afterAutospacing="1"/>
      <w:jc w:val="left"/>
    </w:pPr>
    <w:rPr>
      <w:rFonts w:hAnsi="宋体"/>
      <w:sz w:val="24"/>
      <w:szCs w:val="24"/>
    </w:rPr>
  </w:style>
  <w:style w:type="paragraph" w:styleId="34">
    <w:name w:val="index 1"/>
    <w:basedOn w:val="1"/>
    <w:next w:val="1"/>
    <w:qFormat/>
    <w:uiPriority w:val="0"/>
  </w:style>
  <w:style w:type="paragraph" w:styleId="35">
    <w:name w:val="Title"/>
    <w:basedOn w:val="1"/>
    <w:next w:val="1"/>
    <w:qFormat/>
    <w:uiPriority w:val="0"/>
    <w:pPr>
      <w:spacing w:before="240" w:after="60"/>
      <w:jc w:val="center"/>
      <w:outlineLvl w:val="0"/>
    </w:pPr>
    <w:rPr>
      <w:rFonts w:ascii="Cambria" w:hAnsi="Cambria" w:eastAsia="宋体"/>
      <w:b/>
      <w:bCs/>
      <w:kern w:val="2"/>
      <w:sz w:val="32"/>
      <w:szCs w:val="32"/>
      <w:lang w:eastAsia="zh-CN"/>
    </w:rPr>
  </w:style>
  <w:style w:type="paragraph" w:styleId="36">
    <w:name w:val="annotation subject"/>
    <w:basedOn w:val="16"/>
    <w:next w:val="16"/>
    <w:qFormat/>
    <w:uiPriority w:val="0"/>
    <w:rPr>
      <w:b/>
      <w:bCs/>
    </w:rPr>
  </w:style>
  <w:style w:type="paragraph" w:styleId="37">
    <w:name w:val="Body Text First Indent"/>
    <w:basedOn w:val="18"/>
    <w:qFormat/>
    <w:uiPriority w:val="0"/>
    <w:pPr>
      <w:spacing w:after="120"/>
      <w:ind w:firstLine="420" w:firstLineChars="100"/>
    </w:pPr>
    <w:rPr>
      <w:rFonts w:ascii="Times New Roman" w:eastAsia="宋体"/>
      <w:b w:val="0"/>
      <w:spacing w:val="0"/>
      <w:sz w:val="21"/>
      <w:szCs w:val="24"/>
    </w:rPr>
  </w:style>
  <w:style w:type="table" w:styleId="39">
    <w:name w:val="Table Grid"/>
    <w:basedOn w:val="3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non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color w:val="0000FF"/>
      <w:u w:val="non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qFormat/>
    <w:uiPriority w:val="0"/>
    <w:rPr>
      <w:sz w:val="21"/>
      <w:szCs w:val="21"/>
    </w:rPr>
  </w:style>
  <w:style w:type="character" w:styleId="52">
    <w:name w:val="HTML Cite"/>
    <w:basedOn w:val="40"/>
    <w:qFormat/>
    <w:uiPriority w:val="0"/>
    <w:rPr>
      <w:vanish/>
    </w:rPr>
  </w:style>
  <w:style w:type="character" w:styleId="53">
    <w:name w:val="HTML Keyboard"/>
    <w:basedOn w:val="40"/>
    <w:semiHidden/>
    <w:unhideWhenUsed/>
    <w:qFormat/>
    <w:uiPriority w:val="0"/>
    <w:rPr>
      <w:rFonts w:hint="default" w:ascii="monospace" w:hAnsi="monospace" w:eastAsia="monospace" w:cs="monospace"/>
      <w:sz w:val="20"/>
    </w:rPr>
  </w:style>
  <w:style w:type="character" w:styleId="54">
    <w:name w:val="HTML Sample"/>
    <w:basedOn w:val="40"/>
    <w:qFormat/>
    <w:uiPriority w:val="0"/>
    <w:rPr>
      <w:rFonts w:ascii="monospace" w:hAnsi="monospace" w:eastAsia="monospace" w:cs="monospace"/>
    </w:rPr>
  </w:style>
  <w:style w:type="paragraph" w:customStyle="1" w:styleId="55">
    <w:name w:val="表格文字"/>
    <w:basedOn w:val="1"/>
    <w:qFormat/>
    <w:uiPriority w:val="0"/>
    <w:pPr>
      <w:spacing w:before="25" w:after="25"/>
      <w:jc w:val="left"/>
    </w:pPr>
    <w:rPr>
      <w:bCs/>
      <w:spacing w:val="10"/>
      <w:sz w:val="24"/>
    </w:rPr>
  </w:style>
  <w:style w:type="paragraph" w:customStyle="1" w:styleId="56">
    <w:name w:val="Default"/>
    <w:qFormat/>
    <w:uiPriority w:val="0"/>
    <w:pPr>
      <w:autoSpaceDE w:val="0"/>
      <w:autoSpaceDN w:val="0"/>
      <w:adjustRightInd w:val="0"/>
    </w:pPr>
    <w:rPr>
      <w:rFonts w:ascii="宋体" w:hAnsi="Calibri" w:eastAsia="Times New Roman" w:cs="宋体"/>
      <w:color w:val="000000"/>
      <w:sz w:val="24"/>
      <w:szCs w:val="24"/>
      <w:lang w:val="en-US" w:eastAsia="zh-CN" w:bidi="ar-SA"/>
    </w:rPr>
  </w:style>
  <w:style w:type="character" w:customStyle="1" w:styleId="57">
    <w:name w:val="font141"/>
    <w:qFormat/>
    <w:uiPriority w:val="0"/>
    <w:rPr>
      <w:rFonts w:hint="eastAsia" w:ascii="宋体" w:hAnsi="宋体" w:eastAsia="宋体" w:cs="宋体"/>
      <w:color w:val="000000"/>
      <w:sz w:val="20"/>
      <w:szCs w:val="20"/>
      <w:u w:val="none"/>
    </w:rPr>
  </w:style>
  <w:style w:type="character" w:customStyle="1" w:styleId="58">
    <w:name w:val="font51"/>
    <w:qFormat/>
    <w:uiPriority w:val="0"/>
    <w:rPr>
      <w:rFonts w:hint="eastAsia" w:ascii="宋体" w:hAnsi="宋体" w:eastAsia="宋体" w:cs="宋体"/>
      <w:b/>
      <w:color w:val="000000"/>
      <w:sz w:val="18"/>
      <w:szCs w:val="18"/>
    </w:rPr>
  </w:style>
  <w:style w:type="character" w:customStyle="1" w:styleId="59">
    <w:name w:val="標題 3 字元"/>
    <w:qFormat/>
    <w:uiPriority w:val="0"/>
    <w:rPr>
      <w:b/>
      <w:bCs/>
      <w:sz w:val="32"/>
      <w:szCs w:val="32"/>
    </w:rPr>
  </w:style>
  <w:style w:type="character" w:customStyle="1" w:styleId="60">
    <w:name w:val="普通文字 Char Char1"/>
    <w:qFormat/>
    <w:uiPriority w:val="0"/>
    <w:rPr>
      <w:rFonts w:ascii="宋体" w:hAnsi="Courier New" w:eastAsia="宋体"/>
      <w:kern w:val="2"/>
      <w:sz w:val="21"/>
      <w:lang w:val="en-US" w:eastAsia="zh-CN" w:bidi="ar-SA"/>
    </w:rPr>
  </w:style>
  <w:style w:type="character" w:customStyle="1" w:styleId="61">
    <w:name w:val="标题 3 Char Char"/>
    <w:qFormat/>
    <w:uiPriority w:val="0"/>
    <w:rPr>
      <w:rFonts w:eastAsia="宋体"/>
      <w:b/>
      <w:bCs/>
      <w:kern w:val="2"/>
      <w:sz w:val="32"/>
      <w:szCs w:val="32"/>
      <w:lang w:val="en-US" w:eastAsia="zh-CN" w:bidi="ar-SA"/>
    </w:rPr>
  </w:style>
  <w:style w:type="character" w:customStyle="1" w:styleId="62">
    <w:name w:val="标题 1 字符"/>
    <w:link w:val="2"/>
    <w:qFormat/>
    <w:uiPriority w:val="0"/>
    <w:rPr>
      <w:b/>
      <w:bCs/>
      <w:kern w:val="44"/>
      <w:sz w:val="44"/>
      <w:szCs w:val="44"/>
    </w:rPr>
  </w:style>
  <w:style w:type="character" w:customStyle="1" w:styleId="63">
    <w:name w:val="日期 字符"/>
    <w:link w:val="22"/>
    <w:qFormat/>
    <w:uiPriority w:val="0"/>
    <w:rPr>
      <w:rFonts w:ascii="宋体" w:hAnsi="Courier New" w:eastAsia="宋体"/>
      <w:bCs/>
      <w:kern w:val="2"/>
      <w:sz w:val="24"/>
      <w:lang w:val="en-US" w:eastAsia="zh-CN" w:bidi="ar-SA"/>
    </w:rPr>
  </w:style>
  <w:style w:type="character" w:customStyle="1" w:styleId="64">
    <w:name w:val="font151"/>
    <w:qFormat/>
    <w:uiPriority w:val="0"/>
    <w:rPr>
      <w:rFonts w:hint="eastAsia" w:ascii="宋体" w:hAnsi="宋体" w:eastAsia="宋体" w:cs="宋体"/>
      <w:color w:val="000000"/>
      <w:sz w:val="20"/>
      <w:szCs w:val="20"/>
      <w:u w:val="none"/>
    </w:rPr>
  </w:style>
  <w:style w:type="character" w:customStyle="1" w:styleId="65">
    <w:name w:val="font41"/>
    <w:basedOn w:val="40"/>
    <w:qFormat/>
    <w:uiPriority w:val="0"/>
    <w:rPr>
      <w:rFonts w:hint="eastAsia" w:ascii="宋体" w:hAnsi="宋体" w:eastAsia="宋体" w:cs="宋体"/>
      <w:color w:val="000000"/>
      <w:sz w:val="20"/>
      <w:szCs w:val="20"/>
      <w:u w:val="none"/>
    </w:rPr>
  </w:style>
  <w:style w:type="character" w:customStyle="1" w:styleId="66">
    <w:name w:val="font31"/>
    <w:basedOn w:val="40"/>
    <w:qFormat/>
    <w:uiPriority w:val="0"/>
    <w:rPr>
      <w:rFonts w:hint="default" w:ascii="Arial" w:hAnsi="Arial" w:cs="Arial"/>
      <w:color w:val="000000"/>
      <w:sz w:val="20"/>
      <w:szCs w:val="20"/>
      <w:u w:val="none"/>
      <w:vertAlign w:val="superscript"/>
    </w:rPr>
  </w:style>
  <w:style w:type="character" w:customStyle="1" w:styleId="67">
    <w:name w:val="apple-style-span"/>
    <w:basedOn w:val="40"/>
    <w:qFormat/>
    <w:uiPriority w:val="0"/>
  </w:style>
  <w:style w:type="character" w:customStyle="1" w:styleId="68">
    <w:name w:val="font71"/>
    <w:qFormat/>
    <w:uiPriority w:val="0"/>
    <w:rPr>
      <w:rFonts w:hint="eastAsia" w:ascii="宋体" w:hAnsi="宋体" w:eastAsia="宋体" w:cs="宋体"/>
      <w:i/>
      <w:color w:val="000000"/>
      <w:sz w:val="18"/>
      <w:szCs w:val="18"/>
    </w:rPr>
  </w:style>
  <w:style w:type="character" w:customStyle="1" w:styleId="69">
    <w:name w:val="font91"/>
    <w:qFormat/>
    <w:uiPriority w:val="0"/>
    <w:rPr>
      <w:rFonts w:hint="eastAsia" w:ascii="宋体" w:hAnsi="宋体" w:eastAsia="宋体" w:cs="宋体"/>
      <w:color w:val="000000"/>
      <w:sz w:val="20"/>
      <w:szCs w:val="20"/>
    </w:rPr>
  </w:style>
  <w:style w:type="character" w:customStyle="1" w:styleId="70">
    <w:name w:val="marklong"/>
    <w:basedOn w:val="40"/>
    <w:qFormat/>
    <w:uiPriority w:val="0"/>
  </w:style>
  <w:style w:type="character" w:customStyle="1" w:styleId="71">
    <w:name w:val="font21"/>
    <w:basedOn w:val="40"/>
    <w:qFormat/>
    <w:uiPriority w:val="0"/>
    <w:rPr>
      <w:rFonts w:hint="eastAsia" w:ascii="宋体" w:hAnsi="宋体" w:eastAsia="宋体" w:cs="宋体"/>
      <w:color w:val="000000"/>
      <w:sz w:val="18"/>
      <w:szCs w:val="18"/>
    </w:rPr>
  </w:style>
  <w:style w:type="character" w:customStyle="1" w:styleId="72">
    <w:name w:val="标题 5 字符"/>
    <w:link w:val="6"/>
    <w:qFormat/>
    <w:uiPriority w:val="0"/>
    <w:rPr>
      <w:b/>
      <w:bCs/>
      <w:sz w:val="28"/>
      <w:szCs w:val="28"/>
    </w:rPr>
  </w:style>
  <w:style w:type="character" w:customStyle="1" w:styleId="73">
    <w:name w:val="font01"/>
    <w:qFormat/>
    <w:uiPriority w:val="0"/>
    <w:rPr>
      <w:rFonts w:hint="eastAsia" w:ascii="宋体" w:hAnsi="宋体" w:eastAsia="宋体" w:cs="宋体"/>
      <w:color w:val="000000"/>
      <w:sz w:val="24"/>
      <w:szCs w:val="24"/>
      <w:u w:val="none"/>
      <w:vertAlign w:val="superscript"/>
    </w:rPr>
  </w:style>
  <w:style w:type="character" w:customStyle="1" w:styleId="74">
    <w:name w:val="contentheaderrev1"/>
    <w:qFormat/>
    <w:uiPriority w:val="0"/>
    <w:rPr>
      <w:rFonts w:hint="default" w:ascii="Arial" w:hAnsi="Arial" w:cs="Arial"/>
      <w:b/>
      <w:bCs/>
      <w:color w:val="FFFFFF"/>
      <w:sz w:val="18"/>
      <w:szCs w:val="18"/>
      <w:u w:val="none"/>
    </w:rPr>
  </w:style>
  <w:style w:type="character" w:customStyle="1" w:styleId="75">
    <w:name w:val="纯文本 字符"/>
    <w:link w:val="21"/>
    <w:qFormat/>
    <w:uiPriority w:val="0"/>
    <w:rPr>
      <w:rFonts w:ascii="宋体" w:hAnsi="Courier New" w:eastAsia="宋体"/>
      <w:kern w:val="2"/>
      <w:sz w:val="21"/>
      <w:lang w:val="en-US" w:eastAsia="zh-CN" w:bidi="ar-SA"/>
    </w:rPr>
  </w:style>
  <w:style w:type="character" w:customStyle="1" w:styleId="76">
    <w:name w:val="页眉 字符"/>
    <w:link w:val="26"/>
    <w:qFormat/>
    <w:uiPriority w:val="0"/>
    <w:rPr>
      <w:rFonts w:ascii="宋体" w:hAnsi="Courier New" w:eastAsia="宋体"/>
      <w:kern w:val="2"/>
      <w:sz w:val="18"/>
      <w:lang w:val="en-US" w:eastAsia="zh-CN" w:bidi="ar-SA"/>
    </w:rPr>
  </w:style>
  <w:style w:type="character" w:customStyle="1" w:styleId="77">
    <w:name w:val="font81"/>
    <w:qFormat/>
    <w:uiPriority w:val="0"/>
    <w:rPr>
      <w:rFonts w:hint="eastAsia" w:ascii="宋体" w:hAnsi="宋体" w:eastAsia="宋体" w:cs="宋体"/>
      <w:color w:val="000000"/>
      <w:sz w:val="20"/>
      <w:szCs w:val="20"/>
      <w:u w:val="none"/>
    </w:rPr>
  </w:style>
  <w:style w:type="character" w:customStyle="1" w:styleId="78">
    <w:name w:val="font101"/>
    <w:qFormat/>
    <w:uiPriority w:val="0"/>
    <w:rPr>
      <w:rFonts w:hint="default" w:ascii="Arial" w:hAnsi="Arial" w:cs="Arial"/>
      <w:b/>
      <w:color w:val="000000"/>
      <w:sz w:val="20"/>
      <w:szCs w:val="20"/>
      <w:u w:val="none"/>
    </w:rPr>
  </w:style>
  <w:style w:type="character" w:customStyle="1" w:styleId="79">
    <w:name w:val="font11"/>
    <w:qFormat/>
    <w:uiPriority w:val="0"/>
    <w:rPr>
      <w:rFonts w:hint="default" w:ascii="Times New Roman" w:hAnsi="Times New Roman" w:cs="Times New Roman"/>
      <w:color w:val="000000"/>
      <w:sz w:val="18"/>
      <w:szCs w:val="18"/>
    </w:rPr>
  </w:style>
  <w:style w:type="character" w:customStyle="1" w:styleId="80">
    <w:name w:val="font61"/>
    <w:qFormat/>
    <w:uiPriority w:val="0"/>
    <w:rPr>
      <w:rFonts w:hint="eastAsia" w:ascii="宋体" w:hAnsi="宋体" w:eastAsia="宋体" w:cs="宋体"/>
      <w:b/>
      <w:color w:val="000000"/>
      <w:sz w:val="18"/>
      <w:szCs w:val="18"/>
    </w:rPr>
  </w:style>
  <w:style w:type="character" w:customStyle="1" w:styleId="81">
    <w:name w:val="标题 4 字符"/>
    <w:link w:val="5"/>
    <w:qFormat/>
    <w:uiPriority w:val="0"/>
    <w:rPr>
      <w:rFonts w:ascii="Arial" w:hAnsi="Arial" w:eastAsia="黑体"/>
      <w:b/>
      <w:bCs/>
      <w:sz w:val="28"/>
      <w:szCs w:val="28"/>
    </w:rPr>
  </w:style>
  <w:style w:type="paragraph" w:customStyle="1" w:styleId="82">
    <w:name w:val="USE 4"/>
    <w:basedOn w:val="1"/>
    <w:qFormat/>
    <w:uiPriority w:val="0"/>
    <w:pPr>
      <w:widowControl/>
      <w:spacing w:line="360" w:lineRule="auto"/>
      <w:ind w:left="284" w:hanging="227"/>
      <w:jc w:val="left"/>
    </w:pPr>
    <w:rPr>
      <w:rFonts w:hAnsi="宋体"/>
      <w:sz w:val="24"/>
    </w:rPr>
  </w:style>
  <w:style w:type="paragraph" w:customStyle="1" w:styleId="83">
    <w:name w:val="地址 1"/>
    <w:next w:val="1"/>
    <w:qFormat/>
    <w:uiPriority w:val="0"/>
    <w:pPr>
      <w:jc w:val="center"/>
    </w:pPr>
    <w:rPr>
      <w:rFonts w:ascii="Arial" w:hAnsi="Arial" w:eastAsia="宋体" w:cs="Arial"/>
      <w:color w:val="CC3300"/>
      <w:kern w:val="28"/>
      <w:sz w:val="16"/>
      <w:szCs w:val="16"/>
      <w:lang w:val="en-US" w:eastAsia="en-US" w:bidi="ar-SA"/>
    </w:rPr>
  </w:style>
  <w:style w:type="paragraph" w:customStyle="1" w:styleId="84">
    <w:name w:val="Char Char1 Char Char Char Char"/>
    <w:basedOn w:val="1"/>
    <w:qFormat/>
    <w:uiPriority w:val="0"/>
    <w:pPr>
      <w:snapToGrid w:val="0"/>
      <w:spacing w:line="360" w:lineRule="auto"/>
      <w:ind w:firstLine="200" w:firstLineChars="200"/>
    </w:pPr>
    <w:rPr>
      <w:rFonts w:eastAsia="仿宋_GB2312"/>
      <w:sz w:val="24"/>
    </w:rPr>
  </w:style>
  <w:style w:type="paragraph" w:customStyle="1" w:styleId="85">
    <w:name w:val="样式 USE 1 + 行距: 单倍行距"/>
    <w:basedOn w:val="1"/>
    <w:qFormat/>
    <w:uiPriority w:val="0"/>
    <w:pPr>
      <w:widowControl/>
      <w:spacing w:line="180" w:lineRule="atLeast"/>
      <w:ind w:left="180"/>
      <w:jc w:val="left"/>
    </w:pPr>
    <w:rPr>
      <w:rFonts w:hAnsi="宋体"/>
      <w:b/>
      <w:bCs/>
      <w:sz w:val="24"/>
    </w:rPr>
  </w:style>
  <w:style w:type="paragraph" w:customStyle="1" w:styleId="86">
    <w:name w:val="Char1"/>
    <w:basedOn w:val="1"/>
    <w:qFormat/>
    <w:uiPriority w:val="0"/>
    <w:pPr>
      <w:tabs>
        <w:tab w:val="left" w:pos="360"/>
      </w:tabs>
    </w:pPr>
    <w:rPr>
      <w:sz w:val="24"/>
      <w:szCs w:val="24"/>
    </w:rPr>
  </w:style>
  <w:style w:type="paragraph" w:customStyle="1" w:styleId="87">
    <w:name w:val="WPSOffice手动目录 1"/>
    <w:qFormat/>
    <w:uiPriority w:val="0"/>
    <w:rPr>
      <w:rFonts w:ascii="Times New Roman" w:hAnsi="Times New Roman" w:eastAsia="宋体" w:cs="Times New Roman"/>
      <w:lang w:val="en-US" w:eastAsia="zh-CN" w:bidi="ar-SA"/>
    </w:rPr>
  </w:style>
  <w:style w:type="paragraph" w:styleId="88">
    <w:name w:val="List Paragraph"/>
    <w:basedOn w:val="1"/>
    <w:qFormat/>
    <w:uiPriority w:val="0"/>
    <w:pPr>
      <w:ind w:firstLine="420" w:firstLineChars="200"/>
    </w:pPr>
    <w:rPr>
      <w:szCs w:val="24"/>
    </w:rPr>
  </w:style>
  <w:style w:type="paragraph" w:customStyle="1" w:styleId="89">
    <w:name w:val="列出段落1"/>
    <w:basedOn w:val="1"/>
    <w:qFormat/>
    <w:uiPriority w:val="0"/>
    <w:pPr>
      <w:ind w:firstLine="420" w:firstLineChars="200"/>
    </w:pPr>
  </w:style>
  <w:style w:type="paragraph" w:customStyle="1" w:styleId="90">
    <w:name w:val="Char Char Char Char"/>
    <w:basedOn w:val="1"/>
    <w:qFormat/>
    <w:uiPriority w:val="0"/>
    <w:pPr>
      <w:widowControl/>
      <w:spacing w:after="160" w:line="240" w:lineRule="exact"/>
      <w:jc w:val="left"/>
    </w:pPr>
    <w:rPr>
      <w:rFonts w:ascii="Verdana" w:hAnsi="Verdana" w:eastAsia="仿宋_GB2312"/>
      <w:sz w:val="24"/>
    </w:rPr>
  </w:style>
  <w:style w:type="paragraph" w:customStyle="1" w:styleId="91">
    <w:name w:val="Char"/>
    <w:basedOn w:val="1"/>
    <w:qFormat/>
    <w:uiPriority w:val="0"/>
    <w:pPr>
      <w:tabs>
        <w:tab w:val="left" w:pos="720"/>
      </w:tabs>
      <w:ind w:left="720" w:hanging="720"/>
    </w:pPr>
    <w:rPr>
      <w:sz w:val="24"/>
      <w:szCs w:val="24"/>
    </w:rPr>
  </w:style>
  <w:style w:type="paragraph" w:customStyle="1" w:styleId="92">
    <w:name w:val="简单回函地址"/>
    <w:basedOn w:val="1"/>
    <w:qFormat/>
    <w:uiPriority w:val="0"/>
  </w:style>
  <w:style w:type="paragraph" w:customStyle="1" w:styleId="93">
    <w:name w:val="Char Char Char Char Char Char Char Char Char Char Char Char Char"/>
    <w:basedOn w:val="15"/>
    <w:qFormat/>
    <w:uiPriority w:val="0"/>
  </w:style>
  <w:style w:type="paragraph" w:customStyle="1" w:styleId="94">
    <w:name w:val="正文2"/>
    <w:basedOn w:val="1"/>
    <w:qFormat/>
    <w:uiPriority w:val="0"/>
    <w:pPr>
      <w:spacing w:before="156" w:line="360" w:lineRule="auto"/>
      <w:ind w:firstLine="510" w:firstLineChars="200"/>
    </w:pPr>
    <w:rPr>
      <w:sz w:val="24"/>
    </w:rPr>
  </w:style>
  <w:style w:type="paragraph" w:customStyle="1" w:styleId="95">
    <w:name w:val="Char Char Char Char Char Char Char"/>
    <w:basedOn w:val="1"/>
    <w:qFormat/>
    <w:uiPriority w:val="0"/>
    <w:pPr>
      <w:widowControl/>
      <w:spacing w:after="160" w:line="240" w:lineRule="exact"/>
      <w:jc w:val="left"/>
    </w:pPr>
    <w:rPr>
      <w:szCs w:val="24"/>
    </w:rPr>
  </w:style>
  <w:style w:type="paragraph" w:customStyle="1" w:styleId="96">
    <w:name w:val="表内文字"/>
    <w:basedOn w:val="1"/>
    <w:qFormat/>
    <w:uiPriority w:val="0"/>
    <w:pPr>
      <w:snapToGrid w:val="0"/>
      <w:spacing w:line="320" w:lineRule="exact"/>
      <w:jc w:val="center"/>
    </w:pPr>
    <w:rPr>
      <w:rFonts w:ascii="宋体" w:hAnsi="宋体"/>
      <w:b/>
      <w:sz w:val="24"/>
    </w:rPr>
  </w:style>
  <w:style w:type="paragraph" w:customStyle="1" w:styleId="97">
    <w:name w:val="USE 3"/>
    <w:basedOn w:val="1"/>
    <w:qFormat/>
    <w:uiPriority w:val="0"/>
    <w:pPr>
      <w:widowControl/>
      <w:spacing w:line="360" w:lineRule="auto"/>
      <w:ind w:left="530" w:hanging="170"/>
      <w:jc w:val="left"/>
    </w:pPr>
    <w:rPr>
      <w:rFonts w:hAnsi="宋体"/>
      <w:sz w:val="24"/>
    </w:rPr>
  </w:style>
  <w:style w:type="paragraph" w:customStyle="1" w:styleId="98">
    <w:name w:val="Char11"/>
    <w:basedOn w:val="1"/>
    <w:qFormat/>
    <w:uiPriority w:val="0"/>
    <w:rPr>
      <w:rFonts w:ascii="仿宋_GB2312" w:eastAsia="仿宋_GB2312"/>
      <w:b/>
      <w:sz w:val="32"/>
      <w:szCs w:val="32"/>
    </w:rPr>
  </w:style>
  <w:style w:type="paragraph" w:customStyle="1" w:styleId="99">
    <w:name w:val="标准书眉_偶数页"/>
    <w:basedOn w:val="1"/>
    <w:next w:val="1"/>
    <w:qFormat/>
    <w:uiPriority w:val="0"/>
    <w:pPr>
      <w:widowControl/>
      <w:tabs>
        <w:tab w:val="center" w:pos="4154"/>
        <w:tab w:val="right" w:pos="8306"/>
      </w:tabs>
      <w:spacing w:after="120"/>
      <w:jc w:val="left"/>
    </w:pPr>
    <w:rPr>
      <w:lang w:eastAsia="zh-CN"/>
    </w:rPr>
  </w:style>
  <w:style w:type="paragraph" w:customStyle="1" w:styleId="100">
    <w:name w:val="p0"/>
    <w:basedOn w:val="1"/>
    <w:qFormat/>
    <w:uiPriority w:val="0"/>
    <w:pPr>
      <w:widowControl/>
    </w:pPr>
    <w:rPr>
      <w:szCs w:val="21"/>
    </w:rPr>
  </w:style>
  <w:style w:type="paragraph" w:customStyle="1" w:styleId="101">
    <w:name w:val="p17"/>
    <w:basedOn w:val="1"/>
    <w:qFormat/>
    <w:uiPriority w:val="0"/>
    <w:pPr>
      <w:widowControl/>
    </w:pPr>
    <w:rPr>
      <w:rFonts w:ascii="宋体" w:hAnsi="宋体" w:eastAsia="宋体"/>
      <w:sz w:val="21"/>
      <w:szCs w:val="21"/>
      <w:lang w:eastAsia="zh-CN"/>
    </w:rPr>
  </w:style>
  <w:style w:type="paragraph" w:customStyle="1" w:styleId="102">
    <w:name w:val="List Paragraph11"/>
    <w:basedOn w:val="1"/>
    <w:qFormat/>
    <w:uiPriority w:val="0"/>
    <w:pPr>
      <w:ind w:firstLine="420" w:firstLineChars="200"/>
    </w:pPr>
    <w:rPr>
      <w:rFonts w:ascii="Calibri" w:hAnsi="Calibri"/>
      <w:szCs w:val="22"/>
    </w:rPr>
  </w:style>
  <w:style w:type="paragraph" w:customStyle="1" w:styleId="103">
    <w:name w:val="Char Char2 Char"/>
    <w:basedOn w:val="1"/>
    <w:qFormat/>
    <w:uiPriority w:val="0"/>
    <w:rPr>
      <w:rFonts w:hAnsi="宋体"/>
      <w:b/>
      <w:sz w:val="28"/>
      <w:szCs w:val="28"/>
    </w:rPr>
  </w:style>
  <w:style w:type="paragraph" w:customStyle="1" w:styleId="104">
    <w:name w:val="1"/>
    <w:basedOn w:val="1"/>
    <w:next w:val="21"/>
    <w:qFormat/>
    <w:uiPriority w:val="0"/>
  </w:style>
  <w:style w:type="paragraph" w:customStyle="1" w:styleId="105">
    <w:name w:val="USE 5"/>
    <w:basedOn w:val="1"/>
    <w:qFormat/>
    <w:uiPriority w:val="0"/>
    <w:pPr>
      <w:widowControl/>
      <w:spacing w:line="360" w:lineRule="auto"/>
      <w:ind w:left="397" w:hanging="340"/>
      <w:jc w:val="left"/>
    </w:pPr>
    <w:rPr>
      <w:rFonts w:hAnsi="宋体"/>
      <w:sz w:val="24"/>
    </w:rPr>
  </w:style>
  <w:style w:type="paragraph" w:customStyle="1" w:styleId="106">
    <w:name w:val="Char1 Char Char Char Char Char Char"/>
    <w:basedOn w:val="1"/>
    <w:qFormat/>
    <w:uiPriority w:val="0"/>
    <w:rPr>
      <w:rFonts w:ascii="Tahoma" w:hAnsi="Tahoma"/>
      <w:sz w:val="24"/>
    </w:rPr>
  </w:style>
  <w:style w:type="paragraph" w:customStyle="1" w:styleId="107">
    <w:name w:val="USE 2"/>
    <w:basedOn w:val="1"/>
    <w:qFormat/>
    <w:uiPriority w:val="0"/>
    <w:pPr>
      <w:widowControl/>
      <w:spacing w:line="360" w:lineRule="auto"/>
      <w:ind w:left="3836" w:hanging="3836"/>
      <w:jc w:val="left"/>
    </w:pPr>
    <w:rPr>
      <w:rFonts w:hAnsi="宋体"/>
      <w:sz w:val="24"/>
    </w:rPr>
  </w:style>
  <w:style w:type="paragraph" w:customStyle="1" w:styleId="108">
    <w:name w:val="正文1"/>
    <w:basedOn w:val="1"/>
    <w:qFormat/>
    <w:uiPriority w:val="0"/>
  </w:style>
  <w:style w:type="paragraph" w:customStyle="1" w:styleId="109">
    <w:name w:val="样式1"/>
    <w:basedOn w:val="1"/>
    <w:qFormat/>
    <w:uiPriority w:val="0"/>
    <w:pPr>
      <w:autoSpaceDE w:val="0"/>
      <w:autoSpaceDN w:val="0"/>
      <w:adjustRightInd w:val="0"/>
      <w:spacing w:line="440" w:lineRule="atLeast"/>
      <w:ind w:firstLine="601"/>
      <w:textAlignment w:val="baseline"/>
    </w:pPr>
    <w:rPr>
      <w:sz w:val="28"/>
    </w:rPr>
  </w:style>
  <w:style w:type="paragraph" w:styleId="110">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paragraph" w:customStyle="1" w:styleId="111">
    <w:name w:val="Char2"/>
    <w:basedOn w:val="1"/>
    <w:qFormat/>
    <w:uiPriority w:val="0"/>
    <w:pPr>
      <w:widowControl/>
      <w:spacing w:after="160" w:line="240" w:lineRule="exact"/>
      <w:jc w:val="left"/>
    </w:pPr>
    <w:rPr>
      <w:rFonts w:ascii="Verdana" w:hAnsi="Verdana"/>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sz w:val="24"/>
      <w:szCs w:val="24"/>
    </w:rPr>
  </w:style>
  <w:style w:type="paragraph" w:customStyle="1" w:styleId="113">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114">
    <w:name w:val="List Paragraph1"/>
    <w:basedOn w:val="1"/>
    <w:qFormat/>
    <w:uiPriority w:val="0"/>
    <w:pPr>
      <w:ind w:firstLine="420" w:firstLineChars="200"/>
    </w:pPr>
    <w:rPr>
      <w:rFonts w:ascii="Calibri" w:hAnsi="Calibri"/>
      <w:szCs w:val="22"/>
    </w:rPr>
  </w:style>
  <w:style w:type="paragraph" w:customStyle="1" w:styleId="11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修订1"/>
    <w:hidden/>
    <w:semiHidden/>
    <w:qFormat/>
    <w:uiPriority w:val="99"/>
    <w:rPr>
      <w:rFonts w:ascii="Times New Roman" w:hAnsi="Times New Roman" w:eastAsia="Times New Roman" w:cs="宋体"/>
      <w:lang w:val="en-US" w:eastAsia="en-US" w:bidi="ar-SA"/>
    </w:rPr>
  </w:style>
  <w:style w:type="character" w:customStyle="1" w:styleId="117">
    <w:name w:val="hover1"/>
    <w:basedOn w:val="40"/>
    <w:qFormat/>
    <w:uiPriority w:val="0"/>
    <w:rPr>
      <w:color w:val="2590EB"/>
    </w:rPr>
  </w:style>
  <w:style w:type="character" w:customStyle="1" w:styleId="118">
    <w:name w:val="hover2"/>
    <w:basedOn w:val="40"/>
    <w:qFormat/>
    <w:uiPriority w:val="0"/>
    <w:rPr>
      <w:color w:val="2590EB"/>
    </w:rPr>
  </w:style>
  <w:style w:type="character" w:customStyle="1" w:styleId="119">
    <w:name w:val="hover3"/>
    <w:basedOn w:val="40"/>
    <w:qFormat/>
    <w:uiPriority w:val="0"/>
  </w:style>
  <w:style w:type="paragraph" w:customStyle="1" w:styleId="120">
    <w:name w:val="正文首行缩进1"/>
    <w:basedOn w:val="1"/>
    <w:qFormat/>
    <w:uiPriority w:val="99"/>
    <w:pPr>
      <w:spacing w:after="120"/>
      <w:ind w:firstLine="420" w:firstLineChars="100"/>
    </w:pPr>
  </w:style>
  <w:style w:type="character" w:customStyle="1" w:styleId="121">
    <w:name w:val="标题 3 字符"/>
    <w:basedOn w:val="40"/>
    <w:link w:val="4"/>
    <w:qFormat/>
    <w:uiPriority w:val="0"/>
    <w:rPr>
      <w:b/>
      <w:szCs w:val="20"/>
      <w:lang w:val="zh-CN"/>
    </w:rPr>
  </w:style>
  <w:style w:type="character" w:customStyle="1" w:styleId="122">
    <w:name w:val="hover"/>
    <w:basedOn w:val="40"/>
    <w:qFormat/>
    <w:uiPriority w:val="0"/>
  </w:style>
  <w:style w:type="paragraph" w:customStyle="1" w:styleId="123">
    <w:name w:val="Revision"/>
    <w:hidden/>
    <w:unhideWhenUsed/>
    <w:qFormat/>
    <w:uiPriority w:val="99"/>
    <w:rPr>
      <w:rFonts w:ascii="Times New Roman" w:hAnsi="Times New Roman" w:eastAsia="Times New Roman" w:cs="宋体"/>
      <w:lang w:val="en-US" w:eastAsia="en-US" w:bidi="ar-SA"/>
    </w:rPr>
  </w:style>
  <w:style w:type="table" w:customStyle="1" w:styleId="124">
    <w:name w:val="Table Normal"/>
    <w:unhideWhenUsed/>
    <w:qFormat/>
    <w:uiPriority w:val="0"/>
    <w:tblPr>
      <w:tblCellMar>
        <w:top w:w="0" w:type="dxa"/>
        <w:left w:w="0" w:type="dxa"/>
        <w:bottom w:w="0" w:type="dxa"/>
        <w:right w:w="0" w:type="dxa"/>
      </w:tblCellMar>
    </w:tblPr>
  </w:style>
  <w:style w:type="paragraph" w:customStyle="1" w:styleId="125">
    <w:name w:val="列表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广西建设工程机电设备招标中心</Company>
  <Pages>80</Pages>
  <Words>21524</Words>
  <Characters>23605</Characters>
  <Lines>349</Lines>
  <Paragraphs>98</Paragraphs>
  <TotalTime>51</TotalTime>
  <ScaleCrop>false</ScaleCrop>
  <LinksUpToDate>false</LinksUpToDate>
  <CharactersWithSpaces>24430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2020-06-30T05:35:00Z</dcterms:created>
  <dc:creator>杨光义</dc:creator>
  <cp:lastModifiedBy>1</cp:lastModifiedBy>
  <cp:lastPrinted>2026-03-03T01:31:00Z</cp:lastPrinted>
  <dcterms:modified xsi:type="dcterms:W3CDTF">2026-03-05T09:14:51Z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2F66C4F4F2B44F0B9F2C1F3BF1596959_13</vt:lpwstr>
  </property>
  <property fmtid="{D5CDD505-2E9C-101B-9397-08002B2CF9AE}" pid="4" name="MSIP_Label_ff6dbec8-95a8-4638-9f5f-bd076536645c_Enabled">
    <vt:lpwstr>true</vt:lpwstr>
  </property>
  <property fmtid="{D5CDD505-2E9C-101B-9397-08002B2CF9AE}" pid="5" name="MSIP_Label_ff6dbec8-95a8-4638-9f5f-bd076536645c_SetDate">
    <vt:lpwstr>2024-05-27T05:09:55Z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2e8ee54c-90c9-46dd-8bec-d5f1012a4c48</vt:lpwstr>
  </property>
  <property fmtid="{D5CDD505-2E9C-101B-9397-08002B2CF9AE}" pid="10" name="MSIP_Label_ff6dbec8-95a8-4638-9f5f-bd076536645c_ContentBits">
    <vt:lpwstr>0</vt:lpwstr>
  </property>
  <property fmtid="{D5CDD505-2E9C-101B-9397-08002B2CF9AE}" pid="11" name="KSOTemplateDocerSaveRecord">
    <vt:lpwstr>eyJoZGlkIjoiMTI1MWYyNmE1ODg5ZTg5MGI3ZGVmNGNiMTk4ZWYzNTUiLCJ1c2VySWQiOiI0NDc1NTA5ODkifQ==</vt:lpwstr>
  </property>
</Properties>
</file>