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spacing w:line="288" w:lineRule="auto"/>
        <w:rPr>
          <w:rFonts w:ascii="黑体" w:eastAsia="黑体"/>
          <w:b/>
          <w:color w:val="000000" w:themeColor="text1"/>
          <w:sz w:val="52"/>
          <w:szCs w:val="52"/>
          <w:highlight w:val="none"/>
          <w14:textFill>
            <w14:solidFill>
              <w14:schemeClr w14:val="tx1"/>
            </w14:solidFill>
          </w14:textFill>
        </w:rPr>
        <w:sectPr>
          <w:headerReference r:id="rId3" w:type="default"/>
          <w:pgSz w:w="11900" w:h="16838"/>
          <w:pgMar w:top="1440" w:right="986" w:bottom="941" w:left="998" w:header="0" w:footer="850" w:gutter="0"/>
          <w:cols w:space="720" w:num="1"/>
          <w:docGrid w:linePitch="360" w:charSpace="0"/>
        </w:sectPr>
      </w:pPr>
      <w:bookmarkStart w:id="0" w:name="_Toc20229_WPSOffice_Type1"/>
      <w:r>
        <w:rPr>
          <w:rFonts w:ascii="宋体" w:hAnsi="宋体" w:eastAsia="宋体" w:cs="宋体"/>
          <w:sz w:val="24"/>
          <w:szCs w:val="24"/>
        </w:rPr>
        <w:drawing>
          <wp:inline distT="0" distB="0" distL="114300" distR="114300">
            <wp:extent cx="6179185" cy="8745855"/>
            <wp:effectExtent l="0" t="0" r="12065" b="1714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4"/>
                    <a:stretch>
                      <a:fillRect/>
                    </a:stretch>
                  </pic:blipFill>
                  <pic:spPr>
                    <a:xfrm>
                      <a:off x="0" y="0"/>
                      <a:ext cx="6179185" cy="8745855"/>
                    </a:xfrm>
                    <a:prstGeom prst="rect">
                      <a:avLst/>
                    </a:prstGeom>
                    <a:noFill/>
                    <a:ln w="9525">
                      <a:noFill/>
                    </a:ln>
                  </pic:spPr>
                </pic:pic>
              </a:graphicData>
            </a:graphic>
          </wp:inline>
        </w:drawing>
      </w:r>
    </w:p>
    <w:p>
      <w:pPr>
        <w:jc w:val="center"/>
        <w:rPr>
          <w:rFonts w:ascii="宋体" w:hAnsi="宋体" w:eastAsia="宋体"/>
          <w:b/>
          <w:bCs/>
          <w:color w:val="000000" w:themeColor="text1"/>
          <w:sz w:val="48"/>
          <w:szCs w:val="48"/>
          <w:highlight w:val="none"/>
          <w:lang w:eastAsia="zh-CN"/>
          <w14:textFill>
            <w14:solidFill>
              <w14:schemeClr w14:val="tx1"/>
            </w14:solidFill>
          </w14:textFill>
        </w:rPr>
      </w:pPr>
      <w:r>
        <w:rPr>
          <w:rFonts w:ascii="宋体" w:hAnsi="宋体" w:eastAsia="宋体"/>
          <w:b/>
          <w:bCs/>
          <w:color w:val="000000" w:themeColor="text1"/>
          <w:sz w:val="48"/>
          <w:szCs w:val="48"/>
          <w:highlight w:val="none"/>
          <w:lang w:eastAsia="zh-CN"/>
          <w14:textFill>
            <w14:solidFill>
              <w14:schemeClr w14:val="tx1"/>
            </w14:solidFill>
          </w14:textFill>
        </w:rPr>
        <w:t>目</w:t>
      </w:r>
      <w:r>
        <w:rPr>
          <w:rFonts w:hint="eastAsia" w:ascii="宋体" w:hAnsi="宋体" w:eastAsia="宋体"/>
          <w:b/>
          <w:bCs/>
          <w:color w:val="000000" w:themeColor="text1"/>
          <w:sz w:val="48"/>
          <w:szCs w:val="48"/>
          <w:highlight w:val="none"/>
          <w:lang w:eastAsia="zh-CN"/>
          <w14:textFill>
            <w14:solidFill>
              <w14:schemeClr w14:val="tx1"/>
            </w14:solidFill>
          </w14:textFill>
        </w:rPr>
        <w:t xml:space="preserve">  </w:t>
      </w:r>
      <w:r>
        <w:rPr>
          <w:rFonts w:ascii="宋体" w:hAnsi="宋体" w:eastAsia="宋体"/>
          <w:b/>
          <w:bCs/>
          <w:color w:val="000000" w:themeColor="text1"/>
          <w:sz w:val="48"/>
          <w:szCs w:val="48"/>
          <w:highlight w:val="none"/>
          <w:lang w:eastAsia="zh-CN"/>
          <w14:textFill>
            <w14:solidFill>
              <w14:schemeClr w14:val="tx1"/>
            </w14:solidFill>
          </w14:textFill>
        </w:rPr>
        <w:t>录</w:t>
      </w:r>
    </w:p>
    <w:p>
      <w:pPr>
        <w:rPr>
          <w:color w:val="000000" w:themeColor="text1"/>
          <w:highlight w:val="none"/>
          <w:lang w:eastAsia="zh-CN"/>
          <w14:textFill>
            <w14:solidFill>
              <w14:schemeClr w14:val="tx1"/>
            </w14:solidFill>
          </w14:textFill>
        </w:rPr>
      </w:pPr>
    </w:p>
    <w:p>
      <w:pPr>
        <w:pStyle w:val="86"/>
        <w:tabs>
          <w:tab w:val="right" w:leader="dot" w:pos="8504"/>
        </w:tabs>
        <w:spacing w:line="480" w:lineRule="auto"/>
        <w:rPr>
          <w:rFonts w:ascii="宋体" w:hAnsi="宋体" w:eastAsia="微软雅黑"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"_Toc10904_WPSOffice_Level1"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第一章 招标公告</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t>1</w:t>
      </w:r>
    </w:p>
    <w:p>
      <w:pPr>
        <w:pStyle w:val="86"/>
        <w:tabs>
          <w:tab w:val="right" w:leader="dot" w:pos="8504"/>
        </w:tabs>
        <w:spacing w:line="480" w:lineRule="auto"/>
        <w:rPr>
          <w:rFonts w:ascii="宋体" w:hAnsi="宋体" w:cs="宋体"/>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"_Toc29827_WPSOffice_Level1"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第二章 投标人须知</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t>3</w:t>
      </w:r>
    </w:p>
    <w:p>
      <w:pPr>
        <w:pStyle w:val="86"/>
        <w:tabs>
          <w:tab w:val="right" w:leader="dot" w:pos="8504"/>
        </w:tabs>
        <w:spacing w:line="48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"_Toc19869_WPSOffice_Level1"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第三章 货物需求一览表</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lang w:val="en-US" w:eastAsia="zh-CN"/>
          <w14:textFill>
            <w14:solidFill>
              <w14:schemeClr w14:val="tx1"/>
            </w14:solidFill>
          </w14:textFill>
        </w:rPr>
        <w:t>8</w:t>
      </w:r>
    </w:p>
    <w:p>
      <w:pPr>
        <w:pStyle w:val="86"/>
        <w:tabs>
          <w:tab w:val="right" w:leader="dot" w:pos="8504"/>
        </w:tabs>
        <w:spacing w:line="480" w:lineRule="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"_Toc25582_WPSOffice_Level1"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第四章 合同</w:t>
      </w:r>
      <w:r>
        <w:rPr>
          <w:rFonts w:hint="eastAsia" w:ascii="宋体" w:hAnsi="宋体" w:cs="宋体"/>
          <w:b/>
          <w:bCs/>
          <w:color w:val="000000" w:themeColor="text1"/>
          <w:sz w:val="28"/>
          <w:szCs w:val="28"/>
          <w:highlight w:val="none"/>
          <w:lang w:eastAsia="zh-CN"/>
          <w14:textFill>
            <w14:solidFill>
              <w14:schemeClr w14:val="tx1"/>
            </w14:solidFill>
          </w14:textFill>
        </w:rPr>
        <w:t>格式</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lang w:val="en-US" w:eastAsia="zh-CN"/>
          <w14:textFill>
            <w14:solidFill>
              <w14:schemeClr w14:val="tx1"/>
            </w14:solidFill>
          </w14:textFill>
        </w:rPr>
        <w:t>30</w:t>
      </w:r>
    </w:p>
    <w:p>
      <w:pPr>
        <w:pStyle w:val="86"/>
        <w:tabs>
          <w:tab w:val="right" w:leader="dot" w:pos="8504"/>
        </w:tabs>
        <w:spacing w:line="480" w:lineRule="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"_Toc10644_WPSOffice_Level1"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第五章 评标办法</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r>
        <w:rPr>
          <w:rFonts w:hint="eastAsia" w:ascii="宋体" w:hAnsi="宋体" w:cs="宋体"/>
          <w:b/>
          <w:bCs/>
          <w:color w:val="000000" w:themeColor="text1"/>
          <w:sz w:val="28"/>
          <w:szCs w:val="28"/>
          <w:highlight w:val="none"/>
          <w14:textFill>
            <w14:solidFill>
              <w14:schemeClr w14:val="tx1"/>
            </w14:solidFill>
          </w14:textFill>
        </w:rPr>
        <w:t>3</w:t>
      </w:r>
      <w:r>
        <w:rPr>
          <w:rFonts w:hint="eastAsia" w:ascii="宋体" w:hAnsi="宋体" w:cs="宋体"/>
          <w:b/>
          <w:bCs/>
          <w:color w:val="000000" w:themeColor="text1"/>
          <w:sz w:val="28"/>
          <w:szCs w:val="28"/>
          <w:highlight w:val="none"/>
          <w:lang w:val="en-US" w:eastAsia="zh-CN"/>
          <w14:textFill>
            <w14:solidFill>
              <w14:schemeClr w14:val="tx1"/>
            </w14:solidFill>
          </w14:textFill>
        </w:rPr>
        <w:t>7</w:t>
      </w:r>
    </w:p>
    <w:p>
      <w:pPr>
        <w:pStyle w:val="86"/>
        <w:tabs>
          <w:tab w:val="right" w:leader="dot" w:pos="8504"/>
        </w:tabs>
        <w:spacing w:line="480" w:lineRule="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"_Toc13954_WPSOffice_Level1" </w:instrText>
      </w:r>
      <w:r>
        <w:rPr>
          <w:color w:val="000000" w:themeColor="text1"/>
          <w:highlight w:val="none"/>
          <w14:textFill>
            <w14:solidFill>
              <w14:schemeClr w14:val="tx1"/>
            </w14:solidFill>
          </w14:textFill>
        </w:rPr>
        <w:fldChar w:fldCharType="separate"/>
      </w:r>
      <w:r>
        <w:rPr>
          <w:rFonts w:hint="eastAsia" w:ascii="宋体" w:hAnsi="宋体" w:cs="宋体"/>
          <w:b/>
          <w:bCs/>
          <w:color w:val="000000" w:themeColor="text1"/>
          <w:sz w:val="28"/>
          <w:szCs w:val="28"/>
          <w:highlight w:val="none"/>
          <w14:textFill>
            <w14:solidFill>
              <w14:schemeClr w14:val="tx1"/>
            </w14:solidFill>
          </w14:textFill>
        </w:rPr>
        <w:t>第六章 投标文件（格式）</w:t>
      </w:r>
      <w:r>
        <w:rPr>
          <w:rFonts w:hint="eastAsia" w:ascii="宋体" w:hAnsi="宋体" w:cs="宋体"/>
          <w:b/>
          <w:bCs/>
          <w:color w:val="000000" w:themeColor="text1"/>
          <w:sz w:val="28"/>
          <w:szCs w:val="28"/>
          <w:highlight w:val="none"/>
          <w14:textFill>
            <w14:solidFill>
              <w14:schemeClr w14:val="tx1"/>
            </w14:solidFill>
          </w14:textFill>
        </w:rPr>
        <w:tab/>
      </w:r>
      <w:r>
        <w:rPr>
          <w:rFonts w:hint="eastAsia" w:ascii="宋体" w:hAnsi="宋体" w:cs="宋体"/>
          <w:b/>
          <w:bCs/>
          <w:color w:val="000000" w:themeColor="text1"/>
          <w:sz w:val="28"/>
          <w:szCs w:val="28"/>
          <w:highlight w:val="none"/>
          <w14:textFill>
            <w14:solidFill>
              <w14:schemeClr w14:val="tx1"/>
            </w14:solidFill>
          </w14:textFill>
        </w:rPr>
        <w:fldChar w:fldCharType="end"/>
      </w:r>
      <w:bookmarkEnd w:id="0"/>
      <w:r>
        <w:rPr>
          <w:rFonts w:hint="eastAsia" w:ascii="宋体" w:hAnsi="宋体" w:cs="宋体"/>
          <w:b/>
          <w:bCs/>
          <w:color w:val="000000" w:themeColor="text1"/>
          <w:sz w:val="28"/>
          <w:szCs w:val="28"/>
          <w:highlight w:val="none"/>
          <w:lang w:val="en-US" w:eastAsia="zh-CN"/>
          <w14:textFill>
            <w14:solidFill>
              <w14:schemeClr w14:val="tx1"/>
            </w14:solidFill>
          </w14:textFill>
        </w:rPr>
        <w:t>42</w:t>
      </w:r>
    </w:p>
    <w:p>
      <w:pPr>
        <w:pStyle w:val="20"/>
        <w:spacing w:line="48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left"/>
        <w:rPr>
          <w:rFonts w:hAnsi="宋体"/>
          <w:bCs/>
          <w:color w:val="000000" w:themeColor="text1"/>
          <w:spacing w:val="-2"/>
          <w:szCs w:val="32"/>
          <w:highlight w:val="none"/>
          <w14:textFill>
            <w14:solidFill>
              <w14:schemeClr w14:val="tx1"/>
            </w14:solidFill>
          </w14:textFill>
        </w:rPr>
      </w:pPr>
    </w:p>
    <w:p>
      <w:pPr>
        <w:pStyle w:val="20"/>
        <w:spacing w:line="360" w:lineRule="auto"/>
        <w:jc w:val="center"/>
        <w:rPr>
          <w:rStyle w:val="61"/>
          <w:color w:val="000000" w:themeColor="text1"/>
          <w:sz w:val="32"/>
          <w:szCs w:val="32"/>
          <w:highlight w:val="none"/>
          <w14:textFill>
            <w14:solidFill>
              <w14:schemeClr w14:val="tx1"/>
            </w14:solidFill>
          </w14:textFill>
        </w:rPr>
        <w:sectPr>
          <w:headerReference r:id="rId6" w:type="first"/>
          <w:footerReference r:id="rId9" w:type="first"/>
          <w:headerReference r:id="rId4" w:type="default"/>
          <w:footerReference r:id="rId7" w:type="default"/>
          <w:headerReference r:id="rId5" w:type="even"/>
          <w:footerReference r:id="rId8" w:type="even"/>
          <w:pgSz w:w="11906" w:h="16838"/>
          <w:pgMar w:top="1417" w:right="1701" w:bottom="1417" w:left="1701" w:header="680" w:footer="680" w:gutter="0"/>
          <w:pgNumType w:start="1"/>
          <w:cols w:space="720" w:num="1"/>
          <w:titlePg/>
          <w:docGrid w:linePitch="331" w:charSpace="0"/>
        </w:sectPr>
      </w:pPr>
      <w:bookmarkStart w:id="1" w:name="OLE_LINK2"/>
      <w:bookmarkStart w:id="2" w:name="OLE_LINK31"/>
    </w:p>
    <w:bookmarkEnd w:id="1"/>
    <w:bookmarkEnd w:id="2"/>
    <w:p>
      <w:pPr>
        <w:pStyle w:val="20"/>
        <w:spacing w:line="360" w:lineRule="auto"/>
        <w:jc w:val="center"/>
        <w:outlineLvl w:val="0"/>
        <w:rPr>
          <w:rStyle w:val="61"/>
          <w:color w:val="000000" w:themeColor="text1"/>
          <w:sz w:val="32"/>
          <w:szCs w:val="32"/>
          <w:highlight w:val="none"/>
          <w14:textFill>
            <w14:solidFill>
              <w14:schemeClr w14:val="tx1"/>
            </w14:solidFill>
          </w14:textFill>
        </w:rPr>
      </w:pPr>
      <w:bookmarkStart w:id="3" w:name="_Toc29827_WPSOffice_Level1"/>
      <w:bookmarkStart w:id="4" w:name="_Toc32211"/>
      <w:bookmarkStart w:id="5" w:name="_Toc1018"/>
      <w:r>
        <w:rPr>
          <w:rStyle w:val="61"/>
          <w:rFonts w:hint="eastAsia"/>
          <w:color w:val="000000" w:themeColor="text1"/>
          <w:sz w:val="32"/>
          <w:szCs w:val="32"/>
          <w:highlight w:val="none"/>
          <w14:textFill>
            <w14:solidFill>
              <w14:schemeClr w14:val="tx1"/>
            </w14:solidFill>
          </w14:textFill>
        </w:rPr>
        <w:t xml:space="preserve"> </w:t>
      </w:r>
      <w:bookmarkStart w:id="6" w:name="_Toc10877"/>
      <w:bookmarkStart w:id="7" w:name="_Toc14722"/>
      <w:bookmarkStart w:id="8" w:name="_Toc10904_WPSOffice_Level1"/>
      <w:r>
        <w:rPr>
          <w:rStyle w:val="61"/>
          <w:rFonts w:hint="eastAsia"/>
          <w:color w:val="000000" w:themeColor="text1"/>
          <w:sz w:val="32"/>
          <w:szCs w:val="32"/>
          <w:highlight w:val="none"/>
          <w14:textFill>
            <w14:solidFill>
              <w14:schemeClr w14:val="tx1"/>
            </w14:solidFill>
          </w14:textFill>
        </w:rPr>
        <w:t>第一章 招标公告</w:t>
      </w:r>
      <w:bookmarkEnd w:id="6"/>
      <w:bookmarkEnd w:id="7"/>
      <w:bookmarkEnd w:id="8"/>
    </w:p>
    <w:p>
      <w:pPr>
        <w:pStyle w:val="2"/>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themeColor="text1"/>
          <w:sz w:val="28"/>
          <w:szCs w:val="28"/>
          <w:highlight w:val="none"/>
          <w:lang w:eastAsia="zh-CN"/>
          <w14:textFill>
            <w14:solidFill>
              <w14:schemeClr w14:val="tx1"/>
            </w14:solidFill>
          </w14:textFill>
        </w:rPr>
      </w:pPr>
      <w:bookmarkStart w:id="9" w:name="OLE_LINK5"/>
      <w:r>
        <w:rPr>
          <w:rFonts w:hint="eastAsia" w:ascii="华文中宋" w:hAnsi="华文中宋" w:eastAsia="华文中宋"/>
          <w:color w:val="000000" w:themeColor="text1"/>
          <w:sz w:val="28"/>
          <w:szCs w:val="28"/>
          <w:highlight w:val="none"/>
          <w:lang w:eastAsia="zh-CN"/>
          <w14:textFill>
            <w14:solidFill>
              <w14:schemeClr w14:val="tx1"/>
            </w14:solidFill>
          </w14:textFill>
        </w:rPr>
        <w:t>广西龙建工程管理有限公司</w:t>
      </w:r>
    </w:p>
    <w:p>
      <w:pPr>
        <w:pStyle w:val="2"/>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themeColor="text1"/>
          <w:sz w:val="28"/>
          <w:szCs w:val="28"/>
          <w:highlight w:val="none"/>
          <w:lang w:eastAsia="zh-CN"/>
          <w14:textFill>
            <w14:solidFill>
              <w14:schemeClr w14:val="tx1"/>
            </w14:solidFill>
          </w14:textFill>
        </w:rPr>
      </w:pPr>
      <w:r>
        <w:rPr>
          <w:rFonts w:hint="eastAsia" w:ascii="华文中宋" w:hAnsi="华文中宋" w:eastAsia="华文中宋"/>
          <w:color w:val="000000" w:themeColor="text1"/>
          <w:sz w:val="28"/>
          <w:szCs w:val="28"/>
          <w:highlight w:val="none"/>
          <w:lang w:eastAsia="zh-CN"/>
          <w14:textFill>
            <w14:solidFill>
              <w14:schemeClr w14:val="tx1"/>
            </w14:solidFill>
          </w14:textFill>
        </w:rPr>
        <w:t>关于磁共振设备及相关配套设备采购</w:t>
      </w:r>
      <w:r>
        <w:rPr>
          <w:rFonts w:hint="eastAsia" w:ascii="华文中宋" w:hAnsi="华文中宋" w:eastAsia="华文中宋"/>
          <w:color w:val="auto"/>
          <w:sz w:val="28"/>
          <w:szCs w:val="28"/>
          <w:highlight w:val="none"/>
          <w:lang w:eastAsia="zh-CN"/>
        </w:rPr>
        <w:t>（QZZC2025-G1-220250-GXLJ）</w:t>
      </w:r>
    </w:p>
    <w:p>
      <w:pPr>
        <w:pStyle w:val="2"/>
        <w:tabs>
          <w:tab w:val="left" w:pos="0"/>
          <w:tab w:val="left" w:pos="3165"/>
          <w:tab w:val="center" w:pos="4153"/>
        </w:tabs>
        <w:autoSpaceDE w:val="0"/>
        <w:autoSpaceDN w:val="0"/>
        <w:adjustRightInd w:val="0"/>
        <w:spacing w:before="0" w:after="0" w:line="240" w:lineRule="auto"/>
        <w:jc w:val="center"/>
        <w:rPr>
          <w:rFonts w:ascii="华文中宋" w:hAnsi="华文中宋" w:eastAsia="华文中宋"/>
          <w:color w:val="000000" w:themeColor="text1"/>
          <w:sz w:val="28"/>
          <w:szCs w:val="28"/>
          <w:highlight w:val="none"/>
          <w:lang w:eastAsia="zh-CN"/>
          <w14:textFill>
            <w14:solidFill>
              <w14:schemeClr w14:val="tx1"/>
            </w14:solidFill>
          </w14:textFill>
        </w:rPr>
      </w:pPr>
      <w:r>
        <w:rPr>
          <w:rFonts w:hint="eastAsia" w:ascii="华文中宋" w:hAnsi="华文中宋" w:eastAsia="华文中宋"/>
          <w:color w:val="000000" w:themeColor="text1"/>
          <w:sz w:val="28"/>
          <w:szCs w:val="28"/>
          <w:highlight w:val="none"/>
          <w:lang w:eastAsia="zh-CN"/>
          <w14:textFill>
            <w14:solidFill>
              <w14:schemeClr w14:val="tx1"/>
            </w14:solidFill>
          </w14:textFill>
        </w:rPr>
        <w:t>公开招标公告</w:t>
      </w:r>
    </w:p>
    <w:p>
      <w:pPr>
        <w:rPr>
          <w:color w:val="000000" w:themeColor="text1"/>
          <w:highlight w:val="none"/>
          <w:lang w:eastAsia="zh-CN"/>
          <w14:textFill>
            <w14:solidFill>
              <w14:schemeClr w14:val="tx1"/>
            </w14:solidFill>
          </w14:textFill>
        </w:rPr>
      </w:pPr>
      <w:bookmarkStart w:id="10" w:name="OLE_LINK1"/>
    </w:p>
    <w:p>
      <w:pPr>
        <w:pBdr>
          <w:top w:val="single" w:color="auto" w:sz="4" w:space="1"/>
          <w:left w:val="single" w:color="auto" w:sz="4" w:space="4"/>
          <w:bottom w:val="single" w:color="auto" w:sz="4" w:space="1"/>
          <w:right w:val="single" w:color="auto" w:sz="4" w:space="4"/>
        </w:pBdr>
        <w:spacing w:line="32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2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u w:val="single"/>
          <w:lang w:eastAsia="zh-CN"/>
          <w14:textFill>
            <w14:solidFill>
              <w14:schemeClr w14:val="tx1"/>
            </w14:solidFill>
          </w14:textFill>
        </w:rPr>
        <w:t>磁共振设备及相关配套设备采购</w:t>
      </w:r>
      <w:r>
        <w:rPr>
          <w:rFonts w:hint="eastAsia" w:ascii="宋体" w:hAnsi="宋体" w:eastAsia="宋体"/>
          <w:color w:val="000000" w:themeColor="text1"/>
          <w:sz w:val="21"/>
          <w:szCs w:val="21"/>
          <w:highlight w:val="none"/>
          <w:lang w:eastAsia="zh-CN"/>
          <w14:textFill>
            <w14:solidFill>
              <w14:schemeClr w14:val="tx1"/>
            </w14:solidFill>
          </w14:textFill>
        </w:rPr>
        <w:t>招标项目的潜在投标人应在</w:t>
      </w:r>
      <w:r>
        <w:rPr>
          <w:rFonts w:hint="eastAsia" w:ascii="宋体" w:hAnsi="宋体" w:eastAsia="宋体"/>
          <w:color w:val="000000" w:themeColor="text1"/>
          <w:sz w:val="21"/>
          <w:szCs w:val="21"/>
          <w:highlight w:val="none"/>
          <w:u w:val="single"/>
          <w:lang w:eastAsia="zh-CN"/>
          <w14:textFill>
            <w14:solidFill>
              <w14:schemeClr w14:val="tx1"/>
            </w14:solidFill>
          </w14:textFill>
        </w:rPr>
        <w:t>广西政府采购云平台（https://www.gcy.zfcg.gxzf.gov.cn/）</w:t>
      </w:r>
      <w:r>
        <w:rPr>
          <w:rFonts w:hint="eastAsia" w:ascii="宋体" w:hAnsi="宋体" w:eastAsia="宋体"/>
          <w:color w:val="000000" w:themeColor="text1"/>
          <w:sz w:val="21"/>
          <w:szCs w:val="21"/>
          <w:highlight w:val="none"/>
          <w:lang w:eastAsia="zh-CN"/>
          <w14:textFill>
            <w14:solidFill>
              <w14:schemeClr w14:val="tx1"/>
            </w14:solidFill>
          </w14:textFill>
        </w:rPr>
        <w:t>获取招标文件，并于</w:t>
      </w:r>
      <w:r>
        <w:rPr>
          <w:rFonts w:hint="eastAsia" w:ascii="宋体" w:hAnsi="宋体" w:eastAsia="宋体"/>
          <w:color w:val="000000"/>
          <w:sz w:val="21"/>
          <w:szCs w:val="21"/>
          <w:highlight w:val="none"/>
          <w:u w:val="single"/>
          <w:lang w:eastAsia="zh-CN"/>
        </w:rPr>
        <w:t>202</w:t>
      </w:r>
      <w:r>
        <w:rPr>
          <w:rFonts w:hint="eastAsia" w:ascii="宋体" w:hAnsi="宋体" w:eastAsia="宋体"/>
          <w:color w:val="000000"/>
          <w:sz w:val="21"/>
          <w:szCs w:val="21"/>
          <w:highlight w:val="none"/>
          <w:u w:val="single"/>
          <w:lang w:val="en-US" w:eastAsia="zh-CN"/>
        </w:rPr>
        <w:t>5</w:t>
      </w:r>
      <w:r>
        <w:rPr>
          <w:rFonts w:hint="eastAsia" w:ascii="宋体" w:hAnsi="宋体" w:eastAsia="宋体"/>
          <w:bCs/>
          <w:color w:val="000000"/>
          <w:sz w:val="21"/>
          <w:szCs w:val="21"/>
          <w:highlight w:val="none"/>
          <w:u w:val="single"/>
          <w:lang w:eastAsia="zh-CN"/>
        </w:rPr>
        <w:t>年</w:t>
      </w:r>
      <w:r>
        <w:rPr>
          <w:rFonts w:hint="eastAsia" w:ascii="宋体" w:hAnsi="宋体"/>
          <w:bCs/>
          <w:color w:val="000000"/>
          <w:sz w:val="21"/>
          <w:szCs w:val="21"/>
          <w:highlight w:val="none"/>
          <w:u w:val="single"/>
          <w:lang w:val="en-US" w:eastAsia="zh-CN"/>
        </w:rPr>
        <w:t>12</w:t>
      </w:r>
      <w:r>
        <w:rPr>
          <w:rFonts w:hint="eastAsia" w:ascii="宋体" w:hAnsi="宋体" w:eastAsia="宋体"/>
          <w:bCs/>
          <w:color w:val="000000"/>
          <w:sz w:val="21"/>
          <w:szCs w:val="21"/>
          <w:highlight w:val="none"/>
          <w:u w:val="single"/>
          <w:lang w:eastAsia="zh-CN"/>
        </w:rPr>
        <w:t>月</w:t>
      </w:r>
      <w:r>
        <w:rPr>
          <w:rFonts w:hint="eastAsia" w:ascii="宋体" w:hAnsi="宋体" w:eastAsia="宋体"/>
          <w:bCs/>
          <w:color w:val="000000"/>
          <w:sz w:val="21"/>
          <w:szCs w:val="21"/>
          <w:highlight w:val="none"/>
          <w:u w:val="single"/>
          <w:lang w:val="en-US" w:eastAsia="zh-CN"/>
        </w:rPr>
        <w:t xml:space="preserve"> </w:t>
      </w:r>
      <w:r>
        <w:rPr>
          <w:rFonts w:hint="eastAsia" w:ascii="宋体" w:hAnsi="宋体"/>
          <w:bCs/>
          <w:color w:val="000000"/>
          <w:sz w:val="21"/>
          <w:szCs w:val="21"/>
          <w:highlight w:val="none"/>
          <w:u w:val="single"/>
          <w:lang w:val="en-US" w:eastAsia="zh-CN"/>
        </w:rPr>
        <w:t>26</w:t>
      </w:r>
      <w:r>
        <w:rPr>
          <w:rFonts w:hint="eastAsia" w:ascii="宋体" w:hAnsi="宋体" w:eastAsia="宋体"/>
          <w:bCs/>
          <w:color w:val="000000"/>
          <w:sz w:val="21"/>
          <w:szCs w:val="21"/>
          <w:highlight w:val="none"/>
          <w:u w:val="single"/>
          <w:lang w:eastAsia="zh-CN"/>
        </w:rPr>
        <w:t>日</w:t>
      </w:r>
      <w:r>
        <w:rPr>
          <w:rFonts w:hint="eastAsia" w:ascii="宋体" w:hAnsi="宋体" w:eastAsia="宋体"/>
          <w:bCs/>
          <w:color w:val="000000"/>
          <w:sz w:val="21"/>
          <w:szCs w:val="21"/>
          <w:highlight w:val="none"/>
          <w:u w:val="single"/>
          <w:lang w:val="en-US" w:eastAsia="zh-CN"/>
        </w:rPr>
        <w:t>09</w:t>
      </w:r>
      <w:r>
        <w:rPr>
          <w:rFonts w:hint="eastAsia" w:ascii="宋体" w:hAnsi="宋体"/>
          <w:color w:val="000000"/>
          <w:sz w:val="21"/>
          <w:szCs w:val="21"/>
          <w:highlight w:val="none"/>
          <w:u w:val="single"/>
          <w:lang w:val="en-US" w:eastAsia="zh-CN"/>
        </w:rPr>
        <w:t xml:space="preserve"> 时30 分</w:t>
      </w:r>
      <w:r>
        <w:rPr>
          <w:rFonts w:hint="eastAsia" w:ascii="宋体" w:hAnsi="宋体" w:eastAsia="宋体"/>
          <w:bCs/>
          <w:color w:val="000000" w:themeColor="text1"/>
          <w:sz w:val="21"/>
          <w:szCs w:val="21"/>
          <w:highlight w:val="none"/>
          <w:u w:val="single"/>
          <w:lang w:eastAsia="zh-CN"/>
          <w14:textFill>
            <w14:solidFill>
              <w14:schemeClr w14:val="tx1"/>
            </w14:solidFill>
          </w14:textFill>
        </w:rPr>
        <w:t>（</w:t>
      </w:r>
      <w:r>
        <w:rPr>
          <w:rFonts w:hint="eastAsia" w:ascii="宋体" w:hAnsi="宋体" w:eastAsia="宋体"/>
          <w:bCs/>
          <w:color w:val="000000" w:themeColor="text1"/>
          <w:sz w:val="21"/>
          <w:szCs w:val="21"/>
          <w:highlight w:val="none"/>
          <w:lang w:eastAsia="zh-CN"/>
          <w14:textFill>
            <w14:solidFill>
              <w14:schemeClr w14:val="tx1"/>
            </w14:solidFill>
          </w14:textFill>
        </w:rPr>
        <w:t>北京时间）前递交投标文件</w:t>
      </w:r>
      <w:r>
        <w:rPr>
          <w:rFonts w:hint="eastAsia" w:ascii="宋体" w:hAnsi="宋体" w:eastAsia="宋体"/>
          <w:color w:val="000000" w:themeColor="text1"/>
          <w:sz w:val="21"/>
          <w:szCs w:val="21"/>
          <w:highlight w:val="none"/>
          <w:lang w:eastAsia="zh-CN"/>
          <w14:textFill>
            <w14:solidFill>
              <w14:schemeClr w14:val="tx1"/>
            </w14:solidFill>
          </w14:textFill>
        </w:rPr>
        <w:t>。</w:t>
      </w:r>
    </w:p>
    <w:tbl>
      <w:tblPr>
        <w:tblStyle w:val="37"/>
        <w:tblW w:w="9953" w:type="dxa"/>
        <w:jc w:val="center"/>
        <w:tblLayout w:type="fixed"/>
        <w:tblCellMar>
          <w:top w:w="15" w:type="dxa"/>
          <w:left w:w="15" w:type="dxa"/>
          <w:bottom w:w="15" w:type="dxa"/>
          <w:right w:w="15" w:type="dxa"/>
        </w:tblCellMar>
      </w:tblPr>
      <w:tblGrid>
        <w:gridCol w:w="9953"/>
      </w:tblGrid>
      <w:tr>
        <w:tblPrEx>
          <w:tblCellMar>
            <w:top w:w="15" w:type="dxa"/>
            <w:left w:w="15" w:type="dxa"/>
            <w:bottom w:w="15" w:type="dxa"/>
            <w:right w:w="15" w:type="dxa"/>
          </w:tblCellMar>
        </w:tblPrEx>
        <w:trPr>
          <w:trHeight w:val="90" w:hRule="atLeast"/>
          <w:jc w:val="center"/>
        </w:trPr>
        <w:tc>
          <w:tcPr>
            <w:tcW w:w="9953" w:type="dxa"/>
            <w:tcBorders>
              <w:top w:val="nil"/>
              <w:left w:val="nil"/>
              <w:bottom w:val="nil"/>
              <w:right w:val="nil"/>
            </w:tcBorders>
            <w:shd w:val="clear" w:color="auto" w:fill="auto"/>
          </w:tcPr>
          <w:p>
            <w:pPr>
              <w:pStyle w:val="32"/>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一、项目基本情况</w:t>
            </w:r>
          </w:p>
          <w:p>
            <w:pPr>
              <w:pStyle w:val="32"/>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项目编号：QZZC2025-G1-220250-GXLJ</w:t>
            </w:r>
          </w:p>
          <w:p>
            <w:pPr>
              <w:pStyle w:val="32"/>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项目名称：磁共振设备及相关配套设备采购</w:t>
            </w:r>
          </w:p>
          <w:p>
            <w:pPr>
              <w:pStyle w:val="32"/>
              <w:spacing w:before="0" w:beforeAutospacing="0" w:after="0" w:afterAutospacing="0"/>
              <w:ind w:firstLine="420"/>
              <w:jc w:val="both"/>
              <w:rPr>
                <w:rFonts w:hAnsi="Times New Roman" w:cs="Times New Roman"/>
                <w:color w:val="auto"/>
                <w:sz w:val="21"/>
                <w:szCs w:val="21"/>
                <w:highlight w:val="none"/>
                <w:lang w:eastAsia="zh-CN"/>
              </w:rPr>
            </w:pPr>
            <w:r>
              <w:rPr>
                <w:rFonts w:hint="eastAsia" w:ascii="宋体" w:eastAsia="宋体"/>
                <w:color w:val="000000" w:themeColor="text1"/>
                <w:sz w:val="21"/>
                <w:szCs w:val="21"/>
                <w:highlight w:val="none"/>
                <w:lang w:eastAsia="zh-CN"/>
                <w14:textFill>
                  <w14:solidFill>
                    <w14:schemeClr w14:val="tx1"/>
                  </w14:solidFill>
                </w14:textFill>
              </w:rPr>
              <w:t>预算总金额（元）：</w:t>
            </w:r>
            <w:r>
              <w:rPr>
                <w:rFonts w:hint="eastAsia" w:ascii="宋体" w:eastAsia="宋体"/>
                <w:color w:val="auto"/>
                <w:sz w:val="21"/>
                <w:szCs w:val="21"/>
                <w:highlight w:val="none"/>
                <w:lang w:eastAsia="zh-CN"/>
              </w:rPr>
              <w:t>7150000</w:t>
            </w:r>
          </w:p>
          <w:p>
            <w:pPr>
              <w:pStyle w:val="32"/>
              <w:spacing w:before="0" w:beforeAutospacing="0" w:after="0" w:afterAutospacing="0"/>
              <w:ind w:firstLine="420"/>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采购需求：</w:t>
            </w:r>
          </w:p>
          <w:p>
            <w:pPr>
              <w:pStyle w:val="32"/>
              <w:spacing w:before="0" w:beforeAutospacing="0" w:after="0" w:afterAutospacing="0"/>
              <w:ind w:left="416" w:leftChars="208" w:firstLine="18" w:firstLineChars="9"/>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标项一名称:磁共振设备及相关配套设备采购</w:t>
            </w:r>
          </w:p>
          <w:p>
            <w:pPr>
              <w:pStyle w:val="32"/>
              <w:spacing w:before="0" w:beforeAutospacing="0" w:after="0" w:afterAutospacing="0"/>
              <w:ind w:left="416" w:leftChars="208" w:firstLine="18" w:firstLineChars="9"/>
              <w:jc w:val="both"/>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eastAsia="zh-CN"/>
              </w:rPr>
              <w:t>数量:1</w:t>
            </w:r>
          </w:p>
          <w:p>
            <w:pPr>
              <w:pStyle w:val="32"/>
              <w:spacing w:before="0" w:beforeAutospacing="0" w:after="0" w:afterAutospacing="0"/>
              <w:ind w:left="416" w:leftChars="208" w:firstLine="18" w:firstLineChars="9"/>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预算金额（元）：7150000</w:t>
            </w:r>
          </w:p>
          <w:p>
            <w:pPr>
              <w:pStyle w:val="32"/>
              <w:spacing w:before="0" w:beforeAutospacing="0" w:after="0" w:afterAutospacing="0"/>
              <w:ind w:left="416" w:leftChars="208" w:firstLine="18" w:firstLineChars="9"/>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采购需求：磁共振设备及相关配套设备采购1套，具体详见招标文件第三章货物需求一览表。</w:t>
            </w:r>
          </w:p>
          <w:p>
            <w:pPr>
              <w:pStyle w:val="32"/>
              <w:spacing w:before="0" w:beforeAutospacing="0" w:after="0" w:afterAutospacing="0"/>
              <w:ind w:firstLine="420"/>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最高限价（如有）：7150000</w:t>
            </w:r>
          </w:p>
          <w:p>
            <w:pPr>
              <w:pStyle w:val="32"/>
              <w:spacing w:before="0" w:beforeAutospacing="0" w:after="0" w:afterAutospacing="0"/>
              <w:ind w:firstLine="420"/>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合同履约期限：</w:t>
            </w:r>
            <w:r>
              <w:rPr>
                <w:rFonts w:hint="eastAsia" w:ascii="宋体" w:hAnsi="宋体"/>
                <w:color w:val="auto"/>
                <w:sz w:val="21"/>
                <w:szCs w:val="21"/>
                <w:highlight w:val="none"/>
              </w:rPr>
              <w:t>自签订合同之日起</w:t>
            </w:r>
            <w:r>
              <w:rPr>
                <w:rFonts w:hint="eastAsia" w:ascii="宋体" w:hAnsi="宋体"/>
                <w:color w:val="auto"/>
                <w:sz w:val="21"/>
                <w:szCs w:val="21"/>
                <w:highlight w:val="none"/>
                <w:shd w:val="clear" w:color="auto" w:fill="auto"/>
              </w:rPr>
              <w:t>30个工作</w:t>
            </w:r>
            <w:r>
              <w:rPr>
                <w:rFonts w:hint="eastAsia" w:ascii="宋体" w:hAnsi="宋体"/>
                <w:color w:val="auto"/>
                <w:sz w:val="21"/>
                <w:szCs w:val="21"/>
                <w:highlight w:val="none"/>
              </w:rPr>
              <w:t>日内必须到货并安装调试合格</w:t>
            </w:r>
            <w:r>
              <w:rPr>
                <w:rFonts w:hint="eastAsia" w:ascii="宋体" w:eastAsia="宋体"/>
                <w:color w:val="auto"/>
                <w:sz w:val="21"/>
                <w:szCs w:val="21"/>
                <w:highlight w:val="none"/>
                <w:lang w:eastAsia="zh-CN"/>
              </w:rPr>
              <w:t>。</w:t>
            </w:r>
          </w:p>
          <w:p>
            <w:pPr>
              <w:pStyle w:val="32"/>
              <w:spacing w:before="0" w:beforeAutospacing="0" w:after="0" w:afterAutospacing="0"/>
              <w:ind w:left="416" w:leftChars="208" w:firstLine="18" w:firstLineChars="9"/>
              <w:jc w:val="both"/>
              <w:rPr>
                <w:rFonts w:ascii="宋体" w:eastAsia="宋体"/>
                <w:color w:val="auto"/>
                <w:sz w:val="21"/>
                <w:szCs w:val="21"/>
                <w:highlight w:val="none"/>
                <w:lang w:eastAsia="zh-CN"/>
              </w:rPr>
            </w:pPr>
            <w:r>
              <w:rPr>
                <w:rFonts w:hint="eastAsia" w:ascii="宋体" w:eastAsia="宋体"/>
                <w:color w:val="auto"/>
                <w:sz w:val="21"/>
                <w:szCs w:val="21"/>
                <w:highlight w:val="none"/>
                <w:lang w:eastAsia="zh-CN"/>
              </w:rPr>
              <w:t>本标项（否）接受联合体投标</w:t>
            </w:r>
          </w:p>
          <w:p>
            <w:pPr>
              <w:pStyle w:val="32"/>
              <w:spacing w:before="0" w:beforeAutospacing="0" w:after="0" w:afterAutospacing="0"/>
              <w:ind w:left="416" w:leftChars="208" w:firstLine="18" w:firstLineChars="9"/>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备注：无</w:t>
            </w:r>
          </w:p>
          <w:p>
            <w:pPr>
              <w:pStyle w:val="32"/>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二、申请人的资格要求：</w:t>
            </w:r>
            <w:bookmarkStart w:id="227" w:name="_GoBack"/>
            <w:bookmarkEnd w:id="227"/>
          </w:p>
          <w:p>
            <w:pPr>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1.满足《中华人民共和国政府采购法》第二十二条规定；</w:t>
            </w:r>
          </w:p>
          <w:p>
            <w:pPr>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2.落实政府采购政策需满足的资格要求：非专门面向中小企业采购的项目；</w:t>
            </w:r>
          </w:p>
          <w:p>
            <w:pPr>
              <w:pStyle w:val="32"/>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本项目的特定资格要求：具备行业主管部门颁发的有效医疗器械生产或经营许可证（生产企业：生产第二、三类医疗器械须提供《医疗器械生产许可证》；经营企业：经营第二类医疗器械的须提供《第二类医疗器械经营备案凭证》，经营第三类医疗器械的须提供《医疗器械经营许可证》）。</w:t>
            </w:r>
          </w:p>
          <w:p>
            <w:pPr>
              <w:pStyle w:val="32"/>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三、获取招标文件</w:t>
            </w:r>
          </w:p>
          <w:p>
            <w:pPr>
              <w:pStyle w:val="32"/>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时</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间：202</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年</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12</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月</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日至202</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年</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12</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月</w:t>
            </w:r>
            <w:r>
              <w:rPr>
                <w:rFonts w:hint="eastAsia" w:ascii="宋体" w:eastAsia="宋体"/>
                <w:color w:val="000000" w:themeColor="text1"/>
                <w:sz w:val="21"/>
                <w:szCs w:val="21"/>
                <w:highlight w:val="none"/>
                <w:shd w:val="clear" w:color="auto" w:fill="FFFFFF"/>
                <w:lang w:val="en-US" w:eastAsia="zh-CN"/>
                <w14:textFill>
                  <w14:solidFill>
                    <w14:schemeClr w14:val="tx1"/>
                  </w14:solidFill>
                </w14:textFill>
              </w:rPr>
              <w:t xml:space="preserve"> 12</w:t>
            </w:r>
            <w:r>
              <w:rPr>
                <w:rFonts w:hint="eastAsia" w:ascii="宋体" w:eastAsia="宋体"/>
                <w:color w:val="000000" w:themeColor="text1"/>
                <w:sz w:val="21"/>
                <w:szCs w:val="21"/>
                <w:highlight w:val="none"/>
                <w:shd w:val="clear" w:color="auto" w:fill="FFFFFF"/>
                <w:lang w:eastAsia="zh-CN"/>
                <w14:textFill>
                  <w14:solidFill>
                    <w14:schemeClr w14:val="tx1"/>
                  </w14:solidFill>
                </w14:textFill>
              </w:rPr>
              <w:t>日，每天上午08:00至12:00，下午15:00至18:00（北京时间，法定节假日除外）</w:t>
            </w:r>
          </w:p>
          <w:p>
            <w:pPr>
              <w:ind w:firstLine="420" w:firstLineChars="200"/>
              <w:rPr>
                <w:rFonts w:ascii="宋体" w:hAnsi="宋体" w:eastAsia="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olor w:val="000000" w:themeColor="text1"/>
                <w:sz w:val="21"/>
                <w:szCs w:val="21"/>
                <w:highlight w:val="none"/>
                <w:shd w:val="clear" w:color="auto" w:fill="FFFFFF"/>
                <w14:textFill>
                  <w14:solidFill>
                    <w14:schemeClr w14:val="tx1"/>
                  </w14:solidFill>
                </w14:textFill>
              </w:rPr>
              <w:t>地点（网址）：</w:t>
            </w:r>
            <w:r>
              <w:rPr>
                <w:rFonts w:hint="eastAsia" w:ascii="宋体" w:hAnsi="宋体" w:eastAsia="宋体"/>
                <w:color w:val="000000" w:themeColor="text1"/>
                <w:sz w:val="21"/>
                <w:szCs w:val="21"/>
                <w:highlight w:val="none"/>
                <w:shd w:val="clear" w:color="auto" w:fill="FFFFFF"/>
                <w:lang w:eastAsia="zh-CN"/>
                <w14:textFill>
                  <w14:solidFill>
                    <w14:schemeClr w14:val="tx1"/>
                  </w14:solidFill>
                </w14:textFill>
              </w:rPr>
              <w:t>广西政府采购云平台（https://www.gcy.zfcg.gxzf.gov.cn/）。 </w:t>
            </w:r>
          </w:p>
          <w:p>
            <w:pPr>
              <w:ind w:firstLine="420" w:firstLineChars="200"/>
              <w:rPr>
                <w:rFonts w:ascii="宋体" w:hAnsi="宋体" w:eastAsia="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olor w:val="000000" w:themeColor="text1"/>
                <w:sz w:val="21"/>
                <w:szCs w:val="21"/>
                <w:highlight w:val="none"/>
                <w:shd w:val="clear" w:color="auto" w:fill="FFFFFF"/>
                <w:lang w:eastAsia="zh-CN"/>
                <w14:textFill>
                  <w14:solidFill>
                    <w14:schemeClr w14:val="tx1"/>
                  </w14:solidFill>
                </w14:textFill>
              </w:rPr>
              <w:t>方式：本项目不发放纸质招标文件，由潜在供应商自行注册账号密码或企业CA锁登录广西政府采购云平台免费下载，通过其他方式获取招标文件的，将有可能导致供应商无法在广西政府采购云平台编制及上传投标文件。 </w:t>
            </w:r>
          </w:p>
          <w:p>
            <w:pPr>
              <w:pStyle w:val="32"/>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售价（元）：0</w:t>
            </w:r>
          </w:p>
          <w:p>
            <w:pPr>
              <w:pStyle w:val="32"/>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四、提交投标文件截止时间、开标时间和地点</w:t>
            </w:r>
          </w:p>
          <w:p>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提交投标文件截止时间：</w:t>
            </w:r>
            <w:r>
              <w:rPr>
                <w:rFonts w:hint="eastAsia" w:ascii="宋体" w:hAnsi="宋体" w:eastAsia="宋体"/>
                <w:color w:val="000000"/>
                <w:sz w:val="21"/>
                <w:szCs w:val="21"/>
                <w:highlight w:val="none"/>
                <w:u w:val="single"/>
                <w:lang w:eastAsia="zh-CN"/>
              </w:rPr>
              <w:t>202</w:t>
            </w:r>
            <w:r>
              <w:rPr>
                <w:rFonts w:hint="eastAsia" w:ascii="宋体" w:hAnsi="宋体" w:eastAsia="宋体"/>
                <w:color w:val="000000"/>
                <w:sz w:val="21"/>
                <w:szCs w:val="21"/>
                <w:highlight w:val="none"/>
                <w:u w:val="single"/>
                <w:lang w:val="en-US" w:eastAsia="zh-CN"/>
              </w:rPr>
              <w:t>5</w:t>
            </w:r>
            <w:r>
              <w:rPr>
                <w:rFonts w:hint="eastAsia" w:ascii="宋体" w:hAnsi="宋体" w:eastAsia="宋体"/>
                <w:bCs/>
                <w:color w:val="000000"/>
                <w:sz w:val="21"/>
                <w:szCs w:val="21"/>
                <w:highlight w:val="none"/>
                <w:u w:val="single"/>
                <w:lang w:eastAsia="zh-CN"/>
              </w:rPr>
              <w:t>年</w:t>
            </w:r>
            <w:r>
              <w:rPr>
                <w:rFonts w:hint="eastAsia" w:ascii="宋体" w:hAnsi="宋体"/>
                <w:bCs/>
                <w:color w:val="000000"/>
                <w:sz w:val="21"/>
                <w:szCs w:val="21"/>
                <w:highlight w:val="none"/>
                <w:u w:val="single"/>
                <w:lang w:val="en-US" w:eastAsia="zh-CN"/>
              </w:rPr>
              <w:t>12</w:t>
            </w:r>
            <w:r>
              <w:rPr>
                <w:rFonts w:hint="eastAsia" w:ascii="宋体" w:hAnsi="宋体" w:eastAsia="宋体"/>
                <w:bCs/>
                <w:color w:val="000000"/>
                <w:sz w:val="21"/>
                <w:szCs w:val="21"/>
                <w:highlight w:val="none"/>
                <w:u w:val="single"/>
                <w:lang w:eastAsia="zh-CN"/>
              </w:rPr>
              <w:t>月</w:t>
            </w:r>
            <w:r>
              <w:rPr>
                <w:rFonts w:hint="eastAsia" w:ascii="宋体" w:hAnsi="宋体" w:eastAsia="宋体"/>
                <w:bCs/>
                <w:color w:val="000000"/>
                <w:sz w:val="21"/>
                <w:szCs w:val="21"/>
                <w:highlight w:val="none"/>
                <w:u w:val="single"/>
                <w:lang w:val="en-US" w:eastAsia="zh-CN"/>
              </w:rPr>
              <w:t xml:space="preserve"> </w:t>
            </w:r>
            <w:r>
              <w:rPr>
                <w:rFonts w:hint="eastAsia" w:ascii="宋体" w:hAnsi="宋体"/>
                <w:bCs/>
                <w:color w:val="000000"/>
                <w:sz w:val="21"/>
                <w:szCs w:val="21"/>
                <w:highlight w:val="none"/>
                <w:u w:val="single"/>
                <w:lang w:val="en-US" w:eastAsia="zh-CN"/>
              </w:rPr>
              <w:t>26</w:t>
            </w:r>
            <w:r>
              <w:rPr>
                <w:rFonts w:hint="eastAsia" w:ascii="宋体" w:hAnsi="宋体" w:eastAsia="宋体"/>
                <w:bCs/>
                <w:color w:val="000000"/>
                <w:sz w:val="21"/>
                <w:szCs w:val="21"/>
                <w:highlight w:val="none"/>
                <w:u w:val="single"/>
                <w:lang w:eastAsia="zh-CN"/>
              </w:rPr>
              <w:t>日</w:t>
            </w:r>
            <w:r>
              <w:rPr>
                <w:rFonts w:hint="eastAsia" w:ascii="宋体" w:hAnsi="宋体" w:eastAsia="宋体"/>
                <w:bCs/>
                <w:color w:val="000000"/>
                <w:sz w:val="21"/>
                <w:szCs w:val="21"/>
                <w:highlight w:val="none"/>
                <w:u w:val="single"/>
                <w:lang w:val="en-US" w:eastAsia="zh-CN"/>
              </w:rPr>
              <w:t>09</w:t>
            </w:r>
            <w:r>
              <w:rPr>
                <w:rFonts w:hint="eastAsia" w:ascii="宋体" w:hAnsi="宋体"/>
                <w:color w:val="000000"/>
                <w:sz w:val="21"/>
                <w:szCs w:val="21"/>
                <w:highlight w:val="none"/>
                <w:u w:val="single"/>
                <w:lang w:val="en-US" w:eastAsia="zh-CN"/>
              </w:rPr>
              <w:t xml:space="preserve"> 时30 分</w:t>
            </w:r>
            <w:r>
              <w:rPr>
                <w:rFonts w:hint="eastAsia" w:ascii="宋体" w:hAnsi="宋体" w:eastAsia="宋体"/>
                <w:color w:val="000000" w:themeColor="text1"/>
                <w:sz w:val="21"/>
                <w:szCs w:val="21"/>
                <w:highlight w:val="none"/>
                <w:lang w:eastAsia="zh-CN"/>
                <w14:textFill>
                  <w14:solidFill>
                    <w14:schemeClr w14:val="tx1"/>
                  </w14:solidFill>
                </w14:textFill>
              </w:rPr>
              <w:t>（北京时间）</w:t>
            </w:r>
          </w:p>
          <w:p>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投标地点（网址）：通过广西政府采购云平台（https://www.gcy.zfcg.gxzf.gov.cn/）上传加密投标文件。</w:t>
            </w:r>
            <w:r>
              <w:rPr>
                <w:rFonts w:hint="eastAsia" w:ascii="宋体" w:eastAsia="宋体"/>
                <w:color w:val="000000" w:themeColor="text1"/>
                <w:sz w:val="21"/>
                <w:szCs w:val="21"/>
                <w:highlight w:val="none"/>
                <w:lang w:eastAsia="zh-CN"/>
                <w14:textFill>
                  <w14:solidFill>
                    <w14:schemeClr w14:val="tx1"/>
                  </w14:solidFill>
                </w14:textFill>
              </w:rPr>
              <w:t>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pPr>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开标时间：</w:t>
            </w:r>
            <w:r>
              <w:rPr>
                <w:rFonts w:hint="eastAsia" w:ascii="宋体" w:hAnsi="宋体" w:eastAsia="宋体"/>
                <w:color w:val="000000"/>
                <w:sz w:val="21"/>
                <w:szCs w:val="21"/>
                <w:highlight w:val="none"/>
                <w:u w:val="single"/>
                <w:lang w:eastAsia="zh-CN"/>
              </w:rPr>
              <w:t>202</w:t>
            </w:r>
            <w:r>
              <w:rPr>
                <w:rFonts w:hint="eastAsia" w:ascii="宋体" w:hAnsi="宋体" w:eastAsia="宋体"/>
                <w:color w:val="000000"/>
                <w:sz w:val="21"/>
                <w:szCs w:val="21"/>
                <w:highlight w:val="none"/>
                <w:u w:val="single"/>
                <w:lang w:val="en-US" w:eastAsia="zh-CN"/>
              </w:rPr>
              <w:t>5</w:t>
            </w:r>
            <w:r>
              <w:rPr>
                <w:rFonts w:hint="eastAsia" w:ascii="宋体" w:hAnsi="宋体" w:eastAsia="宋体"/>
                <w:bCs/>
                <w:color w:val="000000"/>
                <w:sz w:val="21"/>
                <w:szCs w:val="21"/>
                <w:highlight w:val="none"/>
                <w:u w:val="single"/>
                <w:lang w:eastAsia="zh-CN"/>
              </w:rPr>
              <w:t>年</w:t>
            </w:r>
            <w:r>
              <w:rPr>
                <w:rFonts w:hint="eastAsia" w:ascii="宋体" w:hAnsi="宋体"/>
                <w:bCs/>
                <w:color w:val="000000"/>
                <w:sz w:val="21"/>
                <w:szCs w:val="21"/>
                <w:highlight w:val="none"/>
                <w:u w:val="single"/>
                <w:lang w:val="en-US" w:eastAsia="zh-CN"/>
              </w:rPr>
              <w:t>12</w:t>
            </w:r>
            <w:r>
              <w:rPr>
                <w:rFonts w:hint="eastAsia" w:ascii="宋体" w:hAnsi="宋体" w:eastAsia="宋体"/>
                <w:bCs/>
                <w:color w:val="000000"/>
                <w:sz w:val="21"/>
                <w:szCs w:val="21"/>
                <w:highlight w:val="none"/>
                <w:u w:val="single"/>
                <w:lang w:eastAsia="zh-CN"/>
              </w:rPr>
              <w:t>月</w:t>
            </w:r>
            <w:r>
              <w:rPr>
                <w:rFonts w:hint="eastAsia" w:ascii="宋体" w:hAnsi="宋体" w:eastAsia="宋体"/>
                <w:bCs/>
                <w:color w:val="000000"/>
                <w:sz w:val="21"/>
                <w:szCs w:val="21"/>
                <w:highlight w:val="none"/>
                <w:u w:val="single"/>
                <w:lang w:val="en-US" w:eastAsia="zh-CN"/>
              </w:rPr>
              <w:t xml:space="preserve"> </w:t>
            </w:r>
            <w:r>
              <w:rPr>
                <w:rFonts w:hint="eastAsia" w:ascii="宋体" w:hAnsi="宋体"/>
                <w:bCs/>
                <w:color w:val="000000"/>
                <w:sz w:val="21"/>
                <w:szCs w:val="21"/>
                <w:highlight w:val="none"/>
                <w:u w:val="single"/>
                <w:lang w:val="en-US" w:eastAsia="zh-CN"/>
              </w:rPr>
              <w:t>26</w:t>
            </w:r>
            <w:r>
              <w:rPr>
                <w:rFonts w:hint="eastAsia" w:ascii="宋体" w:hAnsi="宋体" w:eastAsia="宋体"/>
                <w:bCs/>
                <w:color w:val="000000"/>
                <w:sz w:val="21"/>
                <w:szCs w:val="21"/>
                <w:highlight w:val="none"/>
                <w:u w:val="single"/>
                <w:lang w:eastAsia="zh-CN"/>
              </w:rPr>
              <w:t>日</w:t>
            </w:r>
            <w:r>
              <w:rPr>
                <w:rFonts w:hint="eastAsia" w:ascii="宋体" w:hAnsi="宋体" w:eastAsia="宋体"/>
                <w:bCs/>
                <w:color w:val="000000"/>
                <w:sz w:val="21"/>
                <w:szCs w:val="21"/>
                <w:highlight w:val="none"/>
                <w:u w:val="single"/>
                <w:lang w:val="en-US" w:eastAsia="zh-CN"/>
              </w:rPr>
              <w:t>09</w:t>
            </w:r>
            <w:r>
              <w:rPr>
                <w:rFonts w:hint="eastAsia" w:ascii="宋体" w:hAnsi="宋体"/>
                <w:color w:val="000000"/>
                <w:sz w:val="21"/>
                <w:szCs w:val="21"/>
                <w:highlight w:val="none"/>
                <w:u w:val="single"/>
                <w:lang w:val="en-US" w:eastAsia="zh-CN"/>
              </w:rPr>
              <w:t xml:space="preserve"> 时30 分</w:t>
            </w:r>
            <w:r>
              <w:rPr>
                <w:rFonts w:hint="eastAsia" w:ascii="宋体" w:hAnsi="宋体" w:eastAsia="宋体"/>
                <w:color w:val="000000" w:themeColor="text1"/>
                <w:sz w:val="21"/>
                <w:szCs w:val="21"/>
                <w:highlight w:val="none"/>
                <w:lang w:eastAsia="zh-CN"/>
                <w14:textFill>
                  <w14:solidFill>
                    <w14:schemeClr w14:val="tx1"/>
                  </w14:solidFill>
                </w14:textFill>
              </w:rPr>
              <w:t>（北京时间） </w:t>
            </w:r>
          </w:p>
          <w:p>
            <w:pPr>
              <w:pStyle w:val="32"/>
              <w:spacing w:before="0" w:beforeAutospacing="0" w:after="0" w:afterAutospacing="0"/>
              <w:ind w:firstLine="420"/>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开标地点：浦北县公共资源交易中心（浦北县西环路金浦新区越秀路133号）。</w:t>
            </w:r>
          </w:p>
          <w:p>
            <w:pPr>
              <w:pStyle w:val="32"/>
              <w:spacing w:before="0" w:beforeAutospacing="0" w:after="0" w:afterAutospacing="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b/>
                <w:color w:val="000000" w:themeColor="text1"/>
                <w:sz w:val="21"/>
                <w:szCs w:val="21"/>
                <w:highlight w:val="none"/>
                <w:lang w:eastAsia="zh-CN"/>
                <w14:textFill>
                  <w14:solidFill>
                    <w14:schemeClr w14:val="tx1"/>
                  </w14:solidFill>
                </w14:textFill>
              </w:rPr>
              <w:t>五、公告期限</w:t>
            </w:r>
          </w:p>
          <w:p>
            <w:pPr>
              <w:pStyle w:val="32"/>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自本公告发布之日起5个工作日。</w:t>
            </w:r>
          </w:p>
          <w:p>
            <w:pPr>
              <w:pStyle w:val="3"/>
              <w:spacing w:before="0" w:after="0" w:line="240" w:lineRule="auto"/>
              <w:rPr>
                <w:rFonts w:ascii="宋体" w:hAnsi="宋体" w:eastAsia="宋体"/>
                <w:bCs w:val="0"/>
                <w:color w:val="000000" w:themeColor="text1"/>
                <w:sz w:val="21"/>
                <w:szCs w:val="21"/>
                <w:highlight w:val="none"/>
                <w:lang w:eastAsia="zh-CN"/>
                <w14:textFill>
                  <w14:solidFill>
                    <w14:schemeClr w14:val="tx1"/>
                  </w14:solidFill>
                </w14:textFill>
              </w:rPr>
            </w:pPr>
            <w:bookmarkStart w:id="11" w:name="_Toc35393626"/>
            <w:bookmarkStart w:id="12" w:name="_Toc35393795"/>
            <w:r>
              <w:rPr>
                <w:rFonts w:hint="eastAsia" w:ascii="宋体" w:hAnsi="宋体" w:eastAsia="宋体"/>
                <w:bCs w:val="0"/>
                <w:color w:val="000000" w:themeColor="text1"/>
                <w:sz w:val="21"/>
                <w:szCs w:val="21"/>
                <w:highlight w:val="none"/>
                <w:lang w:eastAsia="zh-CN"/>
                <w14:textFill>
                  <w14:solidFill>
                    <w14:schemeClr w14:val="tx1"/>
                  </w14:solidFill>
                </w14:textFill>
              </w:rPr>
              <w:t>六、其他补充事宜</w:t>
            </w:r>
            <w:bookmarkEnd w:id="11"/>
            <w:bookmarkEnd w:id="12"/>
          </w:p>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1.本项目要求缴纳投标保证金，具体要求详见招标文件。</w:t>
            </w:r>
          </w:p>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2.</w:t>
            </w:r>
            <w:r>
              <w:rPr>
                <w:rFonts w:hint="eastAsia" w:ascii="宋体" w:eastAsia="宋体"/>
                <w:color w:val="000000" w:themeColor="text1"/>
                <w:sz w:val="21"/>
                <w:szCs w:val="21"/>
                <w:highlight w:val="none"/>
                <w:lang w:eastAsia="zh-CN"/>
                <w14:textFill>
                  <w14:solidFill>
                    <w14:schemeClr w14:val="tx1"/>
                  </w14:solidFill>
                </w14:textFill>
              </w:rPr>
              <w:t>本项目为全流程电子化政府采购项目，供应商应按照本项目招标文件和</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的要求编制、加密并提交电子投标文件。未完成</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供应商注册入驻并办理数字证书（CA认证）的供应商将无法参与本项目政府采购活动。供应商在使用</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参与投标过程中遇到涉及平台使用的任何问题，可致电平台技术支持热线咨询</w:t>
            </w:r>
            <w:r>
              <w:rPr>
                <w:rFonts w:hint="eastAsia" w:ascii="宋体" w:hAnsi="Times New Roman" w:eastAsia="宋体"/>
                <w:color w:val="000000" w:themeColor="text1"/>
                <w:sz w:val="21"/>
                <w:szCs w:val="21"/>
                <w:highlight w:val="none"/>
                <w:lang w:eastAsia="zh-CN"/>
                <w14:textFill>
                  <w14:solidFill>
                    <w14:schemeClr w14:val="tx1"/>
                  </w14:solidFill>
                </w14:textFill>
              </w:rPr>
              <w:t>：95763</w:t>
            </w:r>
            <w:r>
              <w:rPr>
                <w:rFonts w:hint="eastAsia" w:ascii="宋体" w:eastAsia="宋体"/>
                <w:color w:val="000000" w:themeColor="text1"/>
                <w:sz w:val="21"/>
                <w:szCs w:val="21"/>
                <w:highlight w:val="none"/>
                <w:lang w:eastAsia="zh-CN"/>
                <w14:textFill>
                  <w14:solidFill>
                    <w14:schemeClr w14:val="tx1"/>
                  </w14:solidFill>
                </w14:textFill>
              </w:rPr>
              <w:t>。</w:t>
            </w:r>
          </w:p>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供应商应及时熟悉掌握电子标系统操作指南（见</w:t>
            </w:r>
            <w:r>
              <w:rPr>
                <w:rFonts w:hint="eastAsia" w:ascii="宋体"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电子卖场首页右上角—服务中心—帮助文档—项目采购）；并及时完成CA申领和绑定（见广西壮族自治区政府采购网—办事服务—下载专区-政采云CA证书办理操作指南）</w:t>
            </w:r>
            <w:r>
              <w:rPr>
                <w:rFonts w:hint="eastAsia" w:ascii="宋体" w:eastAsia="宋体"/>
                <w:color w:val="000000" w:themeColor="text1"/>
                <w:sz w:val="21"/>
                <w:szCs w:val="21"/>
                <w:highlight w:val="none"/>
                <w:lang w:eastAsia="zh-CN"/>
                <w14:textFill>
                  <w14:solidFill>
                    <w14:schemeClr w14:val="tx1"/>
                  </w14:solidFill>
                </w14:textFill>
              </w:rPr>
              <w:t>。</w:t>
            </w:r>
          </w:p>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制作电子投标文件，请供应商自行前往下载并安装（见广西壮族自治区政府采购网—办事服务—下载专区-广西政府采购云平台新版客户端）。</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（3）因未通过“广西政府采购云平台”获取招标文件、未注册入库、未办理CA数字证书、CA证书故障、操作不当等原因造成无法投标或投标失败等后果由供应商自行承担。</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3</w:t>
            </w:r>
            <w:r>
              <w:rPr>
                <w:rFonts w:hint="eastAsia" w:ascii="宋体" w:eastAsia="宋体"/>
                <w:color w:val="000000" w:themeColor="text1"/>
                <w:sz w:val="21"/>
                <w:szCs w:val="21"/>
                <w:highlight w:val="none"/>
                <w:lang w:eastAsia="zh-CN"/>
                <w14:textFill>
                  <w14:solidFill>
                    <w14:schemeClr w14:val="tx1"/>
                  </w14:solidFill>
                </w14:textFill>
              </w:rPr>
              <w:t>.本项目需要落实的政府采购政策</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（1）政府采购促进中小企业发展。</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（2）政府采购支持采用本国产品的政策。</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（3）强制采购节能产品；优先采购节能产品、环境标志产品。</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（4）政府采购促进残疾人就业政策。</w:t>
            </w:r>
          </w:p>
          <w:p>
            <w:pPr>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（5）政府采购支持监狱企业发展。</w:t>
            </w:r>
          </w:p>
          <w:p>
            <w:pPr>
              <w:spacing w:line="240" w:lineRule="auto"/>
              <w:ind w:firstLine="420" w:firstLineChars="200"/>
              <w:rPr>
                <w:rFonts w:hint="eastAsia" w:ascii="宋体" w:hAnsi="Times New Roman" w:eastAsia="宋体" w:cs="宋体"/>
                <w:color w:val="000000" w:themeColor="text1"/>
                <w:sz w:val="21"/>
                <w:szCs w:val="21"/>
                <w:highlight w:val="none"/>
                <w:lang w:eastAsia="zh-CN"/>
                <w14:textFill>
                  <w14:solidFill>
                    <w14:schemeClr w14:val="tx1"/>
                  </w14:solidFill>
                </w14:textFill>
              </w:rPr>
            </w:pPr>
            <w:r>
              <w:rPr>
                <w:rFonts w:hint="eastAsia" w:ascii="宋体" w:hAnsi="Times New Roman" w:eastAsia="宋体" w:cs="宋体"/>
                <w:color w:val="000000" w:themeColor="text1"/>
                <w:sz w:val="21"/>
                <w:szCs w:val="21"/>
                <w:highlight w:val="none"/>
                <w:lang w:eastAsia="zh-CN"/>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ind w:firstLine="420" w:firstLineChars="200"/>
              <w:rPr>
                <w:rFonts w:hint="eastAsia" w:ascii="宋体" w:hAnsi="Times New Roman" w:eastAsia="宋体" w:cs="宋体"/>
                <w:color w:val="000000" w:themeColor="text1"/>
                <w:sz w:val="21"/>
                <w:szCs w:val="21"/>
                <w:highlight w:val="none"/>
                <w:lang w:eastAsia="zh-CN"/>
                <w14:textFill>
                  <w14:solidFill>
                    <w14:schemeClr w14:val="tx1"/>
                  </w14:solidFill>
                </w14:textFill>
              </w:rPr>
            </w:pPr>
            <w:r>
              <w:rPr>
                <w:rFonts w:hint="eastAsia" w:ascii="宋体" w:hAnsi="Times New Roman" w:eastAsia="宋体" w:cs="宋体"/>
                <w:color w:val="000000" w:themeColor="text1"/>
                <w:sz w:val="21"/>
                <w:szCs w:val="21"/>
                <w:highlight w:val="none"/>
                <w:lang w:eastAsia="zh-CN"/>
                <w14:textFill>
                  <w14:solidFill>
                    <w14:schemeClr w14:val="tx1"/>
                  </w14:solidFill>
                </w14:textFill>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hAnsi="Times New Roman" w:eastAsia="宋体"/>
                <w:bCs w:val="0"/>
                <w:color w:val="000000" w:themeColor="text1"/>
                <w:sz w:val="21"/>
                <w:szCs w:val="21"/>
                <w:highlight w:val="none"/>
                <w:lang w:val="en-US" w:eastAsia="zh-CN"/>
                <w14:textFill>
                  <w14:solidFill>
                    <w14:schemeClr w14:val="tx1"/>
                  </w14:solidFill>
                </w14:textFill>
              </w:rPr>
              <w:t>6</w:t>
            </w:r>
            <w:r>
              <w:rPr>
                <w:rFonts w:hint="eastAsia" w:ascii="宋体" w:hAnsi="Times New Roman" w:eastAsia="宋体"/>
                <w:bCs w:val="0"/>
                <w:color w:val="000000" w:themeColor="text1"/>
                <w:sz w:val="21"/>
                <w:szCs w:val="21"/>
                <w:highlight w:val="none"/>
                <w:lang w:eastAsia="zh-CN"/>
                <w14:textFill>
                  <w14:solidFill>
                    <w14:schemeClr w14:val="tx1"/>
                  </w14:solidFill>
                </w14:textFill>
              </w:rPr>
              <w:t>.</w:t>
            </w:r>
            <w:r>
              <w:rPr>
                <w:rFonts w:hint="eastAsia" w:ascii="宋体" w:eastAsia="宋体"/>
                <w:color w:val="000000" w:themeColor="text1"/>
                <w:sz w:val="21"/>
                <w:szCs w:val="21"/>
                <w:highlight w:val="none"/>
                <w:lang w:eastAsia="zh-CN"/>
                <w14:textFill>
                  <w14:solidFill>
                    <w14:schemeClr w14:val="tx1"/>
                  </w14:solidFill>
                </w14:textFill>
              </w:rPr>
              <w:t>网上公告媒体查询：浦北县人民政府网（</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"http://www.gxpb.gov.cn/"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http://www.gxpb.gov.cn/</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）、全国公共资源交易 平台（广西•浦北）（</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"http://ggzy.jgswj.gxzf.gov.cn/pbggzy/"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http://ggzy.jgswj.gxzf.gov.cn/pbggzy/</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）、中国政府采购网（</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http:</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 xml:space="preserve"> //</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"https://www.ccgp.gov.cn/"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www.ccgp.gov.cn/</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）、广西政府采购网（</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"https://zfcg.gxzf.gov.cn/"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https://zfcg.gxzf.gov.cn/</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）、全国公共资源交 易平台（广西•钦州）（</w:t>
            </w:r>
            <w:r>
              <w:rPr>
                <w:rFonts w:hint="eastAsia" w:ascii="宋体" w:eastAsia="宋体"/>
                <w:color w:val="000000" w:themeColor="text1"/>
                <w:sz w:val="21"/>
                <w:szCs w:val="21"/>
                <w:highlight w:val="none"/>
                <w:lang w:eastAsia="zh-CN"/>
                <w14:textFill>
                  <w14:solidFill>
                    <w14:schemeClr w14:val="tx1"/>
                  </w14:solidFill>
                </w14:textFill>
              </w:rPr>
              <w:fldChar w:fldCharType="begin"/>
            </w:r>
            <w:r>
              <w:rPr>
                <w:rFonts w:hint="eastAsia" w:ascii="宋体" w:eastAsia="宋体"/>
                <w:color w:val="000000" w:themeColor="text1"/>
                <w:sz w:val="21"/>
                <w:szCs w:val="21"/>
                <w:highlight w:val="none"/>
                <w:lang w:eastAsia="zh-CN"/>
                <w14:textFill>
                  <w14:solidFill>
                    <w14:schemeClr w14:val="tx1"/>
                  </w14:solidFill>
                </w14:textFill>
              </w:rPr>
              <w:instrText xml:space="preserve"> HYPERLINK "http://ggzy.jgswj.gxzf.gov.cn/qzggzy/" </w:instrText>
            </w:r>
            <w:r>
              <w:rPr>
                <w:rFonts w:hint="eastAsia" w:ascii="宋体" w:eastAsia="宋体"/>
                <w:color w:val="000000" w:themeColor="text1"/>
                <w:sz w:val="21"/>
                <w:szCs w:val="21"/>
                <w:highlight w:val="none"/>
                <w:lang w:eastAsia="zh-CN"/>
                <w14:textFill>
                  <w14:solidFill>
                    <w14:schemeClr w14:val="tx1"/>
                  </w14:solidFill>
                </w14:textFill>
              </w:rPr>
              <w:fldChar w:fldCharType="separate"/>
            </w:r>
            <w:r>
              <w:rPr>
                <w:rFonts w:hint="eastAsia" w:ascii="宋体" w:eastAsia="宋体"/>
                <w:color w:val="000000" w:themeColor="text1"/>
                <w:sz w:val="21"/>
                <w:szCs w:val="21"/>
                <w:highlight w:val="none"/>
                <w:lang w:eastAsia="zh-CN"/>
                <w14:textFill>
                  <w14:solidFill>
                    <w14:schemeClr w14:val="tx1"/>
                  </w14:solidFill>
                </w14:textFill>
              </w:rPr>
              <w:t>http://ggzy.jgswj.gxzf.gov.cn/qzggzy/</w:t>
            </w:r>
            <w:r>
              <w:rPr>
                <w:rFonts w:hint="eastAsia" w:ascii="宋体" w:eastAsia="宋体"/>
                <w:color w:val="000000" w:themeColor="text1"/>
                <w:sz w:val="21"/>
                <w:szCs w:val="21"/>
                <w:highlight w:val="none"/>
                <w:lang w:eastAsia="zh-CN"/>
                <w14:textFill>
                  <w14:solidFill>
                    <w14:schemeClr w14:val="tx1"/>
                  </w14:solidFill>
                </w14:textFill>
              </w:rPr>
              <w:fldChar w:fldCharType="end"/>
            </w:r>
            <w:r>
              <w:rPr>
                <w:rFonts w:hint="eastAsia" w:ascii="宋体" w:eastAsia="宋体"/>
                <w:color w:val="000000" w:themeColor="text1"/>
                <w:sz w:val="21"/>
                <w:szCs w:val="21"/>
                <w:highlight w:val="none"/>
                <w:lang w:eastAsia="zh-CN"/>
                <w14:textFill>
                  <w14:solidFill>
                    <w14:schemeClr w14:val="tx1"/>
                  </w14:solidFill>
                </w14:textFill>
              </w:rPr>
              <w:t>）龙建公司网。</w:t>
            </w:r>
          </w:p>
          <w:p>
            <w:pPr>
              <w:ind w:firstLine="420" w:firstLineChars="200"/>
              <w:rPr>
                <w:rFonts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7</w:t>
            </w:r>
            <w:r>
              <w:rPr>
                <w:rFonts w:hint="eastAsia" w:ascii="宋体" w:eastAsia="宋体"/>
                <w:color w:val="000000" w:themeColor="text1"/>
                <w:sz w:val="21"/>
                <w:szCs w:val="21"/>
                <w:highlight w:val="none"/>
                <w:lang w:eastAsia="zh-CN"/>
                <w14:textFill>
                  <w14:solidFill>
                    <w14:schemeClr w14:val="tx1"/>
                  </w14:solidFill>
                </w14:textFill>
              </w:rPr>
              <w:t>.交易服务单位：</w:t>
            </w:r>
            <w:r>
              <w:rPr>
                <w:rFonts w:hint="eastAsia" w:ascii="宋体" w:eastAsia="宋体"/>
                <w:color w:val="000000" w:themeColor="text1"/>
                <w:sz w:val="21"/>
                <w:szCs w:val="21"/>
                <w:lang w:val="en-US" w:eastAsia="zh-CN"/>
                <w14:textFill>
                  <w14:solidFill>
                    <w14:schemeClr w14:val="tx1"/>
                  </w14:solidFill>
                </w14:textFill>
              </w:rPr>
              <w:t>浦北县</w:t>
            </w:r>
            <w:r>
              <w:rPr>
                <w:rFonts w:hint="eastAsia" w:ascii="宋体" w:eastAsia="宋体"/>
                <w:color w:val="000000" w:themeColor="text1"/>
                <w:sz w:val="21"/>
                <w:szCs w:val="21"/>
                <w:lang w:eastAsia="zh-CN"/>
                <w14:textFill>
                  <w14:solidFill>
                    <w14:schemeClr w14:val="tx1"/>
                  </w14:solidFill>
                </w14:textFill>
              </w:rPr>
              <w:t>公共资源交易中心；联系电话：0777-2</w:t>
            </w:r>
            <w:r>
              <w:rPr>
                <w:rFonts w:hint="eastAsia" w:ascii="宋体" w:eastAsia="宋体"/>
                <w:color w:val="000000" w:themeColor="text1"/>
                <w:sz w:val="21"/>
                <w:szCs w:val="21"/>
                <w:lang w:val="en-US" w:eastAsia="zh-CN"/>
                <w14:textFill>
                  <w14:solidFill>
                    <w14:schemeClr w14:val="tx1"/>
                  </w14:solidFill>
                </w14:textFill>
              </w:rPr>
              <w:t>578686</w:t>
            </w:r>
            <w:r>
              <w:rPr>
                <w:rFonts w:hint="eastAsia" w:ascii="宋体" w:eastAsia="宋体"/>
                <w:color w:val="000000" w:themeColor="text1"/>
                <w:sz w:val="21"/>
                <w:szCs w:val="21"/>
                <w:highlight w:val="none"/>
                <w:lang w:eastAsia="zh-CN"/>
                <w14:textFill>
                  <w14:solidFill>
                    <w14:schemeClr w14:val="tx1"/>
                  </w14:solidFill>
                </w14:textFill>
              </w:rPr>
              <w:t>。</w:t>
            </w:r>
          </w:p>
          <w:p>
            <w:pPr>
              <w:pStyle w:val="32"/>
              <w:spacing w:before="0" w:beforeAutospacing="0" w:after="0" w:afterAutospacing="0"/>
              <w:ind w:firstLine="42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val="en-US" w:eastAsia="zh-CN"/>
                <w14:textFill>
                  <w14:solidFill>
                    <w14:schemeClr w14:val="tx1"/>
                  </w14:solidFill>
                </w14:textFill>
              </w:rPr>
              <w:t>8</w:t>
            </w:r>
            <w:r>
              <w:rPr>
                <w:rFonts w:hint="eastAsia" w:ascii="宋体" w:eastAsia="宋体"/>
                <w:color w:val="000000" w:themeColor="text1"/>
                <w:sz w:val="21"/>
                <w:szCs w:val="21"/>
                <w:highlight w:val="none"/>
                <w:lang w:eastAsia="zh-CN"/>
                <w14:textFill>
                  <w14:solidFill>
                    <w14:schemeClr w14:val="tx1"/>
                  </w14:solidFill>
                </w14:textFill>
              </w:rPr>
              <w:t>.</w:t>
            </w:r>
            <w:r>
              <w:rPr>
                <w:rFonts w:hint="eastAsia" w:ascii="宋体" w:hAnsi="Times New Roman" w:eastAsia="宋体"/>
                <w:color w:val="000000" w:themeColor="text1"/>
                <w:sz w:val="21"/>
                <w:szCs w:val="21"/>
                <w:highlight w:val="none"/>
                <w:lang w:eastAsia="zh-CN"/>
                <w14:textFill>
                  <w14:solidFill>
                    <w14:schemeClr w14:val="tx1"/>
                  </w14:solidFill>
                </w14:textFill>
              </w:rPr>
              <w:t>监督部门：</w:t>
            </w:r>
            <w:r>
              <w:rPr>
                <w:rFonts w:hint="eastAsia" w:ascii="宋体" w:hAnsi="Times New Roman" w:eastAsia="宋体"/>
                <w:color w:val="000000" w:themeColor="text1"/>
                <w:sz w:val="21"/>
                <w:szCs w:val="21"/>
                <w:lang w:eastAsia="zh-CN"/>
                <w14:textFill>
                  <w14:solidFill>
                    <w14:schemeClr w14:val="tx1"/>
                  </w14:solidFill>
                </w14:textFill>
              </w:rPr>
              <w:t>浦北县政府采购</w:t>
            </w:r>
            <w:r>
              <w:rPr>
                <w:rFonts w:hint="eastAsia" w:ascii="宋体" w:hAnsi="Times New Roman" w:eastAsia="宋体"/>
                <w:color w:val="000000" w:themeColor="text1"/>
                <w:sz w:val="21"/>
                <w:szCs w:val="21"/>
                <w:lang w:val="en-US" w:eastAsia="zh-CN"/>
                <w14:textFill>
                  <w14:solidFill>
                    <w14:schemeClr w14:val="tx1"/>
                  </w14:solidFill>
                </w14:textFill>
              </w:rPr>
              <w:t xml:space="preserve">中心  </w:t>
            </w:r>
            <w:r>
              <w:rPr>
                <w:rFonts w:hint="eastAsia" w:ascii="宋体" w:hAnsi="Times New Roman" w:eastAsia="宋体"/>
                <w:color w:val="000000" w:themeColor="text1"/>
                <w:sz w:val="21"/>
                <w:szCs w:val="21"/>
                <w:lang w:eastAsia="zh-CN"/>
                <w14:textFill>
                  <w14:solidFill>
                    <w14:schemeClr w14:val="tx1"/>
                  </w14:solidFill>
                </w14:textFill>
              </w:rPr>
              <w:t>电话：0777-8314622</w:t>
            </w:r>
            <w:r>
              <w:rPr>
                <w:rFonts w:hint="eastAsia" w:ascii="宋体" w:hAnsi="Times New Roman" w:eastAsia="宋体"/>
                <w:color w:val="000000" w:themeColor="text1"/>
                <w:sz w:val="21"/>
                <w:szCs w:val="21"/>
                <w:highlight w:val="none"/>
                <w:lang w:eastAsia="zh-CN"/>
                <w14:textFill>
                  <w14:solidFill>
                    <w14:schemeClr w14:val="tx1"/>
                  </w14:solidFill>
                </w14:textFill>
              </w:rPr>
              <w:t>。</w:t>
            </w:r>
          </w:p>
          <w:p>
            <w:pPr>
              <w:pStyle w:val="3"/>
              <w:spacing w:before="0" w:after="0" w:line="240" w:lineRule="auto"/>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七、对本次招标提出询问，请按以下方式联系。</w:t>
            </w:r>
          </w:p>
          <w:p>
            <w:pPr>
              <w:widowControl/>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1.采购人信息</w:t>
            </w:r>
          </w:p>
          <w:p>
            <w:pPr>
              <w:ind w:firstLine="630" w:firstLineChars="3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名 称：浦北县中医医院　</w:t>
            </w:r>
          </w:p>
          <w:p>
            <w:pPr>
              <w:ind w:firstLine="630" w:firstLineChars="3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地址：浦北县越州大道96号</w:t>
            </w:r>
          </w:p>
          <w:p>
            <w:pPr>
              <w:ind w:firstLine="630" w:firstLineChars="300"/>
              <w:jc w:val="left"/>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项目联系人：</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张宏旭 </w:t>
            </w:r>
          </w:p>
          <w:p>
            <w:pPr>
              <w:ind w:firstLine="630" w:firstLineChars="3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项目联系方式： </w:t>
            </w:r>
            <w:r>
              <w:rPr>
                <w:rFonts w:hint="eastAsia" w:ascii="宋体" w:hAnsi="宋体" w:eastAsia="宋体"/>
                <w:color w:val="000000" w:themeColor="text1"/>
                <w:sz w:val="21"/>
                <w:szCs w:val="21"/>
                <w:highlight w:val="none"/>
                <w:lang w:val="en-US" w:eastAsia="zh-CN"/>
                <w14:textFill>
                  <w14:solidFill>
                    <w14:schemeClr w14:val="tx1"/>
                  </w14:solidFill>
                </w14:textFill>
              </w:rPr>
              <w:t>0777-8317953</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bookmarkStart w:id="13" w:name="_Toc28359086"/>
            <w:bookmarkStart w:id="14" w:name="_Toc28359009"/>
          </w:p>
          <w:p>
            <w:pPr>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2.采购代理机构信息</w:t>
            </w:r>
            <w:bookmarkEnd w:id="13"/>
            <w:bookmarkEnd w:id="14"/>
          </w:p>
          <w:p>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bookmarkStart w:id="15" w:name="_Toc28359010"/>
            <w:bookmarkStart w:id="16" w:name="_Toc28359087"/>
            <w:r>
              <w:rPr>
                <w:rFonts w:hint="eastAsia" w:ascii="宋体" w:hAnsi="宋体" w:eastAsia="宋体"/>
                <w:color w:val="000000" w:themeColor="text1"/>
                <w:sz w:val="21"/>
                <w:szCs w:val="21"/>
                <w:highlight w:val="none"/>
                <w:lang w:eastAsia="zh-CN"/>
                <w14:textFill>
                  <w14:solidFill>
                    <w14:schemeClr w14:val="tx1"/>
                  </w14:solidFill>
                </w14:textFill>
              </w:rPr>
              <w:t>名    称：广西龙建工程管理有限公司　</w:t>
            </w:r>
          </w:p>
          <w:p>
            <w:pPr>
              <w:ind w:firstLine="630" w:firstLineChars="3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　　址：浦北县奥园广场C7-103号商铺　</w:t>
            </w:r>
          </w:p>
          <w:bookmarkEnd w:id="15"/>
          <w:bookmarkEnd w:id="16"/>
          <w:p>
            <w:pPr>
              <w:pStyle w:val="20"/>
              <w:ind w:firstLine="630" w:firstLineChars="300"/>
              <w:rPr>
                <w:rFonts w:hint="eastAsia"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项目联系人</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黎</w:t>
            </w:r>
            <w:r>
              <w:rPr>
                <w:rFonts w:hint="eastAsia" w:hAnsi="宋体" w:cs="宋体"/>
                <w:color w:val="000000" w:themeColor="text1"/>
                <w:szCs w:val="21"/>
                <w:highlight w:val="none"/>
                <w:lang w:val="en-US" w:eastAsia="zh-CN"/>
                <w14:textFill>
                  <w14:solidFill>
                    <w14:schemeClr w14:val="tx1"/>
                  </w14:solidFill>
                </w14:textFill>
              </w:rPr>
              <w:t>贤</w:t>
            </w:r>
          </w:p>
          <w:p>
            <w:pPr>
              <w:pStyle w:val="17"/>
              <w:ind w:firstLine="630" w:firstLineChars="300"/>
              <w:rPr>
                <w:rFonts w:ascii="宋体" w:hAnsi="宋体" w:eastAsia="宋体"/>
                <w:b w:val="0"/>
                <w:bCs/>
                <w:color w:val="000000" w:themeColor="text1"/>
                <w:sz w:val="21"/>
                <w:szCs w:val="21"/>
                <w:highlight w:val="none"/>
                <w:lang w:eastAsia="zh-CN"/>
                <w14:textFill>
                  <w14:solidFill>
                    <w14:schemeClr w14:val="tx1"/>
                  </w14:solidFill>
                </w14:textFill>
              </w:rPr>
            </w:pPr>
            <w:r>
              <w:rPr>
                <w:rFonts w:hint="eastAsia" w:ascii="宋体" w:hAnsi="宋体" w:eastAsia="宋体" w:cs="Times New Roman"/>
                <w:b w:val="0"/>
                <w:color w:val="000000" w:themeColor="text1"/>
                <w:spacing w:val="0"/>
                <w:kern w:val="2"/>
                <w:sz w:val="21"/>
                <w:szCs w:val="21"/>
                <w:highlight w:val="none"/>
                <w:lang w:eastAsia="zh-CN"/>
                <w14:textFill>
                  <w14:solidFill>
                    <w14:schemeClr w14:val="tx1"/>
                  </w14:solidFill>
                </w14:textFill>
              </w:rPr>
              <w:t>项目联系方式</w:t>
            </w:r>
            <w:r>
              <w:rPr>
                <w:rFonts w:hint="eastAsia" w:ascii="宋体" w:hAnsi="宋体" w:eastAsia="宋体" w:cs="Times New Roman"/>
                <w:b w:val="0"/>
                <w:bCs w:val="0"/>
                <w:color w:val="000000" w:themeColor="text1"/>
                <w:spacing w:val="0"/>
                <w:kern w:val="2"/>
                <w:sz w:val="21"/>
                <w:szCs w:val="21"/>
                <w:highlight w:val="none"/>
                <w:lang w:eastAsia="zh-CN"/>
                <w14:textFill>
                  <w14:solidFill>
                    <w14:schemeClr w14:val="tx1"/>
                  </w14:solidFill>
                </w14:textFill>
              </w:rPr>
              <w:t>：</w:t>
            </w:r>
            <w:r>
              <w:rPr>
                <w:rFonts w:hint="eastAsia" w:ascii="宋体" w:hAnsi="宋体" w:eastAsia="宋体"/>
                <w:b w:val="0"/>
                <w:bCs/>
                <w:color w:val="000000" w:themeColor="text1"/>
                <w:sz w:val="21"/>
                <w:szCs w:val="21"/>
                <w:highlight w:val="none"/>
                <w:lang w:val="en-US" w:eastAsia="zh-CN"/>
                <w14:textFill>
                  <w14:solidFill>
                    <w14:schemeClr w14:val="tx1"/>
                  </w14:solidFill>
                </w14:textFill>
              </w:rPr>
              <w:t>13977790451</w:t>
            </w:r>
          </w:p>
          <w:p>
            <w:pPr>
              <w:pStyle w:val="17"/>
              <w:ind w:firstLine="582" w:firstLineChars="300"/>
              <w:rPr>
                <w:rFonts w:ascii="宋体" w:hAnsi="宋体" w:eastAsia="宋体"/>
                <w:b w:val="0"/>
                <w:bCs/>
                <w:color w:val="000000" w:themeColor="text1"/>
                <w:sz w:val="21"/>
                <w:szCs w:val="21"/>
                <w:highlight w:val="none"/>
                <w:lang w:eastAsia="zh-CN"/>
                <w14:textFill>
                  <w14:solidFill>
                    <w14:schemeClr w14:val="tx1"/>
                  </w14:solidFill>
                </w14:textFill>
              </w:rPr>
            </w:pPr>
          </w:p>
          <w:p>
            <w:pPr>
              <w:pStyle w:val="32"/>
              <w:snapToGrid w:val="0"/>
              <w:spacing w:before="0" w:beforeAutospacing="0" w:after="0" w:afterAutospacing="0"/>
              <w:ind w:left="238"/>
              <w:jc w:val="right"/>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广西龙建工程管理有限公司</w:t>
            </w:r>
          </w:p>
          <w:p>
            <w:pPr>
              <w:pStyle w:val="32"/>
              <w:spacing w:before="0" w:beforeAutospacing="0" w:after="0" w:afterAutospacing="0"/>
              <w:jc w:val="right"/>
              <w:rPr>
                <w:rFonts w:hAnsi="Times New Roman" w:cs="Times New Roman"/>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202</w:t>
            </w:r>
            <w:r>
              <w:rPr>
                <w:rFonts w:hint="eastAsia" w:ascii="宋体" w:eastAsia="宋体"/>
                <w:color w:val="000000" w:themeColor="text1"/>
                <w:sz w:val="21"/>
                <w:szCs w:val="21"/>
                <w:highlight w:val="none"/>
                <w:lang w:val="en-US" w:eastAsia="zh-CN"/>
                <w14:textFill>
                  <w14:solidFill>
                    <w14:schemeClr w14:val="tx1"/>
                  </w14:solidFill>
                </w14:textFill>
              </w:rPr>
              <w:t>5</w:t>
            </w:r>
            <w:r>
              <w:rPr>
                <w:rFonts w:hint="eastAsia" w:ascii="宋体" w:eastAsia="宋体"/>
                <w:color w:val="000000" w:themeColor="text1"/>
                <w:sz w:val="21"/>
                <w:szCs w:val="21"/>
                <w:highlight w:val="none"/>
                <w14:textFill>
                  <w14:solidFill>
                    <w14:schemeClr w14:val="tx1"/>
                  </w14:solidFill>
                </w14:textFill>
              </w:rPr>
              <w:t>年</w:t>
            </w:r>
            <w:r>
              <w:rPr>
                <w:rFonts w:hint="eastAsia" w:ascii="宋体" w:eastAsia="宋体"/>
                <w:color w:val="000000" w:themeColor="text1"/>
                <w:sz w:val="21"/>
                <w:szCs w:val="21"/>
                <w:highlight w:val="none"/>
                <w:lang w:val="en-US" w:eastAsia="zh-CN"/>
                <w14:textFill>
                  <w14:solidFill>
                    <w14:schemeClr w14:val="tx1"/>
                  </w14:solidFill>
                </w14:textFill>
              </w:rPr>
              <w:t>12</w:t>
            </w:r>
            <w:r>
              <w:rPr>
                <w:rFonts w:hint="eastAsia" w:ascii="宋体" w:eastAsia="宋体"/>
                <w:color w:val="000000" w:themeColor="text1"/>
                <w:sz w:val="21"/>
                <w:szCs w:val="21"/>
                <w:highlight w:val="none"/>
                <w14:textFill>
                  <w14:solidFill>
                    <w14:schemeClr w14:val="tx1"/>
                  </w14:solidFill>
                </w14:textFill>
              </w:rPr>
              <w:t>月</w:t>
            </w:r>
            <w:r>
              <w:rPr>
                <w:rFonts w:hint="eastAsia" w:ascii="宋体" w:eastAsia="宋体"/>
                <w:color w:val="000000" w:themeColor="text1"/>
                <w:sz w:val="21"/>
                <w:szCs w:val="21"/>
                <w:highlight w:val="none"/>
                <w:lang w:val="en-US" w:eastAsia="zh-CN"/>
                <w14:textFill>
                  <w14:solidFill>
                    <w14:schemeClr w14:val="tx1"/>
                  </w14:solidFill>
                </w14:textFill>
              </w:rPr>
              <w:t xml:space="preserve"> 5</w:t>
            </w:r>
            <w:r>
              <w:rPr>
                <w:rFonts w:hint="eastAsia" w:ascii="宋体" w:eastAsia="宋体"/>
                <w:color w:val="000000" w:themeColor="text1"/>
                <w:sz w:val="21"/>
                <w:szCs w:val="21"/>
                <w:highlight w:val="none"/>
                <w14:textFill>
                  <w14:solidFill>
                    <w14:schemeClr w14:val="tx1"/>
                  </w14:solidFill>
                </w14:textFill>
              </w:rPr>
              <w:t>日</w:t>
            </w:r>
          </w:p>
        </w:tc>
      </w:tr>
      <w:bookmarkEnd w:id="9"/>
      <w:bookmarkEnd w:id="10"/>
    </w:tbl>
    <w:p>
      <w:pPr>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20"/>
        <w:spacing w:line="360" w:lineRule="auto"/>
        <w:ind w:firstLine="3534" w:firstLineChars="1100"/>
        <w:outlineLvl w:val="0"/>
        <w:rPr>
          <w:rStyle w:val="61"/>
          <w:color w:val="000000" w:themeColor="text1"/>
          <w:sz w:val="32"/>
          <w:szCs w:val="32"/>
          <w:highlight w:val="none"/>
          <w14:textFill>
            <w14:solidFill>
              <w14:schemeClr w14:val="tx1"/>
            </w14:solidFill>
          </w14:textFill>
        </w:rPr>
      </w:pPr>
      <w:r>
        <w:rPr>
          <w:rStyle w:val="61"/>
          <w:rFonts w:hint="eastAsia"/>
          <w:color w:val="000000" w:themeColor="text1"/>
          <w:sz w:val="32"/>
          <w:szCs w:val="32"/>
          <w:highlight w:val="none"/>
          <w14:textFill>
            <w14:solidFill>
              <w14:schemeClr w14:val="tx1"/>
            </w14:solidFill>
          </w14:textFill>
        </w:rPr>
        <w:t xml:space="preserve"> 第二章 投标人须知</w:t>
      </w:r>
      <w:bookmarkEnd w:id="3"/>
      <w:bookmarkStart w:id="17" w:name="_Toc147250356"/>
      <w:bookmarkStart w:id="18" w:name="_Toc147250395"/>
      <w:bookmarkStart w:id="19" w:name="_Toc147250349"/>
      <w:bookmarkStart w:id="20" w:name="_Toc147250551"/>
    </w:p>
    <w:bookmarkEnd w:id="4"/>
    <w:bookmarkEnd w:id="5"/>
    <w:p>
      <w:pPr>
        <w:pStyle w:val="20"/>
        <w:spacing w:line="360" w:lineRule="auto"/>
        <w:jc w:val="center"/>
        <w:rPr>
          <w:rStyle w:val="61"/>
          <w:color w:val="000000" w:themeColor="text1"/>
          <w:sz w:val="28"/>
          <w:szCs w:val="28"/>
          <w:highlight w:val="none"/>
          <w14:textFill>
            <w14:solidFill>
              <w14:schemeClr w14:val="tx1"/>
            </w14:solidFill>
          </w14:textFill>
        </w:rPr>
      </w:pPr>
      <w:bookmarkStart w:id="21" w:name="_Toc10263"/>
      <w:bookmarkStart w:id="22" w:name="_Toc23882"/>
      <w:r>
        <w:rPr>
          <w:rStyle w:val="61"/>
          <w:rFonts w:hint="eastAsia"/>
          <w:color w:val="000000" w:themeColor="text1"/>
          <w:sz w:val="28"/>
          <w:szCs w:val="28"/>
          <w:highlight w:val="none"/>
          <w14:textFill>
            <w14:solidFill>
              <w14:schemeClr w14:val="tx1"/>
            </w14:solidFill>
          </w14:textFill>
        </w:rPr>
        <w:t>投标人须知前附表</w:t>
      </w:r>
      <w:bookmarkEnd w:id="17"/>
    </w:p>
    <w:bookmarkEnd w:id="21"/>
    <w:bookmarkEnd w:id="22"/>
    <w:tbl>
      <w:tblPr>
        <w:tblStyle w:val="37"/>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9"/>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序号</w:t>
            </w:r>
          </w:p>
        </w:tc>
        <w:tc>
          <w:tcPr>
            <w:tcW w:w="1049"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条款号</w:t>
            </w:r>
          </w:p>
        </w:tc>
        <w:tc>
          <w:tcPr>
            <w:tcW w:w="8660"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1</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w:t>
            </w:r>
          </w:p>
        </w:tc>
        <w:tc>
          <w:tcPr>
            <w:tcW w:w="8660" w:type="dxa"/>
            <w:vAlign w:val="center"/>
          </w:tcPr>
          <w:p>
            <w:pPr>
              <w:pStyle w:val="20"/>
              <w:spacing w:line="340" w:lineRule="exact"/>
              <w:rPr>
                <w:rFonts w:hint="eastAsia" w:hAnsi="宋体" w:eastAsia="宋体" w:cs="宋体"/>
                <w:color w:val="000000" w:themeColor="text1"/>
                <w:kern w:val="0"/>
                <w:szCs w:val="21"/>
                <w:highlight w:val="none"/>
                <w:u w:val="single"/>
                <w:lang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项目名称：</w:t>
            </w:r>
            <w:r>
              <w:rPr>
                <w:rFonts w:hint="eastAsia" w:hAnsi="宋体" w:cs="宋体"/>
                <w:color w:val="000000" w:themeColor="text1"/>
                <w:szCs w:val="21"/>
                <w:highlight w:val="none"/>
                <w:lang w:eastAsia="zh-CN"/>
                <w14:textFill>
                  <w14:solidFill>
                    <w14:schemeClr w14:val="tx1"/>
                  </w14:solidFill>
                </w14:textFill>
              </w:rPr>
              <w:t>磁共振设备及相关配套设备采购</w:t>
            </w:r>
          </w:p>
          <w:p>
            <w:pPr>
              <w:pStyle w:val="20"/>
              <w:spacing w:line="340" w:lineRule="exact"/>
              <w:rPr>
                <w:rFonts w:hint="eastAsia" w:hAnsi="宋体" w:eastAsia="宋体" w:cs="宋体"/>
                <w:color w:val="000000" w:themeColor="text1"/>
                <w:kern w:val="0"/>
                <w:szCs w:val="21"/>
                <w:highlight w:val="none"/>
                <w:u w:val="single"/>
                <w:lang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项目编号：</w:t>
            </w:r>
            <w:r>
              <w:rPr>
                <w:rFonts w:hint="eastAsia" w:hAnsi="宋体" w:cs="宋体"/>
                <w:color w:val="000000" w:themeColor="text1"/>
                <w:szCs w:val="21"/>
                <w:highlight w:val="none"/>
                <w:lang w:eastAsia="zh-CN"/>
                <w14:textFill>
                  <w14:solidFill>
                    <w14:schemeClr w14:val="tx1"/>
                  </w14:solidFill>
                </w14:textFill>
              </w:rPr>
              <w:t>QZZC2025-G1-220250-GXLJ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2</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w:t>
            </w:r>
          </w:p>
        </w:tc>
        <w:tc>
          <w:tcPr>
            <w:tcW w:w="8660" w:type="dxa"/>
            <w:vAlign w:val="center"/>
          </w:tcPr>
          <w:p>
            <w:pPr>
              <w:pStyle w:val="20"/>
              <w:spacing w:line="340" w:lineRule="exact"/>
              <w:rPr>
                <w:rFonts w:hint="eastAsia" w:ascii="宋体" w:hAnsi="宋体" w:eastAsia="宋体" w:cs="宋体"/>
                <w:b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color w:val="000000" w:themeColor="text1"/>
                <w:kern w:val="0"/>
                <w:sz w:val="21"/>
                <w:szCs w:val="21"/>
                <w:highlight w:val="none"/>
                <w:lang w:eastAsia="zh-CN"/>
                <w14:textFill>
                  <w14:solidFill>
                    <w14:schemeClr w14:val="tx1"/>
                  </w14:solidFill>
                </w14:textFill>
              </w:rPr>
              <w:t>申请人的资格要求：详见招标公告。</w:t>
            </w:r>
          </w:p>
          <w:p>
            <w:pPr>
              <w:pStyle w:val="20"/>
              <w:spacing w:line="34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投标人出现下列情形之一的，不得参加政府采购活动：</w:t>
            </w:r>
          </w:p>
          <w:p>
            <w:pPr>
              <w:pStyle w:val="20"/>
              <w:spacing w:line="340" w:lineRule="exac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32"/>
              <w:spacing w:before="0" w:beforeAutospacing="0" w:after="0" w:afterAutospacing="0" w:line="380" w:lineRule="atLeast"/>
              <w:jc w:val="both"/>
              <w:rPr>
                <w:rFonts w:asci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3</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8.1</w:t>
            </w:r>
          </w:p>
        </w:tc>
        <w:tc>
          <w:tcPr>
            <w:tcW w:w="8660" w:type="dxa"/>
            <w:vAlign w:val="center"/>
          </w:tcPr>
          <w:p>
            <w:pPr>
              <w:pStyle w:val="20"/>
              <w:spacing w:line="340" w:lineRule="exact"/>
              <w:ind w:left="1078" w:leftChars="-11" w:hanging="1100" w:hangingChars="524"/>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投标报价：投标人须就《货物需求一览表》中的全部货物内容作完整唯一报价。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4</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9.1</w:t>
            </w:r>
          </w:p>
        </w:tc>
        <w:tc>
          <w:tcPr>
            <w:tcW w:w="8660" w:type="dxa"/>
            <w:vAlign w:val="center"/>
          </w:tcPr>
          <w:p>
            <w:pPr>
              <w:pStyle w:val="20"/>
              <w:spacing w:line="340" w:lineRule="exac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投标有效期：投标截止日期后60天。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5</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11.2</w:t>
            </w:r>
          </w:p>
        </w:tc>
        <w:tc>
          <w:tcPr>
            <w:tcW w:w="8660" w:type="dxa"/>
            <w:vAlign w:val="center"/>
          </w:tcPr>
          <w:p>
            <w:pPr>
              <w:pStyle w:val="20"/>
              <w:spacing w:line="340" w:lineRule="exact"/>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投标文件组成：由资格文件、报价文件、商务技术文件三部分组成，</w:t>
            </w:r>
            <w:r>
              <w:rPr>
                <w:rFonts w:hint="eastAsia"/>
                <w:b/>
                <w:bCs/>
                <w:color w:val="000000" w:themeColor="text1"/>
                <w:highlight w:val="none"/>
                <w14:textFill>
                  <w14:solidFill>
                    <w14:schemeClr w14:val="tx1"/>
                  </w14:solidFill>
                </w14:textFill>
              </w:rPr>
              <w:t>投标人应根据各部分要求独立编制。</w:t>
            </w:r>
          </w:p>
          <w:p>
            <w:pPr>
              <w:pStyle w:val="20"/>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投标文件递交份数：</w:t>
            </w:r>
          </w:p>
          <w:p>
            <w:pPr>
              <w:pStyle w:val="20"/>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1.电子加密投标文件：1份</w:t>
            </w:r>
          </w:p>
          <w:p>
            <w:pPr>
              <w:pStyle w:val="20"/>
              <w:spacing w:line="3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2.电子备份投标文件：1份（以U盘或光盘存储并按要求密封）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6</w:t>
            </w:r>
          </w:p>
        </w:tc>
        <w:tc>
          <w:tcPr>
            <w:tcW w:w="1049" w:type="dxa"/>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10</w:t>
            </w:r>
          </w:p>
        </w:tc>
        <w:tc>
          <w:tcPr>
            <w:tcW w:w="8660" w:type="dxa"/>
            <w:vAlign w:val="center"/>
          </w:tcPr>
          <w:p>
            <w:pPr>
              <w:pStyle w:val="20"/>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投标保证金</w:t>
            </w:r>
            <w:bookmarkStart w:id="23" w:name="OLE_LINK18"/>
            <w:r>
              <w:rPr>
                <w:rFonts w:hint="eastAsia" w:hAnsi="宋体" w:cs="宋体"/>
                <w:color w:val="000000" w:themeColor="text1"/>
                <w:kern w:val="0"/>
                <w:szCs w:val="21"/>
                <w:highlight w:val="none"/>
                <w14:textFill>
                  <w14:solidFill>
                    <w14:schemeClr w14:val="tx1"/>
                  </w14:solidFill>
                </w14:textFill>
              </w:rPr>
              <w:t>：</w:t>
            </w:r>
            <w:bookmarkEnd w:id="23"/>
            <w:r>
              <w:rPr>
                <w:rFonts w:hint="eastAsia" w:hAnsi="宋体"/>
                <w:color w:val="auto"/>
                <w:szCs w:val="21"/>
                <w:highlight w:val="none"/>
                <w:lang w:eastAsia="zh-CN"/>
              </w:rPr>
              <w:t>伍</w:t>
            </w:r>
            <w:r>
              <w:rPr>
                <w:rFonts w:hint="eastAsia" w:hAnsi="宋体"/>
                <w:color w:val="auto"/>
                <w:szCs w:val="21"/>
                <w:highlight w:val="none"/>
              </w:rPr>
              <w:t>万元整</w:t>
            </w:r>
            <w:r>
              <w:rPr>
                <w:rFonts w:hint="eastAsia" w:hAnsi="宋体" w:cs="宋体"/>
                <w:color w:val="auto"/>
                <w:kern w:val="0"/>
                <w:szCs w:val="21"/>
                <w:highlight w:val="none"/>
              </w:rPr>
              <w:t>。</w:t>
            </w:r>
          </w:p>
          <w:p>
            <w:pPr>
              <w:pStyle w:val="20"/>
              <w:spacing w:line="288" w:lineRule="auto"/>
              <w:rPr>
                <w:rFonts w:hAnsi="宋体" w:cs="宋体"/>
                <w:color w:val="000000" w:themeColor="text1"/>
                <w:kern w:val="0"/>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投标保证金缴纳形式：银行转账、支票、汇票、本票或者银行、保险机构出具的保函，禁止采用现钞方式。</w:t>
            </w:r>
          </w:p>
          <w:p>
            <w:pPr>
              <w:pStyle w:val="20"/>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采用银行转账方式的，投标人将投标保证金从投标人基本账户转出交至以下指定的投标保证金专用账户，且提交到指定账户时间不得迟于投标截止时间（以到账为准）：</w:t>
            </w:r>
          </w:p>
          <w:p>
            <w:pPr>
              <w:pStyle w:val="20"/>
              <w:spacing w:line="288" w:lineRule="auto"/>
              <w:rPr>
                <w:rFonts w:hint="default" w:hAnsi="Courier New" w:cs="Times New Roman"/>
                <w:color w:val="auto"/>
                <w:kern w:val="2"/>
                <w:szCs w:val="20"/>
              </w:rPr>
            </w:pPr>
            <w:r>
              <w:rPr>
                <w:rFonts w:hint="default" w:hAnsi="Courier New" w:cs="Times New Roman"/>
                <w:color w:val="auto"/>
                <w:kern w:val="2"/>
                <w:szCs w:val="20"/>
              </w:rPr>
              <w:t>开户名称：浦北县公共资源交易中心</w:t>
            </w:r>
          </w:p>
          <w:p>
            <w:pPr>
              <w:pStyle w:val="20"/>
              <w:spacing w:line="288" w:lineRule="auto"/>
              <w:rPr>
                <w:rFonts w:hint="eastAsia" w:hAnsi="Courier New" w:cs="Times New Roman"/>
                <w:color w:val="auto"/>
                <w:kern w:val="2"/>
                <w:szCs w:val="20"/>
              </w:rPr>
            </w:pPr>
            <w:r>
              <w:rPr>
                <w:rFonts w:hint="default" w:hAnsi="Courier New" w:cs="Times New Roman"/>
                <w:color w:val="auto"/>
                <w:kern w:val="2"/>
                <w:szCs w:val="20"/>
              </w:rPr>
              <w:t>开户行：广西浦北农村商业银行股份有限公司江城支行</w:t>
            </w:r>
          </w:p>
          <w:p>
            <w:pPr>
              <w:pStyle w:val="20"/>
              <w:spacing w:line="288" w:lineRule="auto"/>
              <w:rPr>
                <w:rFonts w:hint="default" w:hAnsi="Courier New" w:cs="Times New Roman"/>
                <w:color w:val="auto"/>
                <w:kern w:val="2"/>
                <w:szCs w:val="20"/>
              </w:rPr>
            </w:pPr>
            <w:r>
              <w:rPr>
                <w:rFonts w:hint="default" w:hAnsi="Courier New" w:cs="Times New Roman"/>
                <w:color w:val="auto"/>
                <w:kern w:val="2"/>
                <w:szCs w:val="20"/>
              </w:rPr>
              <w:t>账号：20332220839000587</w:t>
            </w:r>
          </w:p>
          <w:p>
            <w:pPr>
              <w:pStyle w:val="20"/>
              <w:spacing w:line="288" w:lineRule="auto"/>
              <w:rPr>
                <w:rFonts w:hint="eastAsia" w:hAnsi="Courier New" w:cs="Times New Roman"/>
                <w:color w:val="auto"/>
                <w:kern w:val="2"/>
                <w:szCs w:val="20"/>
              </w:rPr>
            </w:pPr>
            <w:r>
              <w:rPr>
                <w:rFonts w:hint="default" w:hAnsi="Courier New" w:cs="Times New Roman"/>
                <w:color w:val="auto"/>
                <w:kern w:val="2"/>
                <w:szCs w:val="20"/>
              </w:rPr>
              <w:t>电话：0777-</w:t>
            </w:r>
            <w:r>
              <w:rPr>
                <w:rFonts w:hint="default" w:hAnsi="Courier New" w:cs="Times New Roman"/>
                <w:color w:val="auto"/>
                <w:kern w:val="2"/>
                <w:szCs w:val="20"/>
                <w:lang w:val="en-US" w:eastAsia="zh-CN"/>
              </w:rPr>
              <w:t>2578698</w:t>
            </w:r>
            <w:r>
              <w:rPr>
                <w:rFonts w:hint="default" w:hAnsi="Courier New" w:cs="Times New Roman"/>
                <w:color w:val="auto"/>
                <w:kern w:val="2"/>
                <w:szCs w:val="20"/>
              </w:rPr>
              <w:t>（财务部）</w:t>
            </w:r>
          </w:p>
          <w:p>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备注：</w:t>
            </w:r>
          </w:p>
          <w:p>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1. 投标保证金在投标截止时间后提交的，或者不按规定交纳方式交纳的，或者未足额交纳的（包含保函额度不足的），视为无效投标保证金。</w:t>
            </w:r>
          </w:p>
          <w:p>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2.投标人采用现钞方式或者从个人账户（自然人投标除外）转出的投标保证金，视为无效投标保证金。</w:t>
            </w:r>
          </w:p>
          <w:p>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3.支票、汇票或者本票出现无效或者背书情形的，视为无效投标保证金。</w:t>
            </w:r>
          </w:p>
          <w:p>
            <w:pPr>
              <w:snapToGrid w:val="0"/>
              <w:spacing w:line="360" w:lineRule="auto"/>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4.保函有效期低于投标有效期的，视为无效投标保证金。</w:t>
            </w:r>
          </w:p>
          <w:p>
            <w:pPr>
              <w:rPr>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5.采用金融、担保机构出具保函的，必须为无条件保函，否则视为无效投标保证金。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7</w:t>
            </w:r>
          </w:p>
        </w:tc>
        <w:tc>
          <w:tcPr>
            <w:tcW w:w="1049"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p>
        </w:tc>
        <w:tc>
          <w:tcPr>
            <w:tcW w:w="8660" w:type="dxa"/>
            <w:vAlign w:val="center"/>
          </w:tcPr>
          <w:p>
            <w:pPr>
              <w:pStyle w:val="20"/>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投标文件递交形式：</w:t>
            </w:r>
          </w:p>
          <w:p>
            <w:pPr>
              <w:pStyle w:val="20"/>
              <w:spacing w:line="288" w:lineRule="auto"/>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1.电子加密投标文件：供应商须通过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hAnsi="宋体" w:cs="宋体"/>
                <w:color w:val="000000" w:themeColor="text1"/>
                <w:kern w:val="0"/>
                <w:szCs w:val="21"/>
                <w:highlight w:val="none"/>
                <w14:textFill>
                  <w14:solidFill>
                    <w14:schemeClr w14:val="tx1"/>
                  </w14:solidFill>
                </w14:textFill>
              </w:rPr>
              <w:t>软件制作并加密生成电子投标文件，于投标文件提交截止时间前经</w:t>
            </w:r>
            <w:r>
              <w:rPr>
                <w:rFonts w:hint="eastAsia" w:hAnsi="宋体" w:cs="宋体"/>
                <w:color w:val="000000" w:themeColor="text1"/>
                <w:kern w:val="0"/>
                <w:szCs w:val="21"/>
                <w:highlight w:val="none"/>
                <w:lang w:eastAsia="zh-CN"/>
                <w14:textFill>
                  <w14:solidFill>
                    <w14:schemeClr w14:val="tx1"/>
                  </w14:solidFill>
                </w14:textFill>
              </w:rPr>
              <w:t>广西政府采购云平台</w:t>
            </w:r>
            <w:r>
              <w:rPr>
                <w:rFonts w:hint="eastAsia" w:hAnsi="宋体" w:cs="宋体"/>
                <w:color w:val="000000" w:themeColor="text1"/>
                <w:kern w:val="0"/>
                <w:szCs w:val="21"/>
                <w:highlight w:val="none"/>
                <w14:textFill>
                  <w14:solidFill>
                    <w14:schemeClr w14:val="tx1"/>
                  </w14:solidFill>
                </w14:textFill>
              </w:rPr>
              <w:t>上传提交。</w:t>
            </w:r>
          </w:p>
          <w:p>
            <w:pPr>
              <w:pStyle w:val="20"/>
              <w:spacing w:line="288" w:lineRule="auto"/>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2.电子备份投标文件：以U盘或光盘存储，电子备份投标文件应当在投标文件提交截止时间前按要求密封（开标当天）直接送达</w:t>
            </w:r>
            <w:r>
              <w:rPr>
                <w:rFonts w:hint="eastAsia" w:hAnsi="宋体" w:cs="宋体"/>
                <w:color w:val="000000" w:themeColor="text1"/>
                <w:kern w:val="0"/>
                <w:szCs w:val="21"/>
                <w:highlight w:val="none"/>
                <w:lang w:val="en-US" w:eastAsia="zh-CN"/>
                <w14:textFill>
                  <w14:solidFill>
                    <w14:schemeClr w14:val="tx1"/>
                  </w14:solidFill>
                </w14:textFill>
              </w:rPr>
              <w:t>浦北县</w:t>
            </w:r>
            <w:r>
              <w:rPr>
                <w:rFonts w:hint="eastAsia" w:hAnsi="宋体" w:cs="宋体"/>
                <w:color w:val="000000" w:themeColor="text1"/>
                <w:kern w:val="0"/>
                <w:szCs w:val="21"/>
                <w:highlight w:val="none"/>
                <w14:textFill>
                  <w14:solidFill>
                    <w14:schemeClr w14:val="tx1"/>
                  </w14:solidFill>
                </w14:textFill>
              </w:rPr>
              <w:t>公共资源交易中心开标厅或提前邮寄到广西龙建工程管理有限公司（地址：</w:t>
            </w:r>
            <w:r>
              <w:rPr>
                <w:rFonts w:hint="eastAsia" w:hAnsi="宋体" w:cs="宋体"/>
                <w:color w:val="000000" w:themeColor="text1"/>
                <w:kern w:val="0"/>
                <w:szCs w:val="21"/>
                <w:highlight w:val="none"/>
                <w:lang w:eastAsia="zh-CN"/>
                <w14:textFill>
                  <w14:solidFill>
                    <w14:schemeClr w14:val="tx1"/>
                  </w14:solidFill>
                </w14:textFill>
              </w:rPr>
              <w:t>浦北县奥园广场C7-103号商铺</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联系人：黎工，电话：13977790451</w:t>
            </w:r>
            <w:r>
              <w:rPr>
                <w:rFonts w:hint="eastAsia" w:hAnsi="宋体" w:cs="宋体"/>
                <w:color w:val="000000" w:themeColor="text1"/>
                <w:kern w:val="0"/>
                <w:szCs w:val="21"/>
                <w:highlight w:val="none"/>
                <w14:textFill>
                  <w14:solidFill>
                    <w14:schemeClr w14:val="tx1"/>
                  </w14:solidFill>
                </w14:textFill>
              </w:rPr>
              <w:t>），我公司拒收到付邮件，通过邮寄方式送达的，请合理安排邮寄时间，逾期送达或未按要求密封将被拒收。</w:t>
            </w:r>
          </w:p>
          <w:p>
            <w:pPr>
              <w:pStyle w:val="20"/>
              <w:spacing w:line="288" w:lineRule="auto"/>
              <w:rPr>
                <w:rFonts w:hint="default" w:hAnsi="宋体" w:eastAsia="宋体" w:cs="宋体"/>
                <w:color w:val="000000" w:themeColor="text1"/>
                <w:kern w:val="0"/>
                <w:szCs w:val="21"/>
                <w:highlight w:val="none"/>
                <w:lang w:val="en-US" w:eastAsia="zh-CN"/>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3.投标文件递交截止时间：</w:t>
            </w:r>
            <w:r>
              <w:rPr>
                <w:rFonts w:hint="eastAsia" w:ascii="宋体" w:hAnsi="宋体" w:eastAsia="宋体"/>
                <w:color w:val="000000"/>
                <w:sz w:val="21"/>
                <w:szCs w:val="21"/>
                <w:highlight w:val="none"/>
                <w:u w:val="single"/>
                <w:lang w:eastAsia="zh-CN"/>
              </w:rPr>
              <w:t>202</w:t>
            </w:r>
            <w:r>
              <w:rPr>
                <w:rFonts w:hint="eastAsia" w:ascii="宋体" w:hAnsi="宋体" w:eastAsia="宋体"/>
                <w:color w:val="000000"/>
                <w:sz w:val="21"/>
                <w:szCs w:val="21"/>
                <w:highlight w:val="none"/>
                <w:u w:val="single"/>
                <w:lang w:val="en-US" w:eastAsia="zh-CN"/>
              </w:rPr>
              <w:t>5</w:t>
            </w:r>
            <w:r>
              <w:rPr>
                <w:rFonts w:hint="eastAsia" w:ascii="宋体" w:hAnsi="宋体" w:eastAsia="宋体"/>
                <w:bCs/>
                <w:color w:val="000000"/>
                <w:sz w:val="21"/>
                <w:szCs w:val="21"/>
                <w:highlight w:val="none"/>
                <w:u w:val="single"/>
                <w:lang w:eastAsia="zh-CN"/>
              </w:rPr>
              <w:t>年</w:t>
            </w:r>
            <w:r>
              <w:rPr>
                <w:rFonts w:hint="eastAsia" w:ascii="宋体" w:hAnsi="宋体"/>
                <w:bCs/>
                <w:color w:val="000000"/>
                <w:sz w:val="21"/>
                <w:szCs w:val="21"/>
                <w:highlight w:val="none"/>
                <w:u w:val="single"/>
                <w:lang w:val="en-US" w:eastAsia="zh-CN"/>
              </w:rPr>
              <w:t>12</w:t>
            </w:r>
            <w:r>
              <w:rPr>
                <w:rFonts w:hint="eastAsia" w:ascii="宋体" w:hAnsi="宋体" w:eastAsia="宋体"/>
                <w:bCs/>
                <w:color w:val="000000"/>
                <w:sz w:val="21"/>
                <w:szCs w:val="21"/>
                <w:highlight w:val="none"/>
                <w:u w:val="single"/>
                <w:lang w:eastAsia="zh-CN"/>
              </w:rPr>
              <w:t>月</w:t>
            </w:r>
            <w:r>
              <w:rPr>
                <w:rFonts w:hint="eastAsia" w:ascii="宋体" w:hAnsi="宋体" w:eastAsia="宋体"/>
                <w:bCs/>
                <w:color w:val="000000"/>
                <w:sz w:val="21"/>
                <w:szCs w:val="21"/>
                <w:highlight w:val="none"/>
                <w:u w:val="single"/>
                <w:lang w:val="en-US" w:eastAsia="zh-CN"/>
              </w:rPr>
              <w:t xml:space="preserve"> </w:t>
            </w:r>
            <w:r>
              <w:rPr>
                <w:rFonts w:hint="eastAsia" w:ascii="宋体" w:hAnsi="宋体"/>
                <w:bCs/>
                <w:color w:val="000000"/>
                <w:sz w:val="21"/>
                <w:szCs w:val="21"/>
                <w:highlight w:val="none"/>
                <w:u w:val="single"/>
                <w:lang w:val="en-US" w:eastAsia="zh-CN"/>
              </w:rPr>
              <w:t>26</w:t>
            </w:r>
            <w:r>
              <w:rPr>
                <w:rFonts w:hint="eastAsia" w:ascii="宋体" w:hAnsi="宋体" w:eastAsia="宋体"/>
                <w:bCs/>
                <w:color w:val="000000"/>
                <w:sz w:val="21"/>
                <w:szCs w:val="21"/>
                <w:highlight w:val="none"/>
                <w:u w:val="single"/>
                <w:lang w:eastAsia="zh-CN"/>
              </w:rPr>
              <w:t>日</w:t>
            </w:r>
            <w:r>
              <w:rPr>
                <w:rFonts w:hint="eastAsia" w:ascii="宋体" w:hAnsi="宋体" w:eastAsia="宋体"/>
                <w:bCs/>
                <w:color w:val="000000"/>
                <w:sz w:val="21"/>
                <w:szCs w:val="21"/>
                <w:highlight w:val="none"/>
                <w:u w:val="single"/>
                <w:lang w:val="en-US" w:eastAsia="zh-CN"/>
              </w:rPr>
              <w:t>09</w:t>
            </w:r>
            <w:r>
              <w:rPr>
                <w:rFonts w:hint="eastAsia" w:ascii="宋体" w:hAnsi="宋体"/>
                <w:color w:val="000000"/>
                <w:sz w:val="21"/>
                <w:szCs w:val="21"/>
                <w:highlight w:val="none"/>
                <w:u w:val="single"/>
                <w:lang w:val="en-US" w:eastAsia="zh-CN"/>
              </w:rPr>
              <w:t xml:space="preserve"> 时30 分</w:t>
            </w:r>
            <w:r>
              <w:rPr>
                <w:rFonts w:hint="eastAsia" w:hAnsi="宋体" w:cs="宋体"/>
                <w:color w:val="000000" w:themeColor="text1"/>
                <w:kern w:val="0"/>
                <w:szCs w:val="21"/>
                <w:highlight w:val="none"/>
                <w:lang w:val="en-US" w:eastAsia="zh-CN"/>
                <w14:textFill>
                  <w14:solidFill>
                    <w14:schemeClr w14:val="tx1"/>
                  </w14:solidFill>
                </w14:textFill>
              </w:rPr>
              <w:t xml:space="preserve"> </w:t>
            </w:r>
          </w:p>
          <w:p>
            <w:pPr>
              <w:pStyle w:val="20"/>
              <w:spacing w:line="288" w:lineRule="auto"/>
              <w:rPr>
                <w:rFonts w:hAnsi="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备注：如通过</w:t>
            </w:r>
            <w:r>
              <w:rPr>
                <w:rFonts w:hint="eastAsia" w:hAnsi="宋体" w:cs="宋体"/>
                <w:color w:val="000000" w:themeColor="text1"/>
                <w:kern w:val="0"/>
                <w:szCs w:val="21"/>
                <w:highlight w:val="none"/>
                <w:lang w:eastAsia="zh-CN"/>
                <w14:textFill>
                  <w14:solidFill>
                    <w14:schemeClr w14:val="tx1"/>
                  </w14:solidFill>
                </w14:textFill>
              </w:rPr>
              <w:t>广西政府采购云平台</w:t>
            </w:r>
            <w:r>
              <w:rPr>
                <w:rFonts w:hint="eastAsia" w:hAnsi="宋体" w:cs="宋体"/>
                <w:color w:val="000000" w:themeColor="text1"/>
                <w:kern w:val="0"/>
                <w:szCs w:val="21"/>
                <w:highlight w:val="none"/>
                <w14:textFill>
                  <w14:solidFill>
                    <w14:schemeClr w14:val="tx1"/>
                  </w14:solidFill>
                </w14:textFill>
              </w:rPr>
              <w:t>上传递交的电子加密投标文件无法按时解密时，供应商未提交有电子备份投标文件的，视为撤回投标文件。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8</w:t>
            </w:r>
          </w:p>
        </w:tc>
        <w:tc>
          <w:tcPr>
            <w:tcW w:w="1049"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p>
        </w:tc>
        <w:tc>
          <w:tcPr>
            <w:tcW w:w="8660" w:type="dxa"/>
            <w:vAlign w:val="center"/>
          </w:tcPr>
          <w:p>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评标时间：</w:t>
            </w:r>
            <w:r>
              <w:rPr>
                <w:rFonts w:hint="eastAsia" w:ascii="宋体" w:hAnsi="宋体" w:eastAsia="宋体"/>
                <w:color w:val="000000"/>
                <w:sz w:val="21"/>
                <w:szCs w:val="21"/>
                <w:highlight w:val="none"/>
                <w:u w:val="single"/>
                <w:lang w:eastAsia="zh-CN"/>
              </w:rPr>
              <w:t>202</w:t>
            </w:r>
            <w:r>
              <w:rPr>
                <w:rFonts w:hint="eastAsia" w:ascii="宋体" w:hAnsi="宋体" w:eastAsia="宋体"/>
                <w:color w:val="000000"/>
                <w:sz w:val="21"/>
                <w:szCs w:val="21"/>
                <w:highlight w:val="none"/>
                <w:u w:val="single"/>
                <w:lang w:val="en-US" w:eastAsia="zh-CN"/>
              </w:rPr>
              <w:t>5</w:t>
            </w:r>
            <w:r>
              <w:rPr>
                <w:rFonts w:hint="eastAsia" w:ascii="宋体" w:hAnsi="宋体" w:eastAsia="宋体"/>
                <w:bCs/>
                <w:color w:val="000000"/>
                <w:sz w:val="21"/>
                <w:szCs w:val="21"/>
                <w:highlight w:val="none"/>
                <w:u w:val="single"/>
                <w:lang w:eastAsia="zh-CN"/>
              </w:rPr>
              <w:t>年</w:t>
            </w:r>
            <w:r>
              <w:rPr>
                <w:rFonts w:hint="eastAsia" w:ascii="宋体" w:hAnsi="宋体"/>
                <w:bCs/>
                <w:color w:val="000000"/>
                <w:sz w:val="21"/>
                <w:szCs w:val="21"/>
                <w:highlight w:val="none"/>
                <w:u w:val="single"/>
                <w:lang w:val="en-US" w:eastAsia="zh-CN"/>
              </w:rPr>
              <w:t>12</w:t>
            </w:r>
            <w:r>
              <w:rPr>
                <w:rFonts w:hint="eastAsia" w:ascii="宋体" w:hAnsi="宋体" w:eastAsia="宋体"/>
                <w:bCs/>
                <w:color w:val="000000"/>
                <w:sz w:val="21"/>
                <w:szCs w:val="21"/>
                <w:highlight w:val="none"/>
                <w:u w:val="single"/>
                <w:lang w:eastAsia="zh-CN"/>
              </w:rPr>
              <w:t>月</w:t>
            </w:r>
            <w:r>
              <w:rPr>
                <w:rFonts w:hint="eastAsia" w:ascii="宋体" w:hAnsi="宋体" w:eastAsia="宋体"/>
                <w:bCs/>
                <w:color w:val="000000"/>
                <w:sz w:val="21"/>
                <w:szCs w:val="21"/>
                <w:highlight w:val="none"/>
                <w:u w:val="single"/>
                <w:lang w:val="en-US" w:eastAsia="zh-CN"/>
              </w:rPr>
              <w:t xml:space="preserve"> </w:t>
            </w:r>
            <w:r>
              <w:rPr>
                <w:rFonts w:hint="eastAsia" w:ascii="宋体" w:hAnsi="宋体"/>
                <w:bCs/>
                <w:color w:val="000000"/>
                <w:sz w:val="21"/>
                <w:szCs w:val="21"/>
                <w:highlight w:val="none"/>
                <w:u w:val="single"/>
                <w:lang w:val="en-US" w:eastAsia="zh-CN"/>
              </w:rPr>
              <w:t>26</w:t>
            </w:r>
            <w:r>
              <w:rPr>
                <w:rFonts w:hint="eastAsia" w:ascii="宋体" w:hAnsi="宋体" w:eastAsia="宋体"/>
                <w:bCs/>
                <w:color w:val="000000"/>
                <w:sz w:val="21"/>
                <w:szCs w:val="21"/>
                <w:highlight w:val="none"/>
                <w:u w:val="single"/>
                <w:lang w:eastAsia="zh-CN"/>
              </w:rPr>
              <w:t>日</w:t>
            </w:r>
            <w:r>
              <w:rPr>
                <w:rFonts w:hint="eastAsia" w:ascii="宋体" w:hAnsi="宋体" w:eastAsia="宋体"/>
                <w:bCs/>
                <w:color w:val="000000"/>
                <w:sz w:val="21"/>
                <w:szCs w:val="21"/>
                <w:highlight w:val="none"/>
                <w:u w:val="single"/>
                <w:lang w:val="en-US" w:eastAsia="zh-CN"/>
              </w:rPr>
              <w:t>09</w:t>
            </w:r>
            <w:r>
              <w:rPr>
                <w:rFonts w:hint="eastAsia" w:ascii="宋体" w:hAnsi="宋体"/>
                <w:color w:val="000000"/>
                <w:sz w:val="21"/>
                <w:szCs w:val="21"/>
                <w:highlight w:val="none"/>
                <w:u w:val="single"/>
                <w:lang w:val="en-US" w:eastAsia="zh-CN"/>
              </w:rPr>
              <w:t xml:space="preserve"> 时30 分</w:t>
            </w:r>
            <w:r>
              <w:rPr>
                <w:rFonts w:hint="eastAsia" w:ascii="宋体" w:hAnsi="宋体" w:eastAsia="宋体"/>
                <w:color w:val="000000" w:themeColor="text1"/>
                <w:sz w:val="21"/>
                <w:szCs w:val="21"/>
                <w:highlight w:val="none"/>
                <w:lang w:eastAsia="zh-CN"/>
                <w14:textFill>
                  <w14:solidFill>
                    <w14:schemeClr w14:val="tx1"/>
                  </w14:solidFill>
                </w14:textFill>
              </w:rPr>
              <w:t>截标后</w:t>
            </w:r>
          </w:p>
          <w:p>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评标地点：浦北县公共资源交易中心</w:t>
            </w:r>
            <w:r>
              <w:rPr>
                <w:rFonts w:hint="eastAsia" w:ascii="宋体" w:hAnsi="宋体" w:eastAsia="宋体"/>
                <w:color w:val="000000" w:themeColor="text1"/>
                <w:sz w:val="21"/>
                <w:szCs w:val="21"/>
                <w:highlight w:val="none"/>
                <w:lang w:val="en-US" w:eastAsia="zh-CN"/>
                <w14:textFill>
                  <w14:solidFill>
                    <w14:schemeClr w14:val="tx1"/>
                  </w14:solidFill>
                </w14:textFill>
              </w:rPr>
              <w:t>四楼评标室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5"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r>
              <w:rPr>
                <w:rFonts w:hint="eastAsia" w:hAnsi="宋体" w:cs="宋体"/>
                <w:color w:val="000000" w:themeColor="text1"/>
                <w:kern w:val="0"/>
                <w:szCs w:val="21"/>
                <w:highlight w:val="none"/>
                <w:lang w:eastAsia="en-US"/>
                <w14:textFill>
                  <w14:solidFill>
                    <w14:schemeClr w14:val="tx1"/>
                  </w14:solidFill>
                </w14:textFill>
              </w:rPr>
              <w:t>9</w:t>
            </w:r>
          </w:p>
        </w:tc>
        <w:tc>
          <w:tcPr>
            <w:tcW w:w="1049" w:type="dxa"/>
            <w:vAlign w:val="center"/>
          </w:tcPr>
          <w:p>
            <w:pPr>
              <w:pStyle w:val="20"/>
              <w:spacing w:line="340" w:lineRule="exact"/>
              <w:jc w:val="center"/>
              <w:rPr>
                <w:rFonts w:hAnsi="宋体" w:cs="宋体"/>
                <w:color w:val="000000" w:themeColor="text1"/>
                <w:kern w:val="0"/>
                <w:szCs w:val="21"/>
                <w:highlight w:val="none"/>
                <w:lang w:eastAsia="en-US"/>
                <w14:textFill>
                  <w14:solidFill>
                    <w14:schemeClr w14:val="tx1"/>
                  </w14:solidFill>
                </w14:textFill>
              </w:rPr>
            </w:pPr>
          </w:p>
        </w:tc>
        <w:tc>
          <w:tcPr>
            <w:tcW w:w="8660" w:type="dxa"/>
            <w:vAlign w:val="center"/>
          </w:tcPr>
          <w:p>
            <w:pPr>
              <w:pStyle w:val="20"/>
              <w:spacing w:line="340" w:lineRule="exac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评标方法：综合评标法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24" w:type="dxa"/>
            <w:gridSpan w:val="2"/>
            <w:vAlign w:val="center"/>
          </w:tcPr>
          <w:p>
            <w:pPr>
              <w:pStyle w:val="20"/>
              <w:spacing w:line="340" w:lineRule="exact"/>
              <w:jc w:val="center"/>
              <w:rPr>
                <w:rFonts w:hAnsi="宋体" w:cs="宋体"/>
                <w:color w:val="000000" w:themeColor="text1"/>
                <w:kern w:val="0"/>
                <w:szCs w:val="21"/>
                <w:highlight w:val="none"/>
                <w14:textFill>
                  <w14:solidFill>
                    <w14:schemeClr w14:val="tx1"/>
                  </w14:solidFill>
                </w14:textFill>
              </w:rPr>
            </w:pPr>
            <w:r>
              <w:rPr>
                <w:rFonts w:hint="eastAsia" w:hAnsi="宋体" w:cs="宋体"/>
                <w:b/>
                <w:color w:val="000000" w:themeColor="text1"/>
                <w:highlight w:val="none"/>
                <w14:textFill>
                  <w14:solidFill>
                    <w14:schemeClr w14:val="tx1"/>
                  </w14:solidFill>
                </w14:textFill>
              </w:rPr>
              <w:t>注意事项</w:t>
            </w:r>
          </w:p>
        </w:tc>
        <w:tc>
          <w:tcPr>
            <w:tcW w:w="8660" w:type="dxa"/>
            <w:vAlign w:val="center"/>
          </w:tcPr>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w:t>
            </w:r>
            <w:r>
              <w:rPr>
                <w:rFonts w:hint="eastAsia" w:ascii="宋体" w:eastAsia="宋体"/>
                <w:color w:val="000000" w:themeColor="text1"/>
                <w:sz w:val="21"/>
                <w:szCs w:val="21"/>
                <w:highlight w:val="none"/>
                <w:lang w:eastAsia="zh-CN"/>
                <w14:textFill>
                  <w14:solidFill>
                    <w14:schemeClr w14:val="tx1"/>
                  </w14:solidFill>
                </w14:textFill>
              </w:rPr>
              <w:t>本项目为全流程电子化政府采购项目，供应商应按照本项目招标文件和</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的要求编制、加密并提交电子投标文件。未完成</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供应商注册入驻并办理数字证书（CA认证）的供应商将无法参与本项目政府采购活动。供应商在使用</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eastAsia="宋体"/>
                <w:color w:val="000000" w:themeColor="text1"/>
                <w:sz w:val="21"/>
                <w:szCs w:val="21"/>
                <w:highlight w:val="none"/>
                <w:lang w:eastAsia="zh-CN"/>
                <w14:textFill>
                  <w14:solidFill>
                    <w14:schemeClr w14:val="tx1"/>
                  </w14:solidFill>
                </w14:textFill>
              </w:rPr>
              <w:t>参与投标过程中遇到涉及平台使用的任何问题，可致电平台技术支持热线咨询</w:t>
            </w:r>
            <w:r>
              <w:rPr>
                <w:rFonts w:hint="eastAsia" w:ascii="宋体" w:hAnsi="Times New Roman" w:eastAsia="宋体"/>
                <w:color w:val="000000" w:themeColor="text1"/>
                <w:sz w:val="21"/>
                <w:szCs w:val="21"/>
                <w:highlight w:val="none"/>
                <w:lang w:eastAsia="zh-CN"/>
                <w14:textFill>
                  <w14:solidFill>
                    <w14:schemeClr w14:val="tx1"/>
                  </w14:solidFill>
                </w14:textFill>
              </w:rPr>
              <w:t>：95763</w:t>
            </w:r>
            <w:r>
              <w:rPr>
                <w:rFonts w:hint="eastAsia" w:ascii="宋体" w:eastAsia="宋体"/>
                <w:color w:val="000000" w:themeColor="text1"/>
                <w:sz w:val="21"/>
                <w:szCs w:val="21"/>
                <w:highlight w:val="none"/>
                <w:lang w:eastAsia="zh-CN"/>
                <w14:textFill>
                  <w14:solidFill>
                    <w14:schemeClr w14:val="tx1"/>
                  </w14:solidFill>
                </w14:textFill>
              </w:rPr>
              <w:t>。</w:t>
            </w:r>
          </w:p>
          <w:p>
            <w:pPr>
              <w:spacing w:line="240" w:lineRule="auto"/>
              <w:ind w:firstLine="420" w:firstLineChars="20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（1）</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供应商应及时熟悉掌握电子标系统操作指南（见</w:t>
            </w:r>
            <w:r>
              <w:rPr>
                <w:rFonts w:hint="eastAsia" w:ascii="宋体" w:eastAsia="宋体" w:cs="宋体"/>
                <w:color w:val="000000" w:themeColor="text1"/>
                <w:kern w:val="0"/>
                <w:sz w:val="21"/>
                <w:szCs w:val="21"/>
                <w:highlight w:val="none"/>
                <w:lang w:eastAsia="zh-CN"/>
                <w14:textFill>
                  <w14:solidFill>
                    <w14:schemeClr w14:val="tx1"/>
                  </w14:solidFill>
                </w14:textFill>
              </w:rPr>
              <w:t>广西政府采购云平台</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电子卖场首页右上角—服务中心—帮助文档—项目采购）；并及时完成CA申领和绑定（见广西壮族自治区政府采购网—办事服务—下载专区-政采云CA证书办理操作指南）</w:t>
            </w:r>
            <w:r>
              <w:rPr>
                <w:rFonts w:hint="eastAsia" w:ascii="宋体" w:eastAsia="宋体"/>
                <w:color w:val="000000" w:themeColor="text1"/>
                <w:sz w:val="21"/>
                <w:szCs w:val="21"/>
                <w:highlight w:val="none"/>
                <w:lang w:eastAsia="zh-CN"/>
                <w14:textFill>
                  <w14:solidFill>
                    <w14:schemeClr w14:val="tx1"/>
                  </w14:solidFill>
                </w14:textFill>
              </w:rPr>
              <w:t>。</w:t>
            </w:r>
          </w:p>
          <w:p>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（2）供应商须通过</w:t>
            </w:r>
            <w:r>
              <w:rPr>
                <w:rFonts w:hint="eastAsia" w:ascii="宋体" w:hAnsi="Times New Roman" w:eastAsia="宋体" w:cs="宋体"/>
                <w:color w:val="000000" w:themeColor="text1"/>
                <w:kern w:val="0"/>
                <w:sz w:val="21"/>
                <w:szCs w:val="21"/>
                <w:highlight w:val="none"/>
                <w:lang w:eastAsia="zh-CN"/>
                <w14:textFill>
                  <w14:solidFill>
                    <w14:schemeClr w14:val="tx1"/>
                  </w14:solidFill>
                </w14:textFill>
              </w:rPr>
              <w:t>“广西政府采购云平台新版客户端”</w:t>
            </w:r>
            <w:r>
              <w:rPr>
                <w:rFonts w:hint="eastAsia" w:ascii="宋体" w:eastAsia="宋体"/>
                <w:color w:val="000000" w:themeColor="text1"/>
                <w:sz w:val="21"/>
                <w:szCs w:val="21"/>
                <w:highlight w:val="none"/>
                <w:lang w:eastAsia="zh-CN"/>
                <w14:textFill>
                  <w14:solidFill>
                    <w14:schemeClr w14:val="tx1"/>
                  </w14:solidFill>
                </w14:textFill>
              </w:rPr>
              <w:t>制作电子投标文件，请供应商自行前往下载并安装（见广西壮族自治区政府采购网—办事服务—下载专区-广西政府采购云平台新版客户端）。</w:t>
            </w:r>
          </w:p>
          <w:p>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应在投标文件提交截止时间前，通过广西政府采购云平台上完成电子投标文件的提交。投标文件需要补充或修改的应及时撤回投标文件，补充、修改后重新提交，提交投标文件截止时间前未完成提交（上传）的，视为撤回投标文件。</w:t>
            </w:r>
          </w:p>
          <w:p>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本项目不要求投标供应商到达开标现场，但供应商应派法定代表人或委托代理人准时在线出席电子开评标会议，在投标文件开启时，供应商须使用制作加密电子投标文件的CA证书登录“广西政府采购云平台”电子开标大厅按规定时间进行解密，如在开评标过程中有电子询标，应在规定的时间内对电子询标函进行澄清回复。</w:t>
            </w:r>
          </w:p>
          <w:p>
            <w:pPr>
              <w:pStyle w:val="20"/>
              <w:spacing w:line="288" w:lineRule="auto"/>
              <w:rPr>
                <w:rFonts w:hint="eastAsia" w:hAnsi="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（6）投标供应商可以提交经供应商客户端软件制作生成的电子备份投标文件（U盘或光盘存储），</w:t>
            </w:r>
            <w:r>
              <w:rPr>
                <w:rFonts w:hint="eastAsia" w:ascii="宋体" w:hAnsi="宋体" w:eastAsia="宋体"/>
                <w:b/>
                <w:bCs/>
                <w:color w:val="000000" w:themeColor="text1"/>
                <w:sz w:val="21"/>
                <w:szCs w:val="21"/>
                <w:highlight w:val="none"/>
                <w:lang w:eastAsia="zh-CN"/>
                <w14:textFill>
                  <w14:solidFill>
                    <w14:schemeClr w14:val="tx1"/>
                  </w14:solidFill>
                </w14:textFill>
              </w:rPr>
              <w:t>电子备份投标文件应当在投标文件提交截止时间前按要求密封（开标当天）</w:t>
            </w:r>
            <w:r>
              <w:rPr>
                <w:rFonts w:hint="eastAsia" w:hAnsi="宋体" w:cs="宋体"/>
                <w:color w:val="000000" w:themeColor="text1"/>
                <w:kern w:val="0"/>
                <w:szCs w:val="21"/>
                <w:highlight w:val="none"/>
                <w14:textFill>
                  <w14:solidFill>
                    <w14:schemeClr w14:val="tx1"/>
                  </w14:solidFill>
                </w14:textFill>
              </w:rPr>
              <w:t>直接送达</w:t>
            </w:r>
            <w:r>
              <w:rPr>
                <w:rFonts w:hint="eastAsia" w:hAnsi="宋体" w:cs="宋体"/>
                <w:color w:val="000000" w:themeColor="text1"/>
                <w:kern w:val="0"/>
                <w:szCs w:val="21"/>
                <w:highlight w:val="none"/>
                <w:lang w:val="en-US" w:eastAsia="zh-CN"/>
                <w14:textFill>
                  <w14:solidFill>
                    <w14:schemeClr w14:val="tx1"/>
                  </w14:solidFill>
                </w14:textFill>
              </w:rPr>
              <w:t>浦北县</w:t>
            </w:r>
            <w:r>
              <w:rPr>
                <w:rFonts w:hint="eastAsia" w:hAnsi="宋体" w:cs="宋体"/>
                <w:color w:val="000000" w:themeColor="text1"/>
                <w:kern w:val="0"/>
                <w:szCs w:val="21"/>
                <w:highlight w:val="none"/>
                <w14:textFill>
                  <w14:solidFill>
                    <w14:schemeClr w14:val="tx1"/>
                  </w14:solidFill>
                </w14:textFill>
              </w:rPr>
              <w:t>公共资源交易中心开标厅或提前邮寄到广西龙建工程管理有限公司（地址：</w:t>
            </w:r>
            <w:r>
              <w:rPr>
                <w:rFonts w:hint="eastAsia" w:hAnsi="宋体" w:cs="宋体"/>
                <w:color w:val="000000" w:themeColor="text1"/>
                <w:kern w:val="0"/>
                <w:szCs w:val="21"/>
                <w:highlight w:val="none"/>
                <w:lang w:eastAsia="zh-CN"/>
                <w14:textFill>
                  <w14:solidFill>
                    <w14:schemeClr w14:val="tx1"/>
                  </w14:solidFill>
                </w14:textFill>
              </w:rPr>
              <w:t>浦北县奥园广场C7-103号商铺</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lang w:val="en-US" w:eastAsia="zh-CN"/>
                <w14:textFill>
                  <w14:solidFill>
                    <w14:schemeClr w14:val="tx1"/>
                  </w14:solidFill>
                </w14:textFill>
              </w:rPr>
              <w:t>联系人：黎工，电话：13977790451</w:t>
            </w:r>
            <w:r>
              <w:rPr>
                <w:rFonts w:hint="eastAsia" w:hAnsi="宋体" w:cs="宋体"/>
                <w:color w:val="000000" w:themeColor="text1"/>
                <w:kern w:val="0"/>
                <w:szCs w:val="21"/>
                <w:highlight w:val="none"/>
                <w14:textFill>
                  <w14:solidFill>
                    <w14:schemeClr w14:val="tx1"/>
                  </w14:solidFill>
                </w14:textFill>
              </w:rPr>
              <w:t>），我公司拒收到付邮件，通过邮寄方式送达的，请合理安排邮寄时间，逾期送达或未按要求密封将被拒收。</w:t>
            </w:r>
          </w:p>
          <w:p>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文件启用顺序和效力：投标文件的启用，按先后顺位分别为电子加密投标文件、电子备份投标文件。通过广西政府采购云平台上传递交的电子加密投标文件无法按时解密，供应商递交了电子备份投标文件的，以电子备份投标文件为依据，否则视为投标文件撤回。通过广西政府采购云平台上传递交的电子加密投标文件已按时解密的，电子备份投标文件自动失效。供应商仅递交电子备份投标文件的，其投标无效。</w:t>
            </w:r>
          </w:p>
          <w:p>
            <w:pPr>
              <w:spacing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w:t>
            </w:r>
            <w:r>
              <w:rPr>
                <w:rFonts w:hint="eastAsia" w:ascii="宋体" w:eastAsia="宋体"/>
                <w:color w:val="000000" w:themeColor="text1"/>
                <w:sz w:val="21"/>
                <w:szCs w:val="21"/>
                <w:highlight w:val="none"/>
                <w:lang w:eastAsia="zh-CN"/>
                <w14:textFill>
                  <w14:solidFill>
                    <w14:schemeClr w14:val="tx1"/>
                  </w14:solidFill>
                </w14:textFill>
              </w:rPr>
              <w:t>因未通过广西政府采购云平台获取招标文件、未注册入库、未办理CA数字证书、CA证书故障、操作不当等原因造成无法投标或投标失败等后果由供应商自行承担</w:t>
            </w:r>
            <w:r>
              <w:rPr>
                <w:rFonts w:hint="eastAsia" w:ascii="宋体" w:hAnsi="宋体" w:eastAsia="宋体"/>
                <w:color w:val="000000" w:themeColor="text1"/>
                <w:sz w:val="21"/>
                <w:szCs w:val="21"/>
                <w:highlight w:val="none"/>
                <w:lang w:eastAsia="zh-CN"/>
                <w14:textFill>
                  <w14:solidFill>
                    <w14:schemeClr w14:val="tx1"/>
                  </w14:solidFill>
                </w14:textFill>
              </w:rPr>
              <w:t>。</w:t>
            </w:r>
          </w:p>
          <w:p>
            <w:pPr>
              <w:pStyle w:val="54"/>
              <w:spacing w:before="0" w:after="0" w:line="276"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（9）供应商需要在互联网网络状况良好的电脑登录使用“广西政府采购云平台”，为保证供应商在开标时进行</w:t>
            </w:r>
            <w:r>
              <w:rPr>
                <w:rFonts w:hint="eastAsia" w:hAnsi="宋体"/>
                <w:bCs w:val="0"/>
                <w:color w:val="000000" w:themeColor="text1"/>
                <w:spacing w:val="0"/>
                <w:kern w:val="2"/>
                <w:sz w:val="21"/>
                <w:szCs w:val="21"/>
                <w:highlight w:val="none"/>
                <w:lang w:eastAsia="zh-CN"/>
                <w14:textFill>
                  <w14:solidFill>
                    <w14:schemeClr w14:val="tx1"/>
                  </w14:solidFill>
                </w14:textFill>
              </w:rPr>
              <w:t>投标</w:t>
            </w: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文件解密的稳定性，建议供应商使用同一台电脑进行</w:t>
            </w:r>
            <w:r>
              <w:rPr>
                <w:rFonts w:hint="eastAsia" w:hAnsi="宋体"/>
                <w:bCs w:val="0"/>
                <w:color w:val="000000" w:themeColor="text1"/>
                <w:spacing w:val="0"/>
                <w:kern w:val="2"/>
                <w:sz w:val="21"/>
                <w:szCs w:val="21"/>
                <w:highlight w:val="none"/>
                <w:lang w:eastAsia="zh-CN"/>
                <w14:textFill>
                  <w14:solidFill>
                    <w14:schemeClr w14:val="tx1"/>
                  </w14:solidFill>
                </w14:textFill>
              </w:rPr>
              <w:t>投标</w:t>
            </w:r>
            <w:r>
              <w:rPr>
                <w:rFonts w:hint="eastAsia" w:ascii="宋体" w:hAnsi="宋体" w:eastAsia="宋体"/>
                <w:bCs w:val="0"/>
                <w:color w:val="000000" w:themeColor="text1"/>
                <w:spacing w:val="0"/>
                <w:kern w:val="2"/>
                <w:sz w:val="21"/>
                <w:szCs w:val="21"/>
                <w:highlight w:val="none"/>
                <w:lang w:eastAsia="zh-CN"/>
                <w14:textFill>
                  <w14:solidFill>
                    <w14:schemeClr w14:val="tx1"/>
                  </w14:solidFill>
                </w14:textFill>
              </w:rPr>
              <w:t>文件的编制、加密上传及开标解密。</w:t>
            </w:r>
          </w:p>
        </w:tc>
      </w:tr>
    </w:tbl>
    <w:p>
      <w:pPr>
        <w:pStyle w:val="20"/>
        <w:spacing w:line="360" w:lineRule="exact"/>
        <w:jc w:val="center"/>
        <w:outlineLvl w:val="0"/>
        <w:rPr>
          <w:rStyle w:val="61"/>
          <w:color w:val="000000" w:themeColor="text1"/>
          <w:sz w:val="32"/>
          <w:szCs w:val="32"/>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bookmarkStart w:id="24" w:name="_Toc26516"/>
      <w:bookmarkStart w:id="25" w:name="_Toc14385"/>
      <w:bookmarkStart w:id="26" w:name="_Toc147250513"/>
      <w:bookmarkStart w:id="27" w:name="_Toc147250357"/>
      <w:bookmarkStart w:id="28" w:name="_Toc147250311"/>
      <w:r>
        <w:rPr>
          <w:rStyle w:val="61"/>
          <w:rFonts w:hint="eastAsia"/>
          <w:color w:val="000000" w:themeColor="text1"/>
          <w:sz w:val="32"/>
          <w:szCs w:val="32"/>
          <w:highlight w:val="none"/>
          <w14:textFill>
            <w14:solidFill>
              <w14:schemeClr w14:val="tx1"/>
            </w14:solidFill>
          </w14:textFill>
        </w:rPr>
        <w:t>投标须知正文部分</w:t>
      </w:r>
      <w:bookmarkEnd w:id="24"/>
      <w:bookmarkEnd w:id="25"/>
    </w:p>
    <w:p>
      <w:pPr>
        <w:pStyle w:val="20"/>
        <w:spacing w:line="360" w:lineRule="exact"/>
        <w:jc w:val="center"/>
        <w:outlineLvl w:val="0"/>
        <w:rPr>
          <w:rFonts w:hAnsi="宋体"/>
          <w:b/>
          <w:color w:val="000000" w:themeColor="text1"/>
          <w:highlight w:val="none"/>
          <w14:textFill>
            <w14:solidFill>
              <w14:schemeClr w14:val="tx1"/>
            </w14:solidFill>
          </w14:textFill>
        </w:rPr>
      </w:pPr>
      <w:bookmarkStart w:id="29" w:name="_Toc27240"/>
      <w:bookmarkStart w:id="30" w:name="_Toc17015"/>
      <w:r>
        <w:rPr>
          <w:rFonts w:hint="eastAsia" w:hAnsi="宋体"/>
          <w:b/>
          <w:color w:val="000000" w:themeColor="text1"/>
          <w:highlight w:val="none"/>
          <w14:textFill>
            <w14:solidFill>
              <w14:schemeClr w14:val="tx1"/>
            </w14:solidFill>
          </w14:textFill>
        </w:rPr>
        <w:t>一   总  则</w:t>
      </w:r>
      <w:bookmarkEnd w:id="26"/>
      <w:bookmarkEnd w:id="27"/>
      <w:bookmarkEnd w:id="28"/>
      <w:bookmarkEnd w:id="29"/>
      <w:bookmarkEnd w:id="30"/>
    </w:p>
    <w:p>
      <w:pPr>
        <w:pStyle w:val="20"/>
        <w:numPr>
          <w:ilvl w:val="0"/>
          <w:numId w:val="2"/>
        </w:numPr>
        <w:spacing w:line="360" w:lineRule="exact"/>
        <w:ind w:firstLine="422" w:firstLineChars="200"/>
        <w:outlineLvl w:val="1"/>
        <w:rPr>
          <w:rFonts w:hAnsi="宋体"/>
          <w:color w:val="000000" w:themeColor="text1"/>
          <w:highlight w:val="none"/>
          <w14:textFill>
            <w14:solidFill>
              <w14:schemeClr w14:val="tx1"/>
            </w14:solidFill>
          </w14:textFill>
        </w:rPr>
      </w:pPr>
      <w:bookmarkStart w:id="31" w:name="_Toc147250358"/>
      <w:bookmarkStart w:id="32" w:name="_Toc147250312"/>
      <w:bookmarkStart w:id="33" w:name="_Toc147250514"/>
      <w:r>
        <w:rPr>
          <w:rFonts w:hint="eastAsia" w:hAnsi="宋体"/>
          <w:b/>
          <w:color w:val="000000" w:themeColor="text1"/>
          <w:highlight w:val="none"/>
          <w14:textFill>
            <w14:solidFill>
              <w14:schemeClr w14:val="tx1"/>
            </w14:solidFill>
          </w14:textFill>
        </w:rPr>
        <w:t>项目名称</w:t>
      </w:r>
      <w:bookmarkEnd w:id="31"/>
      <w:bookmarkEnd w:id="32"/>
      <w:bookmarkEnd w:id="33"/>
      <w:r>
        <w:rPr>
          <w:rFonts w:hint="eastAsia" w:hAnsi="宋体"/>
          <w:b/>
          <w:color w:val="000000" w:themeColor="text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磁共振设备及相关配套设备采购</w:t>
      </w:r>
      <w:r>
        <w:rPr>
          <w:rFonts w:hint="eastAsia" w:hAnsi="宋体"/>
          <w:color w:val="000000" w:themeColor="text1"/>
          <w:highlight w:val="none"/>
          <w14:textFill>
            <w14:solidFill>
              <w14:schemeClr w14:val="tx1"/>
            </w14:solidFill>
          </w14:textFill>
        </w:rPr>
        <w:t>【项目编号：</w:t>
      </w:r>
      <w:bookmarkStart w:id="34" w:name="_Toc147250313"/>
      <w:bookmarkStart w:id="35" w:name="_Toc147250359"/>
      <w:bookmarkStart w:id="36" w:name="_Toc147250515"/>
      <w:r>
        <w:rPr>
          <w:rFonts w:hint="eastAsia" w:hAnsi="宋体" w:cs="宋体"/>
          <w:color w:val="000000" w:themeColor="text1"/>
          <w:szCs w:val="21"/>
          <w:highlight w:val="none"/>
          <w:lang w:eastAsia="zh-CN"/>
          <w14:textFill>
            <w14:solidFill>
              <w14:schemeClr w14:val="tx1"/>
            </w14:solidFill>
          </w14:textFill>
        </w:rPr>
        <w:t>QZZC2025-G1-220250-GXLJ</w:t>
      </w:r>
      <w:r>
        <w:rPr>
          <w:rFonts w:hint="eastAsia" w:hAnsi="宋体"/>
          <w:color w:val="000000" w:themeColor="text1"/>
          <w:highlight w:val="none"/>
          <w14:textFill>
            <w14:solidFill>
              <w14:schemeClr w14:val="tx1"/>
            </w14:solidFill>
          </w14:textFill>
        </w:rPr>
        <w:t>】</w:t>
      </w:r>
    </w:p>
    <w:p>
      <w:pPr>
        <w:pStyle w:val="20"/>
        <w:spacing w:line="360" w:lineRule="exact"/>
        <w:ind w:firstLine="422" w:firstLineChars="200"/>
        <w:outlineLvl w:val="1"/>
        <w:rPr>
          <w:rFonts w:ascii="Times New Roman" w:hAnsi="Times New Roman"/>
          <w:color w:val="000000" w:themeColor="text1"/>
          <w:szCs w:val="2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 xml:space="preserve">2. </w:t>
      </w:r>
      <w:bookmarkEnd w:id="34"/>
      <w:bookmarkEnd w:id="35"/>
      <w:bookmarkEnd w:id="36"/>
      <w:bookmarkStart w:id="37" w:name="_Toc147250314"/>
      <w:bookmarkStart w:id="38" w:name="_Toc147250360"/>
      <w:bookmarkStart w:id="39" w:name="_Toc147250516"/>
      <w:r>
        <w:rPr>
          <w:rFonts w:hint="eastAsia" w:hAnsi="宋体" w:cs="宋体"/>
          <w:b/>
          <w:color w:val="000000" w:themeColor="text1"/>
          <w:szCs w:val="21"/>
          <w:highlight w:val="none"/>
          <w14:textFill>
            <w14:solidFill>
              <w14:schemeClr w14:val="tx1"/>
            </w14:solidFill>
          </w14:textFill>
        </w:rPr>
        <w:t>申请人的资格要求：</w:t>
      </w:r>
    </w:p>
    <w:p>
      <w:pPr>
        <w:spacing w:line="340" w:lineRule="exact"/>
        <w:ind w:left="416" w:leftChars="208"/>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2.1投标人的资格要求详见“投标人须知前附表”。</w:t>
      </w:r>
    </w:p>
    <w:p>
      <w:pPr>
        <w:pStyle w:val="20"/>
        <w:spacing w:line="340" w:lineRule="exact"/>
        <w:ind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2.2</w:t>
      </w:r>
      <w:r>
        <w:rPr>
          <w:rFonts w:hint="eastAsia" w:ascii="宋体" w:hAnsi="宋体" w:eastAsia="宋体" w:cs="宋体"/>
          <w:color w:val="000000" w:themeColor="text1"/>
          <w:kern w:val="0"/>
          <w:szCs w:val="21"/>
          <w:highlight w:val="none"/>
          <w14:textFill>
            <w14:solidFill>
              <w14:schemeClr w14:val="tx1"/>
            </w14:solidFill>
          </w14:textFill>
        </w:rPr>
        <w:t>投标人出现下列情形之一的，不得参加政府采购活动：</w:t>
      </w:r>
    </w:p>
    <w:p>
      <w:pPr>
        <w:pStyle w:val="20"/>
        <w:spacing w:line="340" w:lineRule="exact"/>
        <w:ind w:firstLineChars="200"/>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32"/>
        <w:spacing w:before="0" w:beforeAutospacing="0" w:after="0" w:afterAutospacing="0" w:line="380" w:lineRule="atLeast"/>
        <w:ind w:firstLine="420" w:firstLineChars="200"/>
        <w:jc w:val="both"/>
        <w:rPr>
          <w:rFonts w:hAnsi="Times New Roman" w:cs="Times New Roman"/>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20"/>
        <w:spacing w:line="360" w:lineRule="exact"/>
        <w:ind w:firstLine="422" w:firstLineChars="200"/>
        <w:outlineLvl w:val="1"/>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3. 投标费用</w:t>
      </w:r>
      <w:bookmarkEnd w:id="37"/>
      <w:bookmarkEnd w:id="38"/>
      <w:bookmarkEnd w:id="39"/>
    </w:p>
    <w:p>
      <w:pPr>
        <w:pStyle w:val="20"/>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3.1投标人应自行承担所有与本次投标有关的全部费用。</w:t>
      </w:r>
    </w:p>
    <w:p>
      <w:pPr>
        <w:pStyle w:val="20"/>
        <w:tabs>
          <w:tab w:val="left" w:pos="6817"/>
        </w:tabs>
        <w:spacing w:line="288" w:lineRule="auto"/>
        <w:ind w:firstLine="3162" w:firstLineChars="1500"/>
        <w:jc w:val="left"/>
        <w:rPr>
          <w:rFonts w:hAnsi="宋体"/>
          <w:b/>
          <w:color w:val="000000" w:themeColor="text1"/>
          <w:highlight w:val="none"/>
          <w14:textFill>
            <w14:solidFill>
              <w14:schemeClr w14:val="tx1"/>
            </w14:solidFill>
          </w14:textFill>
        </w:rPr>
      </w:pPr>
      <w:bookmarkStart w:id="40" w:name="_Toc147250361"/>
      <w:bookmarkStart w:id="41" w:name="_Toc147250315"/>
      <w:bookmarkStart w:id="42" w:name="_Toc147250517"/>
    </w:p>
    <w:p>
      <w:pPr>
        <w:pStyle w:val="20"/>
        <w:tabs>
          <w:tab w:val="left" w:pos="6817"/>
        </w:tabs>
        <w:spacing w:line="288" w:lineRule="auto"/>
        <w:ind w:firstLine="3795" w:firstLineChars="1800"/>
        <w:jc w:val="left"/>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二    招标文件</w:t>
      </w:r>
      <w:bookmarkEnd w:id="40"/>
      <w:bookmarkEnd w:id="41"/>
      <w:bookmarkEnd w:id="42"/>
    </w:p>
    <w:p>
      <w:pPr>
        <w:pStyle w:val="20"/>
        <w:wordWrap w:val="0"/>
        <w:topLinePunct/>
        <w:spacing w:line="360" w:lineRule="exact"/>
        <w:ind w:firstLine="422" w:firstLineChars="200"/>
        <w:jc w:val="left"/>
        <w:outlineLvl w:val="1"/>
        <w:rPr>
          <w:rFonts w:hAnsi="宋体"/>
          <w:color w:val="000000" w:themeColor="text1"/>
          <w:highlight w:val="none"/>
          <w14:textFill>
            <w14:solidFill>
              <w14:schemeClr w14:val="tx1"/>
            </w14:solidFill>
          </w14:textFill>
        </w:rPr>
      </w:pPr>
      <w:bookmarkStart w:id="43" w:name="_Toc147250362"/>
      <w:bookmarkStart w:id="44" w:name="_Toc147250316"/>
      <w:bookmarkStart w:id="45" w:name="_Toc147250518"/>
      <w:r>
        <w:rPr>
          <w:rFonts w:hint="eastAsia" w:hAnsi="宋体"/>
          <w:b/>
          <w:color w:val="000000" w:themeColor="text1"/>
          <w:highlight w:val="none"/>
          <w14:textFill>
            <w14:solidFill>
              <w14:schemeClr w14:val="tx1"/>
            </w14:solidFill>
          </w14:textFill>
        </w:rPr>
        <w:t>4.招标文件构成</w:t>
      </w:r>
      <w:bookmarkEnd w:id="43"/>
      <w:bookmarkEnd w:id="44"/>
      <w:bookmarkEnd w:id="45"/>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4.1招标文件包括：</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⑴招标公告</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⑵投标须知及前附表；</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⑶货物需求一览表；</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⑷合同基本条款及合同书(格式)；</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⑸评标办法；</w:t>
      </w:r>
    </w:p>
    <w:p>
      <w:pPr>
        <w:pStyle w:val="20"/>
        <w:wordWrap w:val="0"/>
        <w:topLinePunct/>
        <w:spacing w:line="360" w:lineRule="exact"/>
        <w:ind w:firstLine="42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⑹投标文件</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格式</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w:t>
      </w:r>
    </w:p>
    <w:p>
      <w:pPr>
        <w:pStyle w:val="20"/>
        <w:wordWrap w:val="0"/>
        <w:topLinePunct/>
        <w:spacing w:line="360" w:lineRule="exact"/>
        <w:ind w:firstLine="422" w:firstLineChars="200"/>
        <w:rPr>
          <w:rFonts w:hAnsi="宋体"/>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5.招标文件的澄清和修改</w:t>
      </w:r>
    </w:p>
    <w:p>
      <w:pPr>
        <w:pStyle w:val="20"/>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5.1投标人要认真审核《货物需求一览表》中的技术参数、配置及要求，如发现表中技术参数、配置有误或要求不合理的，投标人必须在投标前要求澄清，否则，由此产生的后果由投标人负责</w:t>
      </w:r>
      <w:r>
        <w:rPr>
          <w:rFonts w:hint="eastAsia" w:hAnsi="宋体"/>
          <w:b/>
          <w:bCs/>
          <w:color w:val="000000" w:themeColor="text1"/>
          <w:highlight w:val="none"/>
          <w14:textFill>
            <w14:solidFill>
              <w14:schemeClr w14:val="tx1"/>
            </w14:solidFill>
          </w14:textFill>
        </w:rPr>
        <w:t>。</w:t>
      </w:r>
    </w:p>
    <w:p>
      <w:pPr>
        <w:pStyle w:val="20"/>
        <w:wordWrap w:val="0"/>
        <w:topLinePunct/>
        <w:spacing w:line="360" w:lineRule="exact"/>
        <w:ind w:firstLine="42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5.2任何要求澄清招标文件的投标人，均应在</w:t>
      </w:r>
      <w:r>
        <w:rPr>
          <w:color w:val="000000" w:themeColor="text1"/>
          <w:szCs w:val="21"/>
          <w:highlight w:val="none"/>
          <w14:textFill>
            <w14:solidFill>
              <w14:schemeClr w14:val="tx1"/>
            </w14:solidFill>
          </w14:textFill>
        </w:rPr>
        <w:t>投标截止时间15天前</w:t>
      </w:r>
      <w:r>
        <w:rPr>
          <w:rFonts w:hint="eastAsia" w:hAnsi="宋体"/>
          <w:color w:val="000000" w:themeColor="text1"/>
          <w:highlight w:val="none"/>
          <w14:textFill>
            <w14:solidFill>
              <w14:schemeClr w14:val="tx1"/>
            </w14:solidFill>
          </w14:textFill>
        </w:rPr>
        <w:t>以传真等书面形式通知采购代理机构，同时认定其他澄清方式为无效。采购代理机构将以书面形式予以答复。</w:t>
      </w:r>
    </w:p>
    <w:p>
      <w:pPr>
        <w:pStyle w:val="20"/>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5.3采购代理机构对已发出的招标文件进行修改的，在招标文件要求提交投标文件截止时间</w:t>
      </w:r>
      <w:r>
        <w:rPr>
          <w:rFonts w:hint="eastAsia" w:hAnsi="宋体"/>
          <w:color w:val="000000" w:themeColor="text1"/>
          <w:highlight w:val="none"/>
          <w:u w:val="single"/>
          <w14:textFill>
            <w14:solidFill>
              <w14:schemeClr w14:val="tx1"/>
            </w14:solidFill>
          </w14:textFill>
        </w:rPr>
        <w:t>15日</w:t>
      </w:r>
      <w:r>
        <w:rPr>
          <w:rFonts w:hint="eastAsia" w:hAnsi="宋体"/>
          <w:color w:val="000000" w:themeColor="text1"/>
          <w:highlight w:val="none"/>
          <w14:textFill>
            <w14:solidFill>
              <w14:schemeClr w14:val="tx1"/>
            </w14:solidFill>
          </w14:textFill>
        </w:rPr>
        <w:t>前，在</w:t>
      </w:r>
      <w:r>
        <w:rPr>
          <w:rFonts w:hint="eastAsia" w:hAnsi="宋体"/>
          <w:color w:val="000000" w:themeColor="text1"/>
          <w:highlight w:val="none"/>
          <w:lang w:eastAsia="zh-CN"/>
          <w14:textFill>
            <w14:solidFill>
              <w14:schemeClr w14:val="tx1"/>
            </w14:solidFill>
          </w14:textFill>
        </w:rPr>
        <w:t>浦北县人民政府网（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"http://www.gxpb.gov.cn/"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http://www.gxpb.gov.cn/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）、全国公共资源交易 平台（广西•浦北）（</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"http://ggzy.jgswj.gxzf.gov.cn/pbggzy/"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http://ggzy.jgswj.gxzf.gov.cn/pbggzy/</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）、中国政府采购网（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 xml:space="preserve"> //</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"https://www.ccgp.gov.cn/"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www.ccgp.gov.cn/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）、广西政府采购网（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"https://zfcg.gxzf.gov.cn/"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https://zfcg.gxzf.gov.cn/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）、全国公共资源交 易平台（广西•钦州）（</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"http://ggzy.jgswj.gxzf.gov.cn/qzggzy/"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http://ggzy.jgswj.gxzf.gov.cn/qzggzy/</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）龙建公司网</w:t>
      </w:r>
      <w:r>
        <w:rPr>
          <w:rFonts w:hint="eastAsia" w:hAnsi="宋体"/>
          <w:color w:val="000000" w:themeColor="text1"/>
          <w:highlight w:val="none"/>
          <w14:textFill>
            <w14:solidFill>
              <w14:schemeClr w14:val="tx1"/>
            </w14:solidFill>
          </w14:textFill>
        </w:rPr>
        <w:t>上发布更正公告，并以书面形式通知所有招标文件收受人。该澄清或修改的内容为招标文件的组成部分。</w:t>
      </w:r>
    </w:p>
    <w:p>
      <w:pPr>
        <w:pStyle w:val="20"/>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5.4采购代理机构可视具体情况，延长投标截止时间和开标时间，采购代理机构至少在招标文件要求提交投标文件截止时间</w:t>
      </w:r>
      <w:r>
        <w:rPr>
          <w:rFonts w:hint="eastAsia" w:hAnsi="宋体"/>
          <w:color w:val="000000" w:themeColor="text1"/>
          <w:highlight w:val="none"/>
          <w:u w:val="single"/>
          <w14:textFill>
            <w14:solidFill>
              <w14:schemeClr w14:val="tx1"/>
            </w14:solidFill>
          </w14:textFill>
        </w:rPr>
        <w:t>3日</w:t>
      </w:r>
      <w:r>
        <w:rPr>
          <w:rFonts w:hint="eastAsia" w:hAnsi="宋体"/>
          <w:color w:val="000000" w:themeColor="text1"/>
          <w:highlight w:val="none"/>
          <w14:textFill>
            <w14:solidFill>
              <w14:schemeClr w14:val="tx1"/>
            </w14:solidFill>
          </w14:textFill>
        </w:rPr>
        <w:t>前，将变更时间书面通知所有招标文件收受人，并在</w:t>
      </w:r>
      <w:r>
        <w:rPr>
          <w:rFonts w:hint="eastAsia" w:hAnsi="宋体"/>
          <w:color w:val="000000" w:themeColor="text1"/>
          <w:highlight w:val="none"/>
          <w:lang w:eastAsia="zh-CN"/>
          <w14:textFill>
            <w14:solidFill>
              <w14:schemeClr w14:val="tx1"/>
            </w14:solidFill>
          </w14:textFill>
        </w:rPr>
        <w:t>浦北县人民政府网（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"http://www.gxpb.gov.cn/"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http://www.gxpb.gov.cn/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）、全国公共资源交易 平台（广西•浦北）（</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"http://ggzy.jgswj.gxzf.gov.cn/pbggzy/"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http://ggzy.jgswj.gxzf.gov.cn/pbggzy/</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）、中国政府采购网（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 xml:space="preserve"> //</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"https://www.ccgp.gov.cn/"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www.ccgp.gov.cn/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）、广西政府采购网（</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"https://zfcg.gxzf.gov.cn/"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https://zfcg.gxzf.gov.cn/</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）、全国公共资源交 易平台（广西•钦州）（</w:t>
      </w:r>
      <w:r>
        <w:rPr>
          <w:rFonts w:hint="eastAsia" w:hAnsi="宋体"/>
          <w:color w:val="000000" w:themeColor="text1"/>
          <w:highlight w:val="none"/>
          <w:lang w:eastAsia="zh-CN"/>
          <w14:textFill>
            <w14:solidFill>
              <w14:schemeClr w14:val="tx1"/>
            </w14:solidFill>
          </w14:textFill>
        </w:rPr>
        <w:fldChar w:fldCharType="begin"/>
      </w:r>
      <w:r>
        <w:rPr>
          <w:rFonts w:hint="eastAsia" w:hAnsi="宋体"/>
          <w:color w:val="000000" w:themeColor="text1"/>
          <w:highlight w:val="none"/>
          <w:lang w:eastAsia="zh-CN"/>
          <w14:textFill>
            <w14:solidFill>
              <w14:schemeClr w14:val="tx1"/>
            </w14:solidFill>
          </w14:textFill>
        </w:rPr>
        <w:instrText xml:space="preserve"> HYPERLINK "http://ggzy.jgswj.gxzf.gov.cn/qzggzy/" </w:instrText>
      </w:r>
      <w:r>
        <w:rPr>
          <w:rFonts w:hint="eastAsia" w:hAnsi="宋体"/>
          <w:color w:val="000000" w:themeColor="text1"/>
          <w:highlight w:val="none"/>
          <w:lang w:eastAsia="zh-CN"/>
          <w14:textFill>
            <w14:solidFill>
              <w14:schemeClr w14:val="tx1"/>
            </w14:solidFill>
          </w14:textFill>
        </w:rPr>
        <w:fldChar w:fldCharType="separate"/>
      </w:r>
      <w:r>
        <w:rPr>
          <w:rFonts w:hint="eastAsia" w:hAnsi="宋体"/>
          <w:color w:val="000000" w:themeColor="text1"/>
          <w:highlight w:val="none"/>
          <w:lang w:eastAsia="zh-CN"/>
          <w14:textFill>
            <w14:solidFill>
              <w14:schemeClr w14:val="tx1"/>
            </w14:solidFill>
          </w14:textFill>
        </w:rPr>
        <w:t>http://ggzy.jgswj.gxzf.gov.cn/qzggzy/</w:t>
      </w:r>
      <w:r>
        <w:rPr>
          <w:rFonts w:hint="eastAsia" w:hAnsi="宋体"/>
          <w:color w:val="000000" w:themeColor="text1"/>
          <w:highlight w:val="none"/>
          <w:lang w:eastAsia="zh-CN"/>
          <w14:textFill>
            <w14:solidFill>
              <w14:schemeClr w14:val="tx1"/>
            </w14:solidFill>
          </w14:textFill>
        </w:rPr>
        <w:fldChar w:fldCharType="end"/>
      </w:r>
      <w:r>
        <w:rPr>
          <w:rFonts w:hint="eastAsia" w:hAnsi="宋体"/>
          <w:color w:val="000000" w:themeColor="text1"/>
          <w:highlight w:val="none"/>
          <w:lang w:eastAsia="zh-CN"/>
          <w14:textFill>
            <w14:solidFill>
              <w14:schemeClr w14:val="tx1"/>
            </w14:solidFill>
          </w14:textFill>
        </w:rPr>
        <w:t>）龙建公司网</w:t>
      </w:r>
      <w:r>
        <w:rPr>
          <w:rFonts w:hint="eastAsia" w:hAnsi="宋体"/>
          <w:color w:val="000000" w:themeColor="text1"/>
          <w:highlight w:val="none"/>
          <w14:textFill>
            <w14:solidFill>
              <w14:schemeClr w14:val="tx1"/>
            </w14:solidFill>
          </w14:textFill>
        </w:rPr>
        <w:t>上发布更正公告并以书面形式通知所有招标文件收受人。该澄清或者修改的内容为招标文件的组成部分。</w:t>
      </w:r>
    </w:p>
    <w:p>
      <w:pPr>
        <w:pStyle w:val="20"/>
        <w:tabs>
          <w:tab w:val="left" w:pos="455"/>
        </w:tabs>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5.5请投标人接到电话通知后到采购代理机构处领取以上澄清答复（或补充通知），或在网上查询，不用传真方式发出，如在电话通知后24小时内不上门领取的，则视为已在网上查询收到。该澄清或修改的内容为招标文件的组成部分。投标人在每一次收到澄清答复或补充通知后应立即以书面形式通知采购代理机构，确认已收到该澄清答复或补充通知。否则，由此造成的一切后果由投标人承担。</w:t>
      </w:r>
    </w:p>
    <w:p>
      <w:pPr>
        <w:pStyle w:val="20"/>
        <w:spacing w:line="288" w:lineRule="auto"/>
        <w:rPr>
          <w:rFonts w:hAnsi="宋体"/>
          <w:color w:val="000000" w:themeColor="text1"/>
          <w:highlight w:val="none"/>
          <w14:textFill>
            <w14:solidFill>
              <w14:schemeClr w14:val="tx1"/>
            </w14:solidFill>
          </w14:textFill>
        </w:rPr>
      </w:pPr>
    </w:p>
    <w:p>
      <w:pPr>
        <w:pStyle w:val="20"/>
        <w:spacing w:line="288" w:lineRule="auto"/>
        <w:jc w:val="center"/>
        <w:outlineLvl w:val="0"/>
        <w:rPr>
          <w:rFonts w:hAnsi="宋体"/>
          <w:b/>
          <w:color w:val="000000" w:themeColor="text1"/>
          <w:highlight w:val="none"/>
          <w14:textFill>
            <w14:solidFill>
              <w14:schemeClr w14:val="tx1"/>
            </w14:solidFill>
          </w14:textFill>
        </w:rPr>
      </w:pPr>
      <w:bookmarkStart w:id="46" w:name="_Toc147250519"/>
      <w:bookmarkStart w:id="47" w:name="_Toc147250317"/>
      <w:bookmarkStart w:id="48" w:name="_Toc147250363"/>
      <w:bookmarkStart w:id="49" w:name="_Toc25778"/>
      <w:bookmarkStart w:id="50" w:name="_Toc10543"/>
      <w:r>
        <w:rPr>
          <w:rFonts w:hint="eastAsia" w:hAnsi="宋体"/>
          <w:b/>
          <w:color w:val="000000" w:themeColor="text1"/>
          <w:highlight w:val="none"/>
          <w14:textFill>
            <w14:solidFill>
              <w14:schemeClr w14:val="tx1"/>
            </w14:solidFill>
          </w14:textFill>
        </w:rPr>
        <w:t>三    投标文件的编制</w:t>
      </w:r>
      <w:bookmarkEnd w:id="46"/>
      <w:bookmarkEnd w:id="47"/>
      <w:bookmarkEnd w:id="48"/>
      <w:bookmarkEnd w:id="49"/>
      <w:bookmarkEnd w:id="50"/>
    </w:p>
    <w:p>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bookmarkStart w:id="51" w:name="_Toc254970536"/>
      <w:bookmarkStart w:id="52" w:name="_Toc254970677"/>
      <w:bookmarkStart w:id="53" w:name="_Toc147250375"/>
      <w:bookmarkStart w:id="54" w:name="_Toc147250531"/>
      <w:bookmarkStart w:id="55" w:name="_Toc147250329"/>
      <w:r>
        <w:rPr>
          <w:rFonts w:hint="eastAsia" w:ascii="宋体" w:hAnsi="宋体" w:eastAsia="宋体"/>
          <w:b/>
          <w:color w:val="000000" w:themeColor="text1"/>
          <w:sz w:val="21"/>
          <w:szCs w:val="21"/>
          <w:highlight w:val="none"/>
          <w:lang w:eastAsia="zh-CN"/>
          <w14:textFill>
            <w14:solidFill>
              <w14:schemeClr w14:val="tx1"/>
            </w14:solidFill>
          </w14:textFill>
        </w:rPr>
        <w:t>6.投标文件的组成</w:t>
      </w:r>
      <w:bookmarkEnd w:id="51"/>
      <w:bookmarkEnd w:id="52"/>
    </w:p>
    <w:p>
      <w:pPr>
        <w:wordWrap w:val="0"/>
        <w:topLinePunct/>
        <w:adjustRightInd w:val="0"/>
        <w:snapToGrid w:val="0"/>
        <w:spacing w:line="360" w:lineRule="exact"/>
        <w:ind w:firstLine="422"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6.1</w:t>
      </w:r>
      <w:r>
        <w:rPr>
          <w:rFonts w:hint="eastAsia" w:ascii="宋体" w:hAnsi="宋体" w:eastAsia="宋体"/>
          <w:color w:val="000000" w:themeColor="text1"/>
          <w:sz w:val="21"/>
          <w:szCs w:val="21"/>
          <w:highlight w:val="none"/>
          <w:lang w:eastAsia="zh-CN"/>
          <w14:textFill>
            <w14:solidFill>
              <w14:schemeClr w14:val="tx1"/>
            </w14:solidFill>
          </w14:textFill>
        </w:rPr>
        <w:t>投标文件由资格文件、报价文件、商务技术文件</w:t>
      </w:r>
      <w:r>
        <w:rPr>
          <w:rFonts w:hint="eastAsia" w:ascii="宋体" w:hAnsi="宋体" w:eastAsia="宋体"/>
          <w:b/>
          <w:bCs/>
          <w:color w:val="000000" w:themeColor="text1"/>
          <w:sz w:val="21"/>
          <w:szCs w:val="21"/>
          <w:highlight w:val="none"/>
          <w:lang w:eastAsia="zh-CN"/>
          <w14:textFill>
            <w14:solidFill>
              <w14:schemeClr w14:val="tx1"/>
            </w14:solidFill>
          </w14:textFill>
        </w:rPr>
        <w:t>三部分</w:t>
      </w:r>
      <w:r>
        <w:rPr>
          <w:rFonts w:hint="eastAsia" w:ascii="宋体" w:hAnsi="宋体" w:eastAsia="宋体"/>
          <w:color w:val="000000" w:themeColor="text1"/>
          <w:sz w:val="21"/>
          <w:szCs w:val="21"/>
          <w:highlight w:val="none"/>
          <w:lang w:eastAsia="zh-CN"/>
          <w14:textFill>
            <w14:solidFill>
              <w14:schemeClr w14:val="tx1"/>
            </w14:solidFill>
          </w14:textFill>
        </w:rPr>
        <w:t>组成，投标人应根据各部分要求独立编制。并按下列顺序自编目录及页码（注明“必须提供”部分为必须提供的材料，否则投标无效）：</w:t>
      </w:r>
    </w:p>
    <w:p>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6.2资格文件：</w:t>
      </w:r>
    </w:p>
    <w:p>
      <w:pPr>
        <w:wordWrap w:val="0"/>
        <w:overflowPunct w:val="0"/>
        <w:topLinePunct/>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（1）投标人为法人或者其他组织的，提供营业执照等证明文件（如营业执照或者事业单位法人证书或者执业许可证等），投标人为自然人的，提供身份证复印件；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（2）投标人依法缴纳税收的相关材料（202</w:t>
      </w: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lang w:eastAsia="zh-CN"/>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（3）投标人依法缴纳社会保障资金的相关材料[202</w:t>
      </w: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lang w:eastAsia="zh-CN"/>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（必须提供，否则作无效投标处理）   </w:t>
      </w:r>
    </w:p>
    <w:p>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（4）供应商财务状况报告[202</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lang w:eastAsia="zh-CN"/>
          <w14:textFill>
            <w14:solidFill>
              <w14:schemeClr w14:val="tx1"/>
            </w14:solidFill>
          </w14:textFill>
        </w:rPr>
        <w:t>年财务状况报告复印件，供应商是法人的，应提供财务状况报告（包括资产负债表、利润表、现金流量表）或者其基本开户银行出具的资信证明（注明有效期的，应在有效期内；未注明有效期的，出具时间至投标截止时间不超过一年）；供应商是其他组织或者自然人的，应提供财务状况报告（包括资产负债表、利润表、现金流量表，)或者银行出具的资信证明（注明有效期的，应在有效期内；未注明有效期的，出具时间至投标截止时间不超过一年）]；</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（5）投标声明函（格式后附）；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（6）投标人股东及出资信息表、管理关系信息表（格式后附）；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（7）投标人有效的医疗器械生产许可证或有效的医疗器械经营备案凭证或许可证原件扫描件或复印件；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(必须提供，否则按无效投标处理）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（8）投标人所投设备有效医疗器械注册证原件扫描件或复印件；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(如涉及2类、3类医疗器械时必须提供，1类医疗器械如有请提供，不涉及医疗器械不提供，否则作无效投标处理)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w:t>
      </w:r>
      <w:r>
        <w:rPr>
          <w:rFonts w:hint="eastAsia" w:hAnsi="宋体"/>
          <w:color w:val="000000" w:themeColor="text1"/>
          <w:sz w:val="21"/>
          <w:szCs w:val="21"/>
          <w:highlight w:val="none"/>
          <w:lang w:eastAsia="zh-CN"/>
          <w14:textFill>
            <w14:solidFill>
              <w14:schemeClr w14:val="tx1"/>
            </w14:solidFill>
          </w14:textFill>
        </w:rPr>
        <w:t>投标保证金缴纳</w:t>
      </w:r>
      <w:r>
        <w:rPr>
          <w:rFonts w:hint="eastAsia" w:hAnsi="宋体" w:eastAsia="宋体"/>
          <w:color w:val="000000" w:themeColor="text1"/>
          <w:sz w:val="21"/>
          <w:szCs w:val="21"/>
          <w:highlight w:val="none"/>
          <w:lang w:eastAsia="zh-CN"/>
          <w14:textFill>
            <w14:solidFill>
              <w14:schemeClr w14:val="tx1"/>
            </w14:solidFill>
          </w14:textFill>
        </w:rPr>
        <w:t>证明材料</w:t>
      </w:r>
      <w:r>
        <w:rPr>
          <w:rFonts w:hint="eastAsia" w:hAnsi="宋体" w:eastAsia="宋体"/>
          <w:color w:val="000000" w:themeColor="text1"/>
          <w:szCs w:val="21"/>
          <w:highlight w:val="none"/>
          <w:lang w:eastAsia="zh-CN"/>
          <w14:textFill>
            <w14:solidFill>
              <w14:schemeClr w14:val="tx1"/>
            </w14:solidFill>
          </w14:textFill>
        </w:rPr>
        <w:t>；</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（10）除招标文件规定必须提供以外，投标人认为需要提供的其他证明材料。</w:t>
      </w:r>
    </w:p>
    <w:p>
      <w:pPr>
        <w:wordWrap w:val="0"/>
        <w:overflowPunct w:val="0"/>
        <w:topLinePunct/>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bookmarkStart w:id="56" w:name="OLE_LINK7"/>
      <w:r>
        <w:rPr>
          <w:rFonts w:hint="eastAsia" w:ascii="宋体" w:hAnsi="宋体" w:eastAsia="宋体"/>
          <w:b/>
          <w:color w:val="000000" w:themeColor="text1"/>
          <w:sz w:val="21"/>
          <w:szCs w:val="21"/>
          <w:highlight w:val="none"/>
          <w:lang w:eastAsia="zh-CN"/>
          <w14:textFill>
            <w14:solidFill>
              <w14:schemeClr w14:val="tx1"/>
            </w14:solidFill>
          </w14:textFill>
        </w:rPr>
        <w:t>6.3报价文件：</w:t>
      </w:r>
    </w:p>
    <w:p>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（1）投标函</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tabs>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（2）开标一览表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pPr>
        <w:tabs>
          <w:tab w:val="left" w:pos="3870"/>
          <w:tab w:val="left" w:pos="4085"/>
        </w:tabs>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（3）投标报价明细表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pStyle w:val="54"/>
        <w:wordWrap w:val="0"/>
        <w:overflowPunct w:val="0"/>
        <w:topLinePunct/>
        <w:ind w:firstLine="460" w:firstLineChars="200"/>
        <w:rPr>
          <w:color w:val="000000" w:themeColor="text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（4）投标人针对报价需要说明的其他文件和说明</w:t>
      </w:r>
      <w:r>
        <w:rPr>
          <w:rFonts w:hint="eastAsia" w:ascii="宋体" w:hAnsi="宋体" w:eastAsia="宋体"/>
          <w:b/>
          <w:bCs w:val="0"/>
          <w:color w:val="000000" w:themeColor="text1"/>
          <w:sz w:val="21"/>
          <w:szCs w:val="21"/>
          <w:highlight w:val="none"/>
          <w:lang w:eastAsia="zh-CN"/>
          <w14:textFill>
            <w14:solidFill>
              <w14:schemeClr w14:val="tx1"/>
            </w14:solidFill>
          </w14:textFill>
        </w:rPr>
        <w:t>（格式自拟）</w:t>
      </w:r>
      <w:r>
        <w:rPr>
          <w:rFonts w:hint="eastAsia" w:ascii="宋体" w:hAnsi="宋体" w:eastAsia="宋体"/>
          <w:color w:val="000000" w:themeColor="text1"/>
          <w:sz w:val="21"/>
          <w:szCs w:val="21"/>
          <w:highlight w:val="none"/>
          <w:lang w:eastAsia="zh-CN"/>
          <w14:textFill>
            <w14:solidFill>
              <w14:schemeClr w14:val="tx1"/>
            </w14:solidFill>
          </w14:textFill>
        </w:rPr>
        <w:t>；</w:t>
      </w:r>
    </w:p>
    <w:bookmarkEnd w:id="56"/>
    <w:p>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6.4商务技术文件</w:t>
      </w:r>
    </w:p>
    <w:p>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6.4.1商务文件</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（1）无串通投标行为的承诺函 </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（2）法定代表人资格证明书及身份证复印件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（3）法定代表人授权委托书和委托代理人身份证复印件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（格式见第六章，委托代理时必须提供）；</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（4）商务响应表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（5）产品代理资格证复印件或针对本项目的授权书证明文件</w:t>
      </w:r>
      <w:r>
        <w:rPr>
          <w:rFonts w:hint="eastAsia" w:ascii="宋体" w:hAnsi="宋体" w:eastAsia="宋体"/>
          <w:b/>
          <w:bCs/>
          <w:color w:val="000000" w:themeColor="text1"/>
          <w:sz w:val="21"/>
          <w:szCs w:val="21"/>
          <w:highlight w:val="none"/>
          <w:lang w:eastAsia="zh-CN"/>
          <w14:textFill>
            <w14:solidFill>
              <w14:schemeClr w14:val="tx1"/>
            </w14:solidFill>
          </w14:textFill>
        </w:rPr>
        <w:t>（投标产品为进口产品的必须提供）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（6）招标项目资格要求及采购需求中要求必须提供的材料等</w:t>
      </w:r>
      <w:r>
        <w:rPr>
          <w:rFonts w:hint="eastAsia" w:ascii="宋体" w:hAnsi="宋体" w:eastAsia="宋体"/>
          <w:b/>
          <w:bCs/>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（7）投标人认为可以证明其能力或业绩的其他材料</w:t>
      </w:r>
      <w:r>
        <w:rPr>
          <w:rFonts w:hint="eastAsia" w:ascii="宋体" w:hAnsi="宋体" w:eastAsia="宋体"/>
          <w:b/>
          <w:bCs/>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6.4.2技术文件</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（1）技术响应表</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（2）项目实施方案（供应商应根据评标办法及评分标准提供，格式自拟</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（3）售后服务承诺书（供应商应根据评标办法及评分标准提供，格式自拟</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w:t>
      </w:r>
      <w:r>
        <w:rPr>
          <w:rFonts w:hint="eastAsia" w:ascii="宋体" w:hAnsi="宋体" w:eastAsia="宋体"/>
          <w:bCs/>
          <w:color w:val="000000" w:themeColor="text1"/>
          <w:sz w:val="21"/>
          <w:szCs w:val="21"/>
          <w:highlight w:val="none"/>
          <w:lang w:eastAsia="zh-CN"/>
          <w14:textFill>
            <w14:solidFill>
              <w14:schemeClr w14:val="tx1"/>
            </w14:solidFill>
          </w14:textFill>
        </w:rPr>
        <w:t>产品质量保证书</w:t>
      </w:r>
      <w:r>
        <w:rPr>
          <w:rFonts w:hint="eastAsia" w:ascii="宋体" w:hAnsi="宋体" w:eastAsia="宋体"/>
          <w:b/>
          <w:color w:val="000000" w:themeColor="text1"/>
          <w:sz w:val="21"/>
          <w:szCs w:val="21"/>
          <w:highlight w:val="none"/>
          <w:lang w:eastAsia="zh-CN"/>
          <w14:textFill>
            <w14:solidFill>
              <w14:schemeClr w14:val="tx1"/>
            </w14:solidFill>
          </w14:textFill>
        </w:rPr>
        <w:t>(格式见第六章，必须提供)；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（5）投标人拥有主要装备和检测设施的情况和现状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（格式自拟）； </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（6）招标项目采购需求中要求必须提供的材料。</w:t>
      </w:r>
    </w:p>
    <w:p>
      <w:pPr>
        <w:pStyle w:val="20"/>
        <w:wordWrap w:val="0"/>
        <w:topLinePunct/>
        <w:adjustRightInd w:val="0"/>
        <w:snapToGrid w:val="0"/>
        <w:spacing w:line="360" w:lineRule="exact"/>
        <w:ind w:firstLine="422" w:firstLineChars="200"/>
        <w:jc w:val="left"/>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特别说明：</w:t>
      </w:r>
    </w:p>
    <w:p>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投标文件中所需加盖公章部分均采用CA签章。若招标文件中有专门标注的某关联点，并要求供应商在电子投标系统中作出投标响应的，如供应商未对关联点进行响应或者在投标文件其他内容进行描述，造成电子评审不能查询的责任由供应商自行承担。</w:t>
      </w:r>
    </w:p>
    <w:p>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（2）招标文件要求提供的各种复印件（扫描件），必须加盖投标供应商CA签章，否则其投标无效。</w:t>
      </w:r>
    </w:p>
    <w:p>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（3）招标文件要求“必须提供”的证明等材料，投标供应商必须全部提供，缺一不可，否则投标无效。</w:t>
      </w:r>
    </w:p>
    <w:p>
      <w:pPr>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（4）招标文件要求法定代表人（负责人）或委托代理人签字的部分必须打印签字后扫描或拍照做成PDF格式上传，如供应商有政采云法人私章CA证书或签字章的也可直接使用，否则视为投标无效。</w:t>
      </w:r>
    </w:p>
    <w:p>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57" w:name="_Toc254970678"/>
      <w:bookmarkStart w:id="58" w:name="_Toc254970537"/>
      <w:bookmarkStart w:id="59" w:name="_Toc1170"/>
      <w:bookmarkStart w:id="60" w:name="_Toc30195"/>
      <w:r>
        <w:rPr>
          <w:rFonts w:hint="eastAsia" w:ascii="宋体" w:hAnsi="宋体" w:eastAsia="宋体"/>
          <w:b/>
          <w:color w:val="000000" w:themeColor="text1"/>
          <w:sz w:val="21"/>
          <w:szCs w:val="21"/>
          <w:highlight w:val="none"/>
          <w:lang w:eastAsia="zh-CN"/>
          <w14:textFill>
            <w14:solidFill>
              <w14:schemeClr w14:val="tx1"/>
            </w14:solidFill>
          </w14:textFill>
        </w:rPr>
        <w:t>7.投标文件的语言及计量</w:t>
      </w:r>
      <w:bookmarkEnd w:id="57"/>
      <w:bookmarkEnd w:id="58"/>
      <w:bookmarkEnd w:id="59"/>
      <w:bookmarkEnd w:id="60"/>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▲7.1投标文件以及投标方与招标方就有关投标事宜的所有来往函电，均应以中文汉语书写。除签名、盖章、专用名称等特殊情形外，以中文汉语以外的文字表述的投标文件视同未提供。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▲7.2投标计量单位，招标文件已有明确规定的，使用招标文件规定的计量单位；招标文件没有规定的，应采用中华人民共和国法定计量单位（货币单位：人民币元），否则视同未响应。</w:t>
      </w:r>
    </w:p>
    <w:p>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61" w:name="_Toc254970679"/>
      <w:bookmarkStart w:id="62" w:name="_Toc8888"/>
      <w:bookmarkStart w:id="63" w:name="_Toc254970538"/>
      <w:bookmarkStart w:id="64" w:name="_Toc26882"/>
      <w:r>
        <w:rPr>
          <w:rFonts w:hint="eastAsia" w:ascii="宋体" w:hAnsi="宋体" w:eastAsia="宋体"/>
          <w:b/>
          <w:color w:val="000000" w:themeColor="text1"/>
          <w:sz w:val="21"/>
          <w:szCs w:val="21"/>
          <w:highlight w:val="none"/>
          <w:lang w:eastAsia="zh-CN"/>
          <w14:textFill>
            <w14:solidFill>
              <w14:schemeClr w14:val="tx1"/>
            </w14:solidFill>
          </w14:textFill>
        </w:rPr>
        <w:t>8.投标报价</w:t>
      </w:r>
      <w:bookmarkEnd w:id="61"/>
      <w:bookmarkEnd w:id="62"/>
      <w:bookmarkEnd w:id="63"/>
      <w:bookmarkEnd w:id="64"/>
    </w:p>
    <w:p>
      <w:pPr>
        <w:pStyle w:val="20"/>
        <w:wordWrap w:val="0"/>
        <w:topLinePunct/>
        <w:adjustRightInd w:val="0"/>
        <w:snapToGrid w:val="0"/>
        <w:spacing w:line="360" w:lineRule="exact"/>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8.1 投标人可就《货物需求一览表》中的全部货物内容作完整唯一报价。对不同文字文本投标文件的解释发生异议的，以中文文本为准。如果投标人不接受对其错误的更正，其投标报价无效。</w:t>
      </w:r>
    </w:p>
    <w:p>
      <w:pPr>
        <w:pStyle w:val="20"/>
        <w:wordWrap w:val="0"/>
        <w:topLinePunct/>
        <w:adjustRightInd w:val="0"/>
        <w:snapToGrid w:val="0"/>
        <w:spacing w:line="360" w:lineRule="exact"/>
        <w:ind w:firstLine="420"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8.2投标报价是履行合同的最终价格，应包括项目实施所需的人工费、货款、标准附件、备品备件、专用工具、包装、运输、装卸、保险、税金、货到就位以及安装、调试、培训、保修、售后服务等一切税金和费用。</w:t>
      </w:r>
    </w:p>
    <w:p>
      <w:pPr>
        <w:tabs>
          <w:tab w:val="left" w:pos="525"/>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8.3投标文件只允许有一个报价，有选择的或有条件的报价将不予接受。</w:t>
      </w:r>
    </w:p>
    <w:p>
      <w:pPr>
        <w:tabs>
          <w:tab w:val="left" w:pos="525"/>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8.4如投标人的投标报价或某些分项报价明显不合理或低于成本，有可能影响商品质量或不能诚信履约的，应当在评标委员会规定的期限内提供书面文件予以说明，并提交相关证明材料。否则，评标委员会可以拒绝，评定其报价无效。</w:t>
      </w:r>
    </w:p>
    <w:p>
      <w:pPr>
        <w:pStyle w:val="11"/>
        <w:numPr>
          <w:ilvl w:val="0"/>
          <w:numId w:val="0"/>
        </w:numPr>
        <w:tabs>
          <w:tab w:val="left" w:pos="720"/>
          <w:tab w:val="left" w:pos="840"/>
        </w:tabs>
        <w:wordWrap w:val="0"/>
        <w:topLinePunct/>
        <w:adjustRightInd w:val="0"/>
        <w:snapToGrid w:val="0"/>
        <w:spacing w:line="36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9.投标文件的有效期</w:t>
      </w:r>
    </w:p>
    <w:p>
      <w:pPr>
        <w:pStyle w:val="11"/>
        <w:numPr>
          <w:ilvl w:val="0"/>
          <w:numId w:val="0"/>
        </w:numPr>
        <w:tabs>
          <w:tab w:val="left" w:pos="720"/>
          <w:tab w:val="left" w:pos="840"/>
        </w:tabs>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9.1自投标文件递交截止之日起</w:t>
      </w:r>
      <w:r>
        <w:rPr>
          <w:rFonts w:hint="eastAsia" w:ascii="宋体" w:hAnsi="宋体" w:eastAsia="宋体"/>
          <w:color w:val="000000" w:themeColor="text1"/>
          <w:sz w:val="21"/>
          <w:szCs w:val="21"/>
          <w:highlight w:val="none"/>
          <w:u w:val="single"/>
          <w:lang w:eastAsia="zh-CN"/>
          <w14:textFill>
            <w14:solidFill>
              <w14:schemeClr w14:val="tx1"/>
            </w14:solidFill>
          </w14:textFill>
        </w:rPr>
        <w:t>六十</w:t>
      </w:r>
      <w:r>
        <w:rPr>
          <w:rFonts w:hint="eastAsia" w:ascii="宋体" w:hAnsi="宋体" w:eastAsia="宋体"/>
          <w:color w:val="000000" w:themeColor="text1"/>
          <w:sz w:val="21"/>
          <w:szCs w:val="21"/>
          <w:highlight w:val="none"/>
          <w:lang w:eastAsia="zh-CN"/>
          <w14:textFill>
            <w14:solidFill>
              <w14:schemeClr w14:val="tx1"/>
            </w14:solidFill>
          </w14:textFill>
        </w:rPr>
        <w:t>日内投标文件应保持有效，有效期不足的投标文件将被拒绝。</w:t>
      </w:r>
    </w:p>
    <w:p>
      <w:pPr>
        <w:pStyle w:val="11"/>
        <w:numPr>
          <w:ilvl w:val="0"/>
          <w:numId w:val="0"/>
        </w:numPr>
        <w:tabs>
          <w:tab w:val="left" w:pos="720"/>
          <w:tab w:val="left" w:pos="840"/>
        </w:tabs>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9.2在特殊情况下，招标人可与投标人协商延长投标文件的有效期，这种要求和答复均以书面形式进行。</w:t>
      </w:r>
    </w:p>
    <w:p>
      <w:pPr>
        <w:wordWrap w:val="0"/>
        <w:topLinePunct/>
        <w:adjustRightInd w:val="0"/>
        <w:snapToGrid w:val="0"/>
        <w:spacing w:line="360" w:lineRule="exact"/>
        <w:ind w:firstLine="420"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65" w:name="_Toc254970539"/>
      <w:bookmarkStart w:id="66" w:name="_Toc254970680"/>
      <w:bookmarkStart w:id="67" w:name="_Toc23175"/>
      <w:bookmarkStart w:id="68" w:name="_Toc26070"/>
      <w:r>
        <w:rPr>
          <w:rFonts w:hint="eastAsia" w:ascii="宋体" w:hAnsi="宋体" w:eastAsia="宋体"/>
          <w:color w:val="000000" w:themeColor="text1"/>
          <w:sz w:val="21"/>
          <w:szCs w:val="21"/>
          <w:highlight w:val="none"/>
          <w:lang w:eastAsia="zh-CN"/>
          <w14:textFill>
            <w14:solidFill>
              <w14:schemeClr w14:val="tx1"/>
            </w14:solidFill>
          </w14:textFill>
        </w:rPr>
        <w:t>9.3投标人可拒绝接受延期要求而不会导致投标保证金被没收。同意延长有效期的投标人需要相应延长投标保证金的有效期，但不能修改投标文件。</w:t>
      </w:r>
      <w:bookmarkEnd w:id="65"/>
      <w:bookmarkEnd w:id="66"/>
      <w:bookmarkEnd w:id="67"/>
      <w:bookmarkEnd w:id="68"/>
      <w:r>
        <w:rPr>
          <w:rFonts w:hint="eastAsia" w:ascii="宋体" w:hAnsi="宋体" w:eastAsia="宋体"/>
          <w:b/>
          <w:color w:val="000000" w:themeColor="text1"/>
          <w:sz w:val="21"/>
          <w:szCs w:val="21"/>
          <w:highlight w:val="none"/>
          <w:lang w:eastAsia="zh-CN"/>
          <w14:textFill>
            <w14:solidFill>
              <w14:schemeClr w14:val="tx1"/>
            </w14:solidFill>
          </w14:textFill>
        </w:rPr>
        <w:t xml:space="preserve"> </w:t>
      </w:r>
    </w:p>
    <w:p>
      <w:pPr>
        <w:wordWrap w:val="0"/>
        <w:topLinePunct/>
        <w:adjustRightInd w:val="0"/>
        <w:snapToGrid w:val="0"/>
        <w:spacing w:line="360" w:lineRule="exact"/>
        <w:ind w:firstLine="420"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69" w:name="_Toc21186"/>
      <w:bookmarkStart w:id="70" w:name="_Toc254970540"/>
      <w:bookmarkStart w:id="71" w:name="_Toc19976"/>
      <w:bookmarkStart w:id="72" w:name="_Toc254970681"/>
      <w:r>
        <w:rPr>
          <w:rFonts w:hint="eastAsia" w:ascii="宋体" w:hAnsi="宋体" w:eastAsia="宋体"/>
          <w:color w:val="000000" w:themeColor="text1"/>
          <w:sz w:val="21"/>
          <w:szCs w:val="21"/>
          <w:highlight w:val="none"/>
          <w:lang w:eastAsia="zh-CN"/>
          <w14:textFill>
            <w14:solidFill>
              <w14:schemeClr w14:val="tx1"/>
            </w14:solidFill>
          </w14:textFill>
        </w:rPr>
        <w:t>9.4中标人的投标文件自开标之日起至合同履行完毕止均应保持有效。</w:t>
      </w:r>
      <w:bookmarkEnd w:id="69"/>
      <w:bookmarkEnd w:id="70"/>
      <w:bookmarkEnd w:id="71"/>
      <w:bookmarkEnd w:id="72"/>
    </w:p>
    <w:p>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73" w:name="_Toc254970682"/>
      <w:bookmarkStart w:id="74" w:name="_Toc5972"/>
      <w:bookmarkStart w:id="75" w:name="_Toc18380"/>
      <w:bookmarkStart w:id="76" w:name="_Toc254970541"/>
      <w:r>
        <w:rPr>
          <w:rFonts w:hint="eastAsia" w:ascii="宋体" w:hAnsi="宋体" w:eastAsia="宋体"/>
          <w:b/>
          <w:color w:val="000000" w:themeColor="text1"/>
          <w:sz w:val="21"/>
          <w:szCs w:val="21"/>
          <w:highlight w:val="none"/>
          <w:lang w:eastAsia="zh-CN"/>
          <w14:textFill>
            <w14:solidFill>
              <w14:schemeClr w14:val="tx1"/>
            </w14:solidFill>
          </w14:textFill>
        </w:rPr>
        <w:t>10.投标保证金</w:t>
      </w:r>
      <w:bookmarkEnd w:id="73"/>
      <w:bookmarkEnd w:id="74"/>
      <w:bookmarkEnd w:id="75"/>
      <w:bookmarkEnd w:id="76"/>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10.1投标保证金金额按本须知前附表第5项要求交纳，且提交到指定账户的时间不得迟于本须知前附表第5项所规定的时间。投标人须按规定提交投标保证金，否则，其投标将被拒绝。</w:t>
      </w:r>
    </w:p>
    <w:p>
      <w:pPr>
        <w:snapToGrid w:val="0"/>
        <w:spacing w:line="340" w:lineRule="exact"/>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10.2保证金交纳形式</w:t>
      </w:r>
      <w:r>
        <w:rPr>
          <w:rFonts w:hint="eastAsia" w:ascii="宋体" w:hAnsi="宋体" w:eastAsia="宋体"/>
          <w:color w:val="000000" w:themeColor="text1"/>
          <w:kern w:val="2"/>
          <w:sz w:val="21"/>
          <w:szCs w:val="21"/>
          <w:highlight w:val="none"/>
          <w:lang w:eastAsia="zh-CN"/>
          <w14:textFill>
            <w14:solidFill>
              <w14:schemeClr w14:val="tx1"/>
            </w14:solidFill>
          </w14:textFill>
        </w:rPr>
        <w:t>：银行转账、支票、汇票、本票或者银行、保险机构出具的保函，禁止采用现钞方式。</w:t>
      </w:r>
    </w:p>
    <w:p>
      <w:pPr>
        <w:pStyle w:val="20"/>
        <w:spacing w:line="34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注：①投标人应按本须知中所明确的开户名称、开户银行、账号，于规定时间前将投标保证金从投标人银行账户转出并到达浦北县公共资源交易中心账户，否则视为无效保证金。</w:t>
      </w:r>
      <w:r>
        <w:rPr>
          <w:rFonts w:hint="eastAsia" w:hAnsi="宋体" w:cs="宋体"/>
          <w:b/>
          <w:color w:val="000000" w:themeColor="text1"/>
          <w:szCs w:val="21"/>
          <w:highlight w:val="none"/>
          <w:u w:val="single"/>
          <w14:textFill>
            <w14:solidFill>
              <w14:schemeClr w14:val="tx1"/>
            </w14:solidFill>
          </w14:textFill>
        </w:rPr>
        <w:t>本项目不接受现金形式或从个人账户转出的投标保证金。</w:t>
      </w:r>
    </w:p>
    <w:p>
      <w:pPr>
        <w:pStyle w:val="20"/>
        <w:spacing w:line="34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②办理投标保证金手续时，请务必在银行进账单的用途或空白栏上注明项目名称（或项目编号）以及分标号，以免耽误投标。</w:t>
      </w:r>
    </w:p>
    <w:p>
      <w:pPr>
        <w:wordWrap w:val="0"/>
        <w:topLinePunct/>
        <w:autoSpaceDE w:val="0"/>
        <w:autoSpaceDN w:val="0"/>
        <w:adjustRightInd w:val="0"/>
        <w:snapToGrid w:val="0"/>
        <w:spacing w:line="360" w:lineRule="exact"/>
        <w:ind w:left="400" w:left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10.3对未按招标文件要求交纳投标保证金的投标文件，采购代理机构将拒绝接收。</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10.4未中标人的投标保证金在中标通知书发出之日起五个工作日内退还，中标人的投标保证金自政府采购合同签订之日起五个工作日内退还，不计利息。</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bookmarkStart w:id="77" w:name="_Toc254970683"/>
      <w:bookmarkStart w:id="78" w:name="_Toc254970542"/>
      <w:r>
        <w:rPr>
          <w:rFonts w:hint="eastAsia" w:ascii="宋体" w:hAnsi="宋体" w:eastAsia="宋体"/>
          <w:color w:val="000000" w:themeColor="text1"/>
          <w:sz w:val="21"/>
          <w:szCs w:val="21"/>
          <w:highlight w:val="none"/>
          <w:lang w:eastAsia="zh-CN"/>
          <w14:textFill>
            <w14:solidFill>
              <w14:schemeClr w14:val="tx1"/>
            </w14:solidFill>
          </w14:textFill>
        </w:rPr>
        <w:t>10.5投标人有下列情形之一的，投标保证金将不予退还：</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10.5.1投标人在投标有效期内撤回投标文件的；</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10.5.2投标人在投标过程中弄虚作假，提供虚假材料的；</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10.5.3中标人无正当理由不与招标单位签订合同的；</w:t>
      </w:r>
    </w:p>
    <w:p>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10.5.4将中标项目转让给他人或者在投标文件中未说明且未经招标单位同意，将中标项目分包给他人的；</w:t>
      </w:r>
    </w:p>
    <w:p>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10.5.5拒绝履行合同义务的；</w:t>
      </w:r>
    </w:p>
    <w:p>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10.5.6投标人与招标单位、其他供应商或者采购代理机构恶意串通的；</w:t>
      </w:r>
    </w:p>
    <w:p>
      <w:pPr>
        <w:wordWrap w:val="0"/>
        <w:topLinePunct/>
        <w:adjustRightInd w:val="0"/>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10.5.7其他严重扰乱招投标程序的。</w:t>
      </w:r>
    </w:p>
    <w:p>
      <w:pPr>
        <w:wordWrap w:val="0"/>
        <w:topLinePunct/>
        <w:adjustRightInd w:val="0"/>
        <w:snapToGrid w:val="0"/>
        <w:spacing w:line="360" w:lineRule="exact"/>
        <w:ind w:firstLine="422" w:firstLineChars="200"/>
        <w:jc w:val="left"/>
        <w:outlineLvl w:val="0"/>
        <w:rPr>
          <w:rFonts w:ascii="宋体" w:hAnsi="宋体" w:eastAsia="宋体"/>
          <w:b/>
          <w:color w:val="000000" w:themeColor="text1"/>
          <w:sz w:val="21"/>
          <w:szCs w:val="21"/>
          <w:highlight w:val="none"/>
          <w:lang w:eastAsia="zh-CN"/>
          <w14:textFill>
            <w14:solidFill>
              <w14:schemeClr w14:val="tx1"/>
            </w14:solidFill>
          </w14:textFill>
        </w:rPr>
      </w:pPr>
      <w:bookmarkStart w:id="79" w:name="_Toc22895"/>
      <w:bookmarkStart w:id="80" w:name="_Toc7157"/>
      <w:r>
        <w:rPr>
          <w:rFonts w:hint="eastAsia" w:ascii="宋体" w:hAnsi="宋体" w:eastAsia="宋体"/>
          <w:b/>
          <w:color w:val="000000" w:themeColor="text1"/>
          <w:sz w:val="21"/>
          <w:szCs w:val="21"/>
          <w:highlight w:val="none"/>
          <w:lang w:eastAsia="zh-CN"/>
          <w14:textFill>
            <w14:solidFill>
              <w14:schemeClr w14:val="tx1"/>
            </w14:solidFill>
          </w14:textFill>
        </w:rPr>
        <w:t>11.投标文件的签署和份数</w:t>
      </w:r>
      <w:bookmarkEnd w:id="77"/>
      <w:bookmarkEnd w:id="78"/>
      <w:bookmarkEnd w:id="79"/>
      <w:bookmarkEnd w:id="80"/>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11.1投标人应按本招标文件规定的格式和顺序编制、装订投标文件，并编制目录、标注页码，投标文件内容不完整、编排混乱导致投标文件被误读、漏读或者查找不到相关内容的，是投标人的责任。</w:t>
      </w:r>
    </w:p>
    <w:p>
      <w:pPr>
        <w:pStyle w:val="20"/>
        <w:spacing w:line="340" w:lineRule="exact"/>
        <w:ind w:firstLine="420" w:firstLineChars="200"/>
        <w:rPr>
          <w:rFonts w:hint="eastAsia" w:hAnsi="宋体" w:eastAsia="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14:textFill>
            <w14:solidFill>
              <w14:schemeClr w14:val="tx1"/>
            </w14:solidFill>
          </w14:textFill>
        </w:rPr>
        <w:t>11.2</w:t>
      </w:r>
      <w:r>
        <w:rPr>
          <w:rFonts w:hint="eastAsia"/>
          <w:color w:val="000000" w:themeColor="text1"/>
          <w:highlight w:val="none"/>
          <w14:textFill>
            <w14:solidFill>
              <w14:schemeClr w14:val="tx1"/>
            </w14:solidFill>
          </w14:textFill>
        </w:rPr>
        <w:t>投标文件递交份数：（1）电子加密投标文件：1份；（2）电子备份投标文件：1份（以U盘或光盘存储并按要求密封）</w:t>
      </w:r>
      <w:r>
        <w:rPr>
          <w:rFonts w:hint="eastAsia"/>
          <w:color w:val="000000" w:themeColor="text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11.3投标文件须由投标人在规定位置盖章并由法定代表人或法定代表人的授权委托人签署，投标人应写全称。</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11.4投标文件不得涂改，若有修改错漏处，须加盖单位公章或者法定代表人或授权委托人签字或盖章。投标文件因字迹潦草或表达不清所引起的后果由投标人负责。</w:t>
      </w:r>
    </w:p>
    <w:p>
      <w:pPr>
        <w:wordWrap w:val="0"/>
        <w:topLinePunct/>
        <w:adjustRightInd w:val="0"/>
        <w:snapToGrid w:val="0"/>
        <w:spacing w:line="360" w:lineRule="exact"/>
        <w:ind w:firstLine="422"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12.投标文件的修改和撤回</w:t>
      </w:r>
    </w:p>
    <w:p>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bookmarkStart w:id="81" w:name="_Toc254970684"/>
      <w:bookmarkStart w:id="82" w:name="_Toc254970543"/>
      <w:r>
        <w:rPr>
          <w:rFonts w:hint="eastAsia" w:ascii="宋体" w:hAnsi="宋体" w:eastAsia="宋体"/>
          <w:bCs/>
          <w:color w:val="000000" w:themeColor="text1"/>
          <w:sz w:val="21"/>
          <w:szCs w:val="21"/>
          <w:highlight w:val="none"/>
          <w:lang w:eastAsia="zh-CN"/>
          <w14:textFill>
            <w14:solidFill>
              <w14:schemeClr w14:val="tx1"/>
            </w14:solidFill>
          </w14:textFill>
        </w:rPr>
        <w:t>12.1投标人在投标截止时间之前，可以对已提交的投标文件进行修改或撤回。</w:t>
      </w:r>
      <w:r>
        <w:rPr>
          <w:rFonts w:hint="eastAsia" w:ascii="宋体" w:hAnsi="宋体" w:eastAsia="宋体"/>
          <w:color w:val="000000" w:themeColor="text1"/>
          <w:sz w:val="21"/>
          <w:szCs w:val="21"/>
          <w:highlight w:val="none"/>
          <w:lang w:eastAsia="zh-CN"/>
          <w14:textFill>
            <w14:solidFill>
              <w14:schemeClr w14:val="tx1"/>
            </w14:solidFill>
          </w14:textFill>
        </w:rPr>
        <w:t>投标文件需要补充或修改的应及时撤回投标文件，补充、修改后重新提交，提交投标文件截止时间前未完成提交（上传）的，视为撤回投标文件。</w:t>
      </w:r>
    </w:p>
    <w:p>
      <w:pPr>
        <w:wordWrap w:val="0"/>
        <w:topLinePunct/>
        <w:adjustRightInd w:val="0"/>
        <w:snapToGrid w:val="0"/>
        <w:spacing w:line="340" w:lineRule="exact"/>
        <w:ind w:firstLine="422" w:firstLineChars="200"/>
        <w:outlineLvl w:val="2"/>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13.投标无效的情形</w:t>
      </w:r>
      <w:bookmarkEnd w:id="81"/>
      <w:bookmarkEnd w:id="82"/>
    </w:p>
    <w:p>
      <w:pPr>
        <w:wordWrap w:val="0"/>
        <w:topLinePunct/>
        <w:adjustRightInd w:val="0"/>
        <w:snapToGrid w:val="0"/>
        <w:spacing w:line="34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13.1实质上没有响应招标文件要求的投标将被视为无效投标。投标人不得通过修正或撤销不合要求的偏离或保留从而使其投标成为实质上响应的投标，但经评标委员会认定属于投标人疏忽、笔误所造成的差错，应当允许其在规定时间内进行澄清或者补正（投标人应随时关注开评标进度，如</w:t>
      </w:r>
      <w:r>
        <w:rPr>
          <w:rFonts w:hint="eastAsia" w:ascii="宋体" w:hAnsi="宋体" w:eastAsia="宋体"/>
          <w:color w:val="000000" w:themeColor="text1"/>
          <w:sz w:val="21"/>
          <w:szCs w:val="21"/>
          <w:highlight w:val="none"/>
          <w:lang w:eastAsia="zh-CN"/>
          <w14:textFill>
            <w14:solidFill>
              <w14:schemeClr w14:val="tx1"/>
            </w14:solidFill>
          </w14:textFill>
        </w:rPr>
        <w:t>开评标过程中有电子询标，应在规定的时间内对电子询标函进行澄清回复</w:t>
      </w:r>
      <w:r>
        <w:rPr>
          <w:rFonts w:hint="eastAsia" w:ascii="宋体" w:hAnsi="宋体" w:eastAsia="宋体"/>
          <w:bCs/>
          <w:color w:val="000000" w:themeColor="text1"/>
          <w:sz w:val="21"/>
          <w:szCs w:val="21"/>
          <w:highlight w:val="none"/>
          <w:lang w:eastAsia="zh-CN"/>
          <w14:textFill>
            <w14:solidFill>
              <w14:schemeClr w14:val="tx1"/>
            </w14:solidFill>
          </w14:textFill>
        </w:rPr>
        <w:t>）。限期内不补正或经补正后仍不符合招标文件要求的，应认定其投标无效。投标人修改、补正投标文件后，不影响评标委员会对其投标文件所作的评价和评分结果。</w:t>
      </w:r>
    </w:p>
    <w:p>
      <w:pPr>
        <w:wordWrap w:val="0"/>
        <w:topLinePunct/>
        <w:adjustRightInd w:val="0"/>
        <w:snapToGrid w:val="0"/>
        <w:spacing w:line="34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13.2在商务评审时，如发现下列情形之一的，投标文件将被视为无效：</w:t>
      </w:r>
    </w:p>
    <w:p>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⑴未按照招标文件要求密封、签字和盖章的，或未</w:t>
      </w:r>
      <w:r>
        <w:rPr>
          <w:rFonts w:hint="eastAsia" w:ascii="宋体" w:hAnsi="宋体" w:eastAsia="宋体"/>
          <w:bCs/>
          <w:color w:val="000000" w:themeColor="text1"/>
          <w:sz w:val="21"/>
          <w:szCs w:val="21"/>
          <w:highlight w:val="none"/>
          <w:lang w:eastAsia="zh-CN"/>
          <w14:textFill>
            <w14:solidFill>
              <w14:schemeClr w14:val="tx1"/>
            </w14:solidFill>
          </w14:textFill>
        </w:rPr>
        <w:t>提供法定代表人授权委托书、投标声明书或者填写项目不齐全的；</w:t>
      </w:r>
    </w:p>
    <w:p>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⑵投标代表人未能出具身份证明或与法定代表人授权委托人身份不符的；</w:t>
      </w:r>
    </w:p>
    <w:p>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⑶</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投标文件未提供“投标人须知”第6.4.1条规定“必须提供”的文件资料的；</w:t>
      </w:r>
    </w:p>
    <w:p>
      <w:pPr>
        <w:wordWrap w:val="0"/>
        <w:topLinePunct/>
        <w:adjustRightInd w:val="0"/>
        <w:snapToGrid w:val="0"/>
        <w:spacing w:line="34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⑷投标文件的实质性内容未使用中文表述、意思表述不明确、前后矛盾或者使用计量单位不符合招标文件要求的（经评标委员会认定并允许其当场更正的笔误除外）；</w:t>
      </w:r>
    </w:p>
    <w:p>
      <w:pPr>
        <w:wordWrap w:val="0"/>
        <w:topLinePunct/>
        <w:adjustRightInd w:val="0"/>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⑸</w:t>
      </w:r>
      <w:r>
        <w:rPr>
          <w:rFonts w:hint="eastAsia" w:ascii="宋体" w:hAnsi="宋体" w:eastAsia="宋体"/>
          <w:snapToGrid w:val="0"/>
          <w:color w:val="000000" w:themeColor="text1"/>
          <w:sz w:val="21"/>
          <w:szCs w:val="21"/>
          <w:highlight w:val="none"/>
          <w:lang w:eastAsia="zh-CN"/>
          <w14:textFill>
            <w14:solidFill>
              <w14:schemeClr w14:val="tx1"/>
            </w14:solidFill>
          </w14:textFill>
        </w:rPr>
        <w:t>投标有效期、交货时间、质保期等商务条款不能满足招标文件要求的；</w:t>
      </w:r>
    </w:p>
    <w:p>
      <w:pPr>
        <w:pStyle w:val="18"/>
        <w:wordWrap w:val="0"/>
        <w:topLinePunct/>
        <w:adjustRightInd w:val="0"/>
        <w:snapToGrid w:val="0"/>
        <w:spacing w:line="340" w:lineRule="exact"/>
        <w:ind w:firstLine="420" w:firstLineChars="200"/>
        <w:rPr>
          <w:rFonts w:ascii="宋体" w:hAnsi="宋体" w:eastAsia="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⑹未实质性响应招标文件要求或者投标文件有招标方不能接受的附加条件的；</w:t>
      </w:r>
    </w:p>
    <w:p>
      <w:pPr>
        <w:pStyle w:val="18"/>
        <w:wordWrap w:val="0"/>
        <w:topLinePunct/>
        <w:adjustRightInd w:val="0"/>
        <w:snapToGrid w:val="0"/>
        <w:spacing w:line="340" w:lineRule="exact"/>
        <w:ind w:firstLine="420" w:firstLineChars="200"/>
        <w:rPr>
          <w:rFonts w:ascii="宋体" w:hAnsi="宋体" w:eastAsia="宋体"/>
          <w:snapToGrid w:val="0"/>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⑺</w:t>
      </w:r>
      <w:r>
        <w:rPr>
          <w:rFonts w:hint="eastAsia" w:ascii="宋体" w:hAnsi="宋体" w:eastAsia="宋体"/>
          <w:color w:val="000000" w:themeColor="text1"/>
          <w:sz w:val="21"/>
          <w:szCs w:val="21"/>
          <w:highlight w:val="none"/>
          <w:lang w:eastAsia="zh-CN"/>
          <w14:textFill>
            <w14:solidFill>
              <w14:schemeClr w14:val="tx1"/>
            </w14:solidFill>
          </w14:textFill>
        </w:rPr>
        <w:t>不符合法律、法规和招标文件中规定的其他实质性要求的。</w:t>
      </w:r>
    </w:p>
    <w:p>
      <w:pPr>
        <w:pStyle w:val="18"/>
        <w:wordWrap w:val="0"/>
        <w:topLinePunct/>
        <w:adjustRightInd w:val="0"/>
        <w:snapToGrid w:val="0"/>
        <w:spacing w:line="340" w:lineRule="exact"/>
        <w:ind w:firstLine="422" w:firstLineChars="200"/>
        <w:rPr>
          <w:rFonts w:ascii="宋体" w:hAnsi="宋体" w:eastAsia="宋体"/>
          <w:b/>
          <w:color w:val="000000" w:themeColor="text1"/>
          <w:spacing w:val="0"/>
          <w:sz w:val="21"/>
          <w:szCs w:val="21"/>
          <w:highlight w:val="none"/>
          <w:lang w:eastAsia="zh-CN"/>
          <w14:textFill>
            <w14:solidFill>
              <w14:schemeClr w14:val="tx1"/>
            </w14:solidFill>
          </w14:textFill>
        </w:rPr>
      </w:pPr>
      <w:r>
        <w:rPr>
          <w:rFonts w:ascii="宋体" w:hAnsi="宋体" w:eastAsia="宋体"/>
          <w:b/>
          <w:color w:val="000000" w:themeColor="text1"/>
          <w:spacing w:val="0"/>
          <w:sz w:val="21"/>
          <w:szCs w:val="21"/>
          <w:highlight w:val="none"/>
          <w:lang w:eastAsia="zh-CN"/>
          <w14:textFill>
            <w14:solidFill>
              <w14:schemeClr w14:val="tx1"/>
            </w14:solidFill>
          </w14:textFill>
        </w:rPr>
        <w:t>13.3在技术评</w:t>
      </w:r>
      <w:r>
        <w:rPr>
          <w:rFonts w:hint="eastAsia" w:ascii="宋体" w:hAnsi="宋体" w:eastAsia="宋体"/>
          <w:b/>
          <w:color w:val="000000" w:themeColor="text1"/>
          <w:spacing w:val="0"/>
          <w:sz w:val="21"/>
          <w:szCs w:val="21"/>
          <w:highlight w:val="none"/>
          <w:lang w:eastAsia="zh-CN"/>
          <w14:textFill>
            <w14:solidFill>
              <w14:schemeClr w14:val="tx1"/>
            </w14:solidFill>
          </w14:textFill>
        </w:rPr>
        <w:t>审</w:t>
      </w:r>
      <w:r>
        <w:rPr>
          <w:rFonts w:ascii="宋体" w:hAnsi="宋体" w:eastAsia="宋体"/>
          <w:b/>
          <w:color w:val="000000" w:themeColor="text1"/>
          <w:spacing w:val="0"/>
          <w:sz w:val="21"/>
          <w:szCs w:val="21"/>
          <w:highlight w:val="none"/>
          <w:lang w:eastAsia="zh-CN"/>
          <w14:textFill>
            <w14:solidFill>
              <w14:schemeClr w14:val="tx1"/>
            </w14:solidFill>
          </w14:textFill>
        </w:rPr>
        <w:t>时，如发现下列情形之一的，投标文件将被视为无效：</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⑴未提供或未如实提供投标货物的技术参数，或者投标文件标明的响应或偏离与事实不符或虚假投标的；</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⑵</w:t>
      </w:r>
      <w:r>
        <w:rPr>
          <w:rFonts w:hint="eastAsia" w:ascii="宋体" w:hAnsi="宋体" w:eastAsia="宋体"/>
          <w:snapToGrid w:val="0"/>
          <w:color w:val="000000" w:themeColor="text1"/>
          <w:spacing w:val="0"/>
          <w:sz w:val="21"/>
          <w:szCs w:val="21"/>
          <w:highlight w:val="none"/>
          <w:lang w:eastAsia="zh-CN"/>
          <w14:textFill>
            <w14:solidFill>
              <w14:schemeClr w14:val="tx1"/>
            </w14:solidFill>
          </w14:textFill>
        </w:rPr>
        <w:t>明显不符合招标文件要求的规格型号、质量标准，或者与</w:t>
      </w:r>
      <w:r>
        <w:rPr>
          <w:rFonts w:hint="eastAsia" w:ascii="宋体" w:hAnsi="宋体" w:eastAsia="宋体"/>
          <w:color w:val="000000" w:themeColor="text1"/>
          <w:spacing w:val="0"/>
          <w:sz w:val="21"/>
          <w:szCs w:val="21"/>
          <w:highlight w:val="none"/>
          <w:lang w:eastAsia="zh-CN"/>
          <w14:textFill>
            <w14:solidFill>
              <w14:schemeClr w14:val="tx1"/>
            </w14:solidFill>
          </w14:textFill>
        </w:rPr>
        <w:t>招标文件中的技术指标、主要功能项目发生实质性偏离的；</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⑶投标文件未提供“投标人须知”第6.4.2条规定中“必须提供”的文件资料的；</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⑷投标技术方案不明确，存在一个或一个以上备选（替代）投标方案的。</w:t>
      </w:r>
    </w:p>
    <w:p>
      <w:pPr>
        <w:pStyle w:val="18"/>
        <w:wordWrap w:val="0"/>
        <w:topLinePunct/>
        <w:adjustRightInd w:val="0"/>
        <w:snapToGrid w:val="0"/>
        <w:spacing w:line="340" w:lineRule="exact"/>
        <w:ind w:firstLine="422" w:firstLineChars="200"/>
        <w:rPr>
          <w:rFonts w:ascii="宋体" w:hAnsi="宋体" w:eastAsia="宋体"/>
          <w:b/>
          <w:color w:val="000000" w:themeColor="text1"/>
          <w:spacing w:val="0"/>
          <w:sz w:val="21"/>
          <w:szCs w:val="21"/>
          <w:highlight w:val="none"/>
          <w:lang w:eastAsia="zh-CN"/>
          <w14:textFill>
            <w14:solidFill>
              <w14:schemeClr w14:val="tx1"/>
            </w14:solidFill>
          </w14:textFill>
        </w:rPr>
      </w:pPr>
      <w:r>
        <w:rPr>
          <w:rFonts w:ascii="宋体" w:hAnsi="宋体" w:eastAsia="宋体"/>
          <w:b/>
          <w:color w:val="000000" w:themeColor="text1"/>
          <w:spacing w:val="0"/>
          <w:sz w:val="21"/>
          <w:szCs w:val="21"/>
          <w:highlight w:val="none"/>
          <w:lang w:eastAsia="zh-CN"/>
          <w14:textFill>
            <w14:solidFill>
              <w14:schemeClr w14:val="tx1"/>
            </w14:solidFill>
          </w14:textFill>
        </w:rPr>
        <w:t>13.4在报价评</w:t>
      </w:r>
      <w:r>
        <w:rPr>
          <w:rFonts w:hint="eastAsia" w:ascii="宋体" w:hAnsi="宋体" w:eastAsia="宋体"/>
          <w:b/>
          <w:color w:val="000000" w:themeColor="text1"/>
          <w:spacing w:val="0"/>
          <w:sz w:val="21"/>
          <w:szCs w:val="21"/>
          <w:highlight w:val="none"/>
          <w:lang w:eastAsia="zh-CN"/>
          <w14:textFill>
            <w14:solidFill>
              <w14:schemeClr w14:val="tx1"/>
            </w14:solidFill>
          </w14:textFill>
        </w:rPr>
        <w:t>审</w:t>
      </w:r>
      <w:r>
        <w:rPr>
          <w:rFonts w:ascii="宋体" w:hAnsi="宋体" w:eastAsia="宋体"/>
          <w:b/>
          <w:color w:val="000000" w:themeColor="text1"/>
          <w:spacing w:val="0"/>
          <w:sz w:val="21"/>
          <w:szCs w:val="21"/>
          <w:highlight w:val="none"/>
          <w:lang w:eastAsia="zh-CN"/>
          <w14:textFill>
            <w14:solidFill>
              <w14:schemeClr w14:val="tx1"/>
            </w14:solidFill>
          </w14:textFill>
        </w:rPr>
        <w:t>时，如发现下列情形之一的，投标文件将被视为无效：</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⑴未采用人民币报价或者未按照招标文件标明的币种报价的；</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⑵报价超出最高限价，或者超出采购预算金额，招标单位不能支付的；</w:t>
      </w:r>
    </w:p>
    <w:p>
      <w:pPr>
        <w:pStyle w:val="18"/>
        <w:wordWrap w:val="0"/>
        <w:topLinePunct/>
        <w:adjustRightInd w:val="0"/>
        <w:snapToGrid w:val="0"/>
        <w:spacing w:line="340" w:lineRule="exact"/>
        <w:ind w:firstLine="420" w:firstLineChars="200"/>
        <w:rPr>
          <w:rFonts w:ascii="宋体" w:hAnsi="宋体" w:eastAsia="宋体"/>
          <w:color w:val="000000" w:themeColor="text1"/>
          <w:spacing w:val="0"/>
          <w:sz w:val="21"/>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⑶投标报价具有选择性，或者开标价格与投标文件承诺的优惠（折扣）价格不一致的。</w:t>
      </w:r>
    </w:p>
    <w:p>
      <w:pPr>
        <w:pStyle w:val="18"/>
        <w:wordWrap w:val="0"/>
        <w:topLinePunct/>
        <w:adjustRightInd w:val="0"/>
        <w:snapToGrid w:val="0"/>
        <w:spacing w:line="340" w:lineRule="exact"/>
        <w:ind w:firstLine="420" w:firstLineChars="200"/>
        <w:rPr>
          <w:rFonts w:hAnsi="宋体"/>
          <w:b/>
          <w:color w:val="000000" w:themeColor="text1"/>
          <w:spacing w:val="0"/>
          <w:szCs w:val="21"/>
          <w:highlight w:val="none"/>
          <w:lang w:eastAsia="zh-CN"/>
          <w14:textFill>
            <w14:solidFill>
              <w14:schemeClr w14:val="tx1"/>
            </w14:solidFill>
          </w14:textFill>
        </w:rPr>
      </w:pPr>
      <w:r>
        <w:rPr>
          <w:rFonts w:hint="eastAsia" w:ascii="宋体" w:hAnsi="宋体" w:eastAsia="宋体"/>
          <w:color w:val="000000" w:themeColor="text1"/>
          <w:spacing w:val="0"/>
          <w:sz w:val="21"/>
          <w:szCs w:val="21"/>
          <w:highlight w:val="none"/>
          <w:lang w:eastAsia="zh-CN"/>
          <w14:textFill>
            <w14:solidFill>
              <w14:schemeClr w14:val="tx1"/>
            </w14:solidFill>
          </w14:textFill>
        </w:rPr>
        <w:t>⑷被拒绝的投标文件为无效。</w:t>
      </w:r>
    </w:p>
    <w:p>
      <w:pPr>
        <w:pStyle w:val="20"/>
        <w:wordWrap w:val="0"/>
        <w:topLinePunct/>
        <w:adjustRightInd w:val="0"/>
        <w:snapToGrid w:val="0"/>
        <w:spacing w:line="34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13.5招标采购项目出现下列情形之一的，将予废标：</w:t>
      </w:r>
    </w:p>
    <w:p>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⑴截标后整个招标项目的投标人不足三家的或实质性响应不足法定三家的；</w:t>
      </w:r>
    </w:p>
    <w:p>
      <w:pPr>
        <w:widowControl/>
        <w:wordWrap w:val="0"/>
        <w:topLinePunct/>
        <w:adjustRightInd w:val="0"/>
        <w:snapToGrid w:val="0"/>
        <w:spacing w:line="340" w:lineRule="exact"/>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⑵出现影响采购公正的违法、违规行为的；</w:t>
      </w:r>
    </w:p>
    <w:p>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⑶投标人的报价均超过了采购预算，招标单位不能支付的；</w:t>
      </w:r>
    </w:p>
    <w:p>
      <w:pPr>
        <w:widowControl/>
        <w:wordWrap w:val="0"/>
        <w:topLinePunct/>
        <w:adjustRightInd w:val="0"/>
        <w:snapToGrid w:val="0"/>
        <w:spacing w:line="34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⑷因重大变故，采购任务取消的。</w:t>
      </w:r>
    </w:p>
    <w:p>
      <w:pPr>
        <w:pStyle w:val="18"/>
        <w:wordWrap w:val="0"/>
        <w:topLinePunct/>
        <w:adjustRightInd w:val="0"/>
        <w:snapToGrid w:val="0"/>
        <w:spacing w:line="360" w:lineRule="exact"/>
        <w:ind w:firstLine="422" w:firstLineChars="200"/>
        <w:rPr>
          <w:rFonts w:ascii="宋体" w:hAnsi="宋体" w:eastAsia="宋体"/>
          <w:b/>
          <w:bCs/>
          <w:color w:val="000000" w:themeColor="text1"/>
          <w:spacing w:val="0"/>
          <w:sz w:val="21"/>
          <w:szCs w:val="21"/>
          <w:highlight w:val="none"/>
          <w:lang w:eastAsia="zh-CN"/>
          <w14:textFill>
            <w14:solidFill>
              <w14:schemeClr w14:val="tx1"/>
            </w14:solidFill>
          </w14:textFill>
        </w:rPr>
      </w:pPr>
      <w:r>
        <w:rPr>
          <w:rFonts w:ascii="宋体" w:hAnsi="宋体" w:eastAsia="宋体"/>
          <w:b/>
          <w:bCs/>
          <w:color w:val="000000" w:themeColor="text1"/>
          <w:spacing w:val="0"/>
          <w:sz w:val="21"/>
          <w:szCs w:val="21"/>
          <w:highlight w:val="none"/>
          <w:lang w:eastAsia="zh-CN"/>
          <w14:textFill>
            <w14:solidFill>
              <w14:schemeClr w14:val="tx1"/>
            </w14:solidFill>
          </w14:textFill>
        </w:rPr>
        <w:t>13.</w:t>
      </w:r>
      <w:r>
        <w:rPr>
          <w:rFonts w:hint="eastAsia" w:ascii="宋体" w:hAnsi="宋体" w:eastAsia="宋体"/>
          <w:b/>
          <w:bCs/>
          <w:color w:val="000000" w:themeColor="text1"/>
          <w:spacing w:val="0"/>
          <w:sz w:val="21"/>
          <w:szCs w:val="21"/>
          <w:highlight w:val="none"/>
          <w:lang w:eastAsia="zh-CN"/>
          <w14:textFill>
            <w14:solidFill>
              <w14:schemeClr w14:val="tx1"/>
            </w14:solidFill>
          </w14:textFill>
        </w:rPr>
        <w:t>6</w:t>
      </w:r>
      <w:r>
        <w:rPr>
          <w:rFonts w:ascii="宋体" w:hAnsi="宋体" w:eastAsia="宋体"/>
          <w:b/>
          <w:bCs/>
          <w:color w:val="000000" w:themeColor="text1"/>
          <w:spacing w:val="0"/>
          <w:sz w:val="21"/>
          <w:szCs w:val="21"/>
          <w:highlight w:val="none"/>
          <w:lang w:eastAsia="zh-CN"/>
          <w14:textFill>
            <w14:solidFill>
              <w14:schemeClr w14:val="tx1"/>
            </w14:solidFill>
          </w14:textFill>
        </w:rPr>
        <w:t>废标后，采购代理机构将把废标理由通知所有投标人。</w:t>
      </w:r>
    </w:p>
    <w:p>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14. 关于相同品牌产品投标、串通投标的特别说明：</w:t>
      </w:r>
    </w:p>
    <w:p>
      <w:pPr>
        <w:spacing w:line="400" w:lineRule="exact"/>
        <w:ind w:firstLine="422"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14.1</w:t>
      </w:r>
      <w:r>
        <w:rPr>
          <w:rFonts w:hint="eastAsia" w:ascii="宋体" w:hAnsi="宋体" w:eastAsia="宋体"/>
          <w:color w:val="000000" w:themeColor="text1"/>
          <w:kern w:val="2"/>
          <w:sz w:val="21"/>
          <w:szCs w:val="24"/>
          <w:highlight w:val="none"/>
          <w:lang w:eastAsia="zh-CN"/>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非单一产品采购项目，采购人应当根据采购项目技术构成、产品价格比重等合理确定核心产品，并在招标文件中载明。</w:t>
      </w:r>
    </w:p>
    <w:p>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14.2有下列情形之一的视为供应商相互串通投标，投标文件将被视为无效：</w:t>
      </w:r>
    </w:p>
    <w:p>
      <w:pPr>
        <w:spacing w:line="400" w:lineRule="exact"/>
        <w:ind w:firstLine="420" w:firstLineChars="200"/>
        <w:rPr>
          <w:rFonts w:hint="eastAsia"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（(1)不同供应商的响应文件由同一单位或者个人编制;或者不同投标人报名的IP地址一致的;或者</w:t>
      </w:r>
    </w:p>
    <w:p>
      <w:pPr>
        <w:spacing w:line="400" w:lineRule="exact"/>
        <w:ind w:firstLine="420"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不同投标人报名的IP地址一致的，或者编制标书硬件设备CPU编号、硬盘编号、网卡地址一致的情况</w:t>
      </w:r>
      <w:r>
        <w:rPr>
          <w:rFonts w:hint="eastAsia" w:ascii="宋体" w:hAnsi="宋体" w:eastAsia="宋体"/>
          <w:b/>
          <w:bCs/>
          <w:color w:val="000000" w:themeColor="text1"/>
          <w:kern w:val="2"/>
          <w:sz w:val="21"/>
          <w:szCs w:val="24"/>
          <w:highlight w:val="none"/>
          <w:lang w:eastAsia="zh-CN"/>
          <w14:textFill>
            <w14:solidFill>
              <w14:schemeClr w14:val="tx1"/>
            </w14:solidFill>
          </w14:textFill>
        </w:rPr>
        <w:t>；</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（2）不同供应商委托同一单位或者个人办理投标事宜；</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（3）不同的供应商的投标文件载明的项目管理人员为同一个人；</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（4）不同供应商的投标文件异常一致或报价呈规律性差异；</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（5）不同供应商的投标文件相互混装；</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（6）不同供应商的保证金从同一单位或者个人账户转出。</w:t>
      </w:r>
    </w:p>
    <w:p>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14.3供应商有下列情形之一的，属于恶意串通行为：</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（1）供应商直接或者间接从采购人或者采购代理机构处获得其他供应商的相关信息并修改其投标文件：</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（2）供应商按照采购人或者采购代理机构的授意撤换、修改投标文件；</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（3）供应商之间协商报价、技术方案等投标文件的实质性内容；</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（4）属于同一集团、协会、商会等组织成员的供应商按照该组织要求协同参加政府采购活动；</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（5）供应商之间事先约定一致抬高或者压低报价，或者在采购项目中事先约定轮流以高价位或者低价位中标，或者事先约定由某一特定供应商中标，然后再参加投标；</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（6）供应商之间商定部分供应商放弃参加政府采购活动或者放弃中标；</w:t>
      </w:r>
    </w:p>
    <w:p>
      <w:pPr>
        <w:spacing w:line="400" w:lineRule="exact"/>
        <w:ind w:firstLine="420" w:firstLineChars="200"/>
        <w:rPr>
          <w:rFonts w:ascii="宋体" w:hAnsi="宋体" w:eastAsia="宋体"/>
          <w:color w:val="000000" w:themeColor="text1"/>
          <w:kern w:val="2"/>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1"/>
          <w:highlight w:val="none"/>
          <w:lang w:eastAsia="zh-CN"/>
          <w14:textFill>
            <w14:solidFill>
              <w14:schemeClr w14:val="tx1"/>
            </w14:solidFill>
          </w14:textFill>
        </w:rPr>
        <w:t>（7）供应商与采购人或者采购代理机构之间、供应商相互之间，为谋求特定供应商中标或者排斥其他供应商的其他串通行为。</w:t>
      </w:r>
    </w:p>
    <w:p>
      <w:pPr>
        <w:spacing w:line="400" w:lineRule="exact"/>
        <w:ind w:firstLine="422" w:firstLineChars="200"/>
        <w:rPr>
          <w:rFonts w:ascii="宋体" w:hAnsi="宋体" w:eastAsia="宋体"/>
          <w:b/>
          <w:bCs/>
          <w:color w:val="000000" w:themeColor="text1"/>
          <w:kern w:val="2"/>
          <w:sz w:val="21"/>
          <w:szCs w:val="24"/>
          <w:highlight w:val="none"/>
          <w:lang w:eastAsia="zh-CN"/>
          <w14:textFill>
            <w14:solidFill>
              <w14:schemeClr w14:val="tx1"/>
            </w14:solidFill>
          </w14:textFill>
        </w:rPr>
      </w:pPr>
      <w:r>
        <w:rPr>
          <w:rFonts w:hint="eastAsia" w:ascii="宋体" w:hAnsi="宋体" w:eastAsia="宋体"/>
          <w:b/>
          <w:bCs/>
          <w:color w:val="000000" w:themeColor="text1"/>
          <w:kern w:val="2"/>
          <w:sz w:val="21"/>
          <w:szCs w:val="24"/>
          <w:highlight w:val="none"/>
          <w:lang w:eastAsia="zh-CN"/>
          <w14:textFill>
            <w14:solidFill>
              <w14:schemeClr w14:val="tx1"/>
            </w14:solidFill>
          </w14:textFill>
        </w:rPr>
        <w:t>14.4单位负责人为同一人或者存在直接控股、管理关系的不同的供应商，不得参加同一合同项下的政府采购活动，否则投标文件将被视为无效。</w:t>
      </w:r>
    </w:p>
    <w:p>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p>
    <w:p>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15.废标</w:t>
      </w:r>
    </w:p>
    <w:p>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投标采购过程中出现下列情形之一的，将予以废标：</w:t>
      </w:r>
    </w:p>
    <w:p>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(1)出现影响采购公正的违法、违规行为的；</w:t>
      </w:r>
    </w:p>
    <w:p>
      <w:pPr>
        <w:spacing w:line="400" w:lineRule="exact"/>
        <w:ind w:firstLine="420" w:firstLineChars="2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(2)投标人的最终报价均超过了采购预算，采购人不能支付的；</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(3)因重大变故，采购任务取消的。</w:t>
      </w:r>
    </w:p>
    <w:p>
      <w:pPr>
        <w:spacing w:line="40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16.其他</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16.1供应商投标所使用的资格、信誉、荣誉、业绩与企业认证必须为其组织所拥有。供应商投标所使用的采购项目实施人员必须为组织员工（或必须为本法人或控股公司正式员工）。</w:t>
      </w:r>
    </w:p>
    <w:p>
      <w:pPr>
        <w:spacing w:line="400" w:lineRule="exact"/>
        <w:ind w:firstLine="420" w:firstLineChars="200"/>
        <w:rPr>
          <w:rFonts w:ascii="宋体" w:hAnsi="宋体" w:eastAsia="宋体"/>
          <w:color w:val="000000" w:themeColor="text1"/>
          <w:kern w:val="2"/>
          <w:sz w:val="21"/>
          <w:szCs w:val="24"/>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16.2供应商应仔细阅读采购的所有内容，按照采购文件的要求提交投标文件，并对所提供的全部资料的真实性承担法律责任。</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kern w:val="2"/>
          <w:sz w:val="21"/>
          <w:szCs w:val="24"/>
          <w:highlight w:val="none"/>
          <w:lang w:eastAsia="zh-CN"/>
          <w14:textFill>
            <w14:solidFill>
              <w14:schemeClr w14:val="tx1"/>
            </w14:solidFill>
          </w14:textFill>
        </w:rPr>
        <w:t>16.3供应商在投标活动中提供任何虚假材料，其投标无效，并报监管部门查处。</w:t>
      </w:r>
    </w:p>
    <w:p>
      <w:pPr>
        <w:pStyle w:val="18"/>
        <w:wordWrap w:val="0"/>
        <w:topLinePunct/>
        <w:adjustRightInd w:val="0"/>
        <w:snapToGrid w:val="0"/>
        <w:spacing w:line="360" w:lineRule="exact"/>
        <w:ind w:firstLine="404" w:firstLineChars="200"/>
        <w:rPr>
          <w:rFonts w:ascii="宋体" w:hAnsi="宋体" w:eastAsia="宋体"/>
          <w:color w:val="000000" w:themeColor="text1"/>
          <w:sz w:val="21"/>
          <w:szCs w:val="21"/>
          <w:highlight w:val="none"/>
          <w:lang w:eastAsia="zh-CN"/>
          <w14:textFill>
            <w14:solidFill>
              <w14:schemeClr w14:val="tx1"/>
            </w14:solidFill>
          </w14:textFill>
        </w:rPr>
      </w:pPr>
    </w:p>
    <w:p>
      <w:pPr>
        <w:pStyle w:val="20"/>
        <w:numPr>
          <w:ilvl w:val="0"/>
          <w:numId w:val="3"/>
        </w:numPr>
        <w:wordWrap w:val="0"/>
        <w:topLinePunct/>
        <w:spacing w:line="360" w:lineRule="exact"/>
        <w:jc w:val="center"/>
        <w:outlineLvl w:val="0"/>
        <w:rPr>
          <w:rFonts w:hAnsi="宋体"/>
          <w:b/>
          <w:color w:val="000000" w:themeColor="text1"/>
          <w:highlight w:val="none"/>
          <w14:textFill>
            <w14:solidFill>
              <w14:schemeClr w14:val="tx1"/>
            </w14:solidFill>
          </w14:textFill>
        </w:rPr>
      </w:pPr>
      <w:bookmarkStart w:id="83" w:name="_Toc29808"/>
      <w:bookmarkStart w:id="84" w:name="_Toc31219"/>
      <w:r>
        <w:rPr>
          <w:rFonts w:hint="eastAsia" w:hAnsi="宋体"/>
          <w:b/>
          <w:color w:val="000000" w:themeColor="text1"/>
          <w:highlight w:val="none"/>
          <w14:textFill>
            <w14:solidFill>
              <w14:schemeClr w14:val="tx1"/>
            </w14:solidFill>
          </w14:textFill>
        </w:rPr>
        <w:t>投标文件的递交</w:t>
      </w:r>
      <w:bookmarkEnd w:id="53"/>
      <w:bookmarkEnd w:id="54"/>
      <w:bookmarkEnd w:id="55"/>
      <w:bookmarkEnd w:id="83"/>
      <w:bookmarkEnd w:id="84"/>
    </w:p>
    <w:p>
      <w:pPr>
        <w:pStyle w:val="20"/>
        <w:wordWrap w:val="0"/>
        <w:topLinePunct/>
        <w:spacing w:line="360" w:lineRule="exact"/>
        <w:jc w:val="center"/>
        <w:outlineLvl w:val="0"/>
        <w:rPr>
          <w:rFonts w:hAnsi="宋体"/>
          <w:b/>
          <w:color w:val="000000" w:themeColor="text1"/>
          <w:highlight w:val="none"/>
          <w14:textFill>
            <w14:solidFill>
              <w14:schemeClr w14:val="tx1"/>
            </w14:solidFill>
          </w14:textFill>
        </w:rPr>
      </w:pPr>
    </w:p>
    <w:p>
      <w:pPr>
        <w:pStyle w:val="20"/>
        <w:wordWrap w:val="0"/>
        <w:topLinePunct/>
        <w:spacing w:line="360" w:lineRule="exact"/>
        <w:ind w:firstLine="422" w:firstLineChars="200"/>
        <w:outlineLvl w:val="1"/>
        <w:rPr>
          <w:rFonts w:hAnsi="宋体"/>
          <w:b/>
          <w:color w:val="000000" w:themeColor="text1"/>
          <w:highlight w:val="none"/>
          <w14:textFill>
            <w14:solidFill>
              <w14:schemeClr w14:val="tx1"/>
            </w14:solidFill>
          </w14:textFill>
        </w:rPr>
      </w:pPr>
      <w:bookmarkStart w:id="85" w:name="_Toc147250330"/>
      <w:bookmarkStart w:id="86" w:name="_Toc147250376"/>
      <w:bookmarkStart w:id="87" w:name="_Toc147250532"/>
      <w:r>
        <w:rPr>
          <w:rFonts w:hint="eastAsia" w:hAnsi="宋体"/>
          <w:b/>
          <w:color w:val="000000" w:themeColor="text1"/>
          <w:highlight w:val="none"/>
          <w14:textFill>
            <w14:solidFill>
              <w14:schemeClr w14:val="tx1"/>
            </w14:solidFill>
          </w14:textFill>
        </w:rPr>
        <w:t>17.投标文件的密封与标记</w:t>
      </w:r>
      <w:bookmarkEnd w:id="85"/>
      <w:bookmarkEnd w:id="86"/>
      <w:bookmarkEnd w:id="87"/>
    </w:p>
    <w:p>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17.1电子投标文件按投标人须知前附表第7项规定由投标人自行编制、加密并通过广西政府采购云平台上传提交。</w:t>
      </w:r>
    </w:p>
    <w:p>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17.2投标人应将电子备份投标文件（以U盘或光盘存储）加以密封提交，电子备份投标文件袋上都应写明：</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(1)代理单位：</w:t>
      </w:r>
      <w:r>
        <w:rPr>
          <w:rFonts w:hint="eastAsia" w:hAnsi="宋体" w:cs="宋体"/>
          <w:i/>
          <w:iCs/>
          <w:color w:val="000000" w:themeColor="text1"/>
          <w:highlight w:val="none"/>
          <w14:textFill>
            <w14:solidFill>
              <w14:schemeClr w14:val="tx1"/>
            </w14:solidFill>
          </w14:textFill>
        </w:rPr>
        <w:t xml:space="preserve">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(2)项目名称：</w:t>
      </w:r>
    </w:p>
    <w:p>
      <w:pPr>
        <w:pStyle w:val="20"/>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(3)项目编号：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(4)投标人名称（加盖公章）：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(5)投标人地址：                  </w:t>
      </w:r>
    </w:p>
    <w:p>
      <w:pPr>
        <w:pStyle w:val="20"/>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(6)注明“截标前不得启封”</w:t>
      </w:r>
    </w:p>
    <w:p>
      <w:pPr>
        <w:pStyle w:val="20"/>
        <w:spacing w:line="380" w:lineRule="atLeast"/>
        <w:ind w:firstLine="42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17.3电子备份投标文件</w:t>
      </w:r>
      <w:r>
        <w:rPr>
          <w:rFonts w:hint="eastAsia" w:hAnsi="宋体" w:cs="宋体"/>
          <w:bCs/>
          <w:color w:val="000000" w:themeColor="text1"/>
          <w:highlight w:val="none"/>
          <w14:textFill>
            <w14:solidFill>
              <w14:schemeClr w14:val="tx1"/>
            </w14:solidFill>
          </w14:textFill>
        </w:rPr>
        <w:t>的密封以投标文件袋无明显缝隙暴露袋内文件且封口处有密封签章为合格。</w:t>
      </w:r>
    </w:p>
    <w:p>
      <w:pPr>
        <w:wordWrap w:val="0"/>
        <w:topLinePunct/>
        <w:adjustRightInd w:val="0"/>
        <w:snapToGrid w:val="0"/>
        <w:spacing w:line="340" w:lineRule="exact"/>
        <w:ind w:firstLine="420" w:firstLineChars="200"/>
        <w:outlineLvl w:val="2"/>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17.4逾期送达或者未按照招标文件要求密封的投标文件将被拒绝，由此造成投标文件被误投或提前拆封的风险由投标人承担。</w:t>
      </w:r>
    </w:p>
    <w:p>
      <w:pPr>
        <w:pStyle w:val="20"/>
        <w:wordWrap w:val="0"/>
        <w:topLinePunct/>
        <w:spacing w:line="360" w:lineRule="exact"/>
        <w:ind w:firstLine="422" w:firstLineChars="200"/>
        <w:outlineLvl w:val="1"/>
        <w:rPr>
          <w:rFonts w:hAnsi="宋体"/>
          <w:b/>
          <w:color w:val="000000" w:themeColor="text1"/>
          <w:highlight w:val="none"/>
          <w14:textFill>
            <w14:solidFill>
              <w14:schemeClr w14:val="tx1"/>
            </w14:solidFill>
          </w14:textFill>
        </w:rPr>
      </w:pPr>
      <w:bookmarkStart w:id="88" w:name="_Toc147250377"/>
      <w:bookmarkStart w:id="89" w:name="_Toc147250533"/>
      <w:bookmarkStart w:id="90" w:name="_Toc147250331"/>
      <w:r>
        <w:rPr>
          <w:rFonts w:hint="eastAsia" w:hAnsi="宋体"/>
          <w:b/>
          <w:color w:val="000000" w:themeColor="text1"/>
          <w:highlight w:val="none"/>
          <w14:textFill>
            <w14:solidFill>
              <w14:schemeClr w14:val="tx1"/>
            </w14:solidFill>
          </w14:textFill>
        </w:rPr>
        <w:t>18.投标截止时间</w:t>
      </w:r>
      <w:bookmarkEnd w:id="88"/>
      <w:bookmarkEnd w:id="89"/>
      <w:bookmarkEnd w:id="90"/>
    </w:p>
    <w:p>
      <w:pPr>
        <w:pStyle w:val="20"/>
        <w:wordWrap w:val="0"/>
        <w:topLinePunct/>
        <w:spacing w:line="360" w:lineRule="exact"/>
        <w:ind w:firstLine="420" w:firstLineChars="200"/>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18.1投标文件的递交不得迟于本须知前附表第7项规定的截止时间。</w:t>
      </w:r>
    </w:p>
    <w:p>
      <w:pPr>
        <w:pStyle w:val="20"/>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18.2投标人必须在规定时间内将投标文件送到本须知前附表第7项规定地点，超过投标截止时间送达的投标文件为无效文件，采购代理机构将不予受理。</w:t>
      </w:r>
    </w:p>
    <w:p>
      <w:pPr>
        <w:pStyle w:val="20"/>
        <w:wordWrap w:val="0"/>
        <w:topLinePunct/>
        <w:spacing w:line="360" w:lineRule="exact"/>
        <w:ind w:firstLine="422" w:firstLineChars="200"/>
        <w:outlineLvl w:val="1"/>
        <w:rPr>
          <w:rFonts w:hAnsi="宋体"/>
          <w:color w:val="000000" w:themeColor="text1"/>
          <w:highlight w:val="none"/>
          <w14:textFill>
            <w14:solidFill>
              <w14:schemeClr w14:val="tx1"/>
            </w14:solidFill>
          </w14:textFill>
        </w:rPr>
      </w:pPr>
      <w:bookmarkStart w:id="91" w:name="_Toc147250378"/>
      <w:bookmarkStart w:id="92" w:name="_Toc147250332"/>
      <w:bookmarkStart w:id="93" w:name="_Toc147250534"/>
      <w:r>
        <w:rPr>
          <w:rFonts w:hint="eastAsia" w:hAnsi="宋体"/>
          <w:b/>
          <w:color w:val="000000" w:themeColor="text1"/>
          <w:highlight w:val="none"/>
          <w14:textFill>
            <w14:solidFill>
              <w14:schemeClr w14:val="tx1"/>
            </w14:solidFill>
          </w14:textFill>
        </w:rPr>
        <w:t>19.投标文件的修改及撤回</w:t>
      </w:r>
      <w:bookmarkEnd w:id="91"/>
      <w:bookmarkEnd w:id="92"/>
      <w:bookmarkEnd w:id="93"/>
    </w:p>
    <w:p>
      <w:pPr>
        <w:pStyle w:val="20"/>
        <w:wordWrap w:val="0"/>
        <w:topLinePunct/>
        <w:spacing w:line="36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19.1在投标截止时间后，投标人不得对其投标作任何修改。</w:t>
      </w:r>
    </w:p>
    <w:p>
      <w:pPr>
        <w:pStyle w:val="20"/>
        <w:wordWrap w:val="0"/>
        <w:topLinePunct/>
        <w:spacing w:line="360" w:lineRule="exact"/>
        <w:ind w:firstLine="420" w:firstLine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19.2在投标截止后的投标有效期内，投标人不得撤回其投标，否则其全部投标保证金将不予退还。</w:t>
      </w:r>
      <w:bookmarkStart w:id="94" w:name="_Toc147250333"/>
      <w:bookmarkStart w:id="95" w:name="_Toc147250535"/>
      <w:bookmarkStart w:id="96" w:name="_Toc147250379"/>
      <w:bookmarkStart w:id="97" w:name="_Toc13315"/>
      <w:bookmarkStart w:id="98" w:name="_Toc3366"/>
    </w:p>
    <w:p>
      <w:pPr>
        <w:pStyle w:val="20"/>
        <w:spacing w:line="288" w:lineRule="auto"/>
        <w:ind w:firstLine="32" w:firstLineChars="15"/>
        <w:jc w:val="center"/>
        <w:outlineLvl w:val="0"/>
        <w:rPr>
          <w:rFonts w:hAnsi="宋体"/>
          <w:b/>
          <w:color w:val="000000" w:themeColor="text1"/>
          <w:highlight w:val="none"/>
          <w14:textFill>
            <w14:solidFill>
              <w14:schemeClr w14:val="tx1"/>
            </w14:solidFill>
          </w14:textFill>
        </w:rPr>
      </w:pPr>
    </w:p>
    <w:p>
      <w:pPr>
        <w:pStyle w:val="20"/>
        <w:spacing w:line="288" w:lineRule="auto"/>
        <w:ind w:firstLine="32" w:firstLineChars="15"/>
        <w:jc w:val="center"/>
        <w:outlineLvl w:val="0"/>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五  开标</w:t>
      </w:r>
      <w:bookmarkEnd w:id="94"/>
      <w:bookmarkEnd w:id="95"/>
      <w:bookmarkEnd w:id="96"/>
      <w:bookmarkEnd w:id="97"/>
      <w:bookmarkEnd w:id="98"/>
    </w:p>
    <w:p>
      <w:pPr>
        <w:pStyle w:val="4"/>
        <w:spacing w:before="0" w:after="0" w:line="400" w:lineRule="exact"/>
        <w:ind w:firstLine="422" w:firstLineChars="200"/>
        <w:rPr>
          <w:rFonts w:hAnsi="宋体" w:cs="宋体"/>
          <w:color w:val="000000" w:themeColor="text1"/>
          <w:sz w:val="21"/>
          <w:szCs w:val="21"/>
          <w:highlight w:val="none"/>
          <w:lang w:eastAsia="zh-CN"/>
          <w14:textFill>
            <w14:solidFill>
              <w14:schemeClr w14:val="tx1"/>
            </w14:solidFill>
          </w14:textFill>
        </w:rPr>
      </w:pPr>
      <w:bookmarkStart w:id="99" w:name="_Toc352700430"/>
      <w:bookmarkStart w:id="100" w:name="_Toc353785300"/>
      <w:bookmarkStart w:id="101" w:name="_Toc147250339"/>
      <w:bookmarkStart w:id="102" w:name="_Toc681"/>
      <w:bookmarkStart w:id="103" w:name="_Toc14727"/>
      <w:bookmarkStart w:id="104" w:name="_Toc147250541"/>
      <w:bookmarkStart w:id="105" w:name="_Toc147250385"/>
      <w:r>
        <w:rPr>
          <w:rFonts w:hint="eastAsia" w:hAnsi="宋体" w:cs="宋体"/>
          <w:color w:val="000000" w:themeColor="text1"/>
          <w:sz w:val="21"/>
          <w:szCs w:val="21"/>
          <w:highlight w:val="none"/>
          <w:lang w:eastAsia="zh-CN"/>
          <w14:textFill>
            <w14:solidFill>
              <w14:schemeClr w14:val="tx1"/>
            </w14:solidFill>
          </w14:textFill>
        </w:rPr>
        <w:t>20.开标准备</w:t>
      </w:r>
      <w:bookmarkEnd w:id="99"/>
      <w:bookmarkEnd w:id="100"/>
    </w:p>
    <w:p>
      <w:pPr>
        <w:pStyle w:val="20"/>
        <w:snapToGrid w:val="0"/>
        <w:spacing w:line="400" w:lineRule="exact"/>
        <w:ind w:firstLine="420" w:firstLineChars="20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20.1本公司将按招标文件规定的时间、地点通过“政府采购云平台”组织开标、开启投标文件，所有供应商均应当准时在线参加。投标供应商因未在线参加开标而导致投标文件无法按时解密等一切后果由供应商自行承担。</w:t>
      </w:r>
    </w:p>
    <w:p>
      <w:pPr>
        <w:pStyle w:val="4"/>
        <w:spacing w:before="0" w:after="0" w:line="400" w:lineRule="exact"/>
        <w:ind w:firstLine="422" w:firstLineChars="200"/>
        <w:rPr>
          <w:rFonts w:hAnsi="宋体" w:cs="宋体"/>
          <w:color w:val="000000" w:themeColor="text1"/>
          <w:sz w:val="21"/>
          <w:szCs w:val="21"/>
          <w:highlight w:val="none"/>
          <w:lang w:eastAsia="zh-CN"/>
          <w14:textFill>
            <w14:solidFill>
              <w14:schemeClr w14:val="tx1"/>
            </w14:solidFill>
          </w14:textFill>
        </w:rPr>
      </w:pPr>
      <w:bookmarkStart w:id="106" w:name="_Toc353785301"/>
      <w:bookmarkStart w:id="107" w:name="_Toc352700431"/>
      <w:r>
        <w:rPr>
          <w:rFonts w:hint="eastAsia" w:hAnsi="宋体" w:cs="宋体"/>
          <w:color w:val="000000" w:themeColor="text1"/>
          <w:sz w:val="21"/>
          <w:szCs w:val="21"/>
          <w:highlight w:val="none"/>
          <w:lang w:eastAsia="zh-CN"/>
          <w14:textFill>
            <w14:solidFill>
              <w14:schemeClr w14:val="tx1"/>
            </w14:solidFill>
          </w14:textFill>
        </w:rPr>
        <w:t>21.开标程序</w:t>
      </w:r>
      <w:bookmarkEnd w:id="106"/>
      <w:bookmarkEnd w:id="107"/>
    </w:p>
    <w:p>
      <w:pPr>
        <w:pStyle w:val="20"/>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21.1电子开标会由采购代理机构主持。</w:t>
      </w:r>
    </w:p>
    <w:p>
      <w:pPr>
        <w:pStyle w:val="20"/>
        <w:adjustRightInd w:val="0"/>
        <w:snapToGrid w:val="0"/>
        <w:spacing w:line="400" w:lineRule="exact"/>
        <w:ind w:firstLine="420" w:firstLineChars="200"/>
        <w:rPr>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21.2采购代理机构工作人员</w:t>
      </w:r>
      <w:r>
        <w:rPr>
          <w:rFonts w:hint="eastAsia" w:hAnsi="宋体"/>
          <w:color w:val="000000" w:themeColor="text1"/>
          <w:highlight w:val="none"/>
          <w:lang w:eastAsia="zh-CN"/>
          <w14:textFill>
            <w14:solidFill>
              <w14:schemeClr w14:val="tx1"/>
            </w14:solidFill>
          </w14:textFill>
        </w:rPr>
        <w:t>通过广西政府采购云平台</w:t>
      </w:r>
      <w:r>
        <w:rPr>
          <w:rFonts w:hint="eastAsia"/>
          <w:color w:val="000000" w:themeColor="text1"/>
          <w:highlight w:val="none"/>
          <w14:textFill>
            <w14:solidFill>
              <w14:schemeClr w14:val="tx1"/>
            </w14:solidFill>
          </w14:textFill>
        </w:rPr>
        <w:t>向各投标供应商发出电子加密投标文件【开始解密】通知，由供应商按招标文件规定的时间内自行进行投标文件解密。解密失败时可</w:t>
      </w:r>
      <w:r>
        <w:rPr>
          <w:rFonts w:hint="eastAsia" w:hAnsi="宋体" w:cs="宋体"/>
          <w:color w:val="000000" w:themeColor="text1"/>
          <w:szCs w:val="21"/>
          <w:highlight w:val="none"/>
          <w14:textFill>
            <w14:solidFill>
              <w14:schemeClr w14:val="tx1"/>
            </w14:solidFill>
          </w14:textFill>
        </w:rPr>
        <w:t>以使用电子备份投标文件为依据，电子备份投标文件无法上传时</w:t>
      </w:r>
      <w:r>
        <w:rPr>
          <w:rFonts w:hint="eastAsia"/>
          <w:snapToGrid w:val="0"/>
          <w:color w:val="000000" w:themeColor="text1"/>
          <w:highlight w:val="none"/>
          <w14:textFill>
            <w14:solidFill>
              <w14:schemeClr w14:val="tx1"/>
            </w14:solidFill>
          </w14:textFill>
        </w:rPr>
        <w:t>，系统默认自动放弃。</w:t>
      </w:r>
    </w:p>
    <w:p>
      <w:pPr>
        <w:pStyle w:val="20"/>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21.3</w:t>
      </w:r>
      <w:r>
        <w:rPr>
          <w:rFonts w:hAnsi="宋体"/>
          <w:color w:val="000000" w:themeColor="text1"/>
          <w:highlight w:val="none"/>
          <w14:textFill>
            <w14:solidFill>
              <w14:schemeClr w14:val="tx1"/>
            </w14:solidFill>
          </w14:textFill>
        </w:rPr>
        <w:t>投标文件解密结束，开启</w:t>
      </w:r>
      <w:r>
        <w:rPr>
          <w:rFonts w:hint="eastAsia" w:hAnsi="宋体"/>
          <w:color w:val="000000" w:themeColor="text1"/>
          <w:highlight w:val="none"/>
          <w14:textFill>
            <w14:solidFill>
              <w14:schemeClr w14:val="tx1"/>
            </w14:solidFill>
          </w14:textFill>
        </w:rPr>
        <w:t>报价文件。投标供应商在线制作投标文件时填写的报价金额</w:t>
      </w:r>
      <w:r>
        <w:rPr>
          <w:rFonts w:hAnsi="宋体"/>
          <w:color w:val="000000" w:themeColor="text1"/>
          <w:highlight w:val="none"/>
          <w14:textFill>
            <w14:solidFill>
              <w14:schemeClr w14:val="tx1"/>
            </w14:solidFill>
          </w14:textFill>
        </w:rPr>
        <w:t>与解密后“电子加密投标文件”中《开标一览表》填写的金额不一致的，以解密后“电子加密投标文件”中《开标一览表》填写的金额为准，投标供应商拒绝接受此调整的，按无效投标处理。</w:t>
      </w:r>
    </w:p>
    <w:p>
      <w:pPr>
        <w:pStyle w:val="20"/>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21.4进入</w:t>
      </w:r>
      <w:r>
        <w:rPr>
          <w:rFonts w:hAnsi="宋体"/>
          <w:color w:val="000000" w:themeColor="text1"/>
          <w:highlight w:val="none"/>
          <w14:textFill>
            <w14:solidFill>
              <w14:schemeClr w14:val="tx1"/>
            </w14:solidFill>
          </w14:textFill>
        </w:rPr>
        <w:t>资格文件</w:t>
      </w:r>
      <w:r>
        <w:rPr>
          <w:rFonts w:hint="eastAsia" w:hAnsi="宋体"/>
          <w:color w:val="000000" w:themeColor="text1"/>
          <w:highlight w:val="none"/>
          <w14:textFill>
            <w14:solidFill>
              <w14:schemeClr w14:val="tx1"/>
            </w14:solidFill>
          </w14:textFill>
        </w:rPr>
        <w:t>审查环节</w:t>
      </w:r>
      <w:r>
        <w:rPr>
          <w:rFonts w:hAnsi="宋体"/>
          <w:color w:val="000000" w:themeColor="text1"/>
          <w:highlight w:val="none"/>
          <w14:textFill>
            <w14:solidFill>
              <w14:schemeClr w14:val="tx1"/>
            </w14:solidFill>
          </w14:textFill>
        </w:rPr>
        <w:t>，</w:t>
      </w:r>
      <w:r>
        <w:rPr>
          <w:rFonts w:hint="eastAsia" w:hAnsi="宋体"/>
          <w:color w:val="000000" w:themeColor="text1"/>
          <w:highlight w:val="none"/>
          <w14:textFill>
            <w14:solidFill>
              <w14:schemeClr w14:val="tx1"/>
            </w14:solidFill>
          </w14:textFill>
        </w:rPr>
        <w:t>本公司或者招标采购单位</w:t>
      </w:r>
      <w:r>
        <w:rPr>
          <w:rFonts w:hAnsi="宋体"/>
          <w:color w:val="000000" w:themeColor="text1"/>
          <w:highlight w:val="none"/>
          <w14:textFill>
            <w14:solidFill>
              <w14:schemeClr w14:val="tx1"/>
            </w14:solidFill>
          </w14:textFill>
        </w:rPr>
        <w:t>依法对投标供应商的资格进行审查。</w:t>
      </w:r>
    </w:p>
    <w:p>
      <w:pPr>
        <w:pStyle w:val="20"/>
        <w:adjustRightInd w:val="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21.5</w:t>
      </w:r>
      <w:r>
        <w:rPr>
          <w:rFonts w:hAnsi="宋体"/>
          <w:color w:val="000000" w:themeColor="text1"/>
          <w:highlight w:val="none"/>
          <w14:textFill>
            <w14:solidFill>
              <w14:schemeClr w14:val="tx1"/>
            </w14:solidFill>
          </w14:textFill>
        </w:rPr>
        <w:t>开启资格审查通过的投标供应商的商务技术文件进入符合性审查及商务技术评审</w:t>
      </w:r>
      <w:r>
        <w:rPr>
          <w:rFonts w:hint="eastAsia" w:hAnsi="宋体"/>
          <w:color w:val="000000" w:themeColor="text1"/>
          <w:highlight w:val="none"/>
          <w14:textFill>
            <w14:solidFill>
              <w14:schemeClr w14:val="tx1"/>
            </w14:solidFill>
          </w14:textFill>
        </w:rPr>
        <w:t>。</w:t>
      </w:r>
    </w:p>
    <w:p>
      <w:pPr>
        <w:pStyle w:val="20"/>
        <w:adjustRightInd w:val="0"/>
        <w:snapToGrid w:val="0"/>
        <w:spacing w:line="400" w:lineRule="exact"/>
        <w:ind w:firstLine="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注：①当整个招标项目的投标人不足3家的不开标，采购代理机构将按政府采购管理的有关规定处理。</w:t>
      </w:r>
    </w:p>
    <w:p>
      <w:pPr>
        <w:pStyle w:val="20"/>
        <w:snapToGrid w:val="0"/>
        <w:spacing w:line="400" w:lineRule="exact"/>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②开标后，某分标投标人不足3家的，采购代理机构将按政府采购管理的有关规定处理。</w:t>
      </w:r>
    </w:p>
    <w:p>
      <w:pPr>
        <w:pStyle w:val="20"/>
        <w:snapToGrid w:val="0"/>
        <w:spacing w:line="400" w:lineRule="exact"/>
        <w:ind w:firstLine="42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特别说明：如遇“政府采购云平台”电子化开标或评审程序调整的，按调整后程序执行。</w:t>
      </w:r>
    </w:p>
    <w:p>
      <w:pPr>
        <w:pStyle w:val="20"/>
        <w:snapToGrid w:val="0"/>
        <w:spacing w:line="400" w:lineRule="exact"/>
        <w:ind w:firstLine="420" w:firstLineChars="200"/>
        <w:rPr>
          <w:rFonts w:hAnsi="宋体" w:cs="宋体"/>
          <w:color w:val="000000" w:themeColor="text1"/>
          <w:highlight w:val="none"/>
          <w14:textFill>
            <w14:solidFill>
              <w14:schemeClr w14:val="tx1"/>
            </w14:solidFill>
          </w14:textFill>
        </w:rPr>
      </w:pPr>
    </w:p>
    <w:p>
      <w:pPr>
        <w:pStyle w:val="20"/>
        <w:snapToGrid w:val="0"/>
        <w:ind w:firstLine="422" w:firstLineChars="200"/>
        <w:jc w:val="center"/>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六  资格审查</w:t>
      </w:r>
    </w:p>
    <w:p>
      <w:pPr>
        <w:pStyle w:val="20"/>
        <w:spacing w:line="40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采购人或采购代理机构工作人员依法对投标人的资格进行审查。合格投标人不足3家的，不得评标。</w:t>
      </w:r>
    </w:p>
    <w:p>
      <w:pPr>
        <w:pStyle w:val="3"/>
        <w:spacing w:before="0" w:after="0" w:line="400" w:lineRule="exact"/>
        <w:ind w:firstLine="4427" w:firstLineChars="2100"/>
        <w:rPr>
          <w:rFonts w:ascii="宋体" w:hAnsi="宋体" w:eastAsia="宋体"/>
          <w:bCs w:val="0"/>
          <w:color w:val="000000" w:themeColor="text1"/>
          <w:sz w:val="21"/>
          <w:szCs w:val="21"/>
          <w:highlight w:val="none"/>
          <w:lang w:eastAsia="zh-CN"/>
          <w14:textFill>
            <w14:solidFill>
              <w14:schemeClr w14:val="tx1"/>
            </w14:solidFill>
          </w14:textFill>
        </w:rPr>
      </w:pPr>
      <w:bookmarkStart w:id="108" w:name="_Toc352700432"/>
      <w:bookmarkStart w:id="109" w:name="_Toc353785302"/>
      <w:bookmarkStart w:id="110" w:name="_Toc254970686"/>
      <w:bookmarkStart w:id="111" w:name="_Toc254970545"/>
      <w:r>
        <w:rPr>
          <w:rFonts w:hint="eastAsia" w:ascii="宋体" w:hAnsi="宋体" w:eastAsia="宋体"/>
          <w:bCs w:val="0"/>
          <w:color w:val="000000" w:themeColor="text1"/>
          <w:sz w:val="21"/>
          <w:szCs w:val="21"/>
          <w:highlight w:val="none"/>
          <w:lang w:eastAsia="zh-CN"/>
          <w14:textFill>
            <w14:solidFill>
              <w14:schemeClr w14:val="tx1"/>
            </w14:solidFill>
          </w14:textFill>
        </w:rPr>
        <w:t>七  评  标</w:t>
      </w:r>
      <w:bookmarkEnd w:id="108"/>
      <w:bookmarkEnd w:id="109"/>
      <w:bookmarkEnd w:id="110"/>
      <w:bookmarkEnd w:id="111"/>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12" w:name="_Toc353785303"/>
      <w:bookmarkStart w:id="113" w:name="_Toc352700433"/>
      <w:r>
        <w:rPr>
          <w:rFonts w:hint="eastAsia" w:ascii="宋体" w:hAnsi="宋体" w:cs="宋体"/>
          <w:color w:val="000000" w:themeColor="text1"/>
          <w:sz w:val="21"/>
          <w:szCs w:val="21"/>
          <w:highlight w:val="none"/>
          <w:lang w:eastAsia="zh-CN"/>
          <w14:textFill>
            <w14:solidFill>
              <w14:schemeClr w14:val="tx1"/>
            </w14:solidFill>
          </w14:textFill>
        </w:rPr>
        <w:t>22. 组建评标委员会</w:t>
      </w:r>
      <w:bookmarkEnd w:id="112"/>
      <w:bookmarkEnd w:id="113"/>
    </w:p>
    <w:p>
      <w:pPr>
        <w:pStyle w:val="20"/>
        <w:snapToGrid w:val="0"/>
        <w:spacing w:line="400" w:lineRule="exact"/>
        <w:ind w:firstLine="420" w:firstLineChars="200"/>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本招标采购项目的评标委员会由采购人代表和评审专家组成，</w:t>
      </w:r>
      <w:r>
        <w:rPr>
          <w:rFonts w:hint="eastAsia" w:hAnsi="宋体" w:cs="宋体"/>
          <w:color w:val="000000" w:themeColor="text1"/>
          <w:szCs w:val="21"/>
          <w:highlight w:val="none"/>
          <w14:textFill>
            <w14:solidFill>
              <w14:schemeClr w14:val="tx1"/>
            </w14:solidFill>
          </w14:textFill>
        </w:rPr>
        <w:t>成员人数应当为5人以上单数，其中</w:t>
      </w:r>
      <w:r>
        <w:rPr>
          <w:rFonts w:hint="eastAsia" w:hAnsi="宋体" w:cs="宋体"/>
          <w:bCs/>
          <w:color w:val="000000" w:themeColor="text1"/>
          <w:szCs w:val="21"/>
          <w:highlight w:val="none"/>
          <w14:textFill>
            <w14:solidFill>
              <w14:schemeClr w14:val="tx1"/>
            </w14:solidFill>
          </w14:textFill>
        </w:rPr>
        <w:t>评审专家</w:t>
      </w:r>
      <w:r>
        <w:rPr>
          <w:rFonts w:hint="eastAsia" w:hAnsi="宋体" w:cs="宋体"/>
          <w:color w:val="000000" w:themeColor="text1"/>
          <w:szCs w:val="21"/>
          <w:highlight w:val="none"/>
          <w14:textFill>
            <w14:solidFill>
              <w14:schemeClr w14:val="tx1"/>
            </w14:solidFill>
          </w14:textFill>
        </w:rPr>
        <w:t>人数不少于成员总数的2/3</w:t>
      </w:r>
      <w:r>
        <w:rPr>
          <w:rFonts w:hint="eastAsia" w:hAnsi="宋体" w:cs="宋体"/>
          <w:bCs/>
          <w:color w:val="000000" w:themeColor="text1"/>
          <w:szCs w:val="21"/>
          <w:highlight w:val="none"/>
          <w14:textFill>
            <w14:solidFill>
              <w14:schemeClr w14:val="tx1"/>
            </w14:solidFill>
          </w14:textFill>
        </w:rPr>
        <w:t>。</w:t>
      </w:r>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14" w:name="_Toc353785304"/>
      <w:bookmarkStart w:id="115" w:name="_Toc352700434"/>
      <w:r>
        <w:rPr>
          <w:rFonts w:hint="eastAsia" w:ascii="宋体" w:hAnsi="宋体" w:cs="宋体"/>
          <w:color w:val="000000" w:themeColor="text1"/>
          <w:sz w:val="21"/>
          <w:szCs w:val="21"/>
          <w:highlight w:val="none"/>
          <w:lang w:eastAsia="zh-CN"/>
          <w14:textFill>
            <w14:solidFill>
              <w14:schemeClr w14:val="tx1"/>
            </w14:solidFill>
          </w14:textFill>
        </w:rPr>
        <w:t>23.评标的方式</w:t>
      </w:r>
      <w:bookmarkEnd w:id="114"/>
      <w:bookmarkEnd w:id="115"/>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本项目采用不公开方式评标，评标的依据为招标文件和投标文件。</w:t>
      </w:r>
    </w:p>
    <w:p>
      <w:pPr>
        <w:spacing w:line="43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bookmarkStart w:id="116" w:name="_Toc352700435"/>
      <w:bookmarkStart w:id="117" w:name="_Toc353785305"/>
      <w:r>
        <w:rPr>
          <w:rFonts w:hint="eastAsia" w:ascii="宋体" w:hAnsi="宋体" w:eastAsia="宋体"/>
          <w:b/>
          <w:bCs/>
          <w:color w:val="000000" w:themeColor="text1"/>
          <w:sz w:val="21"/>
          <w:szCs w:val="21"/>
          <w:highlight w:val="none"/>
          <w:lang w:eastAsia="zh-CN"/>
          <w14:textFill>
            <w14:solidFill>
              <w14:schemeClr w14:val="tx1"/>
            </w14:solidFill>
          </w14:textFill>
        </w:rPr>
        <w:t>24.评标程序</w:t>
      </w:r>
      <w:bookmarkEnd w:id="116"/>
      <w:bookmarkEnd w:id="117"/>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（1）评标委员会审查、评价投标文件是否符合招标文件的商务、技术等实质性要求。</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评标委员会对投标文件进行比较和评价，如有疑问，将以电子询标函的形式要求投标人在线对投标文件有关事项作出澄清或者说明。投标人向评标委员会澄清或者说明有关问题，并对最终盖章的电子文件进行回复。</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投标人代表超过规定时间或者拒绝澄清或者澄清的内容改变了投标文件的实质性内容的，评标委员会有权视该投标文件无效。</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（3）各投标人的技术得分为所有评委的有效评分的算术平均数，由指定专人进行计算复核。</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（4）本采购代理机构工作人员协助评标委员会根据本项目的评分标准计算各投标人的商务报价得分。</w:t>
      </w:r>
    </w:p>
    <w:p>
      <w:pPr>
        <w:spacing w:line="4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（5）评标委员会完成评标后，由广西政府采购云平台系统对各部分得分汇总，计算出本项目最终得分、评标价等。评标委员会按推荐原则推荐中标候选人同时形成评标报告。</w:t>
      </w:r>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18" w:name="_Toc353785306"/>
      <w:bookmarkStart w:id="119" w:name="_Toc352700436"/>
      <w:r>
        <w:rPr>
          <w:rFonts w:hint="eastAsia" w:ascii="宋体" w:hAnsi="宋体" w:cs="宋体"/>
          <w:color w:val="000000" w:themeColor="text1"/>
          <w:sz w:val="21"/>
          <w:szCs w:val="21"/>
          <w:highlight w:val="none"/>
          <w:lang w:eastAsia="zh-CN"/>
          <w14:textFill>
            <w14:solidFill>
              <w14:schemeClr w14:val="tx1"/>
            </w14:solidFill>
          </w14:textFill>
        </w:rPr>
        <w:t>25.澄清、说明或者纠正</w:t>
      </w:r>
      <w:bookmarkEnd w:id="118"/>
      <w:bookmarkEnd w:id="119"/>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bookmarkStart w:id="120" w:name="_Toc352700437"/>
      <w:bookmarkStart w:id="121" w:name="_Toc353785307"/>
      <w:r>
        <w:rPr>
          <w:rFonts w:hint="eastAsia"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26.错误修正</w:t>
      </w:r>
      <w:bookmarkEnd w:id="120"/>
      <w:bookmarkEnd w:id="121"/>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投标文件报价出现前后不一致的，除招标文件另有规定外，按照下列规定修正：</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(1)投标文件中开标一览表（报价表）内容与投标文件中相应内容不一致的，以开标一览表（报价表）为准；</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(2)大写金额和小写金额不一致的，以大写金额为准；</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(3)单价金额小数点或者百分比有明显错位的，以开标一览表的总价为准，并修改单价；</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(4)总价金额与按单价汇总金额不一致的，以单价金额计算结果为准。</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按上述修正错误的原则及方法调整或修正投标文件的投标报价，投标人同意并签字确认后，调整后的投标报价对投标人具有约束作用。如果投标人确认的，其投标无效。</w:t>
      </w:r>
    </w:p>
    <w:p>
      <w:pPr>
        <w:pStyle w:val="20"/>
        <w:snapToGrid w:val="0"/>
        <w:spacing w:line="400" w:lineRule="exact"/>
        <w:ind w:firstLine="422" w:firstLineChars="200"/>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22" w:name="_Toc352700438"/>
      <w:bookmarkStart w:id="123" w:name="_Toc353785308"/>
      <w:r>
        <w:rPr>
          <w:rFonts w:hint="eastAsia" w:ascii="宋体" w:hAnsi="宋体" w:cs="宋体"/>
          <w:color w:val="000000" w:themeColor="text1"/>
          <w:sz w:val="21"/>
          <w:szCs w:val="21"/>
          <w:highlight w:val="none"/>
          <w:lang w:eastAsia="zh-CN"/>
          <w14:textFill>
            <w14:solidFill>
              <w14:schemeClr w14:val="tx1"/>
            </w14:solidFill>
          </w14:textFill>
        </w:rPr>
        <w:t>27.评标原则和评标办法</w:t>
      </w:r>
      <w:bookmarkEnd w:id="122"/>
      <w:bookmarkEnd w:id="123"/>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27.1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27.2 评标办法。本项目评标办法是</w:t>
      </w:r>
      <w:r>
        <w:rPr>
          <w:rFonts w:hint="eastAsia" w:hAnsi="宋体" w:cs="宋体"/>
          <w:b/>
          <w:color w:val="000000" w:themeColor="text1"/>
          <w:szCs w:val="21"/>
          <w:highlight w:val="none"/>
          <w14:textFill>
            <w14:solidFill>
              <w14:schemeClr w14:val="tx1"/>
            </w14:solidFill>
          </w14:textFill>
        </w:rPr>
        <w:t>综合评分法</w:t>
      </w:r>
      <w:r>
        <w:rPr>
          <w:rFonts w:hint="eastAsia" w:hAnsi="宋体" w:cs="宋体"/>
          <w:color w:val="000000" w:themeColor="text1"/>
          <w:szCs w:val="21"/>
          <w:highlight w:val="none"/>
          <w14:textFill>
            <w14:solidFill>
              <w14:schemeClr w14:val="tx1"/>
            </w14:solidFill>
          </w14:textFill>
        </w:rPr>
        <w:t>，具体评标内容及评分标准等详见第四章：评标办法及评分标准。</w:t>
      </w:r>
      <w:bookmarkStart w:id="124" w:name="_Toc352700439"/>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25" w:name="_Toc353785309"/>
      <w:r>
        <w:rPr>
          <w:rFonts w:hint="eastAsia" w:ascii="宋体" w:hAnsi="宋体" w:cs="宋体"/>
          <w:color w:val="000000" w:themeColor="text1"/>
          <w:sz w:val="21"/>
          <w:szCs w:val="21"/>
          <w:highlight w:val="none"/>
          <w:lang w:eastAsia="zh-CN"/>
          <w14:textFill>
            <w14:solidFill>
              <w14:schemeClr w14:val="tx1"/>
            </w14:solidFill>
          </w14:textFill>
        </w:rPr>
        <w:t>28. 评标过程的监控</w:t>
      </w:r>
      <w:bookmarkEnd w:id="124"/>
      <w:bookmarkEnd w:id="125"/>
    </w:p>
    <w:p>
      <w:pPr>
        <w:pStyle w:val="20"/>
        <w:snapToGrid w:val="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本项目评标过程实行全程录音、录像监控，投标人在评标过程中所进行的试图影响评标结果的不公正活动，可能导致其投标被拒绝。</w:t>
      </w:r>
    </w:p>
    <w:p>
      <w:pPr>
        <w:pStyle w:val="20"/>
        <w:spacing w:line="360" w:lineRule="exact"/>
        <w:jc w:val="center"/>
        <w:outlineLvl w:val="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八  评标结果</w:t>
      </w:r>
      <w:bookmarkEnd w:id="101"/>
      <w:bookmarkEnd w:id="102"/>
      <w:bookmarkEnd w:id="103"/>
      <w:bookmarkEnd w:id="104"/>
      <w:bookmarkEnd w:id="105"/>
    </w:p>
    <w:p>
      <w:pPr>
        <w:pStyle w:val="20"/>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29.</w:t>
      </w:r>
      <w:r>
        <w:rPr>
          <w:rFonts w:hint="eastAsia" w:hAnsi="宋体" w:cs="宋体"/>
          <w:color w:val="000000" w:themeColor="text1"/>
          <w:szCs w:val="21"/>
          <w:highlight w:val="none"/>
          <w14:textFill>
            <w14:solidFill>
              <w14:schemeClr w14:val="tx1"/>
            </w14:solidFill>
          </w14:textFill>
        </w:rPr>
        <w:t>本采购代理机构将在评标结束后两个工作日内将评标报告送采购人，采购人在五个工作日内按照评标报告中推荐的中标候选供应商顺序确定中标供应商。采购人也可以事先授权评标委员会直接确定中标供应商。</w:t>
      </w:r>
    </w:p>
    <w:p>
      <w:pPr>
        <w:snapToGrid w:val="0"/>
        <w:spacing w:line="400" w:lineRule="exact"/>
        <w:ind w:firstLine="422"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30.</w:t>
      </w:r>
      <w:r>
        <w:rPr>
          <w:rFonts w:hint="eastAsia" w:ascii="宋体" w:hAnsi="宋体" w:eastAsia="宋体"/>
          <w:color w:val="000000" w:themeColor="text1"/>
          <w:sz w:val="21"/>
          <w:szCs w:val="21"/>
          <w:highlight w:val="none"/>
          <w:lang w:eastAsia="zh-CN"/>
          <w14:textFill>
            <w14:solidFill>
              <w14:schemeClr w14:val="tx1"/>
            </w14:solidFill>
          </w14:textFill>
        </w:rPr>
        <w:t>中标供应商确定后，本采购代理机构在中国政府采购网、广西政府采购网、钦州市公共资源交易中心网、全国公共资源交易平台（广西·浦北）、浦北县人民政府网、龙建公司网上发布中标公告。</w:t>
      </w:r>
    </w:p>
    <w:p>
      <w:pPr>
        <w:pStyle w:val="20"/>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31.</w:t>
      </w:r>
      <w:r>
        <w:rPr>
          <w:rFonts w:hint="eastAsia" w:hAnsi="宋体" w:cs="宋体"/>
          <w:color w:val="000000" w:themeColor="text1"/>
          <w:szCs w:val="21"/>
          <w:highlight w:val="none"/>
          <w14:textFill>
            <w14:solidFill>
              <w14:schemeClr w14:val="tx1"/>
            </w14:solidFill>
          </w14:textFill>
        </w:rPr>
        <w:t>在发布中标公告的同时，本采购代理机构向中标供应商发出中标通知书。</w:t>
      </w:r>
    </w:p>
    <w:p>
      <w:pPr>
        <w:pStyle w:val="20"/>
        <w:spacing w:line="400" w:lineRule="exact"/>
        <w:ind w:firstLine="422" w:firstLineChars="200"/>
        <w:rPr>
          <w:rFonts w:hAnsi="宋体" w:cs="宋体"/>
          <w:bCs/>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32.</w:t>
      </w:r>
      <w:r>
        <w:rPr>
          <w:rFonts w:hint="eastAsia" w:hAnsi="宋体" w:cs="宋体"/>
          <w:bCs/>
          <w:color w:val="000000" w:themeColor="text1"/>
          <w:szCs w:val="21"/>
          <w:highlight w:val="none"/>
          <w14:textFill>
            <w14:solidFill>
              <w14:schemeClr w14:val="tx1"/>
            </w14:solidFill>
          </w14:textFill>
        </w:rPr>
        <w:t>投标人认为招标文件、招标过程和中标结果使自己的权益受到损害的，可以在知道或者应知其权益受到损害之日起七个工作日内，以书面形式向本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bCs/>
          <w:color w:val="000000" w:themeColor="text1"/>
          <w:szCs w:val="21"/>
          <w:highlight w:val="none"/>
          <w14:textFill>
            <w14:solidFill>
              <w14:schemeClr w14:val="tx1"/>
            </w14:solidFill>
          </w14:textFill>
        </w:rPr>
        <w:t>提出质疑，并及时索要书面回执。</w:t>
      </w:r>
    </w:p>
    <w:p>
      <w:pPr>
        <w:pStyle w:val="20"/>
        <w:spacing w:line="400" w:lineRule="exact"/>
        <w:ind w:firstLine="422" w:firstLineChars="200"/>
        <w:rPr>
          <w:rFonts w:hAnsi="宋体" w:cs="宋体"/>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33.</w:t>
      </w:r>
      <w:r>
        <w:rPr>
          <w:rFonts w:hint="eastAsia" w:hAnsi="宋体" w:cs="宋体"/>
          <w:color w:val="000000" w:themeColor="text1"/>
          <w:szCs w:val="21"/>
          <w:highlight w:val="none"/>
          <w14:textFill>
            <w14:solidFill>
              <w14:schemeClr w14:val="tx1"/>
            </w14:solidFill>
          </w14:textFill>
        </w:rPr>
        <w:t xml:space="preserve"> </w:t>
      </w:r>
      <w:r>
        <w:rPr>
          <w:rFonts w:hint="eastAsia" w:hAnsi="宋体" w:cs="宋体"/>
          <w:bCs/>
          <w:color w:val="000000" w:themeColor="text1"/>
          <w:szCs w:val="21"/>
          <w:highlight w:val="none"/>
          <w14:textFill>
            <w14:solidFill>
              <w14:schemeClr w14:val="tx1"/>
            </w14:solidFill>
          </w14:textFill>
        </w:rPr>
        <w:t>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bCs/>
          <w:color w:val="000000" w:themeColor="text1"/>
          <w:szCs w:val="21"/>
          <w:highlight w:val="none"/>
          <w14:textFill>
            <w14:solidFill>
              <w14:schemeClr w14:val="tx1"/>
            </w14:solidFill>
          </w14:textFill>
        </w:rPr>
        <w:t>应当按照有关规定就采购人委托授权范围内的事项在收到投标人的书面质疑后七个工作日内作出答复，但答复的内容不得涉及商业秘密。</w:t>
      </w:r>
      <w:bookmarkStart w:id="126" w:name="_Toc352700441"/>
      <w:bookmarkStart w:id="127" w:name="_Toc353785311"/>
    </w:p>
    <w:p>
      <w:pPr>
        <w:pStyle w:val="3"/>
        <w:spacing w:before="0" w:after="0" w:line="400" w:lineRule="exact"/>
        <w:ind w:firstLine="4006" w:firstLineChars="1900"/>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九  签订合同</w:t>
      </w:r>
      <w:bookmarkEnd w:id="126"/>
      <w:bookmarkEnd w:id="127"/>
    </w:p>
    <w:p>
      <w:pPr>
        <w:pStyle w:val="4"/>
        <w:spacing w:before="0" w:after="0" w:line="400" w:lineRule="exact"/>
        <w:ind w:firstLine="422" w:firstLineChars="200"/>
        <w:rPr>
          <w:rFonts w:ascii="宋体" w:hAnsi="宋体" w:cs="宋体"/>
          <w:color w:val="000000" w:themeColor="text1"/>
          <w:sz w:val="21"/>
          <w:szCs w:val="21"/>
          <w:highlight w:val="none"/>
          <w:lang w:eastAsia="zh-CN"/>
          <w14:textFill>
            <w14:solidFill>
              <w14:schemeClr w14:val="tx1"/>
            </w14:solidFill>
          </w14:textFill>
        </w:rPr>
      </w:pPr>
      <w:bookmarkStart w:id="128" w:name="_Toc353785313"/>
      <w:bookmarkStart w:id="129" w:name="_Toc352700443"/>
      <w:r>
        <w:rPr>
          <w:rFonts w:hint="eastAsia" w:ascii="宋体" w:hAnsi="宋体" w:cs="宋体"/>
          <w:color w:val="000000" w:themeColor="text1"/>
          <w:sz w:val="21"/>
          <w:szCs w:val="21"/>
          <w:highlight w:val="none"/>
          <w:lang w:eastAsia="zh-CN"/>
          <w14:textFill>
            <w14:solidFill>
              <w14:schemeClr w14:val="tx1"/>
            </w14:solidFill>
          </w14:textFill>
        </w:rPr>
        <w:t>34.签订合同</w:t>
      </w:r>
      <w:bookmarkEnd w:id="128"/>
      <w:bookmarkEnd w:id="129"/>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34.1 签订合同时间：中标通知书发出之日起</w:t>
      </w:r>
      <w:r>
        <w:rPr>
          <w:rFonts w:hint="eastAsia" w:hAnsi="宋体" w:cs="宋体"/>
          <w:color w:val="000000" w:themeColor="text1"/>
          <w:szCs w:val="21"/>
          <w:highlight w:val="none"/>
          <w:lang w:val="en-US" w:eastAsia="zh-CN"/>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5个日历日内。中标供应商领取中标通知书后，应按规定与采购人签订合同。</w:t>
      </w:r>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34.2 如中标供应商不按中标通知书的规定签订合同，则按中标供应商违约处理，本采购代理机构将没收中标供应商投标的全部投标保证金。</w:t>
      </w:r>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34.3 中标供应商因不可抗力或者自身原因不能履行采购合同的，采购人可以与中标供应商之后排名第一的中标候选供应商签订采购合同，以此类推。</w:t>
      </w:r>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34.4 </w:t>
      </w:r>
      <w:r>
        <w:rPr>
          <w:rFonts w:hint="eastAsia" w:hAnsi="宋体" w:cs="宋体"/>
          <w:color w:val="000000" w:themeColor="text1"/>
          <w:spacing w:val="-4"/>
          <w:szCs w:val="21"/>
          <w:highlight w:val="none"/>
          <w14:textFill>
            <w14:solidFill>
              <w14:schemeClr w14:val="tx1"/>
            </w14:solidFill>
          </w14:textFill>
        </w:rPr>
        <w:t>投标人已经被推荐为第一中标候选供应商后撤回投标或放弃中标的，本</w:t>
      </w:r>
      <w:r>
        <w:rPr>
          <w:rFonts w:hint="eastAsia" w:hAnsi="宋体" w:cs="宋体"/>
          <w:color w:val="000000" w:themeColor="text1"/>
          <w:szCs w:val="21"/>
          <w:highlight w:val="none"/>
          <w14:textFill>
            <w14:solidFill>
              <w14:schemeClr w14:val="tx1"/>
            </w14:solidFill>
          </w14:textFill>
        </w:rPr>
        <w:t>采购代理机构</w:t>
      </w:r>
      <w:r>
        <w:rPr>
          <w:rFonts w:hint="eastAsia" w:hAnsi="宋体" w:cs="宋体"/>
          <w:color w:val="000000" w:themeColor="text1"/>
          <w:spacing w:val="-4"/>
          <w:szCs w:val="21"/>
          <w:highlight w:val="none"/>
          <w14:textFill>
            <w14:solidFill>
              <w14:schemeClr w14:val="tx1"/>
            </w14:solidFill>
          </w14:textFill>
        </w:rPr>
        <w:t>予以没收投标保证金</w:t>
      </w:r>
      <w:r>
        <w:rPr>
          <w:rFonts w:hint="eastAsia" w:hAnsi="宋体" w:cs="宋体"/>
          <w:color w:val="000000" w:themeColor="text1"/>
          <w:szCs w:val="21"/>
          <w:highlight w:val="none"/>
          <w14:textFill>
            <w14:solidFill>
              <w14:schemeClr w14:val="tx1"/>
            </w14:solidFill>
          </w14:textFill>
        </w:rPr>
        <w:t>。恶意弃标的，将报政府采购监督管理部门依法依规进行处罚。</w:t>
      </w:r>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34.5 采购人如遇中标供应商违约，有权从中标候选供应商中确定中标供应商，由采购代理机构组织中标供应商与采购人签订合同，或重新组织采购。</w:t>
      </w:r>
    </w:p>
    <w:p>
      <w:pPr>
        <w:pStyle w:val="3"/>
        <w:spacing w:before="0" w:after="0" w:line="400" w:lineRule="exact"/>
        <w:ind w:firstLine="3795" w:firstLineChars="1800"/>
        <w:rPr>
          <w:rFonts w:ascii="宋体" w:hAnsi="宋体" w:eastAsia="宋体"/>
          <w:bCs w:val="0"/>
          <w:color w:val="000000" w:themeColor="text1"/>
          <w:sz w:val="21"/>
          <w:szCs w:val="21"/>
          <w:highlight w:val="none"/>
          <w:lang w:eastAsia="zh-CN"/>
          <w14:textFill>
            <w14:solidFill>
              <w14:schemeClr w14:val="tx1"/>
            </w14:solidFill>
          </w14:textFill>
        </w:rPr>
      </w:pPr>
      <w:r>
        <w:rPr>
          <w:rFonts w:hint="eastAsia" w:ascii="宋体" w:hAnsi="宋体" w:eastAsia="宋体"/>
          <w:bCs w:val="0"/>
          <w:color w:val="000000" w:themeColor="text1"/>
          <w:sz w:val="21"/>
          <w:szCs w:val="21"/>
          <w:highlight w:val="none"/>
          <w:lang w:eastAsia="zh-CN"/>
          <w14:textFill>
            <w14:solidFill>
              <w14:schemeClr w14:val="tx1"/>
            </w14:solidFill>
          </w14:textFill>
        </w:rPr>
        <w:t>十  政府采购合同公告</w:t>
      </w:r>
    </w:p>
    <w:p>
      <w:pPr>
        <w:spacing w:line="340" w:lineRule="exact"/>
        <w:ind w:firstLine="422"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35.政府采购合同公告</w:t>
      </w:r>
    </w:p>
    <w:p>
      <w:pPr>
        <w:pStyle w:val="20"/>
        <w:spacing w:line="400" w:lineRule="exact"/>
        <w:ind w:firstLine="420"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35.1根据《中华人民共和国政府采购法实施条例》第五十条规定，采购人应当自政府采购合同签订之日起2个工作日内，将政府采购合同政府在财政部门指定的媒体上公告，但政府采购合同中涉及国家秘密、商业秘密的内容除外。</w:t>
      </w:r>
    </w:p>
    <w:p>
      <w:pPr>
        <w:pStyle w:val="3"/>
        <w:spacing w:before="0" w:after="0" w:line="400" w:lineRule="exact"/>
        <w:ind w:firstLine="3795" w:firstLineChars="1800"/>
        <w:rPr>
          <w:rFonts w:ascii="宋体" w:hAnsi="宋体" w:eastAsia="宋体"/>
          <w:bCs w:val="0"/>
          <w:color w:val="000000" w:themeColor="text1"/>
          <w:sz w:val="21"/>
          <w:szCs w:val="21"/>
          <w:highlight w:val="none"/>
          <w:lang w:eastAsia="zh-CN"/>
          <w14:textFill>
            <w14:solidFill>
              <w14:schemeClr w14:val="tx1"/>
            </w14:solidFill>
          </w14:textFill>
        </w:rPr>
      </w:pPr>
      <w:bookmarkStart w:id="130" w:name="_Toc352700445"/>
      <w:bookmarkStart w:id="131" w:name="_Toc353785315"/>
      <w:bookmarkStart w:id="132" w:name="_Toc352315998"/>
      <w:r>
        <w:rPr>
          <w:rFonts w:hint="eastAsia" w:ascii="宋体" w:hAnsi="宋体" w:eastAsia="宋体"/>
          <w:bCs w:val="0"/>
          <w:color w:val="000000" w:themeColor="text1"/>
          <w:sz w:val="21"/>
          <w:szCs w:val="21"/>
          <w:highlight w:val="none"/>
          <w:lang w:eastAsia="zh-CN"/>
          <w14:textFill>
            <w14:solidFill>
              <w14:schemeClr w14:val="tx1"/>
            </w14:solidFill>
          </w14:textFill>
        </w:rPr>
        <w:t>十一   其他事项</w:t>
      </w:r>
      <w:bookmarkEnd w:id="130"/>
      <w:bookmarkEnd w:id="131"/>
      <w:bookmarkEnd w:id="132"/>
    </w:p>
    <w:p>
      <w:pPr>
        <w:pStyle w:val="2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36.招标代理服务费</w:t>
      </w:r>
    </w:p>
    <w:p>
      <w:pPr>
        <w:pStyle w:val="20"/>
        <w:spacing w:line="400" w:lineRule="exact"/>
        <w:ind w:firstLine="420" w:firstLineChars="200"/>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36.1招标代理服务费</w:t>
      </w:r>
      <w:r>
        <w:rPr>
          <w:rFonts w:hint="eastAsia" w:hAnsi="宋体" w:cs="宋体"/>
          <w:color w:val="000000" w:themeColor="text1"/>
          <w:szCs w:val="21"/>
          <w:highlight w:val="none"/>
          <w:lang w:eastAsia="zh-CN"/>
          <w14:textFill>
            <w14:solidFill>
              <w14:schemeClr w14:val="tx1"/>
            </w14:solidFill>
          </w14:textFill>
        </w:rPr>
        <w:t>参照</w:t>
      </w:r>
      <w:r>
        <w:rPr>
          <w:rFonts w:hint="eastAsia" w:hAnsi="宋体" w:cs="宋体"/>
          <w:color w:val="000000" w:themeColor="text1"/>
          <w:szCs w:val="21"/>
          <w:highlight w:val="none"/>
          <w14:textFill>
            <w14:solidFill>
              <w14:schemeClr w14:val="tx1"/>
            </w14:solidFill>
          </w14:textFill>
        </w:rPr>
        <w:t>国家发展计划委员会文件计价格[2002]1980号“国家计委关于印发《招标代理服务收费管理暂行办法》的通知”、财库[2018]2号“财政部关于印发《政府采购代理机构管理暂行办法》的通知”规定标准（货物招标类型）计取，方式为中标人向采购代理机构支付。在中标通知书发出之日由中标人一次性向采购代理机构付清。</w:t>
      </w:r>
    </w:p>
    <w:p>
      <w:pPr>
        <w:pStyle w:val="2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36.2 代理服务收费标准：</w:t>
      </w:r>
    </w:p>
    <w:tbl>
      <w:tblPr>
        <w:tblStyle w:val="37"/>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326"/>
        <w:gridCol w:w="231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8" w:type="dxa"/>
          </w:tcPr>
          <w:p>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21590</wp:posOffset>
                      </wp:positionV>
                      <wp:extent cx="1196975" cy="514985"/>
                      <wp:effectExtent l="1905" t="4445" r="20320" b="13970"/>
                      <wp:wrapNone/>
                      <wp:docPr id="1" name="Line 3"/>
                      <wp:cNvGraphicFramePr/>
                      <a:graphic xmlns:a="http://schemas.openxmlformats.org/drawingml/2006/main">
                        <a:graphicData uri="http://schemas.microsoft.com/office/word/2010/wordprocessingShape">
                          <wps:wsp>
                            <wps:cNvCnPr/>
                            <wps:spPr>
                              <a:xfrm>
                                <a:off x="0" y="0"/>
                                <a:ext cx="1196975" cy="514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4.45pt;margin-top:1.7pt;height:40.55pt;width:94.25pt;z-index:251659264;mso-width-relative:page;mso-height-relative:page;" filled="f" stroked="t" coordsize="21600,21600" o:gfxdata="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vw8ftYAAAAHAQAADwAAAAAAAAABACAA&#10;AAAiAAAAZHJzL2Rvd25yZXYueG1sUEsBAhQAFAAAAAgAh07iQI1Z/6LWAQAA0g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eastAsia="宋体"/>
                <w:color w:val="000000" w:themeColor="text1"/>
                <w:sz w:val="21"/>
                <w:szCs w:val="21"/>
                <w:highlight w:val="none"/>
                <w:lang w:eastAsia="zh-CN"/>
                <w14:textFill>
                  <w14:solidFill>
                    <w14:schemeClr w14:val="tx1"/>
                  </w14:solidFill>
                </w14:textFill>
              </w:rPr>
              <w:t>费率       服务类型</w:t>
            </w:r>
          </w:p>
          <w:p>
            <w:pPr>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ascii="宋体" w:hAnsi="宋体" w:eastAsia="宋体"/>
                <w:color w:val="000000" w:themeColor="text1"/>
                <w:sz w:val="21"/>
                <w:szCs w:val="21"/>
                <w:highlight w:val="none"/>
                <w:lang w:eastAsia="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20320</wp:posOffset>
                      </wp:positionV>
                      <wp:extent cx="1463040" cy="377825"/>
                      <wp:effectExtent l="1270" t="4445" r="2540" b="17780"/>
                      <wp:wrapNone/>
                      <wp:docPr id="2" name="Line 4"/>
                      <wp:cNvGraphicFramePr/>
                      <a:graphic xmlns:a="http://schemas.openxmlformats.org/drawingml/2006/main">
                        <a:graphicData uri="http://schemas.microsoft.com/office/word/2010/wordprocessingShape">
                          <wps:wsp>
                            <wps:cNvCnPr/>
                            <wps:spPr>
                              <a:xfrm>
                                <a:off x="0" y="0"/>
                                <a:ext cx="1463040" cy="3778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5.15pt;margin-top:1.6pt;height:29.75pt;width:115.2pt;z-index:251660288;mso-width-relative:page;mso-height-relative:page;" filled="f" stroked="t" coordsize="21600,21600" o:gfxdata="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aw3NdYAAAAIAQAADwAAAAAAAAABACAA&#10;AAAiAAAAZHJzL2Rvd25yZXYueG1sUEsBAhQAFAAAAAgAh07iQIlHz0LWAQAA0gMAAA4AAAAAAAAA&#10;AQAgAAAAJQEAAGRycy9lMm9Eb2MueG1sUEsFBgAAAAAGAAYAWQEAAG0FAAAAAA==&#10;">
                      <v:fill on="f" focussize="0,0"/>
                      <v:stroke color="#000000" joinstyle="round"/>
                      <v:imagedata o:title=""/>
                      <o:lock v:ext="edit" aspectratio="f"/>
                    </v:line>
                  </w:pict>
                </mc:Fallback>
              </mc:AlternateContent>
            </w:r>
          </w:p>
          <w:p>
            <w:pPr>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中标金额（万元）</w:t>
            </w:r>
          </w:p>
        </w:tc>
        <w:tc>
          <w:tcPr>
            <w:tcW w:w="2326" w:type="dxa"/>
            <w:vAlign w:val="center"/>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货物招标</w:t>
            </w:r>
          </w:p>
        </w:tc>
        <w:tc>
          <w:tcPr>
            <w:tcW w:w="2316" w:type="dxa"/>
            <w:vAlign w:val="center"/>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服务招标</w:t>
            </w:r>
          </w:p>
        </w:tc>
        <w:tc>
          <w:tcPr>
            <w:tcW w:w="2316" w:type="dxa"/>
            <w:vAlign w:val="center"/>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100以下</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100-500</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1.1%</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0.8%</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500-1000</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0.8%</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0.45%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1000-5000</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5000-10000</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0.1%</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10000-100000</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8"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100000以上</w:t>
            </w:r>
          </w:p>
        </w:tc>
        <w:tc>
          <w:tcPr>
            <w:tcW w:w="232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c>
          <w:tcPr>
            <w:tcW w:w="2316" w:type="dxa"/>
          </w:tcPr>
          <w:p>
            <w:pPr>
              <w:spacing w:line="340" w:lineRule="exact"/>
              <w:ind w:firstLine="420" w:firstLineChars="20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0.01%</w:t>
            </w:r>
          </w:p>
        </w:tc>
      </w:tr>
    </w:tbl>
    <w:p>
      <w:pPr>
        <w:pStyle w:val="20"/>
        <w:spacing w:line="400" w:lineRule="exac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注：招标代理服务收费按差额定率累进法计算。</w:t>
      </w:r>
    </w:p>
    <w:p>
      <w:pPr>
        <w:spacing w:line="400" w:lineRule="exact"/>
        <w:ind w:firstLine="413" w:firstLineChars="196"/>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37. 询问、质疑和投诉</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37.1供应商对政府采购活动事项有疑问的，可以向采购人、采购代理机构提出询问。</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37.2供应商认为采购文件、采购过程或中标结果使自己的合法权益受到损害的，应当在知道或者应知其权益受到损害之日起七个工作日内，以书面形式向采购人、采购代理机构提出质疑。具体计算时间如下：</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（1）对可以质疑的采购文件提出质疑的，为收到采购文件之日；</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（2）对采购过程提出质疑的，为各采购程序环节结束之日；</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（3）对中标结果提出质疑的，为中标结果公告期限届满之日。</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供应商对采购人或采购代理机构的质疑答复不满意或者采购人或采购代理机构未在规定时间内作出答复的，可以在答复期满后十五个工作日内向同级采购监管部门投诉。</w:t>
      </w:r>
    </w:p>
    <w:p>
      <w:pPr>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37.3质疑、投诉应当采用书面形式，质疑书、投诉书均应明确阐述采购文件、采购过程、中标结果中使自己合法权益受到损害的实质性内容，提供相关事实、明确的请求、必要的证明材料，便于有关单位调查、答复和处理。</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供应商提出质疑应当提交质疑函和必要的证明材料，针对同一采购程序环节的质疑必须在法定质疑期内一次性提出。质疑函应当包括下列内容：</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（1）供应商的姓名或者名称、地址、邮编、联系人及联系电话；</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（2）质疑项目的名称、编号；</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（3）具体、明确的质疑事项和与质疑事项相关的请求；</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（4）事实依据；</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（5）必要的法律依据；</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（6）提出质疑的日期。</w:t>
      </w:r>
    </w:p>
    <w:p>
      <w:pPr>
        <w:tabs>
          <w:tab w:val="left" w:pos="2835"/>
        </w:tabs>
        <w:spacing w:line="320" w:lineRule="exact"/>
        <w:ind w:firstLine="422" w:firstLineChars="201"/>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供应商为自然人的，应当由本人签字；供应商为法人或者其他组织的，应当由法定代表人、主要负责人，或者其授权代表签字或者盖章，并加盖公章。</w:t>
      </w:r>
    </w:p>
    <w:p>
      <w:pPr>
        <w:pStyle w:val="2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38.解释权</w:t>
      </w:r>
    </w:p>
    <w:p>
      <w:pPr>
        <w:pStyle w:val="20"/>
        <w:spacing w:line="400" w:lineRule="exact"/>
        <w:ind w:firstLine="404" w:firstLineChars="200"/>
        <w:rPr>
          <w:rFonts w:hAnsi="宋体" w:cs="宋体"/>
          <w:color w:val="000000" w:themeColor="text1"/>
          <w:spacing w:val="-4"/>
          <w:szCs w:val="21"/>
          <w:highlight w:val="none"/>
          <w14:textFill>
            <w14:solidFill>
              <w14:schemeClr w14:val="tx1"/>
            </w14:solidFill>
          </w14:textFill>
        </w:rPr>
      </w:pPr>
      <w:r>
        <w:rPr>
          <w:rFonts w:hint="eastAsia" w:hAnsi="宋体" w:cs="宋体"/>
          <w:color w:val="000000" w:themeColor="text1"/>
          <w:spacing w:val="-4"/>
          <w:szCs w:val="21"/>
          <w:highlight w:val="none"/>
          <w14:textFill>
            <w14:solidFill>
              <w14:schemeClr w14:val="tx1"/>
            </w14:solidFill>
          </w14:textFill>
        </w:rPr>
        <w:t>本项目是根据国家有关法律、法规和参照国际惯例编制，解释权属采购代理机构。</w:t>
      </w:r>
    </w:p>
    <w:p>
      <w:pPr>
        <w:pStyle w:val="20"/>
        <w:spacing w:line="400" w:lineRule="exact"/>
        <w:ind w:firstLine="422" w:firstLineChars="200"/>
        <w:rPr>
          <w:rFonts w:hAnsi="宋体" w:cs="宋体"/>
          <w:color w:val="000000" w:themeColor="text1"/>
          <w:spacing w:val="-4"/>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39.有关事宜</w:t>
      </w:r>
    </w:p>
    <w:p>
      <w:pPr>
        <w:pStyle w:val="20"/>
        <w:spacing w:line="288" w:lineRule="auto"/>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39.1所有与本招标文件有关的函电请按下列通讯地址联系：</w:t>
      </w:r>
    </w:p>
    <w:p>
      <w:pPr>
        <w:pStyle w:val="20"/>
        <w:spacing w:line="288" w:lineRule="auto"/>
        <w:ind w:firstLine="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广西龙建工程管理有限公司</w:t>
      </w:r>
    </w:p>
    <w:p>
      <w:pPr>
        <w:pStyle w:val="20"/>
        <w:spacing w:line="288" w:lineRule="auto"/>
        <w:ind w:firstLine="84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通讯地址：</w:t>
      </w:r>
      <w:r>
        <w:rPr>
          <w:rFonts w:hint="eastAsia" w:hAnsi="宋体"/>
          <w:color w:val="000000" w:themeColor="text1"/>
          <w:szCs w:val="21"/>
          <w:highlight w:val="none"/>
          <w14:textFill>
            <w14:solidFill>
              <w14:schemeClr w14:val="tx1"/>
            </w14:solidFill>
          </w14:textFill>
        </w:rPr>
        <w:t>钦州市子材东大街8号奥林财富1号楼11层</w:t>
      </w:r>
      <w:r>
        <w:rPr>
          <w:rFonts w:hint="eastAsia"/>
          <w:color w:val="000000" w:themeColor="text1"/>
          <w:szCs w:val="21"/>
          <w:highlight w:val="none"/>
          <w14:textFill>
            <w14:solidFill>
              <w14:schemeClr w14:val="tx1"/>
            </w14:solidFill>
          </w14:textFill>
        </w:rPr>
        <w:t>。</w:t>
      </w:r>
    </w:p>
    <w:p>
      <w:pPr>
        <w:pStyle w:val="20"/>
        <w:spacing w:line="288" w:lineRule="auto"/>
        <w:ind w:firstLine="84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联系人：</w:t>
      </w:r>
      <w:r>
        <w:rPr>
          <w:rFonts w:hint="eastAsia" w:hAnsi="宋体"/>
          <w:color w:val="000000" w:themeColor="text1"/>
          <w:szCs w:val="21"/>
          <w:highlight w:val="none"/>
          <w:lang w:eastAsia="zh-CN"/>
          <w14:textFill>
            <w14:solidFill>
              <w14:schemeClr w14:val="tx1"/>
            </w14:solidFill>
          </w14:textFill>
        </w:rPr>
        <w:t>滕</w:t>
      </w:r>
      <w:r>
        <w:rPr>
          <w:rFonts w:hint="eastAsia" w:hAnsi="宋体"/>
          <w:color w:val="000000" w:themeColor="text1"/>
          <w:szCs w:val="21"/>
          <w:highlight w:val="none"/>
          <w14:textFill>
            <w14:solidFill>
              <w14:schemeClr w14:val="tx1"/>
            </w14:solidFill>
          </w14:textFill>
        </w:rPr>
        <w:t>工</w:t>
      </w:r>
    </w:p>
    <w:p>
      <w:pPr>
        <w:pStyle w:val="20"/>
        <w:spacing w:line="288" w:lineRule="auto"/>
        <w:ind w:firstLine="84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电    话：0777-3617888 </w:t>
      </w:r>
    </w:p>
    <w:p>
      <w:pPr>
        <w:pStyle w:val="20"/>
        <w:spacing w:line="288" w:lineRule="auto"/>
        <w:ind w:firstLine="84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传    真：0777-3617888</w:t>
      </w:r>
    </w:p>
    <w:p>
      <w:pPr>
        <w:pStyle w:val="20"/>
        <w:spacing w:line="264" w:lineRule="auto"/>
        <w:ind w:firstLine="527" w:firstLineChars="250"/>
        <w:rPr>
          <w:b/>
          <w:bCs/>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广西龙建工程管理有限公司</w:t>
      </w:r>
      <w:r>
        <w:rPr>
          <w:rFonts w:hint="eastAsia"/>
          <w:b/>
          <w:bCs/>
          <w:color w:val="000000" w:themeColor="text1"/>
          <w:szCs w:val="21"/>
          <w:highlight w:val="none"/>
          <w14:textFill>
            <w14:solidFill>
              <w14:schemeClr w14:val="tx1"/>
            </w14:solidFill>
          </w14:textFill>
        </w:rPr>
        <w:t>账户：</w:t>
      </w:r>
    </w:p>
    <w:p>
      <w:pPr>
        <w:pStyle w:val="20"/>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开户名称：</w:t>
      </w:r>
      <w:r>
        <w:rPr>
          <w:rFonts w:hint="eastAsia" w:hAnsi="宋体"/>
          <w:bCs/>
          <w:color w:val="000000" w:themeColor="text1"/>
          <w:highlight w:val="none"/>
          <w14:textFill>
            <w14:solidFill>
              <w14:schemeClr w14:val="tx1"/>
            </w14:solidFill>
          </w14:textFill>
        </w:rPr>
        <w:t>广西龙建工程管理有限公司</w:t>
      </w:r>
    </w:p>
    <w:p>
      <w:pPr>
        <w:pStyle w:val="20"/>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开户银行：建设银行钦州子材东大街支行</w:t>
      </w:r>
    </w:p>
    <w:p>
      <w:pPr>
        <w:pStyle w:val="20"/>
        <w:spacing w:line="360" w:lineRule="exact"/>
        <w:ind w:right="68" w:firstLine="560" w:firstLineChars="267"/>
        <w:rPr>
          <w:rFonts w:hAns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银行账号：4505 0110 6312 0988 8888</w:t>
      </w:r>
    </w:p>
    <w:p>
      <w:pPr>
        <w:pStyle w:val="20"/>
        <w:spacing w:line="400" w:lineRule="exact"/>
        <w:ind w:firstLine="422" w:firstLineChars="200"/>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40</w:t>
      </w:r>
      <w:r>
        <w:rPr>
          <w:rFonts w:hint="eastAsia" w:hAnsi="宋体" w:cs="宋体"/>
          <w:b/>
          <w:color w:val="000000" w:themeColor="text1"/>
          <w:szCs w:val="21"/>
          <w:highlight w:val="none"/>
          <w:lang w:val="zh-CN"/>
          <w14:textFill>
            <w14:solidFill>
              <w14:schemeClr w14:val="tx1"/>
            </w14:solidFill>
          </w14:textFill>
        </w:rPr>
        <w:t>.</w:t>
      </w:r>
      <w:r>
        <w:rPr>
          <w:rFonts w:hint="eastAsia" w:hAnsi="宋体" w:cs="宋体"/>
          <w:b/>
          <w:color w:val="000000" w:themeColor="text1"/>
          <w:szCs w:val="21"/>
          <w:highlight w:val="none"/>
          <w14:textFill>
            <w14:solidFill>
              <w14:schemeClr w14:val="tx1"/>
            </w14:solidFill>
          </w14:textFill>
        </w:rPr>
        <w:t>政采贷相关说明</w:t>
      </w:r>
    </w:p>
    <w:p>
      <w:pPr>
        <w:pStyle w:val="20"/>
        <w:spacing w:line="360" w:lineRule="exact"/>
        <w:ind w:right="68" w:firstLine="560" w:firstLineChars="26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pPr>
        <w:pStyle w:val="20"/>
        <w:spacing w:line="360" w:lineRule="exact"/>
        <w:ind w:right="68"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相关金融产品和银行业金融机构联系方式，可在中征应收账款融资服务平台查询（网址：https://www.crcrfsp.com/，客服电话：400-009-0001）。</w:t>
      </w:r>
    </w:p>
    <w:p>
      <w:pPr>
        <w:pStyle w:val="20"/>
        <w:adjustRightInd w:val="0"/>
        <w:snapToGrid w:val="0"/>
        <w:spacing w:line="360" w:lineRule="exact"/>
        <w:rPr>
          <w:rFonts w:hAnsi="宋体" w:cs="宋体"/>
          <w:b/>
          <w:bCs/>
          <w:color w:val="000000" w:themeColor="text1"/>
          <w:sz w:val="22"/>
          <w:szCs w:val="22"/>
          <w:highlight w:val="none"/>
          <w14:textFill>
            <w14:solidFill>
              <w14:schemeClr w14:val="tx1"/>
            </w14:solidFill>
          </w14:textFill>
        </w:rPr>
      </w:pPr>
    </w:p>
    <w:p>
      <w:pPr>
        <w:pStyle w:val="20"/>
        <w:adjustRightInd w:val="0"/>
        <w:snapToGrid w:val="0"/>
        <w:spacing w:line="360" w:lineRule="exact"/>
        <w:rPr>
          <w:rFonts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特别说明：</w:t>
      </w:r>
    </w:p>
    <w:p>
      <w:pPr>
        <w:pStyle w:val="20"/>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1.政采云公司如对政府采购电子化流程及评审程序有调整的，按调整后的程序操作。</w:t>
      </w:r>
    </w:p>
    <w:p>
      <w:pPr>
        <w:pStyle w:val="20"/>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pPr>
        <w:pStyle w:val="20"/>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3.采购过程中出现以下情形，导致</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无法正常运行，或者无法保证开评标活动的公平、公正和安全时，采购代理机构可中止开评标活动：</w:t>
      </w:r>
    </w:p>
    <w:p>
      <w:pPr>
        <w:pStyle w:val="20"/>
        <w:adjustRightInd w:val="0"/>
        <w:snapToGrid w:val="0"/>
        <w:spacing w:line="360" w:lineRule="exact"/>
        <w:ind w:firstLine="440" w:firstLineChars="20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3.1</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 xml:space="preserve">发生故障而无法登录访问的； </w:t>
      </w:r>
    </w:p>
    <w:p>
      <w:pPr>
        <w:pStyle w:val="20"/>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3.2</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应用或数据库出现错误，不能进行正常操作的；</w:t>
      </w:r>
    </w:p>
    <w:p>
      <w:pPr>
        <w:pStyle w:val="20"/>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3.3</w:t>
      </w:r>
      <w:r>
        <w:rPr>
          <w:rFonts w:hint="eastAsia" w:hAnsi="宋体" w:cs="宋体"/>
          <w:color w:val="000000" w:themeColor="text1"/>
          <w:sz w:val="22"/>
          <w:szCs w:val="22"/>
          <w:highlight w:val="none"/>
          <w:lang w:eastAsia="zh-CN"/>
          <w14:textFill>
            <w14:solidFill>
              <w14:schemeClr w14:val="tx1"/>
            </w14:solidFill>
          </w14:textFill>
        </w:rPr>
        <w:t>广西政府采购云平台</w:t>
      </w:r>
      <w:r>
        <w:rPr>
          <w:rFonts w:hint="eastAsia" w:hAnsi="宋体" w:cs="宋体"/>
          <w:color w:val="000000" w:themeColor="text1"/>
          <w:sz w:val="22"/>
          <w:szCs w:val="22"/>
          <w:highlight w:val="none"/>
          <w14:textFill>
            <w14:solidFill>
              <w14:schemeClr w14:val="tx1"/>
            </w14:solidFill>
          </w14:textFill>
        </w:rPr>
        <w:t>发现严重安全漏洞，有潜在泄密危险的；</w:t>
      </w:r>
    </w:p>
    <w:p>
      <w:pPr>
        <w:pStyle w:val="20"/>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 xml:space="preserve">3.4病毒发作导致不能进行正常操作的； </w:t>
      </w:r>
    </w:p>
    <w:p>
      <w:pPr>
        <w:pStyle w:val="20"/>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3.5其他无法保证电子交易的公平、公正和安全的情况。</w:t>
      </w:r>
    </w:p>
    <w:p>
      <w:pPr>
        <w:pStyle w:val="20"/>
        <w:adjustRightInd w:val="0"/>
        <w:snapToGrid w:val="0"/>
        <w:spacing w:line="360" w:lineRule="exact"/>
        <w:ind w:firstLine="420"/>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出现前款规定情形，不影响采购公平、公正性的，采购代理机构可以待上述情形消除后继续组织开评标活动，也可以决定某些环节以纸质形式进行；影响或可能影响采购公平、公正性的，应当重新采购。</w:t>
      </w: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54"/>
        <w:rPr>
          <w:rFonts w:hAnsi="宋体"/>
          <w:color w:val="000000" w:themeColor="text1"/>
          <w:sz w:val="22"/>
          <w:szCs w:val="22"/>
          <w:highlight w:val="none"/>
          <w:lang w:eastAsia="zh-CN"/>
          <w14:textFill>
            <w14:solidFill>
              <w14:schemeClr w14:val="tx1"/>
            </w14:solidFill>
          </w14:textFill>
        </w:rPr>
      </w:pPr>
    </w:p>
    <w:p>
      <w:pPr>
        <w:pStyle w:val="54"/>
        <w:rPr>
          <w:rFonts w:hAnsi="宋体"/>
          <w:color w:val="000000" w:themeColor="text1"/>
          <w:sz w:val="22"/>
          <w:szCs w:val="22"/>
          <w:highlight w:val="none"/>
          <w:lang w:eastAsia="zh-CN"/>
          <w14:textFill>
            <w14:solidFill>
              <w14:schemeClr w14:val="tx1"/>
            </w14:solidFill>
          </w14:textFill>
        </w:rPr>
      </w:pPr>
    </w:p>
    <w:p>
      <w:pPr>
        <w:pStyle w:val="54"/>
        <w:rPr>
          <w:rFonts w:hAnsi="宋体"/>
          <w:color w:val="000000" w:themeColor="text1"/>
          <w:sz w:val="22"/>
          <w:szCs w:val="22"/>
          <w:highlight w:val="none"/>
          <w:lang w:eastAsia="zh-CN"/>
          <w14:textFill>
            <w14:solidFill>
              <w14:schemeClr w14:val="tx1"/>
            </w14:solidFill>
          </w14:textFill>
        </w:rPr>
      </w:pPr>
    </w:p>
    <w:p>
      <w:pPr>
        <w:pStyle w:val="54"/>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rPr>
          <w:rFonts w:hAnsi="宋体"/>
          <w:color w:val="000000" w:themeColor="text1"/>
          <w:sz w:val="22"/>
          <w:szCs w:val="22"/>
          <w:highlight w:val="none"/>
          <w:lang w:eastAsia="zh-CN"/>
          <w14:textFill>
            <w14:solidFill>
              <w14:schemeClr w14:val="tx1"/>
            </w14:solidFill>
          </w14:textFill>
        </w:rPr>
      </w:pPr>
    </w:p>
    <w:p>
      <w:pPr>
        <w:pStyle w:val="26"/>
        <w:rPr>
          <w:rFonts w:hAnsi="宋体"/>
          <w:color w:val="000000" w:themeColor="text1"/>
          <w:sz w:val="22"/>
          <w:szCs w:val="22"/>
          <w:highlight w:val="none"/>
          <w:lang w:eastAsia="zh-CN"/>
          <w14:textFill>
            <w14:solidFill>
              <w14:schemeClr w14:val="tx1"/>
            </w14:solidFill>
          </w14:textFill>
        </w:rPr>
      </w:pPr>
    </w:p>
    <w:p>
      <w:pPr>
        <w:pStyle w:val="20"/>
        <w:numPr>
          <w:ilvl w:val="0"/>
          <w:numId w:val="4"/>
        </w:numPr>
        <w:spacing w:line="360" w:lineRule="auto"/>
        <w:jc w:val="center"/>
        <w:outlineLvl w:val="0"/>
        <w:rPr>
          <w:rStyle w:val="61"/>
          <w:color w:val="000000" w:themeColor="text1"/>
          <w:sz w:val="32"/>
          <w:szCs w:val="32"/>
          <w:highlight w:val="none"/>
          <w14:textFill>
            <w14:solidFill>
              <w14:schemeClr w14:val="tx1"/>
            </w14:solidFill>
          </w14:textFill>
        </w:rPr>
      </w:pPr>
      <w:bookmarkStart w:id="133" w:name="_Toc19869_WPSOffice_Level1"/>
      <w:bookmarkStart w:id="134" w:name="_Toc16754"/>
      <w:bookmarkStart w:id="135" w:name="_Toc19984"/>
      <w:r>
        <w:rPr>
          <w:rStyle w:val="61"/>
          <w:rFonts w:hint="eastAsia"/>
          <w:color w:val="000000" w:themeColor="text1"/>
          <w:sz w:val="32"/>
          <w:szCs w:val="32"/>
          <w:highlight w:val="none"/>
          <w14:textFill>
            <w14:solidFill>
              <w14:schemeClr w14:val="tx1"/>
            </w14:solidFill>
          </w14:textFill>
        </w:rPr>
        <w:t>货物需求一览表</w:t>
      </w:r>
      <w:bookmarkEnd w:id="18"/>
      <w:bookmarkEnd w:id="19"/>
      <w:bookmarkEnd w:id="20"/>
      <w:bookmarkEnd w:id="133"/>
      <w:r>
        <w:rPr>
          <w:rStyle w:val="61"/>
          <w:rFonts w:hint="eastAsia"/>
          <w:color w:val="000000" w:themeColor="text1"/>
          <w:sz w:val="32"/>
          <w:szCs w:val="32"/>
          <w:highlight w:val="none"/>
          <w14:textFill>
            <w14:solidFill>
              <w14:schemeClr w14:val="tx1"/>
            </w14:solidFill>
          </w14:textFill>
        </w:rPr>
        <w:t xml:space="preserve">  </w:t>
      </w:r>
    </w:p>
    <w:p>
      <w:pPr>
        <w:pStyle w:val="20"/>
        <w:spacing w:line="312" w:lineRule="auto"/>
        <w:ind w:firstLine="420" w:firstLineChars="200"/>
        <w:rPr>
          <w:rFonts w:hAnsi="宋体"/>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一、</w:t>
      </w:r>
      <w:r>
        <w:rPr>
          <w:rFonts w:hint="eastAsia" w:hAnsi="宋体"/>
          <w:b/>
          <w:bCs/>
          <w:color w:val="000000" w:themeColor="text1"/>
          <w:szCs w:val="22"/>
          <w:highlight w:val="none"/>
          <w14:textFill>
            <w14:solidFill>
              <w14:schemeClr w14:val="tx1"/>
            </w14:solidFill>
          </w14:textFill>
        </w:rPr>
        <w:t>项目名称及项目编号：</w:t>
      </w:r>
      <w:r>
        <w:rPr>
          <w:rFonts w:hint="eastAsia" w:hAnsi="宋体" w:cs="宋体"/>
          <w:color w:val="000000" w:themeColor="text1"/>
          <w:szCs w:val="21"/>
          <w:highlight w:val="none"/>
          <w:u w:val="single"/>
          <w:lang w:eastAsia="zh-CN"/>
          <w14:textFill>
            <w14:solidFill>
              <w14:schemeClr w14:val="tx1"/>
            </w14:solidFill>
          </w14:textFill>
        </w:rPr>
        <w:t>磁共振设备及相关配套设备采购</w:t>
      </w:r>
      <w:r>
        <w:rPr>
          <w:rFonts w:hint="eastAsia"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kern w:val="0"/>
          <w:szCs w:val="21"/>
          <w:highlight w:val="none"/>
          <w:u w:val="single"/>
          <w14:textFill>
            <w14:solidFill>
              <w14:schemeClr w14:val="tx1"/>
            </w14:solidFill>
          </w14:textFill>
        </w:rPr>
        <w:t>项目编号：</w:t>
      </w:r>
      <w:r>
        <w:rPr>
          <w:rFonts w:hint="eastAsia" w:hAnsi="宋体" w:cs="宋体"/>
          <w:color w:val="000000" w:themeColor="text1"/>
          <w:szCs w:val="21"/>
          <w:highlight w:val="none"/>
          <w:u w:val="single"/>
          <w:lang w:eastAsia="zh-CN"/>
          <w14:textFill>
            <w14:solidFill>
              <w14:schemeClr w14:val="tx1"/>
            </w14:solidFill>
          </w14:textFill>
        </w:rPr>
        <w:t>QZZC2025-G1-220250-GXLJ</w:t>
      </w:r>
      <w:r>
        <w:rPr>
          <w:rFonts w:hint="eastAsia" w:hAnsi="宋体" w:cs="宋体"/>
          <w:color w:val="000000" w:themeColor="text1"/>
          <w:szCs w:val="21"/>
          <w:highlight w:val="none"/>
          <w:u w:val="single"/>
          <w14:textFill>
            <w14:solidFill>
              <w14:schemeClr w14:val="tx1"/>
            </w14:solidFill>
          </w14:textFill>
        </w:rPr>
        <w:t>）</w:t>
      </w:r>
    </w:p>
    <w:p>
      <w:pPr>
        <w:pStyle w:val="20"/>
        <w:wordWrap w:val="0"/>
        <w:topLinePunct/>
        <w:spacing w:line="312" w:lineRule="auto"/>
        <w:ind w:firstLine="420" w:firstLineChars="200"/>
        <w:rPr>
          <w:rFonts w:hAnsi="宋体"/>
          <w:color w:val="000000" w:themeColor="text1"/>
          <w:szCs w:val="22"/>
          <w:highlight w:val="none"/>
          <w14:textFill>
            <w14:solidFill>
              <w14:schemeClr w14:val="tx1"/>
            </w14:solidFill>
          </w14:textFill>
        </w:rPr>
      </w:pPr>
      <w:r>
        <w:rPr>
          <w:rFonts w:hint="eastAsia" w:hAnsi="宋体"/>
          <w:color w:val="000000" w:themeColor="text1"/>
          <w:szCs w:val="22"/>
          <w:highlight w:val="none"/>
          <w14:textFill>
            <w14:solidFill>
              <w14:schemeClr w14:val="tx1"/>
            </w14:solidFill>
          </w14:textFill>
        </w:rPr>
        <w:t>二、</w:t>
      </w:r>
      <w:r>
        <w:rPr>
          <w:rFonts w:hint="eastAsia" w:hAnsi="宋体"/>
          <w:b/>
          <w:bCs/>
          <w:color w:val="000000" w:themeColor="text1"/>
          <w:szCs w:val="22"/>
          <w:highlight w:val="none"/>
          <w14:textFill>
            <w14:solidFill>
              <w14:schemeClr w14:val="tx1"/>
            </w14:solidFill>
          </w14:textFill>
        </w:rPr>
        <w:t>项目类别：</w:t>
      </w:r>
      <w:r>
        <w:rPr>
          <w:rFonts w:hint="eastAsia" w:hAnsi="宋体"/>
          <w:color w:val="000000" w:themeColor="text1"/>
          <w:szCs w:val="22"/>
          <w:highlight w:val="none"/>
          <w:u w:val="single"/>
          <w14:textFill>
            <w14:solidFill>
              <w14:schemeClr w14:val="tx1"/>
            </w14:solidFill>
          </w14:textFill>
        </w:rPr>
        <w:t>货物类</w:t>
      </w:r>
      <w:r>
        <w:rPr>
          <w:rFonts w:hint="eastAsia" w:hAnsi="宋体"/>
          <w:b/>
          <w:bCs/>
          <w:color w:val="000000" w:themeColor="text1"/>
          <w:szCs w:val="22"/>
          <w:highlight w:val="none"/>
          <w14:textFill>
            <w14:solidFill>
              <w14:schemeClr w14:val="tx1"/>
            </w14:solidFill>
          </w14:textFill>
        </w:rPr>
        <w:t xml:space="preserve"> </w:t>
      </w:r>
    </w:p>
    <w:p>
      <w:pPr>
        <w:pStyle w:val="20"/>
        <w:spacing w:line="312" w:lineRule="auto"/>
        <w:ind w:firstLine="422" w:firstLineChars="200"/>
        <w:outlineLvl w:val="0"/>
        <w:rPr>
          <w:rStyle w:val="61"/>
          <w:b w:val="0"/>
          <w:bCs w:val="0"/>
          <w:color w:val="000000" w:themeColor="text1"/>
          <w:sz w:val="32"/>
          <w:szCs w:val="32"/>
          <w:highlight w:val="none"/>
          <w14:textFill>
            <w14:solidFill>
              <w14:schemeClr w14:val="tx1"/>
            </w14:solidFill>
          </w14:textFill>
        </w:rPr>
      </w:pPr>
      <w:r>
        <w:rPr>
          <w:rFonts w:hint="eastAsia" w:hAnsi="宋体"/>
          <w:b/>
          <w:bCs/>
          <w:color w:val="000000" w:themeColor="text1"/>
          <w:szCs w:val="22"/>
          <w:highlight w:val="none"/>
          <w14:textFill>
            <w14:solidFill>
              <w14:schemeClr w14:val="tx1"/>
            </w14:solidFill>
          </w14:textFill>
        </w:rPr>
        <w:t>三、采购最高限价：</w:t>
      </w:r>
      <w:r>
        <w:rPr>
          <w:rFonts w:hint="eastAsia" w:hAnsi="宋体"/>
          <w:color w:val="000000" w:themeColor="text1"/>
          <w:szCs w:val="22"/>
          <w:highlight w:val="none"/>
          <w:u w:val="single"/>
          <w14:textFill>
            <w14:solidFill>
              <w14:schemeClr w14:val="tx1"/>
            </w14:solidFill>
          </w14:textFill>
        </w:rPr>
        <w:t>¥</w:t>
      </w:r>
      <w:r>
        <w:rPr>
          <w:rFonts w:hint="eastAsia" w:hAnsi="宋体"/>
          <w:color w:val="000000" w:themeColor="text1"/>
          <w:szCs w:val="22"/>
          <w:highlight w:val="none"/>
          <w:u w:val="single"/>
          <w:lang w:eastAsia="zh-CN"/>
          <w14:textFill>
            <w14:solidFill>
              <w14:schemeClr w14:val="tx1"/>
            </w14:solidFill>
          </w14:textFill>
        </w:rPr>
        <w:t>7150000</w:t>
      </w:r>
      <w:r>
        <w:rPr>
          <w:rFonts w:hint="eastAsia" w:hAnsi="宋体"/>
          <w:color w:val="000000" w:themeColor="text1"/>
          <w:szCs w:val="22"/>
          <w:highlight w:val="none"/>
          <w:u w:val="single"/>
          <w14:textFill>
            <w14:solidFill>
              <w14:schemeClr w14:val="tx1"/>
            </w14:solidFill>
          </w14:textFill>
        </w:rPr>
        <w:t>.00</w:t>
      </w:r>
      <w:r>
        <w:rPr>
          <w:rFonts w:hint="eastAsia" w:hAnsi="宋体"/>
          <w:color w:val="000000" w:themeColor="text1"/>
          <w:szCs w:val="22"/>
          <w:highlight w:val="none"/>
          <w14:textFill>
            <w14:solidFill>
              <w14:schemeClr w14:val="tx1"/>
            </w14:solidFill>
          </w14:textFill>
        </w:rPr>
        <w:t>，投标报价超过项目最高限价的，将导致投标无效。</w:t>
      </w:r>
      <w:r>
        <w:rPr>
          <w:rStyle w:val="61"/>
          <w:rFonts w:hint="eastAsia"/>
          <w:b w:val="0"/>
          <w:bCs w:val="0"/>
          <w:color w:val="000000" w:themeColor="text1"/>
          <w:sz w:val="32"/>
          <w:szCs w:val="32"/>
          <w:highlight w:val="none"/>
          <w14:textFill>
            <w14:solidFill>
              <w14:schemeClr w14:val="tx1"/>
            </w14:solidFill>
          </w14:textFill>
        </w:rPr>
        <w:t xml:space="preserve"> </w:t>
      </w:r>
    </w:p>
    <w:bookmarkEnd w:id="134"/>
    <w:bookmarkEnd w:id="135"/>
    <w:p>
      <w:pPr>
        <w:spacing w:line="312" w:lineRule="auto"/>
        <w:ind w:firstLine="422" w:firstLineChars="200"/>
        <w:jc w:val="left"/>
        <w:rPr>
          <w:rFonts w:ascii="宋体" w:hAnsi="宋体" w:eastAsia="宋体" w:cs="Times New Roman"/>
          <w:b/>
          <w:bCs/>
          <w:color w:val="000000" w:themeColor="text1"/>
          <w:sz w:val="21"/>
          <w:szCs w:val="21"/>
          <w:highlight w:val="none"/>
          <w:lang w:eastAsia="zh-CN"/>
          <w14:textFill>
            <w14:solidFill>
              <w14:schemeClr w14:val="tx1"/>
            </w14:solidFill>
          </w14:textFill>
        </w:rPr>
      </w:pPr>
      <w:bookmarkStart w:id="136" w:name="_Toc168825182"/>
      <w:bookmarkStart w:id="137" w:name="_Toc171129618"/>
      <w:r>
        <w:rPr>
          <w:rFonts w:hint="eastAsia" w:ascii="宋体" w:hAnsi="宋体" w:eastAsia="宋体"/>
          <w:b/>
          <w:bCs/>
          <w:color w:val="000000" w:themeColor="text1"/>
          <w:sz w:val="21"/>
          <w:szCs w:val="21"/>
          <w:highlight w:val="none"/>
          <w:lang w:eastAsia="zh-CN"/>
          <w14:textFill>
            <w14:solidFill>
              <w14:schemeClr w14:val="tx1"/>
            </w14:solidFill>
          </w14:textFill>
        </w:rPr>
        <w:t>说明：</w:t>
      </w:r>
      <w:bookmarkEnd w:id="136"/>
      <w:bookmarkEnd w:id="137"/>
    </w:p>
    <w:p>
      <w:pPr>
        <w:keepLines/>
        <w:wordWrap w:val="0"/>
        <w:topLinePunct/>
        <w:spacing w:line="312" w:lineRule="auto"/>
        <w:ind w:firstLine="420" w:firstLineChars="200"/>
        <w:jc w:val="left"/>
        <w:rPr>
          <w:rFonts w:ascii="宋体" w:hAnsi="宋体" w:eastAsia="宋体" w:cs="Times New Roman"/>
          <w:color w:val="000000" w:themeColor="text1"/>
          <w:sz w:val="21"/>
          <w:szCs w:val="21"/>
          <w:highlight w:val="none"/>
          <w:lang w:eastAsia="zh-CN"/>
          <w14:textFill>
            <w14:solidFill>
              <w14:schemeClr w14:val="tx1"/>
            </w14:solidFill>
          </w14:textFill>
        </w:rPr>
      </w:pPr>
      <w:bookmarkStart w:id="138" w:name="_Toc171129619"/>
      <w:bookmarkStart w:id="139" w:name="_Toc168825183"/>
      <w:r>
        <w:rPr>
          <w:rFonts w:hint="eastAsia" w:ascii="宋体" w:hAnsi="宋体" w:eastAsia="宋体"/>
          <w:color w:val="000000" w:themeColor="text1"/>
          <w:sz w:val="21"/>
          <w:szCs w:val="21"/>
          <w:highlight w:val="none"/>
          <w:lang w:eastAsia="zh-CN"/>
          <w14:textFill>
            <w14:solidFill>
              <w14:schemeClr w14:val="tx1"/>
            </w14:solidFill>
          </w14:textFill>
        </w:rPr>
        <w:t>1、本一览表中的品牌型号、技术参数及其性能（配置）仅起参考作用，投标人可选用其他品牌型号替代，但这些替代的品牌型号要实质上相当于或优于参考品牌型号及其技术参数性能（配置）要求</w:t>
      </w:r>
      <w:bookmarkEnd w:id="138"/>
      <w:bookmarkEnd w:id="139"/>
      <w:r>
        <w:rPr>
          <w:rFonts w:hint="eastAsia" w:ascii="宋体" w:hAnsi="宋体" w:eastAsia="宋体"/>
          <w:color w:val="000000" w:themeColor="text1"/>
          <w:sz w:val="21"/>
          <w:szCs w:val="21"/>
          <w:highlight w:val="none"/>
          <w:lang w:eastAsia="zh-CN"/>
          <w14:textFill>
            <w14:solidFill>
              <w14:schemeClr w14:val="tx1"/>
            </w14:solidFill>
          </w14:textFill>
        </w:rPr>
        <w:t>。</w:t>
      </w:r>
    </w:p>
    <w:p>
      <w:pPr>
        <w:keepLines/>
        <w:wordWrap w:val="0"/>
        <w:topLinePunct/>
        <w:spacing w:line="312" w:lineRule="auto"/>
        <w:ind w:firstLine="420" w:firstLineChars="200"/>
        <w:jc w:val="left"/>
        <w:rPr>
          <w:rFonts w:ascii="宋体" w:hAnsi="宋体" w:eastAsia="宋体" w:cs="Times New Roman"/>
          <w:color w:val="000000" w:themeColor="text1"/>
          <w:sz w:val="21"/>
          <w:szCs w:val="21"/>
          <w:highlight w:val="none"/>
          <w:lang w:eastAsia="zh-CN"/>
          <w14:textFill>
            <w14:solidFill>
              <w14:schemeClr w14:val="tx1"/>
            </w14:solidFill>
          </w14:textFill>
        </w:rPr>
      </w:pPr>
      <w:bookmarkStart w:id="140" w:name="_Toc168825184"/>
      <w:bookmarkStart w:id="141" w:name="_Toc171129620"/>
      <w:r>
        <w:rPr>
          <w:rFonts w:hint="eastAsia" w:ascii="宋体" w:hAnsi="宋体" w:eastAsia="宋体"/>
          <w:color w:val="000000" w:themeColor="text1"/>
          <w:sz w:val="21"/>
          <w:szCs w:val="21"/>
          <w:highlight w:val="none"/>
          <w:lang w:eastAsia="zh-CN"/>
          <w14:textFill>
            <w14:solidFill>
              <w14:schemeClr w14:val="tx1"/>
            </w14:solidFill>
          </w14:textFill>
        </w:rPr>
        <w:t>2、本一览表中参考品牌型号及技术参数性能（配置）不明确或有误的，或投标人选用其他品牌型号替代的，请以详细的品牌型号、技术参数性能（配置）同时填写投标报价表和技术规格偏离表。</w:t>
      </w:r>
      <w:bookmarkEnd w:id="140"/>
      <w:bookmarkEnd w:id="141"/>
    </w:p>
    <w:p>
      <w:pPr>
        <w:keepLines/>
        <w:wordWrap w:val="0"/>
        <w:topLinePunct/>
        <w:spacing w:line="312" w:lineRule="auto"/>
        <w:ind w:firstLine="420" w:firstLineChars="200"/>
        <w:jc w:val="left"/>
        <w:rPr>
          <w:rFonts w:ascii="宋体" w:hAnsi="宋体" w:eastAsia="宋体" w:cs="Times New Roman"/>
          <w:color w:val="000000" w:themeColor="text1"/>
          <w:sz w:val="21"/>
          <w:szCs w:val="21"/>
          <w:highlight w:val="none"/>
          <w:lang w:eastAsia="zh-CN"/>
          <w14:textFill>
            <w14:solidFill>
              <w14:schemeClr w14:val="tx1"/>
            </w14:solidFill>
          </w14:textFill>
        </w:rPr>
      </w:pPr>
      <w:bookmarkStart w:id="142" w:name="_Toc171129621"/>
      <w:bookmarkStart w:id="143" w:name="_Toc168825185"/>
      <w:r>
        <w:rPr>
          <w:rFonts w:hint="eastAsia" w:ascii="宋体" w:hAnsi="宋体" w:eastAsia="宋体"/>
          <w:color w:val="000000" w:themeColor="text1"/>
          <w:sz w:val="21"/>
          <w:szCs w:val="21"/>
          <w:highlight w:val="none"/>
          <w:lang w:eastAsia="zh-CN"/>
          <w14:textFill>
            <w14:solidFill>
              <w14:schemeClr w14:val="tx1"/>
            </w14:solidFill>
          </w14:textFill>
        </w:rPr>
        <w:t>3、凡在</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技术参数及性能（配置）要求</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中表述为</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标配</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或</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标准配置</w:t>
      </w:r>
      <w:r>
        <w:rPr>
          <w:rFonts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的设备，投标人应在投标报价表中将其标配参数详细列明，否则该投标无效。</w:t>
      </w:r>
      <w:bookmarkEnd w:id="142"/>
      <w:bookmarkEnd w:id="143"/>
    </w:p>
    <w:p>
      <w:pPr>
        <w:keepLines/>
        <w:wordWrap w:val="0"/>
        <w:topLinePunct/>
        <w:spacing w:line="312" w:lineRule="auto"/>
        <w:ind w:firstLine="420" w:firstLineChars="200"/>
        <w:jc w:val="lef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4、评标时，如评标委员会发现本一览表技术参数及性能（配置）要求中含有某一品牌特有的参数或限制性要求的，有权认定不作为主要技术参数及性能（配置）要求处理。</w:t>
      </w:r>
    </w:p>
    <w:p>
      <w:pPr>
        <w:keepLines/>
        <w:wordWrap w:val="0"/>
        <w:topLinePunct/>
        <w:spacing w:line="312" w:lineRule="auto"/>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①提供相同品牌产品且通过资格审查的不同投标人参加同一合同项下投标的，按一家投标人计算，评审后得分最高的同品牌投标人获得中标人推荐资格；评审得分项目的，由采购人或采购人委托评标委员会按照招标文件规定方式确定一个投标人获得中标候选人推荐资格，招标文件未规定的采取随机抽取方式确定，其他同品牌投标人不作为中标候选人。</w:t>
      </w:r>
    </w:p>
    <w:p>
      <w:pPr>
        <w:keepLines/>
        <w:wordWrap w:val="0"/>
        <w:topLinePunct/>
        <w:spacing w:line="312" w:lineRule="auto"/>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②非单一产品采购项目中，多家投标人提供的核心产品品牌相同的，视为提供相同品牌产品。</w:t>
      </w:r>
      <w:bookmarkStart w:id="144" w:name="_Toc314214110"/>
      <w:bookmarkStart w:id="145" w:name="_Toc147250552"/>
      <w:bookmarkStart w:id="146" w:name="_Toc314033667"/>
      <w:bookmarkStart w:id="147" w:name="_Toc307555229"/>
      <w:bookmarkStart w:id="148" w:name="_Toc147250396"/>
      <w:bookmarkStart w:id="149" w:name="_Toc147250350"/>
    </w:p>
    <w:p>
      <w:pPr>
        <w:keepLines/>
        <w:numPr>
          <w:ilvl w:val="0"/>
          <w:numId w:val="5"/>
        </w:numPr>
        <w:wordWrap w:val="0"/>
        <w:topLinePunct/>
        <w:spacing w:line="312" w:lineRule="auto"/>
        <w:ind w:left="178" w:firstLine="422" w:firstLineChars="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本项目核心产品为：磁共振设备及相关配套设备采购。</w:t>
      </w:r>
    </w:p>
    <w:p>
      <w:pPr>
        <w:wordWrap w:val="0"/>
        <w:topLinePunct/>
        <w:spacing w:line="288" w:lineRule="auto"/>
        <w:ind w:firstLine="632" w:firstLineChars="300"/>
        <w:jc w:val="both"/>
        <w:rPr>
          <w:rFonts w:hint="eastAsia" w:hAnsi="宋体" w:eastAsia="宋体"/>
          <w:b/>
          <w:bCs/>
          <w:color w:val="000000" w:themeColor="text1"/>
          <w:sz w:val="21"/>
          <w:szCs w:val="21"/>
          <w:highlight w:val="none"/>
          <w:lang w:val="en-US" w:eastAsia="zh-CN"/>
          <w14:textFill>
            <w14:solidFill>
              <w14:schemeClr w14:val="tx1"/>
            </w14:solidFill>
          </w14:textFill>
        </w:rPr>
      </w:pPr>
      <w:r>
        <w:rPr>
          <w:rFonts w:hint="eastAsia" w:hAnsi="宋体" w:eastAsia="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b/>
          <w:bCs/>
          <w:color w:val="000000" w:themeColor="text1"/>
          <w:sz w:val="21"/>
          <w:szCs w:val="21"/>
          <w:highlight w:val="none"/>
          <w:lang w:eastAsia="zh-CN"/>
          <w14:textFill>
            <w14:solidFill>
              <w14:schemeClr w14:val="tx1"/>
            </w14:solidFill>
          </w14:textFill>
        </w:rPr>
        <w:t>单价最高限价715（万元</w:t>
      </w:r>
      <w:r>
        <w:rPr>
          <w:rFonts w:hint="eastAsia" w:hAnsi="宋体" w:eastAsia="宋体"/>
          <w:b/>
          <w:bCs/>
          <w:color w:val="000000" w:themeColor="text1"/>
          <w:sz w:val="21"/>
          <w:szCs w:val="21"/>
          <w:highlight w:val="none"/>
          <w:lang w:val="en-US" w:eastAsia="zh-CN"/>
          <w14:textFill>
            <w14:solidFill>
              <w14:schemeClr w14:val="tx1"/>
            </w14:solidFill>
          </w14:textFill>
        </w:rPr>
        <w:t>)</w:t>
      </w:r>
    </w:p>
    <w:p>
      <w:pPr>
        <w:pStyle w:val="24"/>
        <w:ind w:firstLine="632" w:firstLineChars="300"/>
        <w:rPr>
          <w:rFonts w:hint="default"/>
          <w:lang w:val="en-US" w:eastAsia="zh-CN"/>
        </w:rPr>
      </w:pPr>
      <w:r>
        <w:rPr>
          <w:rFonts w:hint="eastAsia" w:hAnsi="宋体" w:eastAsia="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b/>
          <w:bCs/>
          <w:color w:val="000000" w:themeColor="text1"/>
          <w:sz w:val="21"/>
          <w:szCs w:val="21"/>
          <w:highlight w:val="none"/>
          <w:lang w:eastAsia="zh-CN"/>
          <w14:textFill>
            <w14:solidFill>
              <w14:schemeClr w14:val="tx1"/>
            </w14:solidFill>
          </w14:textFill>
        </w:rPr>
        <w:t>所属行业</w:t>
      </w:r>
      <w:r>
        <w:rPr>
          <w:rFonts w:hint="eastAsia" w:hAnsi="宋体" w:eastAsia="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b/>
          <w:bCs/>
          <w:color w:val="000000" w:themeColor="text1"/>
          <w:kern w:val="0"/>
          <w:sz w:val="21"/>
          <w:szCs w:val="21"/>
          <w:highlight w:val="none"/>
          <w:lang w:eastAsia="zh-CN"/>
          <w14:textFill>
            <w14:solidFill>
              <w14:schemeClr w14:val="tx1"/>
            </w14:solidFill>
          </w14:textFill>
        </w:rPr>
        <w:t>工业</w:t>
      </w:r>
    </w:p>
    <w:p>
      <w:pPr>
        <w:pStyle w:val="20"/>
        <w:spacing w:line="340" w:lineRule="exact"/>
        <w:ind w:firstLine="422" w:firstLineChars="200"/>
        <w:rPr>
          <w:rFonts w:hAnsi="宋体"/>
          <w:b/>
          <w:bCs/>
          <w:color w:val="000000" w:themeColor="text1"/>
          <w:szCs w:val="22"/>
          <w:highlight w:val="none"/>
          <w14:textFill>
            <w14:solidFill>
              <w14:schemeClr w14:val="tx1"/>
            </w14:solidFill>
          </w14:textFill>
        </w:rPr>
      </w:pPr>
      <w:r>
        <w:rPr>
          <w:rFonts w:hint="eastAsia" w:hAnsi="宋体"/>
          <w:b/>
          <w:bCs/>
          <w:color w:val="000000" w:themeColor="text1"/>
          <w:szCs w:val="22"/>
          <w:highlight w:val="none"/>
          <w14:textFill>
            <w14:solidFill>
              <w14:schemeClr w14:val="tx1"/>
            </w14:solidFill>
          </w14:textFill>
        </w:rPr>
        <w:t>四、采购货物需求及技术性能要求</w:t>
      </w:r>
    </w:p>
    <w:tbl>
      <w:tblPr>
        <w:tblStyle w:val="37"/>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41"/>
        <w:gridCol w:w="5071"/>
        <w:gridCol w:w="695"/>
        <w:gridCol w:w="700"/>
        <w:gridCol w:w="67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wordWrap w:val="0"/>
              <w:topLinePunct/>
              <w:spacing w:line="288" w:lineRule="auto"/>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序号</w:t>
            </w:r>
          </w:p>
        </w:tc>
        <w:tc>
          <w:tcPr>
            <w:tcW w:w="1341" w:type="dxa"/>
            <w:vAlign w:val="center"/>
          </w:tcPr>
          <w:p>
            <w:pPr>
              <w:wordWrap w:val="0"/>
              <w:topLinePunct/>
              <w:spacing w:line="288" w:lineRule="auto"/>
              <w:ind w:firstLine="211" w:firstLineChars="100"/>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货物名称</w:t>
            </w:r>
          </w:p>
        </w:tc>
        <w:tc>
          <w:tcPr>
            <w:tcW w:w="5071" w:type="dxa"/>
            <w:vAlign w:val="center"/>
          </w:tcPr>
          <w:p>
            <w:pPr>
              <w:wordWrap w:val="0"/>
              <w:topLinePunct/>
              <w:spacing w:line="288" w:lineRule="auto"/>
              <w:ind w:firstLine="843" w:firstLineChars="400"/>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技术参数及性能配置要求</w:t>
            </w:r>
          </w:p>
        </w:tc>
        <w:tc>
          <w:tcPr>
            <w:tcW w:w="695" w:type="dxa"/>
            <w:vAlign w:val="center"/>
          </w:tcPr>
          <w:p>
            <w:pPr>
              <w:wordWrap w:val="0"/>
              <w:topLinePunct/>
              <w:spacing w:line="288" w:lineRule="auto"/>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数量</w:t>
            </w:r>
          </w:p>
        </w:tc>
        <w:tc>
          <w:tcPr>
            <w:tcW w:w="700" w:type="dxa"/>
            <w:vAlign w:val="center"/>
          </w:tcPr>
          <w:p>
            <w:pPr>
              <w:wordWrap w:val="0"/>
              <w:topLinePunct/>
              <w:spacing w:line="288" w:lineRule="auto"/>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单位</w:t>
            </w:r>
          </w:p>
        </w:tc>
        <w:tc>
          <w:tcPr>
            <w:tcW w:w="675" w:type="dxa"/>
            <w:vAlign w:val="center"/>
          </w:tcPr>
          <w:p>
            <w:pPr>
              <w:wordWrap w:val="0"/>
              <w:topLinePunct/>
              <w:spacing w:line="288" w:lineRule="auto"/>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所属行业</w:t>
            </w:r>
          </w:p>
        </w:tc>
        <w:tc>
          <w:tcPr>
            <w:tcW w:w="1101" w:type="dxa"/>
            <w:vAlign w:val="center"/>
          </w:tcPr>
          <w:p>
            <w:pPr>
              <w:wordWrap w:val="0"/>
              <w:topLinePunct/>
              <w:spacing w:line="288" w:lineRule="auto"/>
              <w:jc w:val="center"/>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单价最高限价</w:t>
            </w:r>
          </w:p>
          <w:p>
            <w:pPr>
              <w:wordWrap w:val="0"/>
              <w:topLinePunct/>
              <w:spacing w:line="288" w:lineRule="auto"/>
              <w:ind w:firstLine="211" w:firstLineChars="100"/>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5" w:type="dxa"/>
            <w:vAlign w:val="center"/>
          </w:tcPr>
          <w:p>
            <w:pPr>
              <w:wordWrap w:val="0"/>
              <w:topLinePunct/>
              <w:spacing w:line="288" w:lineRule="auto"/>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w:t>
            </w:r>
          </w:p>
        </w:tc>
        <w:tc>
          <w:tcPr>
            <w:tcW w:w="1341" w:type="dxa"/>
            <w:vAlign w:val="center"/>
          </w:tcPr>
          <w:p>
            <w:pPr>
              <w:wordWrap w:val="0"/>
              <w:topLinePunct/>
              <w:spacing w:line="288" w:lineRule="auto"/>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磁共振设备及相关配套设备采购</w:t>
            </w:r>
          </w:p>
        </w:tc>
        <w:tc>
          <w:tcPr>
            <w:tcW w:w="5071" w:type="dxa"/>
            <w:vAlign w:val="center"/>
          </w:tcPr>
          <w:p>
            <w:pPr>
              <w:rPr>
                <w:rFonts w:hint="eastAsia" w:ascii="GE Inspira" w:hAnsi="GE Inspira" w:eastAsia="幼圆" w:cs="Arial"/>
                <w:b/>
                <w:bCs/>
                <w:sz w:val="24"/>
                <w:lang w:eastAsia="zh-CN"/>
              </w:rPr>
            </w:pPr>
            <w:r>
              <w:rPr>
                <w:rFonts w:hint="eastAsia" w:ascii="GE Inspira" w:hAnsi="GE Inspira" w:eastAsia="幼圆" w:cs="Arial"/>
                <w:b/>
                <w:bCs/>
                <w:sz w:val="24"/>
                <w:lang w:val="en-US" w:eastAsia="zh-CN"/>
              </w:rPr>
              <w:t>1</w:t>
            </w:r>
            <w:r>
              <w:rPr>
                <w:rFonts w:ascii="GE Inspira" w:hAnsi="GE Inspira" w:eastAsia="幼圆" w:cs="Arial"/>
                <w:b/>
                <w:bCs/>
                <w:sz w:val="24"/>
              </w:rPr>
              <w:t>. 总体要求</w:t>
            </w:r>
            <w:r>
              <w:rPr>
                <w:rFonts w:hint="eastAsia" w:ascii="GE Inspira" w:hAnsi="GE Inspira" w:eastAsia="幼圆" w:cs="Arial"/>
                <w:b/>
                <w:bCs/>
                <w:sz w:val="24"/>
                <w:lang w:eastAsia="zh-CN"/>
              </w:rPr>
              <w:t>：机型为1.5T磁共振机型</w:t>
            </w:r>
          </w:p>
          <w:p>
            <w:pPr>
              <w:rPr>
                <w:rFonts w:ascii="GE Inspira" w:hAnsi="GE Inspira" w:eastAsia="幼圆" w:cs="Arial"/>
                <w:b/>
                <w:bCs/>
                <w:sz w:val="24"/>
              </w:rPr>
            </w:pPr>
            <w:r>
              <w:rPr>
                <w:rFonts w:hint="eastAsia" w:ascii="GE Inspira" w:hAnsi="GE Inspira" w:eastAsia="幼圆" w:cs="Arial"/>
                <w:b/>
                <w:bCs/>
                <w:sz w:val="24"/>
                <w:lang w:val="en-US" w:eastAsia="zh-CN"/>
              </w:rPr>
              <w:t>2</w:t>
            </w:r>
            <w:r>
              <w:rPr>
                <w:rFonts w:ascii="GE Inspira" w:hAnsi="GE Inspira" w:eastAsia="幼圆" w:cs="Arial"/>
                <w:b/>
                <w:bCs/>
                <w:sz w:val="24"/>
              </w:rPr>
              <w:t>. 磁体系统</w:t>
            </w:r>
          </w:p>
          <w:p>
            <w:pPr>
              <w:rPr>
                <w:rFonts w:ascii="GE Inspira" w:hAnsi="GE Inspira" w:eastAsia="幼圆" w:cs="Arial"/>
                <w:sz w:val="24"/>
              </w:rPr>
            </w:pPr>
            <w:r>
              <w:rPr>
                <w:rFonts w:ascii="GE Inspira" w:hAnsi="GE Inspira" w:eastAsia="幼圆" w:cs="Arial"/>
                <w:sz w:val="24"/>
              </w:rPr>
              <w:t>2.1</w:t>
            </w:r>
            <w:r>
              <w:rPr>
                <w:rFonts w:hint="eastAsia" w:ascii="GE Inspira" w:hAnsi="GE Inspira" w:eastAsia="幼圆" w:cs="Arial"/>
                <w:sz w:val="24"/>
                <w:lang w:val="en-US" w:eastAsia="zh-CN"/>
              </w:rPr>
              <w:t xml:space="preserve"> </w:t>
            </w:r>
            <w:r>
              <w:rPr>
                <w:rFonts w:ascii="GE Inspira" w:hAnsi="GE Inspira" w:eastAsia="幼圆" w:cs="Arial"/>
                <w:sz w:val="24"/>
              </w:rPr>
              <w:t>磁体类型</w:t>
            </w:r>
            <w:r>
              <w:rPr>
                <w:rFonts w:hint="eastAsia" w:ascii="GE Inspira" w:hAnsi="GE Inspira" w:eastAsia="幼圆" w:cs="Arial"/>
                <w:sz w:val="24"/>
                <w:lang w:eastAsia="zh-CN"/>
              </w:rPr>
              <w:t>：</w:t>
            </w:r>
            <w:r>
              <w:rPr>
                <w:rFonts w:ascii="GE Inspira" w:hAnsi="GE Inspira" w:eastAsia="幼圆" w:cs="Arial"/>
                <w:sz w:val="24"/>
              </w:rPr>
              <w:t>超导磁体</w:t>
            </w:r>
          </w:p>
          <w:p>
            <w:pPr>
              <w:rPr>
                <w:rFonts w:ascii="GE Inspira" w:hAnsi="GE Inspira" w:eastAsia="幼圆" w:cs="Arial"/>
                <w:sz w:val="24"/>
              </w:rPr>
            </w:pPr>
            <w:r>
              <w:rPr>
                <w:rFonts w:ascii="GE Inspira" w:hAnsi="GE Inspira" w:eastAsia="幼圆" w:cs="Arial"/>
                <w:sz w:val="24"/>
              </w:rPr>
              <w:t>2.2</w:t>
            </w:r>
            <w:r>
              <w:rPr>
                <w:rFonts w:hint="eastAsia" w:ascii="GE Inspira" w:hAnsi="GE Inspira" w:eastAsia="幼圆" w:cs="Arial"/>
                <w:sz w:val="24"/>
                <w:lang w:val="en-US" w:eastAsia="zh-CN"/>
              </w:rPr>
              <w:t xml:space="preserve"> </w:t>
            </w:r>
            <w:r>
              <w:rPr>
                <w:rFonts w:ascii="GE Inspira" w:hAnsi="GE Inspira" w:eastAsia="幼圆" w:cs="Arial"/>
                <w:sz w:val="24"/>
              </w:rPr>
              <w:t>磁场强度</w:t>
            </w:r>
            <w:r>
              <w:rPr>
                <w:rFonts w:hint="eastAsia" w:ascii="GE Inspira" w:hAnsi="GE Inspira" w:eastAsia="幼圆" w:cs="Arial"/>
                <w:sz w:val="24"/>
                <w:lang w:eastAsia="zh-CN"/>
              </w:rPr>
              <w:t>：</w:t>
            </w:r>
            <w:r>
              <w:rPr>
                <w:rFonts w:ascii="GE Inspira" w:hAnsi="GE Inspira" w:eastAsia="幼圆" w:cs="Arial"/>
                <w:sz w:val="24"/>
              </w:rPr>
              <w:t>≥1.5T</w:t>
            </w:r>
          </w:p>
          <w:p>
            <w:pPr>
              <w:rPr>
                <w:rFonts w:hint="eastAsia" w:ascii="GE Inspira" w:hAnsi="GE Inspira" w:eastAsia="幼圆" w:cs="Arial"/>
                <w:sz w:val="24"/>
              </w:rPr>
            </w:pPr>
            <w:r>
              <w:rPr>
                <w:rFonts w:ascii="GE Inspira" w:hAnsi="GE Inspira" w:eastAsia="幼圆" w:cs="Arial"/>
                <w:sz w:val="24"/>
              </w:rPr>
              <w:t>2.3</w:t>
            </w:r>
            <w:r>
              <w:rPr>
                <w:rFonts w:hint="eastAsia" w:ascii="GE Inspira" w:hAnsi="GE Inspira" w:eastAsia="幼圆" w:cs="Arial"/>
                <w:sz w:val="24"/>
                <w:lang w:val="en-US" w:eastAsia="zh-CN"/>
              </w:rPr>
              <w:t xml:space="preserve"> </w:t>
            </w:r>
            <w:r>
              <w:rPr>
                <w:rFonts w:ascii="GE Inspira" w:hAnsi="GE Inspira" w:eastAsia="幼圆" w:cs="Arial"/>
                <w:sz w:val="24"/>
              </w:rPr>
              <w:t>匀场方式</w:t>
            </w:r>
            <w:r>
              <w:rPr>
                <w:rFonts w:hint="eastAsia" w:ascii="GE Inspira" w:hAnsi="GE Inspira" w:eastAsia="幼圆" w:cs="Arial"/>
                <w:sz w:val="24"/>
                <w:lang w:eastAsia="zh-CN"/>
              </w:rPr>
              <w:t>：</w:t>
            </w:r>
            <w:r>
              <w:rPr>
                <w:rFonts w:ascii="GE Inspira" w:hAnsi="GE Inspira" w:eastAsia="幼圆" w:cs="Arial"/>
                <w:sz w:val="24"/>
              </w:rPr>
              <w:t>主动</w:t>
            </w:r>
            <w:r>
              <w:rPr>
                <w:rFonts w:hint="eastAsia" w:ascii="GE Inspira" w:hAnsi="GE Inspira" w:eastAsia="幼圆" w:cs="Arial"/>
                <w:sz w:val="24"/>
              </w:rPr>
              <w:t>+被动</w:t>
            </w:r>
          </w:p>
          <w:p>
            <w:pPr>
              <w:rPr>
                <w:rFonts w:ascii="GE Inspira" w:hAnsi="GE Inspira" w:eastAsia="幼圆" w:cs="Arial"/>
                <w:sz w:val="24"/>
              </w:rPr>
            </w:pPr>
            <w:r>
              <w:rPr>
                <w:rFonts w:ascii="GE Inspira" w:hAnsi="GE Inspira" w:eastAsia="幼圆" w:cs="Arial"/>
                <w:sz w:val="24"/>
              </w:rPr>
              <w:t>2.4</w:t>
            </w:r>
            <w:r>
              <w:rPr>
                <w:rFonts w:hint="eastAsia" w:ascii="GE Inspira" w:hAnsi="GE Inspira" w:eastAsia="幼圆" w:cs="Arial"/>
                <w:sz w:val="24"/>
                <w:lang w:val="en-US" w:eastAsia="zh-CN"/>
              </w:rPr>
              <w:t xml:space="preserve"> </w:t>
            </w:r>
            <w:r>
              <w:rPr>
                <w:rFonts w:ascii="GE Inspira" w:hAnsi="GE Inspira" w:eastAsia="幼圆" w:cs="Arial"/>
                <w:sz w:val="24"/>
              </w:rPr>
              <w:t>具备抗外界电磁干扰屏蔽技术</w:t>
            </w:r>
          </w:p>
          <w:p>
            <w:pPr>
              <w:rPr>
                <w:rFonts w:ascii="GE Inspira" w:hAnsi="GE Inspira" w:eastAsia="幼圆" w:cs="Arial"/>
                <w:sz w:val="24"/>
              </w:rPr>
            </w:pPr>
            <w:r>
              <w:rPr>
                <w:rFonts w:ascii="GE Inspira" w:hAnsi="GE Inspira" w:eastAsia="幼圆" w:cs="Arial"/>
                <w:sz w:val="24"/>
              </w:rPr>
              <w:t>2.5</w:t>
            </w:r>
            <w:r>
              <w:rPr>
                <w:rFonts w:hint="eastAsia" w:ascii="GE Inspira" w:hAnsi="GE Inspira" w:eastAsia="幼圆" w:cs="Arial"/>
                <w:sz w:val="24"/>
                <w:lang w:val="en-US" w:eastAsia="zh-CN"/>
              </w:rPr>
              <w:t xml:space="preserve"> </w:t>
            </w:r>
            <w:r>
              <w:rPr>
                <w:rFonts w:hint="eastAsia" w:ascii="GE Inspira" w:hAnsi="GE Inspira" w:eastAsia="幼圆" w:cs="Arial"/>
                <w:sz w:val="24"/>
              </w:rPr>
              <w:t>主动屏蔽</w:t>
            </w:r>
            <w:r>
              <w:rPr>
                <w:rFonts w:ascii="GE Inspira" w:hAnsi="GE Inspira" w:eastAsia="幼圆" w:cs="Arial"/>
                <w:sz w:val="24"/>
              </w:rPr>
              <w:t>方式</w:t>
            </w:r>
          </w:p>
          <w:p>
            <w:pPr>
              <w:rPr>
                <w:rFonts w:ascii="GE Inspira" w:hAnsi="GE Inspira" w:eastAsia="幼圆" w:cs="Arial"/>
                <w:sz w:val="24"/>
              </w:rPr>
            </w:pPr>
            <w:r>
              <w:rPr>
                <w:rFonts w:ascii="GE Inspira" w:hAnsi="GE Inspira" w:eastAsia="幼圆" w:cs="Arial"/>
                <w:sz w:val="24"/>
              </w:rPr>
              <w:t>2.6</w:t>
            </w:r>
            <w:r>
              <w:rPr>
                <w:rFonts w:hint="eastAsia" w:ascii="GE Inspira" w:hAnsi="GE Inspira" w:eastAsia="幼圆" w:cs="Arial"/>
                <w:sz w:val="24"/>
                <w:lang w:val="en-US" w:eastAsia="zh-CN"/>
              </w:rPr>
              <w:t xml:space="preserve"> </w:t>
            </w:r>
            <w:r>
              <w:rPr>
                <w:rFonts w:ascii="GE Inspira" w:hAnsi="GE Inspira" w:eastAsia="幼圆" w:cs="Arial"/>
                <w:sz w:val="24"/>
              </w:rPr>
              <w:t>具备三维动态匀场</w:t>
            </w:r>
          </w:p>
          <w:p>
            <w:pPr>
              <w:rPr>
                <w:rFonts w:ascii="GE Inspira" w:hAnsi="GE Inspira" w:eastAsia="幼圆" w:cs="Arial"/>
                <w:sz w:val="24"/>
              </w:rPr>
            </w:pPr>
            <w:r>
              <w:rPr>
                <w:rFonts w:ascii="GE Inspira" w:hAnsi="GE Inspira" w:eastAsia="幼圆" w:cs="Arial"/>
                <w:sz w:val="24"/>
              </w:rPr>
              <w:t>2.7</w:t>
            </w:r>
            <w:r>
              <w:rPr>
                <w:rFonts w:hint="eastAsia" w:ascii="GE Inspira" w:hAnsi="GE Inspira" w:eastAsia="幼圆" w:cs="Arial"/>
                <w:sz w:val="24"/>
                <w:lang w:val="en-US" w:eastAsia="zh-CN"/>
              </w:rPr>
              <w:t xml:space="preserve">  </w:t>
            </w:r>
            <w:r>
              <w:rPr>
                <w:rFonts w:ascii="GE Inspira" w:hAnsi="GE Inspira" w:eastAsia="幼圆" w:cs="Arial"/>
                <w:sz w:val="24"/>
              </w:rPr>
              <w:t>5高斯线范围</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rPr>
              <w:t>4.0</w:t>
            </w:r>
            <w:r>
              <w:rPr>
                <w:rFonts w:ascii="GE Inspira" w:hAnsi="GE Inspira" w:eastAsia="幼圆" w:cs="Arial"/>
                <w:sz w:val="24"/>
              </w:rPr>
              <w:t>X</w:t>
            </w:r>
            <w:r>
              <w:rPr>
                <w:rFonts w:hint="eastAsia" w:ascii="GE Inspira" w:hAnsi="GE Inspira" w:eastAsia="幼圆" w:cs="Arial"/>
                <w:sz w:val="24"/>
              </w:rPr>
              <w:t>2.5</w:t>
            </w:r>
            <w:r>
              <w:rPr>
                <w:rFonts w:ascii="GE Inspira" w:hAnsi="GE Inspira" w:eastAsia="幼圆" w:cs="Arial"/>
                <w:sz w:val="24"/>
              </w:rPr>
              <w:t xml:space="preserve"> m</w:t>
            </w:r>
          </w:p>
          <w:p>
            <w:pPr>
              <w:rPr>
                <w:rFonts w:hint="eastAsia" w:ascii="GE Inspira" w:hAnsi="GE Inspira" w:eastAsia="幼圆" w:cs="Arial"/>
                <w:sz w:val="24"/>
              </w:rPr>
            </w:pPr>
            <w:r>
              <w:rPr>
                <w:rFonts w:hint="default" w:ascii="GE Inspira" w:hAnsi="GE Inspira" w:eastAsia="幼圆" w:cs="Arial"/>
                <w:sz w:val="24"/>
              </w:rPr>
              <w:t>★</w:t>
            </w:r>
            <w:r>
              <w:rPr>
                <w:rFonts w:ascii="GE Inspira" w:hAnsi="GE Inspira" w:eastAsia="幼圆" w:cs="Arial"/>
                <w:sz w:val="24"/>
              </w:rPr>
              <w:t>2.8</w:t>
            </w:r>
            <w:r>
              <w:rPr>
                <w:rFonts w:hint="eastAsia" w:ascii="GE Inspira" w:hAnsi="GE Inspira" w:eastAsia="幼圆" w:cs="Arial"/>
                <w:sz w:val="24"/>
                <w:lang w:val="en-US" w:eastAsia="zh-CN"/>
              </w:rPr>
              <w:t xml:space="preserve"> </w:t>
            </w:r>
            <w:r>
              <w:rPr>
                <w:rFonts w:ascii="GE Inspira" w:hAnsi="GE Inspira" w:eastAsia="幼圆" w:cs="Arial"/>
                <w:sz w:val="24"/>
              </w:rPr>
              <w:t>磁场均匀度(V-RMS，典型值</w:t>
            </w:r>
            <w:r>
              <w:rPr>
                <w:rFonts w:hint="eastAsia" w:ascii="GE Inspira" w:hAnsi="GE Inspira" w:eastAsia="幼圆" w:cs="Arial"/>
                <w:sz w:val="24"/>
              </w:rPr>
              <w:t>，24平面32点法</w:t>
            </w:r>
            <w:r>
              <w:rPr>
                <w:rFonts w:ascii="GE Inspira" w:hAnsi="GE Inspira" w:eastAsia="幼圆" w:cs="Arial"/>
                <w:sz w:val="24"/>
              </w:rPr>
              <w:t>)</w:t>
            </w:r>
            <w:r>
              <w:rPr>
                <w:rFonts w:hint="eastAsia" w:ascii="GE Inspira" w:hAnsi="GE Inspira" w:eastAsia="幼圆" w:cs="Arial"/>
                <w:sz w:val="24"/>
              </w:rPr>
              <w:t>，满足以下3项：</w:t>
            </w:r>
          </w:p>
          <w:p>
            <w:pPr>
              <w:rPr>
                <w:rFonts w:ascii="GE Inspira" w:hAnsi="GE Inspira" w:eastAsia="幼圆" w:cs="Arial"/>
                <w:sz w:val="24"/>
              </w:rPr>
            </w:pPr>
            <w:r>
              <w:rPr>
                <w:rFonts w:ascii="GE Inspira" w:hAnsi="GE Inspira" w:eastAsia="幼圆" w:cs="Arial"/>
                <w:sz w:val="24"/>
              </w:rPr>
              <w:t>2.8</w:t>
            </w:r>
            <w:r>
              <w:rPr>
                <w:rFonts w:hint="eastAsia" w:ascii="GE Inspira" w:hAnsi="GE Inspira" w:eastAsia="幼圆" w:cs="Arial"/>
                <w:sz w:val="24"/>
              </w:rPr>
              <w:t>.1</w:t>
            </w:r>
            <w:r>
              <w:rPr>
                <w:rFonts w:hint="eastAsia" w:ascii="GE Inspira" w:hAnsi="GE Inspira" w:eastAsia="幼圆" w:cs="Arial"/>
                <w:sz w:val="24"/>
                <w:lang w:val="en-US" w:eastAsia="zh-CN"/>
              </w:rPr>
              <w:t xml:space="preserve">  </w:t>
            </w:r>
            <w:r>
              <w:rPr>
                <w:rFonts w:hint="eastAsia" w:ascii="GE Inspira" w:hAnsi="GE Inspira" w:eastAsia="幼圆" w:cs="Arial"/>
                <w:sz w:val="24"/>
              </w:rPr>
              <w:t>20 cm DSV</w:t>
            </w:r>
            <w:r>
              <w:rPr>
                <w:rFonts w:hint="eastAsia" w:ascii="GE Inspira" w:hAnsi="GE Inspira" w:eastAsia="幼圆" w:cs="Arial"/>
                <w:sz w:val="24"/>
                <w:lang w:eastAsia="zh-CN"/>
              </w:rPr>
              <w:t>：</w:t>
            </w:r>
            <w:r>
              <w:rPr>
                <w:rFonts w:ascii="GE Inspira" w:hAnsi="GE Inspira" w:eastAsia="幼圆" w:cs="Arial"/>
                <w:sz w:val="24"/>
              </w:rPr>
              <w:t>≤0.</w:t>
            </w:r>
            <w:r>
              <w:rPr>
                <w:rFonts w:hint="eastAsia" w:ascii="GE Inspira" w:hAnsi="GE Inspira" w:eastAsia="幼圆" w:cs="Arial"/>
                <w:sz w:val="24"/>
              </w:rPr>
              <w:t>0</w:t>
            </w:r>
            <w:r>
              <w:rPr>
                <w:rFonts w:ascii="GE Inspira" w:hAnsi="GE Inspira" w:eastAsia="幼圆" w:cs="Arial"/>
                <w:sz w:val="24"/>
              </w:rPr>
              <w:t>35ppm</w:t>
            </w:r>
          </w:p>
          <w:p>
            <w:pPr>
              <w:rPr>
                <w:rFonts w:ascii="GE Inspira" w:hAnsi="GE Inspira" w:eastAsia="幼圆" w:cs="Arial"/>
                <w:sz w:val="24"/>
              </w:rPr>
            </w:pPr>
            <w:r>
              <w:rPr>
                <w:rFonts w:ascii="GE Inspira" w:hAnsi="GE Inspira" w:eastAsia="幼圆" w:cs="Arial"/>
                <w:sz w:val="24"/>
              </w:rPr>
              <w:t>2.8</w:t>
            </w:r>
            <w:r>
              <w:rPr>
                <w:rFonts w:hint="eastAsia" w:ascii="GE Inspira" w:hAnsi="GE Inspira" w:eastAsia="幼圆" w:cs="Arial"/>
                <w:sz w:val="24"/>
              </w:rPr>
              <w:t>.2</w:t>
            </w:r>
            <w:r>
              <w:rPr>
                <w:rFonts w:hint="eastAsia" w:ascii="GE Inspira" w:hAnsi="GE Inspira" w:eastAsia="幼圆" w:cs="Arial"/>
                <w:sz w:val="24"/>
                <w:lang w:val="en-US" w:eastAsia="zh-CN"/>
              </w:rPr>
              <w:t xml:space="preserve">  </w:t>
            </w:r>
            <w:r>
              <w:rPr>
                <w:rFonts w:hint="eastAsia" w:ascii="GE Inspira" w:hAnsi="GE Inspira" w:eastAsia="幼圆" w:cs="Arial"/>
                <w:sz w:val="24"/>
              </w:rPr>
              <w:t>30 cm DSV</w:t>
            </w:r>
            <w:r>
              <w:rPr>
                <w:rFonts w:hint="eastAsia" w:ascii="GE Inspira" w:hAnsi="GE Inspira" w:eastAsia="幼圆" w:cs="Arial"/>
                <w:sz w:val="24"/>
                <w:lang w:eastAsia="zh-CN"/>
              </w:rPr>
              <w:t>：</w:t>
            </w:r>
            <w:r>
              <w:rPr>
                <w:rFonts w:ascii="GE Inspira" w:hAnsi="GE Inspira" w:eastAsia="幼圆" w:cs="Arial"/>
                <w:sz w:val="24"/>
              </w:rPr>
              <w:t>≤0.1ppm</w:t>
            </w:r>
          </w:p>
          <w:p>
            <w:pPr>
              <w:rPr>
                <w:rFonts w:ascii="GE Inspira" w:hAnsi="GE Inspira" w:eastAsia="幼圆" w:cs="Arial"/>
                <w:sz w:val="24"/>
              </w:rPr>
            </w:pPr>
            <w:r>
              <w:rPr>
                <w:rFonts w:ascii="GE Inspira" w:hAnsi="GE Inspira" w:eastAsia="幼圆" w:cs="Arial"/>
                <w:sz w:val="24"/>
              </w:rPr>
              <w:t>2.8</w:t>
            </w:r>
            <w:r>
              <w:rPr>
                <w:rFonts w:hint="eastAsia" w:ascii="GE Inspira" w:hAnsi="GE Inspira" w:eastAsia="幼圆" w:cs="Arial"/>
                <w:sz w:val="24"/>
              </w:rPr>
              <w:t>.3</w:t>
            </w:r>
            <w:r>
              <w:rPr>
                <w:rFonts w:hint="eastAsia" w:ascii="GE Inspira" w:hAnsi="GE Inspira" w:eastAsia="幼圆" w:cs="Arial"/>
                <w:sz w:val="24"/>
                <w:lang w:val="en-US" w:eastAsia="zh-CN"/>
              </w:rPr>
              <w:t xml:space="preserve">  </w:t>
            </w:r>
            <w:r>
              <w:rPr>
                <w:rFonts w:hint="eastAsia" w:ascii="GE Inspira" w:hAnsi="GE Inspira" w:eastAsia="幼圆" w:cs="Arial"/>
                <w:sz w:val="24"/>
              </w:rPr>
              <w:t>40 cm DSV</w:t>
            </w:r>
            <w:r>
              <w:rPr>
                <w:rFonts w:hint="eastAsia" w:ascii="GE Inspira" w:hAnsi="GE Inspira" w:eastAsia="幼圆" w:cs="Arial"/>
                <w:sz w:val="24"/>
                <w:lang w:eastAsia="zh-CN"/>
              </w:rPr>
              <w:t>：</w:t>
            </w:r>
            <w:r>
              <w:rPr>
                <w:rFonts w:ascii="GE Inspira" w:hAnsi="GE Inspira" w:eastAsia="幼圆" w:cs="Arial"/>
                <w:sz w:val="24"/>
              </w:rPr>
              <w:t>≤0.</w:t>
            </w:r>
            <w:r>
              <w:rPr>
                <w:rFonts w:hint="eastAsia" w:ascii="GE Inspira" w:hAnsi="GE Inspira" w:eastAsia="幼圆" w:cs="Arial"/>
                <w:sz w:val="24"/>
              </w:rPr>
              <w:t>33</w:t>
            </w:r>
            <w:r>
              <w:rPr>
                <w:rFonts w:ascii="GE Inspira" w:hAnsi="GE Inspira" w:eastAsia="幼圆" w:cs="Arial"/>
                <w:sz w:val="24"/>
              </w:rPr>
              <w:t>ppm</w:t>
            </w:r>
          </w:p>
          <w:p>
            <w:pPr>
              <w:rPr>
                <w:rFonts w:ascii="GE Inspira" w:hAnsi="GE Inspira" w:eastAsia="幼圆" w:cs="Arial"/>
                <w:sz w:val="24"/>
              </w:rPr>
            </w:pPr>
            <w:r>
              <w:rPr>
                <w:rFonts w:hint="default" w:ascii="GE Inspira" w:hAnsi="GE Inspira" w:eastAsia="幼圆" w:cs="Arial"/>
                <w:sz w:val="24"/>
              </w:rPr>
              <w:t>★</w:t>
            </w:r>
            <w:r>
              <w:rPr>
                <w:rFonts w:ascii="GE Inspira" w:hAnsi="GE Inspira" w:eastAsia="幼圆" w:cs="Arial"/>
                <w:sz w:val="24"/>
              </w:rPr>
              <w:t>2.</w:t>
            </w:r>
            <w:r>
              <w:rPr>
                <w:rFonts w:hint="default" w:ascii="GE Inspira" w:hAnsi="GE Inspira" w:eastAsia="幼圆" w:cs="Arial"/>
                <w:sz w:val="24"/>
                <w:lang w:eastAsia="zh-CN"/>
              </w:rPr>
              <w:t>9</w:t>
            </w:r>
            <w:r>
              <w:rPr>
                <w:rFonts w:hint="eastAsia" w:ascii="GE Inspira" w:hAnsi="GE Inspira" w:eastAsia="幼圆" w:cs="Arial"/>
                <w:sz w:val="24"/>
                <w:lang w:val="en-US" w:eastAsia="zh-CN"/>
              </w:rPr>
              <w:t xml:space="preserve"> </w:t>
            </w:r>
            <w:r>
              <w:rPr>
                <w:rFonts w:hint="eastAsia" w:ascii="GE Inspira" w:hAnsi="GE Inspira" w:eastAsia="幼圆" w:cs="Arial"/>
                <w:sz w:val="24"/>
              </w:rPr>
              <w:t>裸</w:t>
            </w:r>
            <w:r>
              <w:rPr>
                <w:rFonts w:ascii="GE Inspira" w:hAnsi="GE Inspira" w:eastAsia="幼圆" w:cs="Arial"/>
                <w:sz w:val="24"/>
              </w:rPr>
              <w:t>磁体长度</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color w:val="000000" w:themeColor="text1"/>
                <w:sz w:val="24"/>
                <w:lang w:val="en-US" w:eastAsia="zh-CN"/>
                <w14:textFill>
                  <w14:solidFill>
                    <w14:schemeClr w14:val="tx1"/>
                  </w14:solidFill>
                </w14:textFill>
              </w:rPr>
              <w:t>155</w:t>
            </w:r>
            <w:r>
              <w:rPr>
                <w:rFonts w:ascii="GE Inspira" w:hAnsi="GE Inspira" w:eastAsia="幼圆" w:cs="Arial"/>
                <w:sz w:val="24"/>
              </w:rPr>
              <w:t>cm</w:t>
            </w:r>
          </w:p>
          <w:p>
            <w:pPr>
              <w:rPr>
                <w:rFonts w:ascii="GE Inspira" w:hAnsi="GE Inspira" w:eastAsia="幼圆" w:cs="Arial"/>
                <w:sz w:val="24"/>
              </w:rPr>
            </w:pPr>
            <w:r>
              <w:rPr>
                <w:rFonts w:ascii="GE Inspira" w:hAnsi="GE Inspira" w:eastAsia="幼圆" w:cs="Arial"/>
                <w:sz w:val="24"/>
              </w:rPr>
              <w:t>2.</w:t>
            </w:r>
            <w:r>
              <w:rPr>
                <w:rFonts w:hint="eastAsia" w:ascii="GE Inspira" w:hAnsi="GE Inspira" w:eastAsia="幼圆" w:cs="Arial"/>
                <w:sz w:val="24"/>
              </w:rPr>
              <w:t>1</w:t>
            </w:r>
            <w:r>
              <w:rPr>
                <w:rFonts w:hint="default" w:ascii="GE Inspira" w:hAnsi="GE Inspira" w:eastAsia="幼圆" w:cs="Arial"/>
                <w:sz w:val="24"/>
                <w:lang w:eastAsia="zh-CN"/>
              </w:rPr>
              <w:t>0</w:t>
            </w:r>
            <w:r>
              <w:rPr>
                <w:rFonts w:hint="eastAsia" w:ascii="GE Inspira" w:hAnsi="GE Inspira" w:eastAsia="幼圆" w:cs="Arial"/>
                <w:sz w:val="24"/>
                <w:lang w:val="en-US" w:eastAsia="zh-CN"/>
              </w:rPr>
              <w:t xml:space="preserve"> </w:t>
            </w:r>
            <w:r>
              <w:rPr>
                <w:rFonts w:ascii="GE Inspira" w:hAnsi="GE Inspira" w:eastAsia="幼圆" w:cs="Arial"/>
                <w:sz w:val="24"/>
              </w:rPr>
              <w:t>病人检查通道最窄孔径</w:t>
            </w:r>
            <w:r>
              <w:rPr>
                <w:rFonts w:hint="eastAsia" w:ascii="GE Inspira" w:hAnsi="GE Inspira" w:eastAsia="幼圆" w:cs="Arial"/>
                <w:sz w:val="24"/>
                <w:lang w:eastAsia="zh-CN"/>
              </w:rPr>
              <w:t>：</w:t>
            </w:r>
            <w:r>
              <w:rPr>
                <w:rFonts w:ascii="GE Inspira" w:hAnsi="GE Inspira" w:eastAsia="幼圆" w:cs="Arial"/>
                <w:sz w:val="24"/>
              </w:rPr>
              <w:t>≥60 cm</w:t>
            </w:r>
          </w:p>
          <w:p>
            <w:pPr>
              <w:rPr>
                <w:rFonts w:hint="eastAsia" w:ascii="GE Inspira" w:hAnsi="GE Inspira" w:eastAsia="幼圆" w:cs="Arial"/>
                <w:sz w:val="24"/>
              </w:rPr>
            </w:pPr>
            <w:r>
              <w:rPr>
                <w:rFonts w:ascii="GE Inspira" w:hAnsi="GE Inspira" w:eastAsia="幼圆" w:cs="Arial"/>
                <w:sz w:val="24"/>
              </w:rPr>
              <w:t>2.</w:t>
            </w:r>
            <w:r>
              <w:rPr>
                <w:rFonts w:hint="eastAsia" w:ascii="GE Inspira" w:hAnsi="GE Inspira" w:eastAsia="幼圆" w:cs="Arial"/>
                <w:sz w:val="24"/>
              </w:rPr>
              <w:t>1</w:t>
            </w:r>
            <w:r>
              <w:rPr>
                <w:rFonts w:hint="default" w:ascii="GE Inspira" w:hAnsi="GE Inspira" w:eastAsia="幼圆" w:cs="Arial"/>
                <w:sz w:val="24"/>
                <w:lang w:eastAsia="zh-CN"/>
              </w:rPr>
              <w:t>1</w:t>
            </w:r>
            <w:r>
              <w:rPr>
                <w:rFonts w:hint="eastAsia" w:ascii="GE Inspira" w:hAnsi="GE Inspira" w:eastAsia="幼圆" w:cs="Arial"/>
                <w:sz w:val="24"/>
                <w:lang w:val="en-US" w:eastAsia="zh-CN"/>
              </w:rPr>
              <w:t xml:space="preserve"> </w:t>
            </w:r>
            <w:r>
              <w:rPr>
                <w:rFonts w:ascii="GE Inspira" w:hAnsi="GE Inspira" w:eastAsia="幼圆" w:cs="Arial"/>
                <w:sz w:val="24"/>
              </w:rPr>
              <w:t>磁体重量（含液氦）</w:t>
            </w:r>
            <w:r>
              <w:rPr>
                <w:rFonts w:hint="eastAsia" w:ascii="GE Inspira" w:hAnsi="GE Inspira" w:eastAsia="幼圆" w:cs="Arial"/>
                <w:sz w:val="24"/>
                <w:lang w:val="en-US" w:eastAsia="zh-CN"/>
              </w:rPr>
              <w:t xml:space="preserve"> ：</w:t>
            </w:r>
            <w:r>
              <w:rPr>
                <w:rFonts w:ascii="GE Inspira" w:hAnsi="GE Inspira" w:eastAsia="幼圆" w:cs="Arial"/>
                <w:sz w:val="24"/>
              </w:rPr>
              <w:t>≥</w:t>
            </w:r>
            <w:r>
              <w:rPr>
                <w:rFonts w:hint="eastAsia" w:ascii="GE Inspira" w:hAnsi="GE Inspira" w:eastAsia="幼圆" w:cs="Arial"/>
                <w:sz w:val="24"/>
                <w:lang w:val="en-US" w:eastAsia="zh-CN"/>
              </w:rPr>
              <w:t>50</w:t>
            </w:r>
            <w:r>
              <w:rPr>
                <w:rFonts w:ascii="GE Inspira" w:hAnsi="GE Inspira" w:eastAsia="幼圆" w:cs="Arial"/>
                <w:sz w:val="24"/>
              </w:rPr>
              <w:t>00</w:t>
            </w:r>
            <w:r>
              <w:rPr>
                <w:rFonts w:hint="eastAsia" w:ascii="GE Inspira" w:hAnsi="GE Inspira" w:eastAsia="幼圆" w:cs="Arial"/>
                <w:sz w:val="24"/>
              </w:rPr>
              <w:t>kg</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2.12 液氦添加周期；全生命周期内无需补充液氦</w:t>
            </w:r>
          </w:p>
          <w:p>
            <w:pPr>
              <w:rPr>
                <w:rFonts w:ascii="GE Inspira" w:hAnsi="GE Inspira" w:eastAsia="幼圆" w:cs="Arial"/>
                <w:b/>
                <w:bCs/>
                <w:sz w:val="24"/>
              </w:rPr>
            </w:pPr>
            <w:r>
              <w:rPr>
                <w:rFonts w:hint="eastAsia" w:ascii="GE Inspira" w:hAnsi="GE Inspira" w:eastAsia="幼圆" w:cs="Arial"/>
                <w:sz w:val="24"/>
              </w:rPr>
              <w:t>★</w:t>
            </w:r>
            <w:r>
              <w:rPr>
                <w:rFonts w:ascii="GE Inspira" w:hAnsi="GE Inspira" w:eastAsia="幼圆" w:cs="Arial"/>
                <w:b/>
                <w:bCs/>
                <w:sz w:val="24"/>
              </w:rPr>
              <w:t>3</w:t>
            </w:r>
            <w:bookmarkStart w:id="150" w:name="OLE_LINK6"/>
            <w:r>
              <w:rPr>
                <w:rFonts w:ascii="GE Inspira" w:hAnsi="GE Inspira" w:eastAsia="幼圆" w:cs="Arial"/>
                <w:b/>
                <w:bCs/>
                <w:sz w:val="24"/>
              </w:rPr>
              <w:t xml:space="preserve">. </w:t>
            </w:r>
            <w:bookmarkEnd w:id="150"/>
            <w:r>
              <w:rPr>
                <w:rFonts w:ascii="GE Inspira" w:hAnsi="GE Inspira" w:eastAsia="幼圆" w:cs="Arial"/>
                <w:b/>
                <w:bCs/>
                <w:sz w:val="24"/>
              </w:rPr>
              <w:t>梯度系统</w:t>
            </w:r>
          </w:p>
          <w:p>
            <w:pPr>
              <w:rPr>
                <w:rFonts w:ascii="GE Inspira" w:hAnsi="GE Inspira" w:eastAsia="幼圆" w:cs="Arial"/>
                <w:sz w:val="24"/>
                <w:lang w:val="de-DE"/>
              </w:rPr>
            </w:pPr>
            <w:r>
              <w:rPr>
                <w:rFonts w:ascii="GE Inspira" w:hAnsi="GE Inspira" w:eastAsia="幼圆" w:cs="Arial"/>
                <w:sz w:val="24"/>
              </w:rPr>
              <w:t>3.1</w:t>
            </w:r>
            <w:r>
              <w:rPr>
                <w:rFonts w:hint="eastAsia" w:ascii="GE Inspira" w:hAnsi="GE Inspira" w:eastAsia="幼圆" w:cs="Arial"/>
                <w:sz w:val="24"/>
                <w:lang w:val="en-US" w:eastAsia="zh-CN"/>
              </w:rPr>
              <w:t xml:space="preserve"> </w:t>
            </w:r>
            <w:r>
              <w:rPr>
                <w:rFonts w:ascii="GE Inspira" w:hAnsi="GE Inspira" w:eastAsia="幼圆" w:cs="Arial"/>
                <w:sz w:val="24"/>
              </w:rPr>
              <w:t>最大单轴梯度场强(非有效值)</w:t>
            </w:r>
            <w:r>
              <w:rPr>
                <w:rFonts w:hint="eastAsia" w:ascii="GE Inspira" w:hAnsi="GE Inspira" w:eastAsia="幼圆" w:cs="Arial"/>
                <w:sz w:val="24"/>
                <w:lang w:val="en-US" w:eastAsia="zh-CN"/>
              </w:rPr>
              <w:t>:</w:t>
            </w:r>
            <w:r>
              <w:rPr>
                <w:rFonts w:ascii="GE Inspira" w:hAnsi="GE Inspira" w:eastAsia="幼圆" w:cs="Arial"/>
                <w:sz w:val="24"/>
              </w:rPr>
              <w:t>≥33</w:t>
            </w:r>
            <w:r>
              <w:rPr>
                <w:rFonts w:ascii="GE Inspira" w:hAnsi="GE Inspira" w:eastAsia="幼圆" w:cs="Arial"/>
                <w:sz w:val="24"/>
                <w:lang w:val="de-DE"/>
              </w:rPr>
              <w:t>mT/m</w:t>
            </w:r>
          </w:p>
          <w:p>
            <w:pPr>
              <w:rPr>
                <w:rFonts w:ascii="GE Inspira" w:hAnsi="GE Inspira" w:eastAsia="幼圆" w:cs="Arial"/>
                <w:sz w:val="24"/>
              </w:rPr>
            </w:pPr>
            <w:r>
              <w:rPr>
                <w:rFonts w:ascii="GE Inspira" w:hAnsi="GE Inspira" w:eastAsia="幼圆" w:cs="Arial"/>
                <w:sz w:val="24"/>
              </w:rPr>
              <w:t>3.2</w:t>
            </w:r>
            <w:r>
              <w:rPr>
                <w:rFonts w:hint="eastAsia" w:ascii="GE Inspira" w:hAnsi="GE Inspira" w:eastAsia="幼圆" w:cs="Arial"/>
                <w:sz w:val="24"/>
                <w:lang w:val="en-US" w:eastAsia="zh-CN"/>
              </w:rPr>
              <w:t xml:space="preserve"> </w:t>
            </w:r>
            <w:r>
              <w:rPr>
                <w:rFonts w:ascii="GE Inspira" w:hAnsi="GE Inspira" w:eastAsia="幼圆" w:cs="Arial"/>
                <w:sz w:val="24"/>
              </w:rPr>
              <w:t>最大X、Y、Z轴扫描FOV</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50</w:t>
            </w:r>
            <w:r>
              <w:rPr>
                <w:rFonts w:ascii="GE Inspira" w:hAnsi="GE Inspira" w:eastAsia="幼圆" w:cs="Arial"/>
                <w:sz w:val="24"/>
              </w:rPr>
              <w:t xml:space="preserve"> cm</w:t>
            </w:r>
          </w:p>
          <w:p>
            <w:pPr>
              <w:rPr>
                <w:rFonts w:ascii="GE Inspira" w:hAnsi="GE Inspira" w:eastAsia="幼圆" w:cs="Arial"/>
                <w:sz w:val="24"/>
              </w:rPr>
            </w:pPr>
            <w:r>
              <w:rPr>
                <w:rFonts w:ascii="GE Inspira" w:hAnsi="GE Inspira" w:eastAsia="幼圆" w:cs="Arial"/>
                <w:sz w:val="24"/>
              </w:rPr>
              <w:t>3.3</w:t>
            </w:r>
            <w:r>
              <w:rPr>
                <w:rFonts w:hint="eastAsia" w:ascii="GE Inspira" w:hAnsi="GE Inspira" w:eastAsia="幼圆" w:cs="Arial"/>
                <w:sz w:val="24"/>
                <w:lang w:val="en-US" w:eastAsia="zh-CN"/>
              </w:rPr>
              <w:t xml:space="preserve"> </w:t>
            </w:r>
            <w:r>
              <w:rPr>
                <w:rFonts w:ascii="GE Inspira" w:hAnsi="GE Inspira" w:eastAsia="幼圆" w:cs="Arial"/>
                <w:sz w:val="24"/>
              </w:rPr>
              <w:t>梯度工作方式</w:t>
            </w:r>
            <w:r>
              <w:rPr>
                <w:rFonts w:hint="eastAsia" w:ascii="GE Inspira" w:hAnsi="GE Inspira" w:eastAsia="幼圆" w:cs="Arial"/>
                <w:sz w:val="24"/>
                <w:lang w:val="en-US" w:eastAsia="zh-CN"/>
              </w:rPr>
              <w:t>:</w:t>
            </w:r>
            <w:r>
              <w:rPr>
                <w:rFonts w:ascii="GE Inspira" w:hAnsi="GE Inspira" w:eastAsia="幼圆" w:cs="Arial"/>
                <w:sz w:val="24"/>
              </w:rPr>
              <w:t>非共振式</w:t>
            </w:r>
          </w:p>
          <w:p>
            <w:pPr>
              <w:rPr>
                <w:rFonts w:ascii="GE Inspira" w:hAnsi="GE Inspira" w:eastAsia="幼圆" w:cs="Arial"/>
                <w:sz w:val="24"/>
              </w:rPr>
            </w:pPr>
            <w:r>
              <w:rPr>
                <w:rFonts w:ascii="GE Inspira" w:hAnsi="GE Inspira" w:eastAsia="幼圆" w:cs="Arial"/>
                <w:sz w:val="24"/>
              </w:rPr>
              <w:t>3.4</w:t>
            </w:r>
            <w:r>
              <w:rPr>
                <w:rFonts w:hint="eastAsia" w:ascii="GE Inspira" w:hAnsi="GE Inspira" w:eastAsia="幼圆" w:cs="Arial"/>
                <w:sz w:val="24"/>
                <w:lang w:val="en-US" w:eastAsia="zh-CN"/>
              </w:rPr>
              <w:t xml:space="preserve"> </w:t>
            </w:r>
            <w:r>
              <w:rPr>
                <w:rFonts w:ascii="GE Inspira" w:hAnsi="GE Inspira" w:eastAsia="幼圆" w:cs="Arial"/>
                <w:sz w:val="24"/>
              </w:rPr>
              <w:t>具备软件降噪技术</w:t>
            </w:r>
          </w:p>
          <w:p>
            <w:pPr>
              <w:rPr>
                <w:rFonts w:ascii="GE Inspira" w:hAnsi="GE Inspira" w:eastAsia="幼圆" w:cs="Arial"/>
                <w:sz w:val="24"/>
              </w:rPr>
            </w:pPr>
            <w:r>
              <w:rPr>
                <w:rFonts w:ascii="GE Inspira" w:hAnsi="GE Inspira" w:eastAsia="幼圆" w:cs="Arial"/>
                <w:sz w:val="24"/>
              </w:rPr>
              <w:t>3.5</w:t>
            </w:r>
            <w:r>
              <w:rPr>
                <w:rFonts w:hint="eastAsia" w:ascii="GE Inspira" w:hAnsi="GE Inspira" w:eastAsia="幼圆" w:cs="Arial"/>
                <w:sz w:val="24"/>
                <w:lang w:val="en-US" w:eastAsia="zh-CN"/>
              </w:rPr>
              <w:t xml:space="preserve"> </w:t>
            </w:r>
            <w:r>
              <w:rPr>
                <w:rFonts w:ascii="GE Inspira" w:hAnsi="GE Inspira" w:eastAsia="幼圆" w:cs="Arial"/>
                <w:sz w:val="24"/>
              </w:rPr>
              <w:t>具备硬件降噪技术</w:t>
            </w:r>
          </w:p>
          <w:p>
            <w:pPr>
              <w:rPr>
                <w:rFonts w:ascii="GE Inspira" w:hAnsi="GE Inspira" w:eastAsia="幼圆" w:cs="Arial"/>
                <w:sz w:val="24"/>
              </w:rPr>
            </w:pPr>
            <w:r>
              <w:rPr>
                <w:rFonts w:ascii="GE Inspira" w:hAnsi="GE Inspira" w:eastAsia="幼圆" w:cs="Arial"/>
                <w:sz w:val="24"/>
              </w:rPr>
              <w:t>3.6</w:t>
            </w:r>
            <w:r>
              <w:rPr>
                <w:rFonts w:hint="eastAsia" w:ascii="GE Inspira" w:hAnsi="GE Inspira" w:eastAsia="幼圆" w:cs="Arial"/>
                <w:sz w:val="24"/>
                <w:lang w:val="en-US" w:eastAsia="zh-CN"/>
              </w:rPr>
              <w:t xml:space="preserve"> </w:t>
            </w:r>
            <w:r>
              <w:rPr>
                <w:rFonts w:ascii="GE Inspira" w:hAnsi="GE Inspira" w:eastAsia="幼圆" w:cs="Arial"/>
                <w:sz w:val="24"/>
              </w:rPr>
              <w:t>梯度线圈冷却</w:t>
            </w:r>
            <w:r>
              <w:rPr>
                <w:rFonts w:hint="eastAsia" w:ascii="GE Inspira" w:hAnsi="GE Inspira" w:eastAsia="幼圆" w:cs="Arial"/>
                <w:sz w:val="24"/>
                <w:lang w:val="en-US" w:eastAsia="zh-CN"/>
              </w:rPr>
              <w:t>:</w:t>
            </w:r>
            <w:r>
              <w:rPr>
                <w:rFonts w:ascii="GE Inspira" w:hAnsi="GE Inspira" w:eastAsia="幼圆" w:cs="Arial"/>
                <w:sz w:val="24"/>
              </w:rPr>
              <w:t>水冷</w:t>
            </w:r>
          </w:p>
          <w:p>
            <w:pPr>
              <w:rPr>
                <w:rFonts w:ascii="GE Inspira" w:hAnsi="GE Inspira" w:eastAsia="幼圆" w:cs="Arial"/>
                <w:sz w:val="24"/>
              </w:rPr>
            </w:pPr>
            <w:r>
              <w:rPr>
                <w:rFonts w:ascii="GE Inspira" w:hAnsi="GE Inspira" w:eastAsia="幼圆" w:cs="Arial"/>
                <w:sz w:val="24"/>
              </w:rPr>
              <w:t>3.7</w:t>
            </w:r>
            <w:r>
              <w:rPr>
                <w:rFonts w:hint="eastAsia" w:ascii="GE Inspira" w:hAnsi="GE Inspira" w:eastAsia="幼圆" w:cs="Arial"/>
                <w:sz w:val="24"/>
                <w:lang w:val="en-US" w:eastAsia="zh-CN"/>
              </w:rPr>
              <w:t xml:space="preserve"> </w:t>
            </w:r>
            <w:r>
              <w:rPr>
                <w:rFonts w:ascii="GE Inspira" w:hAnsi="GE Inspira" w:eastAsia="幼圆" w:cs="Arial"/>
                <w:sz w:val="24"/>
              </w:rPr>
              <w:t>梯度放大器冷却</w:t>
            </w:r>
            <w:r>
              <w:rPr>
                <w:rFonts w:hint="eastAsia" w:ascii="GE Inspira" w:hAnsi="GE Inspira" w:eastAsia="幼圆" w:cs="Arial"/>
                <w:sz w:val="24"/>
                <w:lang w:val="en-US" w:eastAsia="zh-CN"/>
              </w:rPr>
              <w:t>:</w:t>
            </w:r>
            <w:r>
              <w:rPr>
                <w:rFonts w:ascii="GE Inspira" w:hAnsi="GE Inspira" w:eastAsia="幼圆" w:cs="Arial"/>
                <w:sz w:val="24"/>
              </w:rPr>
              <w:t>水冷</w:t>
            </w:r>
          </w:p>
          <w:p>
            <w:pPr>
              <w:rPr>
                <w:rFonts w:ascii="GE Inspira" w:hAnsi="GE Inspira" w:eastAsia="幼圆" w:cs="Arial"/>
                <w:sz w:val="24"/>
              </w:rPr>
            </w:pPr>
            <w:r>
              <w:rPr>
                <w:rFonts w:ascii="GE Inspira" w:hAnsi="GE Inspira" w:eastAsia="幼圆" w:cs="Arial"/>
                <w:sz w:val="24"/>
              </w:rPr>
              <w:t>3.8梯度数字控制技术</w:t>
            </w:r>
            <w:r>
              <w:rPr>
                <w:rFonts w:hint="eastAsia" w:ascii="GE Inspira" w:hAnsi="GE Inspira" w:eastAsia="幼圆" w:cs="Arial"/>
                <w:sz w:val="24"/>
                <w:lang w:val="en-US" w:eastAsia="zh-CN"/>
              </w:rPr>
              <w:t>:</w:t>
            </w:r>
            <w:r>
              <w:rPr>
                <w:rFonts w:ascii="GE Inspira" w:hAnsi="GE Inspira" w:eastAsia="幼圆" w:cs="Arial"/>
                <w:sz w:val="24"/>
              </w:rPr>
              <w:t>自校准</w:t>
            </w:r>
            <w:r>
              <w:rPr>
                <w:rFonts w:hint="eastAsia" w:ascii="GE Inspira" w:hAnsi="GE Inspira" w:eastAsia="幼圆" w:cs="Arial"/>
                <w:sz w:val="24"/>
              </w:rPr>
              <w:t xml:space="preserve"> </w:t>
            </w:r>
            <w:r>
              <w:rPr>
                <w:rFonts w:ascii="GE Inspira" w:hAnsi="GE Inspira" w:eastAsia="幼圆" w:cs="Arial"/>
                <w:sz w:val="24"/>
              </w:rPr>
              <w:t>前反馈技术</w:t>
            </w:r>
          </w:p>
          <w:p>
            <w:pPr>
              <w:rPr>
                <w:rFonts w:ascii="GE Inspira" w:hAnsi="GE Inspira" w:eastAsia="幼圆" w:cs="Arial"/>
                <w:sz w:val="24"/>
              </w:rPr>
            </w:pPr>
            <w:r>
              <w:rPr>
                <w:rFonts w:ascii="GE Inspira" w:hAnsi="GE Inspira" w:eastAsia="幼圆" w:cs="Arial"/>
                <w:sz w:val="24"/>
              </w:rPr>
              <w:t>3.9</w:t>
            </w:r>
            <w:r>
              <w:rPr>
                <w:rFonts w:hint="eastAsia" w:ascii="GE Inspira" w:hAnsi="GE Inspira" w:eastAsia="幼圆" w:cs="Arial"/>
                <w:sz w:val="24"/>
                <w:lang w:val="en-US" w:eastAsia="zh-CN"/>
              </w:rPr>
              <w:t xml:space="preserve"> </w:t>
            </w:r>
            <w:r>
              <w:rPr>
                <w:rFonts w:ascii="GE Inspira" w:hAnsi="GE Inspira" w:eastAsia="幼圆" w:cs="Arial"/>
                <w:sz w:val="24"/>
              </w:rPr>
              <w:t>工作周期</w:t>
            </w:r>
            <w:r>
              <w:rPr>
                <w:rFonts w:hint="eastAsia" w:ascii="GE Inspira" w:hAnsi="GE Inspira" w:eastAsia="幼圆" w:cs="Arial"/>
                <w:sz w:val="24"/>
                <w:lang w:val="en-US" w:eastAsia="zh-CN"/>
              </w:rPr>
              <w:t>:</w:t>
            </w:r>
            <w:r>
              <w:rPr>
                <w:rFonts w:ascii="GE Inspira" w:hAnsi="GE Inspira" w:eastAsia="幼圆" w:cs="Arial"/>
                <w:sz w:val="24"/>
              </w:rPr>
              <w:t>100%</w:t>
            </w:r>
          </w:p>
          <w:p>
            <w:pPr>
              <w:rPr>
                <w:rFonts w:ascii="GE Inspira" w:hAnsi="GE Inspira" w:eastAsia="幼圆" w:cs="Arial"/>
                <w:b/>
                <w:bCs/>
                <w:sz w:val="24"/>
              </w:rPr>
            </w:pPr>
            <w:r>
              <w:rPr>
                <w:rFonts w:hint="eastAsia" w:ascii="GE Inspira" w:hAnsi="GE Inspira" w:eastAsia="幼圆" w:cs="Arial"/>
                <w:sz w:val="24"/>
              </w:rPr>
              <w:t>★</w:t>
            </w:r>
            <w:r>
              <w:rPr>
                <w:rFonts w:ascii="GE Inspira" w:hAnsi="GE Inspira" w:eastAsia="幼圆" w:cs="Arial"/>
                <w:b/>
                <w:bCs/>
                <w:sz w:val="24"/>
              </w:rPr>
              <w:t>4. 射频系统</w:t>
            </w:r>
          </w:p>
          <w:p>
            <w:pPr>
              <w:rPr>
                <w:rFonts w:hint="default" w:ascii="GE Inspira" w:hAnsi="GE Inspira" w:eastAsia="幼圆" w:cs="Arial"/>
                <w:sz w:val="24"/>
                <w:lang w:val="en-US" w:eastAsia="zh-CN"/>
              </w:rPr>
            </w:pPr>
            <w:r>
              <w:rPr>
                <w:rFonts w:ascii="GE Inspira" w:hAnsi="GE Inspira" w:eastAsia="幼圆" w:cs="Arial"/>
                <w:sz w:val="24"/>
              </w:rPr>
              <w:t>4.1</w:t>
            </w:r>
            <w:r>
              <w:rPr>
                <w:rFonts w:hint="eastAsia" w:ascii="GE Inspira" w:hAnsi="GE Inspira" w:eastAsia="幼圆" w:cs="Arial"/>
                <w:sz w:val="24"/>
                <w:lang w:val="en-US" w:eastAsia="zh-CN"/>
              </w:rPr>
              <w:t xml:space="preserve"> </w:t>
            </w:r>
            <w:r>
              <w:rPr>
                <w:rFonts w:ascii="GE Inspira" w:hAnsi="GE Inspira" w:eastAsia="幼圆" w:cs="Arial"/>
                <w:sz w:val="24"/>
              </w:rPr>
              <w:t>射频</w:t>
            </w:r>
            <w:r>
              <w:rPr>
                <w:rFonts w:hint="eastAsia" w:ascii="GE Inspira" w:hAnsi="GE Inspira" w:eastAsia="幼圆" w:cs="Arial"/>
                <w:sz w:val="24"/>
              </w:rPr>
              <w:t>接收系统</w:t>
            </w:r>
            <w:r>
              <w:rPr>
                <w:rFonts w:hint="eastAsia" w:ascii="GE Inspira" w:hAnsi="GE Inspira" w:eastAsia="幼圆" w:cs="Arial"/>
                <w:sz w:val="24"/>
                <w:lang w:val="en-US" w:eastAsia="zh-CN"/>
              </w:rPr>
              <w:t>:</w:t>
            </w:r>
            <w:r>
              <w:rPr>
                <w:rFonts w:hint="eastAsia" w:ascii="GE Inspira" w:hAnsi="GE Inspira" w:eastAsia="幼圆" w:cs="Arial"/>
                <w:sz w:val="24"/>
              </w:rPr>
              <w:t>光纤射频系统</w:t>
            </w:r>
            <w:r>
              <w:rPr>
                <w:rFonts w:hint="eastAsia" w:ascii="GE Inspira" w:hAnsi="GE Inspira" w:eastAsia="幼圆" w:cs="Arial"/>
                <w:sz w:val="24"/>
                <w:lang w:eastAsia="zh-CN"/>
              </w:rPr>
              <w:t>，</w:t>
            </w:r>
            <w:r>
              <w:rPr>
                <w:rFonts w:hint="eastAsia" w:ascii="GE Inspira" w:hAnsi="GE Inspira" w:eastAsia="幼圆" w:cs="Arial"/>
                <w:sz w:val="24"/>
                <w:lang w:val="en-US" w:eastAsia="zh-CN"/>
              </w:rPr>
              <w:t>模数转换器内置于磁体</w:t>
            </w:r>
          </w:p>
          <w:p>
            <w:pPr>
              <w:rPr>
                <w:rFonts w:hint="eastAsia" w:ascii="GE Inspira" w:hAnsi="GE Inspira" w:eastAsia="幼圆" w:cs="Arial"/>
                <w:sz w:val="24"/>
                <w:lang w:eastAsia="zh-CN"/>
              </w:rPr>
            </w:pPr>
            <w:r>
              <w:rPr>
                <w:rFonts w:ascii="GE Inspira" w:hAnsi="GE Inspira" w:eastAsia="幼圆" w:cs="Arial"/>
                <w:sz w:val="24"/>
              </w:rPr>
              <w:t>4.2</w:t>
            </w:r>
            <w:r>
              <w:rPr>
                <w:rFonts w:hint="eastAsia" w:ascii="GE Inspira" w:hAnsi="GE Inspira" w:eastAsia="幼圆" w:cs="Arial"/>
                <w:sz w:val="24"/>
                <w:lang w:val="en-US" w:eastAsia="zh-CN"/>
              </w:rPr>
              <w:t xml:space="preserve"> </w:t>
            </w:r>
            <w:r>
              <w:rPr>
                <w:rFonts w:ascii="GE Inspira" w:hAnsi="GE Inspira" w:eastAsia="幼圆" w:cs="Arial"/>
                <w:sz w:val="24"/>
              </w:rPr>
              <w:t>射频</w:t>
            </w:r>
            <w:r>
              <w:rPr>
                <w:rFonts w:hint="eastAsia" w:ascii="GE Inspira" w:hAnsi="GE Inspira" w:eastAsia="幼圆" w:cs="Arial"/>
                <w:sz w:val="24"/>
              </w:rPr>
              <w:t>发射系统</w:t>
            </w:r>
            <w:r>
              <w:rPr>
                <w:rFonts w:hint="eastAsia" w:ascii="GE Inspira" w:hAnsi="GE Inspira" w:eastAsia="幼圆" w:cs="Arial"/>
                <w:sz w:val="24"/>
                <w:lang w:val="en-US" w:eastAsia="zh-CN"/>
              </w:rPr>
              <w:t>:</w:t>
            </w:r>
            <w:r>
              <w:rPr>
                <w:rFonts w:hint="eastAsia" w:ascii="GE Inspira" w:hAnsi="GE Inspira" w:eastAsia="幼圆" w:cs="Arial"/>
                <w:sz w:val="24"/>
              </w:rPr>
              <w:t>光纤发射</w:t>
            </w:r>
            <w:r>
              <w:rPr>
                <w:rFonts w:hint="eastAsia" w:ascii="GE Inspira" w:hAnsi="GE Inspira" w:eastAsia="幼圆" w:cs="Arial"/>
                <w:sz w:val="24"/>
                <w:lang w:eastAsia="zh-CN"/>
              </w:rPr>
              <w:t>，</w:t>
            </w:r>
            <w:r>
              <w:rPr>
                <w:rFonts w:hint="eastAsia" w:ascii="GE Inspira" w:hAnsi="GE Inspira" w:eastAsia="幼圆" w:cs="Arial"/>
                <w:sz w:val="24"/>
                <w:lang w:val="en-US" w:eastAsia="zh-CN"/>
              </w:rPr>
              <w:t>模数转换器内置于磁体</w:t>
            </w:r>
          </w:p>
          <w:p>
            <w:pPr>
              <w:rPr>
                <w:rFonts w:ascii="GE Inspira" w:hAnsi="GE Inspira" w:eastAsia="幼圆" w:cs="Arial"/>
                <w:sz w:val="24"/>
              </w:rPr>
            </w:pPr>
            <w:r>
              <w:rPr>
                <w:rFonts w:ascii="GE Inspira" w:hAnsi="GE Inspira" w:eastAsia="幼圆" w:cs="Arial"/>
                <w:sz w:val="24"/>
              </w:rPr>
              <w:t>4.3射频发射功率</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12</w:t>
            </w:r>
            <w:r>
              <w:rPr>
                <w:rFonts w:ascii="GE Inspira" w:hAnsi="GE Inspira" w:eastAsia="幼圆" w:cs="Arial"/>
                <w:sz w:val="24"/>
              </w:rPr>
              <w:t xml:space="preserve">kW </w:t>
            </w:r>
          </w:p>
          <w:p>
            <w:pPr>
              <w:rPr>
                <w:ins w:id="0" w:author="豆腐罩" w:date="2025-11-27T15:19:21Z"/>
                <w:rFonts w:ascii="GE Inspira" w:hAnsi="GE Inspira" w:eastAsia="幼圆" w:cs="Arial"/>
                <w:sz w:val="24"/>
              </w:rPr>
            </w:pPr>
            <w:r>
              <w:rPr>
                <w:rFonts w:ascii="GE Inspira" w:hAnsi="GE Inspira" w:eastAsia="幼圆" w:cs="Arial"/>
                <w:sz w:val="24"/>
              </w:rPr>
              <w:t>4.4</w:t>
            </w:r>
            <w:r>
              <w:rPr>
                <w:rFonts w:hint="eastAsia" w:ascii="GE Inspira" w:hAnsi="GE Inspira" w:eastAsia="幼圆" w:cs="Arial"/>
                <w:sz w:val="24"/>
                <w:lang w:val="en-US" w:eastAsia="zh-CN"/>
              </w:rPr>
              <w:t xml:space="preserve"> </w:t>
            </w:r>
            <w:r>
              <w:rPr>
                <w:rFonts w:ascii="GE Inspira" w:hAnsi="GE Inspira" w:eastAsia="幼圆" w:cs="Arial"/>
                <w:sz w:val="24"/>
              </w:rPr>
              <w:t>射频发射带宽</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rPr>
              <w:t>100</w:t>
            </w:r>
            <w:r>
              <w:rPr>
                <w:rFonts w:ascii="GE Inspira" w:hAnsi="GE Inspira" w:eastAsia="幼圆" w:cs="Arial"/>
                <w:sz w:val="24"/>
              </w:rPr>
              <w:t>0kHz</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4.5 射频接收采样率(Sampling Rate)≥80MHz</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4.6 具备射频线圈扫描自动调谐技术</w:t>
            </w:r>
          </w:p>
          <w:p>
            <w:pPr>
              <w:rPr>
                <w:rFonts w:ascii="GE Inspira" w:hAnsi="GE Inspira" w:eastAsia="幼圆" w:cs="Arial"/>
                <w:sz w:val="24"/>
              </w:rPr>
            </w:pPr>
            <w:r>
              <w:rPr>
                <w:rFonts w:hint="eastAsia" w:ascii="GE Inspira" w:hAnsi="GE Inspira" w:eastAsia="幼圆" w:cs="Arial"/>
                <w:sz w:val="24"/>
                <w:lang w:val="en-US" w:eastAsia="zh-CN"/>
              </w:rPr>
              <w:t xml:space="preserve">4.7 射频传输通道 ≥16 </w:t>
            </w:r>
          </w:p>
          <w:p>
            <w:pPr>
              <w:rPr>
                <w:rFonts w:ascii="GE Inspira" w:hAnsi="GE Inspira" w:eastAsia="幼圆" w:cs="Arial"/>
                <w:b/>
                <w:bCs/>
                <w:sz w:val="24"/>
              </w:rPr>
            </w:pPr>
            <w:r>
              <w:rPr>
                <w:rFonts w:hint="eastAsia" w:ascii="GE Inspira" w:hAnsi="GE Inspira" w:eastAsia="幼圆" w:cs="Arial"/>
                <w:sz w:val="24"/>
              </w:rPr>
              <w:t>★</w:t>
            </w:r>
            <w:r>
              <w:rPr>
                <w:rFonts w:ascii="GE Inspira" w:hAnsi="GE Inspira" w:eastAsia="幼圆" w:cs="Arial"/>
                <w:b/>
                <w:bCs/>
                <w:sz w:val="24"/>
              </w:rPr>
              <w:t>5.射频接收线圈</w:t>
            </w:r>
          </w:p>
          <w:p>
            <w:pPr>
              <w:rPr>
                <w:ins w:id="1" w:author="豆腐罩" w:date="2025-11-27T15:25:16Z"/>
                <w:rFonts w:ascii="GE Inspira" w:hAnsi="GE Inspira" w:eastAsia="幼圆" w:cs="Arial"/>
                <w:sz w:val="24"/>
              </w:rPr>
            </w:pPr>
            <w:r>
              <w:rPr>
                <w:rFonts w:ascii="GE Inspira" w:hAnsi="GE Inspira" w:eastAsia="幼圆" w:cs="Arial"/>
                <w:sz w:val="24"/>
              </w:rPr>
              <w:t>5.</w:t>
            </w:r>
            <w:r>
              <w:rPr>
                <w:rFonts w:hint="eastAsia" w:ascii="GE Inspira" w:hAnsi="GE Inspira" w:eastAsia="幼圆" w:cs="Arial"/>
                <w:sz w:val="24"/>
              </w:rPr>
              <w:t>1</w:t>
            </w:r>
            <w:r>
              <w:rPr>
                <w:rFonts w:hint="eastAsia" w:ascii="GE Inspira" w:hAnsi="GE Inspira" w:eastAsia="幼圆" w:cs="Arial"/>
                <w:sz w:val="24"/>
                <w:lang w:val="en-US" w:eastAsia="zh-CN"/>
              </w:rPr>
              <w:t xml:space="preserve"> </w:t>
            </w:r>
            <w:r>
              <w:rPr>
                <w:rFonts w:ascii="GE Inspira" w:hAnsi="GE Inspira" w:eastAsia="幼圆" w:cs="Arial"/>
                <w:sz w:val="24"/>
              </w:rPr>
              <w:t>线圈要求：</w:t>
            </w:r>
          </w:p>
          <w:p>
            <w:pPr>
              <w:ind w:firstLine="240" w:firstLineChars="100"/>
              <w:rPr>
                <w:rFonts w:ascii="GE Inspira" w:hAnsi="GE Inspira" w:eastAsia="幼圆" w:cs="Arial"/>
                <w:sz w:val="24"/>
              </w:rPr>
            </w:pPr>
            <w:r>
              <w:rPr>
                <w:rFonts w:hint="eastAsia" w:ascii="GE Inspira" w:hAnsi="GE Inspira" w:eastAsia="幼圆" w:cs="Arial"/>
                <w:sz w:val="24"/>
                <w:lang w:val="en-US" w:eastAsia="zh-CN"/>
              </w:rPr>
              <w:t>具备</w:t>
            </w:r>
            <w:r>
              <w:rPr>
                <w:rFonts w:hint="eastAsia" w:ascii="GE Inspira" w:hAnsi="GE Inspira" w:eastAsia="幼圆" w:cs="Arial"/>
                <w:sz w:val="24"/>
              </w:rPr>
              <w:t>头颈联合相控阵线圈大于16单元</w:t>
            </w:r>
          </w:p>
          <w:p>
            <w:pPr>
              <w:ind w:firstLine="240" w:firstLineChars="100"/>
              <w:rPr>
                <w:rFonts w:hint="eastAsia" w:ascii="GE Inspira" w:hAnsi="GE Inspira" w:eastAsia="幼圆" w:cs="Arial"/>
                <w:sz w:val="24"/>
              </w:rPr>
            </w:pPr>
            <w:r>
              <w:rPr>
                <w:rFonts w:hint="eastAsia" w:ascii="GE Inspira" w:hAnsi="GE Inspira" w:eastAsia="幼圆" w:cs="Arial"/>
                <w:sz w:val="24"/>
                <w:lang w:val="en-US" w:eastAsia="zh-CN"/>
              </w:rPr>
              <w:t>具备</w:t>
            </w:r>
            <w:r>
              <w:rPr>
                <w:rFonts w:hint="eastAsia" w:ascii="GE Inspira" w:hAnsi="GE Inspira" w:eastAsia="幼圆" w:cs="Arial"/>
                <w:sz w:val="24"/>
              </w:rPr>
              <w:t>腹部相控阵体表线圈大于16单元</w:t>
            </w:r>
          </w:p>
          <w:p>
            <w:pPr>
              <w:ind w:firstLine="240" w:firstLineChars="100"/>
              <w:rPr>
                <w:rFonts w:hint="eastAsia" w:ascii="GE Inspira" w:hAnsi="GE Inspira" w:eastAsia="幼圆" w:cs="Arial"/>
                <w:sz w:val="24"/>
              </w:rPr>
            </w:pPr>
            <w:r>
              <w:rPr>
                <w:rFonts w:hint="eastAsia" w:ascii="GE Inspira" w:hAnsi="GE Inspira" w:eastAsia="幼圆" w:cs="Arial"/>
                <w:sz w:val="24"/>
                <w:lang w:val="en-US" w:eastAsia="zh-CN"/>
              </w:rPr>
              <w:t>具备</w:t>
            </w:r>
            <w:r>
              <w:rPr>
                <w:rFonts w:hint="eastAsia" w:ascii="GE Inspira" w:hAnsi="GE Inspira" w:eastAsia="幼圆" w:cs="Arial"/>
                <w:sz w:val="24"/>
              </w:rPr>
              <w:t>全脊柱相控阵线圈大于16单元</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具备高级正交体线圈</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具备关节大柔性线圈（高通道超柔）</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具备关节小柔性线圈（高通道超柔）</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具备乳腺线圈大于16单元</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 xml:space="preserve">具备膝关节专用线圈 </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具备肩关节专用线圈</w:t>
            </w:r>
          </w:p>
          <w:p>
            <w:pPr>
              <w:ind w:firstLine="240" w:firstLineChars="100"/>
              <w:rPr>
                <w:rFonts w:hint="eastAsia" w:ascii="GE Inspira" w:hAnsi="GE Inspira" w:eastAsia="幼圆" w:cs="Arial"/>
                <w:sz w:val="24"/>
                <w:lang w:val="en-US" w:eastAsia="zh-CN"/>
              </w:rPr>
            </w:pPr>
            <w:r>
              <w:rPr>
                <w:rFonts w:hint="eastAsia" w:ascii="GE Inspira" w:hAnsi="GE Inspira" w:eastAsia="幼圆" w:cs="Arial"/>
                <w:sz w:val="24"/>
                <w:lang w:val="en-US" w:eastAsia="zh-CN"/>
              </w:rPr>
              <w:t>具备腕关节专用线圈</w:t>
            </w:r>
          </w:p>
          <w:p>
            <w:pPr>
              <w:ind w:firstLine="240" w:firstLineChars="100"/>
              <w:rPr>
                <w:rFonts w:hint="default" w:ascii="GE Inspira" w:hAnsi="GE Inspira" w:eastAsia="幼圆" w:cs="Arial"/>
                <w:sz w:val="24"/>
                <w:lang w:val="en-US" w:eastAsia="zh-CN"/>
              </w:rPr>
            </w:pPr>
            <w:r>
              <w:rPr>
                <w:rFonts w:hint="eastAsia" w:ascii="GE Inspira" w:hAnsi="GE Inspira" w:eastAsia="幼圆" w:cs="Arial"/>
                <w:sz w:val="24"/>
                <w:lang w:val="en-US" w:eastAsia="zh-CN"/>
              </w:rPr>
              <w:t>具备</w:t>
            </w:r>
            <w:r>
              <w:rPr>
                <w:rFonts w:hint="default" w:ascii="GE Inspira" w:hAnsi="GE Inspira" w:eastAsia="幼圆" w:cs="Arial"/>
                <w:sz w:val="24"/>
                <w:lang w:val="en-US" w:eastAsia="zh-CN"/>
              </w:rPr>
              <w:t>关节线圈架</w:t>
            </w:r>
          </w:p>
          <w:p>
            <w:pPr>
              <w:ind w:firstLine="240" w:firstLineChars="100"/>
              <w:rPr>
                <w:rFonts w:ascii="GE Inspira" w:hAnsi="GE Inspira" w:eastAsia="幼圆" w:cs="Arial"/>
                <w:sz w:val="24"/>
              </w:rPr>
            </w:pPr>
            <w:r>
              <w:rPr>
                <w:rFonts w:hint="eastAsia" w:ascii="GE Inspira" w:hAnsi="GE Inspira" w:eastAsia="幼圆" w:cs="Arial"/>
                <w:sz w:val="24"/>
                <w:lang w:val="en-US" w:eastAsia="zh-CN"/>
              </w:rPr>
              <w:t>具备</w:t>
            </w:r>
            <w:r>
              <w:rPr>
                <w:rFonts w:hint="default" w:ascii="GE Inspira" w:hAnsi="GE Inspira" w:eastAsia="幼圆" w:cs="Arial"/>
                <w:sz w:val="24"/>
                <w:lang w:val="en-US" w:eastAsia="zh-CN"/>
              </w:rPr>
              <w:t>线圈组合扫描技术</w:t>
            </w:r>
          </w:p>
          <w:p>
            <w:pPr>
              <w:rPr>
                <w:rFonts w:ascii="GE Inspira" w:hAnsi="GE Inspira" w:eastAsia="幼圆" w:cs="Arial"/>
                <w:b/>
                <w:bCs/>
                <w:sz w:val="24"/>
              </w:rPr>
            </w:pPr>
            <w:r>
              <w:rPr>
                <w:rFonts w:hint="eastAsia" w:ascii="GE Inspira" w:hAnsi="GE Inspira" w:eastAsia="幼圆" w:cs="Arial"/>
                <w:b/>
                <w:bCs/>
                <w:sz w:val="24"/>
                <w:lang w:val="en-US" w:eastAsia="zh-CN"/>
              </w:rPr>
              <w:t>6.</w:t>
            </w:r>
            <w:r>
              <w:rPr>
                <w:rFonts w:ascii="GE Inspira" w:hAnsi="GE Inspira" w:eastAsia="幼圆" w:cs="Arial"/>
                <w:b/>
                <w:bCs/>
                <w:sz w:val="24"/>
              </w:rPr>
              <w:t>计算机系统</w:t>
            </w:r>
          </w:p>
          <w:p>
            <w:pPr>
              <w:rPr>
                <w:rFonts w:ascii="GE Inspira" w:hAnsi="GE Inspira" w:eastAsia="幼圆" w:cs="Arial"/>
                <w:sz w:val="24"/>
                <w:lang w:val="de-DE"/>
              </w:rPr>
            </w:pPr>
            <w:r>
              <w:rPr>
                <w:rFonts w:ascii="GE Inspira" w:hAnsi="GE Inspira" w:eastAsia="幼圆" w:cs="Arial"/>
                <w:sz w:val="24"/>
              </w:rPr>
              <w:t>6.1主计算机CPU</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lang w:val="de-DE"/>
              </w:rPr>
              <w:t>四</w:t>
            </w:r>
            <w:r>
              <w:rPr>
                <w:rFonts w:ascii="GE Inspira" w:hAnsi="GE Inspira" w:eastAsia="幼圆" w:cs="Arial"/>
                <w:sz w:val="24"/>
                <w:lang w:val="de-DE"/>
              </w:rPr>
              <w:t>核</w:t>
            </w:r>
          </w:p>
          <w:p>
            <w:pPr>
              <w:rPr>
                <w:rFonts w:ascii="GE Inspira" w:hAnsi="GE Inspira" w:eastAsia="幼圆" w:cs="Arial"/>
                <w:sz w:val="24"/>
              </w:rPr>
            </w:pPr>
            <w:r>
              <w:rPr>
                <w:rFonts w:ascii="GE Inspira" w:hAnsi="GE Inspira" w:eastAsia="幼圆" w:cs="Arial"/>
                <w:sz w:val="24"/>
              </w:rPr>
              <w:t>6.2</w:t>
            </w:r>
            <w:r>
              <w:rPr>
                <w:rFonts w:hint="eastAsia" w:ascii="GE Inspira" w:hAnsi="GE Inspira" w:eastAsia="幼圆" w:cs="Arial"/>
                <w:sz w:val="24"/>
                <w:lang w:val="en-US" w:eastAsia="zh-CN"/>
              </w:rPr>
              <w:t xml:space="preserve"> </w:t>
            </w:r>
            <w:r>
              <w:rPr>
                <w:rFonts w:ascii="GE Inspira" w:hAnsi="GE Inspira" w:eastAsia="幼圆" w:cs="Arial"/>
                <w:sz w:val="24"/>
              </w:rPr>
              <w:t>C</w:t>
            </w:r>
            <w:r>
              <w:rPr>
                <w:rFonts w:hint="eastAsia" w:ascii="GE Inspira" w:hAnsi="GE Inspira" w:eastAsia="幼圆" w:cs="Arial"/>
                <w:sz w:val="24"/>
              </w:rPr>
              <w:t>PU</w:t>
            </w:r>
            <w:r>
              <w:rPr>
                <w:rFonts w:ascii="GE Inspira" w:hAnsi="GE Inspira" w:eastAsia="幼圆" w:cs="Arial"/>
                <w:sz w:val="24"/>
              </w:rPr>
              <w:t>个数</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rPr>
              <w:t>4</w:t>
            </w:r>
            <w:r>
              <w:rPr>
                <w:rFonts w:ascii="GE Inspira" w:hAnsi="GE Inspira" w:eastAsia="幼圆" w:cs="Arial"/>
                <w:sz w:val="24"/>
              </w:rPr>
              <w:t>个</w:t>
            </w:r>
          </w:p>
          <w:p>
            <w:pPr>
              <w:rPr>
                <w:rFonts w:ascii="GE Inspira" w:hAnsi="GE Inspira" w:eastAsia="幼圆" w:cs="Arial"/>
                <w:sz w:val="24"/>
              </w:rPr>
            </w:pPr>
            <w:r>
              <w:rPr>
                <w:rFonts w:ascii="GE Inspira" w:hAnsi="GE Inspira" w:eastAsia="幼圆" w:cs="Arial"/>
                <w:sz w:val="24"/>
              </w:rPr>
              <w:t>6.3</w:t>
            </w:r>
            <w:r>
              <w:rPr>
                <w:rFonts w:hint="eastAsia" w:ascii="GE Inspira" w:hAnsi="GE Inspira" w:eastAsia="幼圆" w:cs="Arial"/>
                <w:sz w:val="24"/>
                <w:lang w:val="en-US" w:eastAsia="zh-CN"/>
              </w:rPr>
              <w:t xml:space="preserve"> </w:t>
            </w:r>
            <w:r>
              <w:rPr>
                <w:rFonts w:ascii="GE Inspira" w:hAnsi="GE Inspira" w:eastAsia="幼圆" w:cs="Arial"/>
                <w:sz w:val="24"/>
              </w:rPr>
              <w:t>CPU位数</w:t>
            </w:r>
            <w:r>
              <w:rPr>
                <w:rFonts w:hint="eastAsia" w:ascii="GE Inspira" w:hAnsi="GE Inspira" w:eastAsia="幼圆" w:cs="Arial"/>
                <w:sz w:val="24"/>
                <w:lang w:eastAsia="zh-CN"/>
              </w:rPr>
              <w:t>：</w:t>
            </w:r>
            <w:r>
              <w:rPr>
                <w:rFonts w:ascii="GE Inspira" w:hAnsi="GE Inspira" w:eastAsia="幼圆" w:cs="Arial"/>
                <w:sz w:val="24"/>
              </w:rPr>
              <w:t>≥64位</w:t>
            </w:r>
          </w:p>
          <w:p>
            <w:pPr>
              <w:rPr>
                <w:rFonts w:ascii="GE Inspira" w:hAnsi="GE Inspira" w:eastAsia="幼圆" w:cs="Arial"/>
                <w:sz w:val="24"/>
              </w:rPr>
            </w:pPr>
            <w:r>
              <w:rPr>
                <w:rFonts w:ascii="GE Inspira" w:hAnsi="GE Inspira" w:eastAsia="幼圆" w:cs="Arial"/>
                <w:sz w:val="24"/>
              </w:rPr>
              <w:t>6.4</w:t>
            </w:r>
            <w:r>
              <w:rPr>
                <w:rFonts w:hint="eastAsia" w:ascii="GE Inspira" w:hAnsi="GE Inspira" w:eastAsia="幼圆" w:cs="Arial"/>
                <w:sz w:val="24"/>
                <w:lang w:val="en-US" w:eastAsia="zh-CN"/>
              </w:rPr>
              <w:t xml:space="preserve"> </w:t>
            </w:r>
            <w:r>
              <w:rPr>
                <w:rFonts w:ascii="GE Inspira" w:hAnsi="GE Inspira" w:eastAsia="幼圆" w:cs="Arial"/>
                <w:sz w:val="24"/>
              </w:rPr>
              <w:t>主频大小</w:t>
            </w:r>
            <w:r>
              <w:rPr>
                <w:rFonts w:hint="eastAsia" w:ascii="GE Inspira" w:hAnsi="GE Inspira" w:eastAsia="幼圆" w:cs="Arial"/>
                <w:sz w:val="24"/>
                <w:lang w:eastAsia="zh-CN"/>
              </w:rPr>
              <w:t>：</w:t>
            </w:r>
            <w:r>
              <w:rPr>
                <w:rFonts w:ascii="GE Inspira" w:hAnsi="GE Inspira" w:eastAsia="幼圆" w:cs="Arial"/>
                <w:sz w:val="24"/>
              </w:rPr>
              <w:t>≥3.6Hz</w:t>
            </w:r>
          </w:p>
          <w:p>
            <w:pPr>
              <w:rPr>
                <w:rFonts w:hint="eastAsia" w:ascii="GE Inspira" w:hAnsi="GE Inspira" w:eastAsia="幼圆" w:cs="Arial"/>
                <w:sz w:val="24"/>
                <w:lang w:eastAsia="zh-CN"/>
              </w:rPr>
            </w:pPr>
            <w:r>
              <w:rPr>
                <w:rFonts w:ascii="GE Inspira" w:hAnsi="GE Inspira" w:eastAsia="幼圆" w:cs="Arial"/>
                <w:sz w:val="24"/>
              </w:rPr>
              <w:t>6.5内存大小</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lang w:eastAsia="zh-CN"/>
              </w:rPr>
              <w:t>64GB</w:t>
            </w:r>
          </w:p>
          <w:p>
            <w:pPr>
              <w:rPr>
                <w:rFonts w:ascii="GE Inspira" w:hAnsi="GE Inspira" w:eastAsia="幼圆" w:cs="Arial"/>
                <w:sz w:val="24"/>
              </w:rPr>
            </w:pPr>
            <w:r>
              <w:rPr>
                <w:rFonts w:ascii="GE Inspira" w:hAnsi="GE Inspira" w:eastAsia="幼圆" w:cs="Arial"/>
                <w:sz w:val="24"/>
              </w:rPr>
              <w:t>6.6</w:t>
            </w:r>
            <w:r>
              <w:rPr>
                <w:rFonts w:hint="eastAsia" w:ascii="GE Inspira" w:hAnsi="GE Inspira" w:eastAsia="幼圆" w:cs="Arial"/>
                <w:sz w:val="24"/>
                <w:lang w:val="en-US" w:eastAsia="zh-CN"/>
              </w:rPr>
              <w:t xml:space="preserve"> </w:t>
            </w:r>
            <w:r>
              <w:rPr>
                <w:rFonts w:ascii="GE Inspira" w:hAnsi="GE Inspira" w:eastAsia="幼圆" w:cs="Arial"/>
                <w:sz w:val="24"/>
              </w:rPr>
              <w:t>计算机显示器</w:t>
            </w:r>
            <w:r>
              <w:rPr>
                <w:rFonts w:hint="eastAsia" w:ascii="GE Inspira" w:hAnsi="GE Inspira" w:eastAsia="幼圆" w:cs="Arial"/>
                <w:sz w:val="24"/>
                <w:lang w:eastAsia="zh-CN"/>
              </w:rPr>
              <w:t>：</w:t>
            </w:r>
            <w:r>
              <w:rPr>
                <w:rFonts w:ascii="GE Inspira" w:hAnsi="GE Inspira" w:eastAsia="幼圆" w:cs="Arial"/>
                <w:sz w:val="24"/>
              </w:rPr>
              <w:t>≥2</w:t>
            </w:r>
            <w:r>
              <w:rPr>
                <w:rFonts w:hint="eastAsia" w:ascii="GE Inspira" w:hAnsi="GE Inspira" w:eastAsia="幼圆" w:cs="Arial"/>
                <w:sz w:val="24"/>
                <w:lang w:eastAsia="zh-CN"/>
              </w:rPr>
              <w:t>3</w:t>
            </w:r>
            <w:r>
              <w:rPr>
                <w:rFonts w:ascii="GE Inspira" w:hAnsi="GE Inspira" w:eastAsia="幼圆" w:cs="Arial"/>
                <w:sz w:val="24"/>
              </w:rPr>
              <w:t>英寸彩色LCD</w:t>
            </w:r>
          </w:p>
          <w:p>
            <w:pPr>
              <w:rPr>
                <w:rFonts w:hint="eastAsia" w:ascii="GE Inspira" w:hAnsi="GE Inspira" w:eastAsia="幼圆" w:cs="Arial"/>
                <w:sz w:val="24"/>
              </w:rPr>
            </w:pPr>
            <w:r>
              <w:rPr>
                <w:rFonts w:ascii="GE Inspira" w:hAnsi="GE Inspira" w:eastAsia="幼圆" w:cs="Arial"/>
                <w:sz w:val="24"/>
              </w:rPr>
              <w:t>6.7</w:t>
            </w:r>
            <w:r>
              <w:rPr>
                <w:rFonts w:hint="eastAsia" w:ascii="GE Inspira" w:hAnsi="GE Inspira" w:eastAsia="幼圆" w:cs="Arial"/>
                <w:sz w:val="24"/>
                <w:lang w:val="en-US" w:eastAsia="zh-CN"/>
              </w:rPr>
              <w:t xml:space="preserve"> </w:t>
            </w:r>
            <w:r>
              <w:rPr>
                <w:rFonts w:ascii="GE Inspira" w:hAnsi="GE Inspira" w:eastAsia="幼圆" w:cs="Arial"/>
                <w:sz w:val="24"/>
              </w:rPr>
              <w:t>显示器分辨率</w:t>
            </w:r>
            <w:r>
              <w:rPr>
                <w:rFonts w:hint="eastAsia" w:ascii="GE Inspira" w:hAnsi="GE Inspira" w:eastAsia="幼圆" w:cs="Arial"/>
                <w:sz w:val="24"/>
                <w:lang w:eastAsia="zh-CN"/>
              </w:rPr>
              <w:t>：</w:t>
            </w:r>
            <w:r>
              <w:rPr>
                <w:rFonts w:ascii="GE Inspira" w:hAnsi="GE Inspira" w:eastAsia="幼圆" w:cs="Arial"/>
                <w:sz w:val="24"/>
              </w:rPr>
              <w:t>≥1</w:t>
            </w:r>
            <w:r>
              <w:rPr>
                <w:rFonts w:hint="eastAsia" w:ascii="GE Inspira" w:hAnsi="GE Inspira" w:eastAsia="幼圆" w:cs="Arial"/>
                <w:sz w:val="24"/>
              </w:rPr>
              <w:t>920</w:t>
            </w:r>
            <w:r>
              <w:rPr>
                <w:rFonts w:ascii="GE Inspira" w:hAnsi="GE Inspira" w:eastAsia="幼圆" w:cs="Arial"/>
                <w:sz w:val="24"/>
              </w:rPr>
              <w:t>×1</w:t>
            </w:r>
            <w:r>
              <w:rPr>
                <w:rFonts w:hint="eastAsia" w:ascii="GE Inspira" w:hAnsi="GE Inspira" w:eastAsia="幼圆" w:cs="Arial"/>
                <w:sz w:val="24"/>
              </w:rPr>
              <w:t>200</w:t>
            </w:r>
          </w:p>
          <w:p>
            <w:pPr>
              <w:rPr>
                <w:rFonts w:hint="eastAsia" w:ascii="GE Inspira" w:hAnsi="GE Inspira" w:eastAsia="幼圆" w:cs="Arial"/>
                <w:sz w:val="24"/>
              </w:rPr>
            </w:pPr>
            <w:r>
              <w:rPr>
                <w:rFonts w:ascii="GE Inspira" w:hAnsi="GE Inspira" w:eastAsia="幼圆" w:cs="Arial"/>
                <w:sz w:val="24"/>
              </w:rPr>
              <w:t>6.8</w:t>
            </w:r>
            <w:r>
              <w:rPr>
                <w:rFonts w:hint="eastAsia" w:ascii="GE Inspira" w:hAnsi="GE Inspira" w:eastAsia="幼圆" w:cs="Arial"/>
                <w:sz w:val="24"/>
                <w:lang w:val="en-US" w:eastAsia="zh-CN"/>
              </w:rPr>
              <w:t xml:space="preserve"> </w:t>
            </w:r>
            <w:r>
              <w:rPr>
                <w:rFonts w:ascii="GE Inspira" w:hAnsi="GE Inspira" w:eastAsia="幼圆" w:cs="Arial"/>
                <w:sz w:val="24"/>
              </w:rPr>
              <w:t>硬盘容量</w:t>
            </w:r>
            <w:r>
              <w:rPr>
                <w:rFonts w:hint="eastAsia" w:ascii="GE Inspira" w:hAnsi="GE Inspira" w:eastAsia="幼圆" w:cs="Arial"/>
                <w:sz w:val="24"/>
                <w:lang w:eastAsia="zh-CN"/>
              </w:rPr>
              <w:t>：</w:t>
            </w:r>
            <w:r>
              <w:rPr>
                <w:rFonts w:ascii="GE Inspira" w:hAnsi="GE Inspira" w:eastAsia="幼圆" w:cs="Arial"/>
                <w:sz w:val="24"/>
              </w:rPr>
              <w:t>≥1</w:t>
            </w:r>
            <w:r>
              <w:rPr>
                <w:rFonts w:hint="eastAsia" w:ascii="GE Inspira" w:hAnsi="GE Inspira" w:eastAsia="幼圆" w:cs="Arial"/>
                <w:sz w:val="24"/>
              </w:rPr>
              <w:t>024GB</w:t>
            </w:r>
            <w:r>
              <w:rPr>
                <w:rFonts w:ascii="GE Inspira" w:hAnsi="GE Inspira" w:eastAsia="幼圆" w:cs="Arial"/>
                <w:sz w:val="24"/>
              </w:rPr>
              <w:t xml:space="preserve"> </w:t>
            </w:r>
            <w:r>
              <w:rPr>
                <w:rFonts w:hint="eastAsia" w:ascii="GE Inspira" w:hAnsi="GE Inspira" w:eastAsia="幼圆" w:cs="Arial"/>
                <w:sz w:val="24"/>
              </w:rPr>
              <w:t>SSD</w:t>
            </w:r>
          </w:p>
          <w:p>
            <w:pPr>
              <w:rPr>
                <w:rFonts w:ascii="GE Inspira" w:hAnsi="GE Inspira" w:eastAsia="幼圆" w:cs="Arial"/>
                <w:sz w:val="24"/>
              </w:rPr>
            </w:pPr>
            <w:r>
              <w:rPr>
                <w:rFonts w:ascii="GE Inspira" w:hAnsi="GE Inspira" w:eastAsia="幼圆" w:cs="Arial"/>
                <w:sz w:val="24"/>
              </w:rPr>
              <w:t>6.9</w:t>
            </w:r>
            <w:r>
              <w:rPr>
                <w:rFonts w:hint="eastAsia" w:ascii="GE Inspira" w:hAnsi="GE Inspira" w:eastAsia="幼圆" w:cs="Arial"/>
                <w:sz w:val="24"/>
                <w:lang w:val="en-US" w:eastAsia="zh-CN"/>
              </w:rPr>
              <w:t xml:space="preserve"> </w:t>
            </w:r>
            <w:r>
              <w:rPr>
                <w:rFonts w:ascii="GE Inspira" w:hAnsi="GE Inspira" w:eastAsia="幼圆" w:cs="Arial"/>
                <w:sz w:val="24"/>
              </w:rPr>
              <w:t>数据存储形式</w:t>
            </w:r>
            <w:r>
              <w:rPr>
                <w:rFonts w:hint="eastAsia" w:ascii="GE Inspira" w:hAnsi="GE Inspira" w:eastAsia="幼圆" w:cs="Arial"/>
                <w:sz w:val="24"/>
                <w:lang w:eastAsia="zh-CN"/>
              </w:rPr>
              <w:t>：</w:t>
            </w:r>
            <w:r>
              <w:rPr>
                <w:rFonts w:ascii="GE Inspira" w:hAnsi="GE Inspira" w:eastAsia="幼圆" w:cs="Arial"/>
                <w:sz w:val="24"/>
              </w:rPr>
              <w:t>CD/DVD</w:t>
            </w:r>
          </w:p>
          <w:p>
            <w:pPr>
              <w:rPr>
                <w:rFonts w:ascii="GE Inspira" w:hAnsi="GE Inspira" w:eastAsia="幼圆" w:cs="Arial"/>
                <w:sz w:val="24"/>
              </w:rPr>
            </w:pPr>
            <w:r>
              <w:rPr>
                <w:rFonts w:ascii="GE Inspira" w:hAnsi="GE Inspira" w:eastAsia="幼圆" w:cs="Arial"/>
                <w:sz w:val="24"/>
              </w:rPr>
              <w:t>6.10</w:t>
            </w:r>
            <w:r>
              <w:rPr>
                <w:rFonts w:hint="eastAsia" w:ascii="GE Inspira" w:hAnsi="GE Inspira" w:eastAsia="幼圆" w:cs="Arial"/>
                <w:sz w:val="24"/>
                <w:lang w:val="en-US" w:eastAsia="zh-CN"/>
              </w:rPr>
              <w:t xml:space="preserve"> </w:t>
            </w:r>
            <w:r>
              <w:rPr>
                <w:rFonts w:ascii="GE Inspira" w:hAnsi="GE Inspira" w:eastAsia="幼圆" w:cs="Arial"/>
                <w:sz w:val="24"/>
              </w:rPr>
              <w:t>阵列处理器主频</w:t>
            </w:r>
            <w:r>
              <w:rPr>
                <w:rFonts w:hint="eastAsia" w:ascii="GE Inspira" w:hAnsi="GE Inspira" w:eastAsia="幼圆" w:cs="Arial"/>
                <w:sz w:val="24"/>
                <w:lang w:eastAsia="zh-CN"/>
              </w:rPr>
              <w:t>：</w:t>
            </w:r>
            <w:r>
              <w:rPr>
                <w:rFonts w:ascii="GE Inspira" w:hAnsi="GE Inspira" w:eastAsia="幼圆" w:cs="Arial"/>
                <w:sz w:val="24"/>
              </w:rPr>
              <w:t>≥2GHz</w:t>
            </w:r>
          </w:p>
          <w:p>
            <w:pPr>
              <w:rPr>
                <w:rFonts w:ascii="GE Inspira" w:hAnsi="GE Inspira" w:eastAsia="幼圆" w:cs="Arial"/>
                <w:sz w:val="24"/>
              </w:rPr>
            </w:pPr>
            <w:r>
              <w:rPr>
                <w:rFonts w:ascii="GE Inspira" w:hAnsi="GE Inspira" w:eastAsia="幼圆" w:cs="Arial"/>
                <w:sz w:val="24"/>
              </w:rPr>
              <w:t>6.11</w:t>
            </w:r>
            <w:r>
              <w:rPr>
                <w:rFonts w:hint="eastAsia" w:ascii="GE Inspira" w:hAnsi="GE Inspira" w:eastAsia="幼圆" w:cs="Arial"/>
                <w:sz w:val="24"/>
                <w:lang w:val="en-US" w:eastAsia="zh-CN"/>
              </w:rPr>
              <w:t xml:space="preserve"> </w:t>
            </w:r>
            <w:r>
              <w:rPr>
                <w:rFonts w:ascii="GE Inspira" w:hAnsi="GE Inspira" w:eastAsia="幼圆" w:cs="Arial"/>
                <w:sz w:val="24"/>
              </w:rPr>
              <w:t>阵列处理器内存</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rPr>
              <w:t>64</w:t>
            </w:r>
            <w:r>
              <w:rPr>
                <w:rFonts w:ascii="GE Inspira" w:hAnsi="GE Inspira" w:eastAsia="幼圆" w:cs="Arial"/>
                <w:sz w:val="24"/>
              </w:rPr>
              <w:t>GB</w:t>
            </w:r>
          </w:p>
          <w:p>
            <w:pPr>
              <w:rPr>
                <w:rFonts w:hint="eastAsia" w:ascii="GE Inspira" w:hAnsi="GE Inspira" w:eastAsia="幼圆" w:cs="Arial"/>
                <w:sz w:val="24"/>
              </w:rPr>
            </w:pPr>
            <w:r>
              <w:rPr>
                <w:rFonts w:ascii="GE Inspira" w:hAnsi="GE Inspira" w:eastAsia="幼圆" w:cs="Arial"/>
                <w:sz w:val="24"/>
              </w:rPr>
              <w:t>6.12</w:t>
            </w:r>
            <w:r>
              <w:rPr>
                <w:rFonts w:hint="eastAsia" w:ascii="GE Inspira" w:hAnsi="GE Inspira" w:eastAsia="幼圆" w:cs="Arial"/>
                <w:sz w:val="24"/>
                <w:lang w:val="en-US" w:eastAsia="zh-CN"/>
              </w:rPr>
              <w:t xml:space="preserve"> </w:t>
            </w:r>
            <w:r>
              <w:rPr>
                <w:rFonts w:ascii="GE Inspira" w:hAnsi="GE Inspira" w:eastAsia="幼圆" w:cs="Arial"/>
                <w:sz w:val="24"/>
              </w:rPr>
              <w:t>阵列处理器硬盘</w:t>
            </w:r>
            <w:r>
              <w:rPr>
                <w:rFonts w:hint="eastAsia" w:ascii="GE Inspira" w:hAnsi="GE Inspira" w:eastAsia="幼圆" w:cs="Arial"/>
                <w:sz w:val="24"/>
                <w:lang w:eastAsia="zh-CN"/>
              </w:rPr>
              <w:t>：</w:t>
            </w:r>
            <w:r>
              <w:rPr>
                <w:rFonts w:ascii="GE Inspira" w:hAnsi="GE Inspira" w:eastAsia="幼圆" w:cs="Arial"/>
                <w:sz w:val="24"/>
              </w:rPr>
              <w:t>≥48GB</w:t>
            </w:r>
            <w:r>
              <w:rPr>
                <w:rFonts w:hint="eastAsia" w:ascii="GE Inspira" w:hAnsi="GE Inspira" w:eastAsia="幼圆" w:cs="Arial"/>
                <w:sz w:val="24"/>
              </w:rPr>
              <w:t xml:space="preserve"> SSD</w:t>
            </w:r>
          </w:p>
          <w:p>
            <w:pPr>
              <w:rPr>
                <w:rFonts w:ascii="GE Inspira" w:hAnsi="GE Inspira" w:eastAsia="幼圆" w:cs="Arial"/>
                <w:sz w:val="24"/>
              </w:rPr>
            </w:pPr>
            <w:r>
              <w:rPr>
                <w:rFonts w:ascii="GE Inspira" w:hAnsi="GE Inspira" w:eastAsia="幼圆" w:cs="Arial"/>
                <w:sz w:val="24"/>
              </w:rPr>
              <w:t>6.13</w:t>
            </w:r>
            <w:r>
              <w:rPr>
                <w:rFonts w:hint="eastAsia" w:ascii="GE Inspira" w:hAnsi="GE Inspira" w:eastAsia="幼圆" w:cs="Arial"/>
                <w:sz w:val="24"/>
                <w:lang w:val="en-US" w:eastAsia="zh-CN"/>
              </w:rPr>
              <w:t xml:space="preserve"> </w:t>
            </w:r>
            <w:r>
              <w:rPr>
                <w:rFonts w:ascii="GE Inspira" w:hAnsi="GE Inspira" w:eastAsia="幼圆" w:cs="Arial"/>
                <w:sz w:val="24"/>
              </w:rPr>
              <w:t>图像存储数(</w:t>
            </w:r>
            <w:r>
              <w:rPr>
                <w:rFonts w:hint="eastAsia" w:ascii="GE Inspira" w:hAnsi="GE Inspira" w:eastAsia="幼圆" w:cs="Arial"/>
                <w:sz w:val="24"/>
              </w:rPr>
              <w:t>256</w:t>
            </w:r>
            <w:r>
              <w:rPr>
                <w:rFonts w:ascii="GE Inspira" w:hAnsi="GE Inspira" w:eastAsia="幼圆" w:cs="Arial"/>
                <w:sz w:val="24"/>
              </w:rPr>
              <w:t>X</w:t>
            </w:r>
            <w:r>
              <w:rPr>
                <w:rFonts w:hint="eastAsia" w:ascii="GE Inspira" w:hAnsi="GE Inspira" w:eastAsia="幼圆" w:cs="Arial"/>
                <w:sz w:val="24"/>
              </w:rPr>
              <w:t>256无压缩</w:t>
            </w:r>
            <w:r>
              <w:rPr>
                <w:rFonts w:ascii="GE Inspira" w:hAnsi="GE Inspira" w:eastAsia="幼圆" w:cs="Arial"/>
                <w:sz w:val="24"/>
              </w:rPr>
              <w:t>)</w:t>
            </w:r>
            <w:r>
              <w:rPr>
                <w:rFonts w:hint="eastAsia" w:ascii="GE Inspira" w:hAnsi="GE Inspira" w:eastAsia="幼圆" w:cs="Arial"/>
                <w:sz w:val="24"/>
                <w:lang w:eastAsia="zh-CN"/>
              </w:rPr>
              <w:t>：</w:t>
            </w:r>
            <w:r>
              <w:rPr>
                <w:rFonts w:ascii="GE Inspira" w:hAnsi="GE Inspira" w:eastAsia="幼圆" w:cs="Arial"/>
                <w:sz w:val="24"/>
              </w:rPr>
              <w:t>≥3300000幅</w:t>
            </w:r>
          </w:p>
          <w:p>
            <w:pPr>
              <w:rPr>
                <w:rFonts w:ascii="GE Inspira" w:hAnsi="GE Inspira" w:eastAsia="幼圆" w:cs="Arial"/>
                <w:sz w:val="24"/>
              </w:rPr>
            </w:pPr>
            <w:r>
              <w:rPr>
                <w:rFonts w:ascii="GE Inspira" w:hAnsi="GE Inspira" w:eastAsia="幼圆" w:cs="Arial"/>
                <w:sz w:val="24"/>
              </w:rPr>
              <w:t>6.14</w:t>
            </w:r>
            <w:r>
              <w:rPr>
                <w:rFonts w:hint="eastAsia" w:ascii="GE Inspira" w:hAnsi="GE Inspira" w:eastAsia="幼圆" w:cs="Arial"/>
                <w:sz w:val="24"/>
                <w:lang w:val="en-US" w:eastAsia="zh-CN"/>
              </w:rPr>
              <w:t xml:space="preserve"> </w:t>
            </w:r>
            <w:r>
              <w:rPr>
                <w:rFonts w:ascii="GE Inspira" w:hAnsi="GE Inspira" w:eastAsia="幼圆" w:cs="Arial"/>
                <w:sz w:val="24"/>
              </w:rPr>
              <w:t>图像重建速度(</w:t>
            </w:r>
            <w:r>
              <w:rPr>
                <w:rFonts w:hint="eastAsia" w:ascii="GE Inspira" w:hAnsi="GE Inspira" w:eastAsia="幼圆" w:cs="Arial"/>
                <w:sz w:val="24"/>
              </w:rPr>
              <w:t>256</w:t>
            </w:r>
            <w:r>
              <w:rPr>
                <w:rFonts w:ascii="GE Inspira" w:hAnsi="GE Inspira" w:eastAsia="幼圆" w:cs="Arial"/>
                <w:sz w:val="24"/>
              </w:rPr>
              <w:t>X</w:t>
            </w:r>
            <w:r>
              <w:rPr>
                <w:rFonts w:hint="eastAsia" w:ascii="GE Inspira" w:hAnsi="GE Inspira" w:eastAsia="幼圆" w:cs="Arial"/>
                <w:sz w:val="24"/>
              </w:rPr>
              <w:t>256</w:t>
            </w:r>
            <w:r>
              <w:rPr>
                <w:rFonts w:ascii="GE Inspira" w:hAnsi="GE Inspira" w:eastAsia="幼圆" w:cs="Arial"/>
                <w:sz w:val="24"/>
              </w:rPr>
              <w:t>, 100% FOV)</w:t>
            </w:r>
            <w:r>
              <w:rPr>
                <w:rFonts w:hint="eastAsia" w:ascii="GE Inspira" w:hAnsi="GE Inspira" w:eastAsia="幼圆" w:cs="Arial"/>
                <w:sz w:val="24"/>
                <w:lang w:eastAsia="zh-CN"/>
              </w:rPr>
              <w:t>：</w:t>
            </w:r>
            <w:r>
              <w:rPr>
                <w:rFonts w:ascii="GE Inspira" w:hAnsi="GE Inspira" w:eastAsia="幼圆" w:cs="Arial"/>
                <w:sz w:val="24"/>
              </w:rPr>
              <w:t>≥</w:t>
            </w:r>
            <w:r>
              <w:rPr>
                <w:rFonts w:hint="eastAsia" w:ascii="GE Inspira" w:hAnsi="GE Inspira" w:eastAsia="幼圆" w:cs="Arial"/>
                <w:sz w:val="24"/>
              </w:rPr>
              <w:t>3</w:t>
            </w:r>
            <w:r>
              <w:rPr>
                <w:rFonts w:ascii="GE Inspira" w:hAnsi="GE Inspira" w:eastAsia="幼圆" w:cs="Arial"/>
                <w:sz w:val="24"/>
              </w:rPr>
              <w:t>7</w:t>
            </w:r>
            <w:r>
              <w:rPr>
                <w:rFonts w:hint="eastAsia" w:ascii="GE Inspira" w:hAnsi="GE Inspira" w:eastAsia="幼圆" w:cs="Arial"/>
                <w:sz w:val="24"/>
              </w:rPr>
              <w:t>0</w:t>
            </w:r>
            <w:r>
              <w:rPr>
                <w:rFonts w:ascii="GE Inspira" w:hAnsi="GE Inspira" w:eastAsia="幼圆" w:cs="Arial"/>
                <w:sz w:val="24"/>
              </w:rPr>
              <w:t>00幅/秒</w:t>
            </w:r>
          </w:p>
          <w:p>
            <w:pPr>
              <w:rPr>
                <w:rFonts w:ascii="GE Inspira" w:hAnsi="GE Inspira" w:eastAsia="幼圆" w:cs="Arial"/>
                <w:sz w:val="24"/>
              </w:rPr>
            </w:pPr>
            <w:r>
              <w:rPr>
                <w:rFonts w:ascii="GE Inspira" w:hAnsi="GE Inspira" w:eastAsia="幼圆" w:cs="Arial"/>
                <w:sz w:val="24"/>
              </w:rPr>
              <w:t>6.1</w:t>
            </w:r>
            <w:r>
              <w:rPr>
                <w:rFonts w:hint="eastAsia" w:ascii="GE Inspira" w:hAnsi="GE Inspira" w:eastAsia="幼圆" w:cs="Arial"/>
                <w:sz w:val="24"/>
                <w:lang w:eastAsia="zh-CN"/>
              </w:rPr>
              <w:t>5</w:t>
            </w:r>
            <w:r>
              <w:rPr>
                <w:rFonts w:hint="eastAsia" w:ascii="GE Inspira" w:hAnsi="GE Inspira" w:eastAsia="幼圆" w:cs="Arial"/>
                <w:sz w:val="24"/>
                <w:lang w:val="en-US" w:eastAsia="zh-CN"/>
              </w:rPr>
              <w:t xml:space="preserve">  </w:t>
            </w:r>
            <w:r>
              <w:rPr>
                <w:rFonts w:ascii="GE Inspira" w:hAnsi="GE Inspira" w:eastAsia="幼圆" w:cs="Arial"/>
                <w:sz w:val="24"/>
              </w:rPr>
              <w:t>具备DICOM3.0接口</w:t>
            </w:r>
          </w:p>
          <w:p>
            <w:pPr>
              <w:pStyle w:val="24"/>
              <w:rPr>
                <w:rFonts w:ascii="GE Inspira" w:hAnsi="GE Inspira" w:eastAsia="幼圆" w:cs="Arial"/>
                <w:b/>
                <w:sz w:val="24"/>
              </w:rPr>
            </w:pPr>
            <w:r>
              <w:rPr>
                <w:rFonts w:hint="eastAsia" w:ascii="GE Inspira" w:hAnsi="GE Inspira" w:eastAsia="幼圆" w:cs="Arial"/>
                <w:sz w:val="24"/>
              </w:rPr>
              <w:t>★</w:t>
            </w:r>
            <w:r>
              <w:rPr>
                <w:rFonts w:ascii="GE Inspira" w:hAnsi="GE Inspira" w:eastAsia="幼圆" w:cs="Arial"/>
                <w:b/>
                <w:sz w:val="24"/>
              </w:rPr>
              <w:t>7. 系统后处理功能</w:t>
            </w:r>
          </w:p>
          <w:p>
            <w:pPr>
              <w:rPr>
                <w:rFonts w:ascii="GE Inspira" w:hAnsi="GE Inspira" w:eastAsia="幼圆" w:cs="Arial"/>
                <w:sz w:val="24"/>
              </w:rPr>
            </w:pPr>
            <w:r>
              <w:rPr>
                <w:rFonts w:ascii="GE Inspira" w:hAnsi="GE Inspira" w:eastAsia="幼圆" w:cs="Arial"/>
                <w:sz w:val="24"/>
              </w:rPr>
              <w:t>7.1</w:t>
            </w:r>
            <w:r>
              <w:rPr>
                <w:rFonts w:hint="eastAsia" w:ascii="GE Inspira" w:hAnsi="GE Inspira" w:eastAsia="幼圆" w:cs="Arial"/>
                <w:sz w:val="24"/>
                <w:lang w:val="en-US" w:eastAsia="zh-CN"/>
              </w:rPr>
              <w:t xml:space="preserve"> 具备</w:t>
            </w:r>
            <w:r>
              <w:rPr>
                <w:rFonts w:ascii="GE Inspira" w:hAnsi="GE Inspira" w:eastAsia="幼圆" w:cs="Arial"/>
                <w:sz w:val="24"/>
              </w:rPr>
              <w:t>3D后处理</w:t>
            </w:r>
          </w:p>
          <w:p>
            <w:pPr>
              <w:pStyle w:val="24"/>
              <w:rPr>
                <w:rFonts w:ascii="GE Inspira" w:hAnsi="GE Inspira" w:eastAsia="幼圆" w:cs="Arial"/>
                <w:sz w:val="24"/>
              </w:rPr>
            </w:pPr>
            <w:r>
              <w:rPr>
                <w:rFonts w:ascii="GE Inspira" w:hAnsi="GE Inspira" w:eastAsia="幼圆" w:cs="Arial"/>
                <w:sz w:val="24"/>
              </w:rPr>
              <w:t>7.2</w:t>
            </w:r>
            <w:r>
              <w:rPr>
                <w:rFonts w:hint="eastAsia" w:ascii="GE Inspira" w:hAnsi="GE Inspira" w:eastAsia="幼圆" w:cs="Arial"/>
                <w:sz w:val="24"/>
                <w:lang w:val="en-US" w:eastAsia="zh-CN"/>
              </w:rPr>
              <w:t xml:space="preserve"> 具备</w:t>
            </w:r>
            <w:r>
              <w:rPr>
                <w:rFonts w:ascii="GE Inspira" w:hAnsi="GE Inspira" w:eastAsia="幼圆" w:cs="Arial"/>
                <w:sz w:val="24"/>
              </w:rPr>
              <w:t>MPR后处理</w:t>
            </w:r>
          </w:p>
          <w:p>
            <w:pPr>
              <w:rPr>
                <w:rFonts w:hint="default" w:eastAsia="幼圆"/>
                <w:lang w:val="en-US" w:eastAsia="zh-CN"/>
              </w:rPr>
            </w:pPr>
            <w:r>
              <w:rPr>
                <w:rFonts w:hint="eastAsia" w:ascii="GE Inspira" w:hAnsi="GE Inspira" w:eastAsia="幼圆" w:cs="Arial"/>
                <w:sz w:val="24"/>
                <w:lang w:val="en-US" w:eastAsia="zh-CN"/>
              </w:rPr>
              <w:t>7.3 具备CRP后处理</w:t>
            </w:r>
          </w:p>
          <w:p>
            <w:pPr>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 xml:space="preserve">4具备 </w:t>
            </w:r>
            <w:r>
              <w:rPr>
                <w:rFonts w:ascii="GE Inspira" w:hAnsi="GE Inspira" w:eastAsia="幼圆" w:cs="Arial"/>
                <w:sz w:val="24"/>
              </w:rPr>
              <w:t>SSD后处理</w:t>
            </w:r>
          </w:p>
          <w:p>
            <w:pPr>
              <w:pStyle w:val="24"/>
              <w:rPr>
                <w:rFonts w:hint="eastAsia" w:ascii="GE Inspira" w:hAnsi="GE Inspira" w:eastAsia="幼圆" w:cs="Arial"/>
                <w:sz w:val="24"/>
                <w:lang w:val="en-US" w:eastAsia="zh-CN"/>
              </w:rPr>
            </w:pPr>
            <w:r>
              <w:rPr>
                <w:rFonts w:ascii="GE Inspira" w:hAnsi="GE Inspira" w:eastAsia="幼圆" w:cs="Arial"/>
                <w:sz w:val="24"/>
              </w:rPr>
              <w:t>7.</w:t>
            </w:r>
            <w:r>
              <w:rPr>
                <w:rFonts w:hint="eastAsia" w:ascii="GE Inspira" w:hAnsi="GE Inspira" w:eastAsia="幼圆" w:cs="Arial"/>
                <w:sz w:val="24"/>
                <w:lang w:val="en-US" w:eastAsia="zh-CN"/>
              </w:rPr>
              <w:t>5 具备</w:t>
            </w:r>
            <w:r>
              <w:rPr>
                <w:rFonts w:ascii="GE Inspira" w:hAnsi="GE Inspira" w:eastAsia="幼圆" w:cs="Arial"/>
                <w:sz w:val="24"/>
              </w:rPr>
              <w:t>MIP后处理</w:t>
            </w:r>
            <w:r>
              <w:rPr>
                <w:rFonts w:hint="eastAsia" w:ascii="GE Inspira" w:hAnsi="GE Inspira" w:eastAsia="幼圆" w:cs="Arial"/>
                <w:sz w:val="24"/>
                <w:lang w:val="en-US" w:eastAsia="zh-CN"/>
              </w:rPr>
              <w:t xml:space="preserve"> </w:t>
            </w:r>
          </w:p>
          <w:p>
            <w:pPr>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6 具备</w:t>
            </w:r>
            <w:r>
              <w:rPr>
                <w:rFonts w:ascii="GE Inspira" w:hAnsi="GE Inspira" w:eastAsia="幼圆" w:cs="Arial"/>
                <w:sz w:val="24"/>
              </w:rPr>
              <w:t>图像回放软件</w:t>
            </w:r>
          </w:p>
          <w:p>
            <w:pPr>
              <w:pStyle w:val="24"/>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7 具备</w:t>
            </w:r>
            <w:r>
              <w:rPr>
                <w:rFonts w:ascii="GE Inspira" w:hAnsi="GE Inspira" w:eastAsia="幼圆" w:cs="Arial"/>
                <w:sz w:val="24"/>
              </w:rPr>
              <w:t>图像评价软件</w:t>
            </w:r>
          </w:p>
          <w:p>
            <w:pPr>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8 具备</w:t>
            </w:r>
            <w:r>
              <w:rPr>
                <w:rFonts w:ascii="GE Inspira" w:hAnsi="GE Inspira" w:eastAsia="幼圆" w:cs="Arial"/>
                <w:sz w:val="24"/>
              </w:rPr>
              <w:t>实时互动重建</w:t>
            </w:r>
          </w:p>
          <w:p>
            <w:pPr>
              <w:pStyle w:val="24"/>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9  具备</w:t>
            </w:r>
            <w:r>
              <w:rPr>
                <w:rFonts w:ascii="GE Inspira" w:hAnsi="GE Inspira" w:eastAsia="幼圆" w:cs="Arial"/>
                <w:sz w:val="24"/>
              </w:rPr>
              <w:t>ADC-map</w:t>
            </w:r>
          </w:p>
          <w:p>
            <w:pPr>
              <w:rPr>
                <w:rFonts w:ascii="GE Inspira" w:hAnsi="GE Inspira" w:eastAsia="幼圆" w:cs="Arial"/>
                <w:sz w:val="24"/>
              </w:rPr>
            </w:pPr>
            <w:r>
              <w:rPr>
                <w:rFonts w:ascii="GE Inspira" w:hAnsi="GE Inspira" w:eastAsia="幼圆" w:cs="Arial"/>
                <w:sz w:val="24"/>
              </w:rPr>
              <w:t>7.</w:t>
            </w:r>
            <w:r>
              <w:rPr>
                <w:rFonts w:hint="eastAsia" w:ascii="GE Inspira" w:hAnsi="GE Inspira" w:eastAsia="幼圆" w:cs="Arial"/>
                <w:sz w:val="24"/>
                <w:lang w:val="en-US" w:eastAsia="zh-CN"/>
              </w:rPr>
              <w:t>10 具备</w:t>
            </w:r>
            <w:r>
              <w:rPr>
                <w:rFonts w:ascii="GE Inspira" w:hAnsi="GE Inspira" w:eastAsia="幼圆" w:cs="Arial"/>
                <w:sz w:val="24"/>
              </w:rPr>
              <w:t>时间信号曲线</w:t>
            </w:r>
          </w:p>
          <w:p>
            <w:pPr>
              <w:pStyle w:val="24"/>
              <w:rPr>
                <w:ins w:id="2" w:author="豆腐罩" w:date="2025-11-28T08:21:50Z"/>
                <w:rFonts w:ascii="GE Inspira" w:hAnsi="GE Inspira" w:eastAsia="幼圆" w:cs="Arial"/>
                <w:sz w:val="24"/>
              </w:rPr>
            </w:pPr>
            <w:r>
              <w:rPr>
                <w:rFonts w:ascii="GE Inspira" w:hAnsi="GE Inspira" w:eastAsia="幼圆" w:cs="Arial"/>
                <w:sz w:val="24"/>
              </w:rPr>
              <w:t>7.1</w:t>
            </w:r>
            <w:r>
              <w:rPr>
                <w:rFonts w:hint="eastAsia" w:ascii="GE Inspira" w:hAnsi="GE Inspira" w:eastAsia="幼圆" w:cs="Arial"/>
                <w:sz w:val="24"/>
                <w:lang w:val="en-US" w:eastAsia="zh-CN"/>
              </w:rPr>
              <w:t>1 具备</w:t>
            </w:r>
            <w:r>
              <w:rPr>
                <w:rFonts w:ascii="GE Inspira" w:hAnsi="GE Inspira" w:eastAsia="幼圆" w:cs="Arial"/>
                <w:sz w:val="24"/>
              </w:rPr>
              <w:t>图像减影、叠加</w:t>
            </w:r>
          </w:p>
          <w:p>
            <w:pPr>
              <w:rPr>
                <w:rFonts w:hint="eastAsia" w:ascii="GE Inspira" w:hAnsi="GE Inspira" w:eastAsia="幼圆" w:cs="Arial"/>
                <w:sz w:val="24"/>
                <w:lang w:val="en-US" w:eastAsia="zh-CN"/>
              </w:rPr>
            </w:pPr>
            <w:r>
              <w:rPr>
                <w:rFonts w:hint="eastAsia" w:ascii="GE Inspira" w:hAnsi="GE Inspira" w:eastAsia="幼圆" w:cs="Arial"/>
                <w:sz w:val="24"/>
              </w:rPr>
              <w:t>7.12</w:t>
            </w:r>
            <w:r>
              <w:rPr>
                <w:rFonts w:hint="eastAsia" w:ascii="GE Inspira" w:hAnsi="GE Inspira" w:eastAsia="幼圆" w:cs="Arial"/>
                <w:sz w:val="24"/>
                <w:lang w:val="en-US" w:eastAsia="zh-CN"/>
              </w:rPr>
              <w:t xml:space="preserve"> 具备t-test 定量分析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7.13具备 T1，T2 值计算</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7.14 具备乳腺图像后处理软件</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7.15 具备AI辅助诊断软件</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7.16  具备DTI后处理分析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7.17 具备图像拼接功能</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7.18 具备冠状动脉后处理分析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7.19 具备外源性对比剂颅脑灌注分析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7.20 具备内源性对比剂颅脑灌注分析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7.21 具备头颈血管斑块分析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7.22 具备前列腺肿瘤分析</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7.23 具备心脏功能分析</w:t>
            </w:r>
          </w:p>
          <w:p>
            <w:pPr>
              <w:rPr>
                <w:rFonts w:ascii="GE Inspira" w:hAnsi="GE Inspira" w:eastAsia="幼圆" w:cs="Arial"/>
                <w:sz w:val="24"/>
              </w:rPr>
            </w:pPr>
            <w:r>
              <w:rPr>
                <w:rFonts w:hint="eastAsia" w:ascii="GE Inspira" w:hAnsi="GE Inspira" w:eastAsia="幼圆" w:cs="Arial"/>
                <w:sz w:val="24"/>
                <w:lang w:val="en-US" w:eastAsia="zh-CN"/>
              </w:rPr>
              <w:t>7.24 具备乳腺结节分析</w:t>
            </w:r>
          </w:p>
          <w:p>
            <w:pPr>
              <w:rPr>
                <w:rFonts w:ascii="GE Inspira" w:hAnsi="GE Inspira" w:eastAsia="幼圆" w:cs="Arial"/>
                <w:b/>
                <w:sz w:val="24"/>
              </w:rPr>
            </w:pPr>
            <w:r>
              <w:rPr>
                <w:rFonts w:ascii="GE Inspira" w:hAnsi="GE Inspira" w:eastAsia="幼圆" w:cs="Arial"/>
                <w:b/>
                <w:sz w:val="24"/>
              </w:rPr>
              <w:t>8. 检查环境</w:t>
            </w:r>
          </w:p>
          <w:p>
            <w:pPr>
              <w:pStyle w:val="24"/>
              <w:rPr>
                <w:rFonts w:ascii="GE Inspira" w:hAnsi="GE Inspira" w:eastAsia="幼圆" w:cs="Arial"/>
                <w:sz w:val="24"/>
              </w:rPr>
            </w:pPr>
            <w:r>
              <w:rPr>
                <w:rFonts w:ascii="GE Inspira" w:hAnsi="GE Inspira" w:eastAsia="幼圆" w:cs="Arial"/>
                <w:sz w:val="24"/>
              </w:rPr>
              <w:t>8.1</w:t>
            </w:r>
            <w:r>
              <w:rPr>
                <w:rFonts w:hint="eastAsia" w:ascii="GE Inspira" w:hAnsi="GE Inspira" w:eastAsia="幼圆" w:cs="Arial"/>
                <w:sz w:val="24"/>
                <w:lang w:val="en-US" w:eastAsia="zh-CN"/>
              </w:rPr>
              <w:t xml:space="preserve"> </w:t>
            </w:r>
            <w:r>
              <w:rPr>
                <w:rFonts w:ascii="GE Inspira" w:hAnsi="GE Inspira" w:eastAsia="幼圆" w:cs="Arial"/>
                <w:sz w:val="24"/>
              </w:rPr>
              <w:t>扫描床最大承重</w:t>
            </w:r>
            <w:r>
              <w:rPr>
                <w:rFonts w:hint="eastAsia" w:ascii="GE Inspira" w:hAnsi="GE Inspira" w:eastAsia="幼圆" w:cs="Arial"/>
                <w:sz w:val="24"/>
                <w:lang w:val="en-US" w:eastAsia="zh-CN"/>
              </w:rPr>
              <w:t>:</w:t>
            </w:r>
            <w:r>
              <w:rPr>
                <w:rFonts w:ascii="GE Inspira" w:hAnsi="GE Inspira" w:eastAsia="幼圆" w:cs="Arial"/>
                <w:sz w:val="24"/>
              </w:rPr>
              <w:t>≥200kg</w:t>
            </w:r>
          </w:p>
          <w:p>
            <w:pPr>
              <w:rPr>
                <w:rFonts w:hint="eastAsia" w:ascii="GE Inspira" w:hAnsi="GE Inspira" w:eastAsia="幼圆" w:cs="Arial"/>
                <w:sz w:val="24"/>
                <w:lang w:val="en-US" w:eastAsia="zh-CN"/>
              </w:rPr>
            </w:pPr>
            <w:r>
              <w:rPr>
                <w:rFonts w:ascii="GE Inspira" w:hAnsi="GE Inspira" w:eastAsia="幼圆" w:cs="Arial"/>
                <w:sz w:val="24"/>
              </w:rPr>
              <w:t>8.2</w:t>
            </w:r>
            <w:r>
              <w:rPr>
                <w:rFonts w:hint="eastAsia" w:ascii="GE Inspira" w:hAnsi="GE Inspira" w:eastAsia="幼圆" w:cs="Arial"/>
                <w:sz w:val="24"/>
                <w:lang w:val="en-US" w:eastAsia="zh-CN"/>
              </w:rPr>
              <w:t xml:space="preserve"> </w:t>
            </w:r>
            <w:r>
              <w:rPr>
                <w:rFonts w:ascii="GE Inspira" w:hAnsi="GE Inspira" w:eastAsia="幼圆" w:cs="Arial"/>
                <w:sz w:val="24"/>
              </w:rPr>
              <w:t>扫描床移动精度</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1</w:t>
            </w:r>
            <w:r>
              <w:rPr>
                <w:rFonts w:ascii="GE Inspira" w:hAnsi="GE Inspira" w:eastAsia="幼圆" w:cs="Arial"/>
                <w:sz w:val="24"/>
              </w:rPr>
              <w:t>mm</w:t>
            </w:r>
            <w:r>
              <w:rPr>
                <w:rFonts w:hint="eastAsia" w:ascii="GE Inspira" w:hAnsi="GE Inspira" w:eastAsia="幼圆" w:cs="Arial"/>
                <w:sz w:val="24"/>
                <w:lang w:val="en-US" w:eastAsia="zh-CN"/>
              </w:rPr>
              <w:t xml:space="preserve"> </w:t>
            </w:r>
          </w:p>
          <w:p>
            <w:pPr>
              <w:pStyle w:val="24"/>
              <w:rPr>
                <w:rFonts w:ascii="GE Inspira" w:hAnsi="GE Inspira" w:eastAsia="幼圆" w:cs="Arial"/>
                <w:sz w:val="24"/>
              </w:rPr>
            </w:pPr>
            <w:r>
              <w:rPr>
                <w:rFonts w:ascii="GE Inspira" w:hAnsi="GE Inspira" w:eastAsia="幼圆" w:cs="Arial"/>
                <w:sz w:val="24"/>
              </w:rPr>
              <w:t>8.3</w:t>
            </w:r>
            <w:r>
              <w:rPr>
                <w:rFonts w:hint="eastAsia" w:ascii="GE Inspira" w:hAnsi="GE Inspira" w:eastAsia="幼圆" w:cs="Arial"/>
                <w:sz w:val="24"/>
                <w:lang w:val="en-US" w:eastAsia="zh-CN"/>
              </w:rPr>
              <w:t xml:space="preserve"> </w:t>
            </w:r>
            <w:r>
              <w:rPr>
                <w:rFonts w:ascii="GE Inspira" w:hAnsi="GE Inspira" w:eastAsia="幼圆" w:cs="Arial"/>
                <w:sz w:val="24"/>
              </w:rPr>
              <w:t>床旁控制系统</w:t>
            </w:r>
            <w:r>
              <w:rPr>
                <w:rFonts w:hint="eastAsia" w:ascii="GE Inspira" w:hAnsi="GE Inspira" w:eastAsia="幼圆" w:cs="Arial"/>
                <w:sz w:val="24"/>
                <w:lang w:val="en-US" w:eastAsia="zh-CN"/>
              </w:rPr>
              <w:t>:</w:t>
            </w:r>
            <w:r>
              <w:rPr>
                <w:rFonts w:ascii="GE Inspira" w:hAnsi="GE Inspira" w:eastAsia="幼圆" w:cs="Arial"/>
                <w:sz w:val="24"/>
              </w:rPr>
              <w:t>双侧</w:t>
            </w:r>
          </w:p>
          <w:p>
            <w:pPr>
              <w:rPr>
                <w:rFonts w:ascii="GE Inspira" w:hAnsi="GE Inspira" w:eastAsia="幼圆" w:cs="Arial"/>
                <w:sz w:val="24"/>
              </w:rPr>
            </w:pPr>
            <w:r>
              <w:rPr>
                <w:rFonts w:hint="eastAsia" w:ascii="宋体" w:hAnsi="宋体" w:cs="宋体"/>
                <w:sz w:val="24"/>
              </w:rPr>
              <w:t>★</w:t>
            </w:r>
            <w:r>
              <w:rPr>
                <w:rFonts w:ascii="GE Inspira" w:hAnsi="GE Inspira" w:eastAsia="幼圆" w:cs="Arial"/>
                <w:sz w:val="24"/>
              </w:rPr>
              <w:t>8.</w:t>
            </w:r>
            <w:r>
              <w:rPr>
                <w:rFonts w:hint="eastAsia" w:ascii="GE Inspira" w:hAnsi="GE Inspira" w:eastAsia="幼圆" w:cs="Arial"/>
                <w:sz w:val="24"/>
              </w:rPr>
              <w:t>4</w:t>
            </w:r>
            <w:r>
              <w:rPr>
                <w:rFonts w:hint="eastAsia" w:ascii="GE Inspira" w:hAnsi="GE Inspira" w:eastAsia="幼圆" w:cs="Arial"/>
                <w:sz w:val="24"/>
                <w:lang w:val="en-US" w:eastAsia="zh-CN"/>
              </w:rPr>
              <w:t xml:space="preserve"> </w:t>
            </w:r>
            <w:r>
              <w:rPr>
                <w:rFonts w:ascii="GE Inspira" w:hAnsi="GE Inspira" w:eastAsia="幼圆" w:cs="Arial"/>
                <w:sz w:val="24"/>
              </w:rPr>
              <w:t>最低床位</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50</w:t>
            </w:r>
            <w:r>
              <w:rPr>
                <w:rFonts w:ascii="GE Inspira" w:hAnsi="GE Inspira" w:eastAsia="幼圆" w:cs="Arial"/>
                <w:sz w:val="24"/>
              </w:rPr>
              <w:t>cm</w:t>
            </w:r>
          </w:p>
          <w:p>
            <w:pPr>
              <w:pStyle w:val="24"/>
              <w:rPr>
                <w:rFonts w:ascii="GE Inspira" w:hAnsi="GE Inspira" w:eastAsia="幼圆" w:cs="Arial"/>
                <w:sz w:val="24"/>
              </w:rPr>
            </w:pPr>
            <w:r>
              <w:rPr>
                <w:rFonts w:ascii="GE Inspira" w:hAnsi="GE Inspira" w:eastAsia="幼圆" w:cs="Arial"/>
                <w:sz w:val="24"/>
              </w:rPr>
              <w:t>8.</w:t>
            </w:r>
            <w:r>
              <w:rPr>
                <w:rFonts w:hint="eastAsia" w:ascii="GE Inspira" w:hAnsi="GE Inspira" w:eastAsia="幼圆" w:cs="Arial"/>
                <w:sz w:val="24"/>
              </w:rPr>
              <w:t>5</w:t>
            </w:r>
            <w:r>
              <w:rPr>
                <w:rFonts w:hint="eastAsia" w:ascii="GE Inspira" w:hAnsi="GE Inspira" w:eastAsia="幼圆" w:cs="Arial"/>
                <w:sz w:val="24"/>
                <w:lang w:val="en-US" w:eastAsia="zh-CN"/>
              </w:rPr>
              <w:t xml:space="preserve"> </w:t>
            </w:r>
            <w:r>
              <w:rPr>
                <w:rFonts w:ascii="GE Inspira" w:hAnsi="GE Inspira" w:eastAsia="幼圆" w:cs="Arial"/>
                <w:sz w:val="24"/>
              </w:rPr>
              <w:t>检查床最大床速</w:t>
            </w:r>
            <w:r>
              <w:rPr>
                <w:rFonts w:hint="eastAsia" w:ascii="GE Inspira" w:hAnsi="GE Inspira" w:eastAsia="幼圆" w:cs="Arial"/>
                <w:sz w:val="24"/>
                <w:lang w:val="en-US" w:eastAsia="zh-CN"/>
              </w:rPr>
              <w:t>:</w:t>
            </w:r>
            <w:r>
              <w:rPr>
                <w:rFonts w:ascii="GE Inspira" w:hAnsi="GE Inspira" w:eastAsia="幼圆" w:cs="Arial"/>
                <w:sz w:val="24"/>
              </w:rPr>
              <w:t>≥10cm/s</w:t>
            </w:r>
          </w:p>
          <w:p>
            <w:pPr>
              <w:rPr>
                <w:rFonts w:ascii="GE Inspira" w:hAnsi="GE Inspira" w:eastAsia="幼圆" w:cs="Arial"/>
                <w:sz w:val="24"/>
              </w:rPr>
            </w:pPr>
            <w:r>
              <w:rPr>
                <w:rFonts w:ascii="GE Inspira" w:hAnsi="GE Inspira" w:eastAsia="幼圆" w:cs="Arial"/>
                <w:sz w:val="24"/>
              </w:rPr>
              <w:t>8.</w:t>
            </w:r>
            <w:r>
              <w:rPr>
                <w:rFonts w:hint="eastAsia" w:ascii="GE Inspira" w:hAnsi="GE Inspira" w:eastAsia="幼圆" w:cs="Arial"/>
                <w:sz w:val="24"/>
              </w:rPr>
              <w:t>6</w:t>
            </w:r>
            <w:r>
              <w:rPr>
                <w:rFonts w:hint="eastAsia" w:ascii="GE Inspira" w:hAnsi="GE Inspira" w:eastAsia="幼圆" w:cs="Arial"/>
                <w:sz w:val="24"/>
                <w:lang w:val="en-US" w:eastAsia="zh-CN"/>
              </w:rPr>
              <w:t xml:space="preserve"> </w:t>
            </w:r>
            <w:r>
              <w:rPr>
                <w:rFonts w:hint="eastAsia" w:ascii="GE Inspira" w:hAnsi="GE Inspira" w:eastAsia="幼圆"/>
                <w:bCs/>
                <w:sz w:val="24"/>
              </w:rPr>
              <w:t>检查床</w:t>
            </w:r>
            <w:r>
              <w:rPr>
                <w:rFonts w:ascii="GE Inspira" w:hAnsi="GE Inspira" w:eastAsia="幼圆"/>
                <w:bCs/>
                <w:sz w:val="24"/>
              </w:rPr>
              <w:t>最大水平移动范围</w:t>
            </w:r>
            <w:r>
              <w:rPr>
                <w:rFonts w:hint="eastAsia" w:ascii="GE Inspira" w:hAnsi="GE Inspira" w:eastAsia="幼圆"/>
                <w:bCs/>
                <w:sz w:val="24"/>
                <w:lang w:val="en-US" w:eastAsia="zh-CN"/>
              </w:rPr>
              <w:t>:</w:t>
            </w:r>
            <w:r>
              <w:rPr>
                <w:rFonts w:ascii="GE Inspira" w:hAnsi="GE Inspira" w:eastAsia="幼圆" w:cs="Arial"/>
                <w:sz w:val="24"/>
              </w:rPr>
              <w:t>≥2</w:t>
            </w:r>
            <w:r>
              <w:rPr>
                <w:rFonts w:hint="eastAsia" w:ascii="GE Inspira" w:hAnsi="GE Inspira" w:eastAsia="幼圆" w:cs="Arial"/>
                <w:sz w:val="24"/>
              </w:rPr>
              <w:t>44</w:t>
            </w:r>
            <w:r>
              <w:rPr>
                <w:rFonts w:ascii="GE Inspira" w:hAnsi="GE Inspira" w:eastAsia="幼圆" w:cs="Arial"/>
                <w:sz w:val="24"/>
              </w:rPr>
              <w:t>cm</w:t>
            </w:r>
          </w:p>
          <w:p>
            <w:pPr>
              <w:pStyle w:val="24"/>
              <w:rPr>
                <w:rFonts w:ascii="GE Inspira" w:hAnsi="GE Inspira" w:eastAsia="幼圆" w:cs="Arial"/>
                <w:sz w:val="24"/>
              </w:rPr>
            </w:pPr>
            <w:r>
              <w:rPr>
                <w:rFonts w:ascii="GE Inspira" w:hAnsi="GE Inspira" w:eastAsia="幼圆" w:cs="Arial"/>
                <w:sz w:val="24"/>
              </w:rPr>
              <w:t>8.</w:t>
            </w:r>
            <w:r>
              <w:rPr>
                <w:rFonts w:hint="eastAsia" w:ascii="GE Inspira" w:hAnsi="GE Inspira" w:eastAsia="幼圆" w:cs="Arial"/>
                <w:sz w:val="24"/>
              </w:rPr>
              <w:t>7</w:t>
            </w:r>
            <w:r>
              <w:rPr>
                <w:rFonts w:hint="eastAsia" w:ascii="GE Inspira" w:hAnsi="GE Inspira" w:eastAsia="幼圆" w:cs="Arial"/>
                <w:sz w:val="24"/>
                <w:lang w:val="en-US" w:eastAsia="zh-CN"/>
              </w:rPr>
              <w:t xml:space="preserve"> 具备</w:t>
            </w:r>
            <w:r>
              <w:rPr>
                <w:rFonts w:ascii="GE Inspira" w:hAnsi="GE Inspira" w:eastAsia="幼圆" w:cs="Arial"/>
                <w:sz w:val="24"/>
              </w:rPr>
              <w:t xml:space="preserve">自动步进扫描床 </w:t>
            </w:r>
          </w:p>
          <w:p>
            <w:pPr>
              <w:rPr>
                <w:rFonts w:ascii="GE Inspira" w:hAnsi="GE Inspira" w:eastAsia="幼圆" w:cs="Arial"/>
                <w:sz w:val="24"/>
              </w:rPr>
            </w:pPr>
            <w:r>
              <w:rPr>
                <w:rFonts w:ascii="GE Inspira" w:hAnsi="GE Inspira" w:eastAsia="幼圆" w:cs="Arial"/>
                <w:sz w:val="24"/>
              </w:rPr>
              <w:t>8.</w:t>
            </w:r>
            <w:r>
              <w:rPr>
                <w:rFonts w:hint="eastAsia" w:ascii="GE Inspira" w:hAnsi="GE Inspira" w:eastAsia="幼圆" w:cs="Arial"/>
                <w:sz w:val="24"/>
              </w:rPr>
              <w:t>8</w:t>
            </w:r>
            <w:r>
              <w:rPr>
                <w:rFonts w:hint="eastAsia" w:ascii="GE Inspira" w:hAnsi="GE Inspira" w:eastAsia="幼圆" w:cs="Arial"/>
                <w:sz w:val="24"/>
                <w:lang w:val="en-US" w:eastAsia="zh-CN"/>
              </w:rPr>
              <w:t xml:space="preserve"> 具备</w:t>
            </w:r>
            <w:r>
              <w:rPr>
                <w:rFonts w:ascii="GE Inspira" w:hAnsi="GE Inspira" w:eastAsia="幼圆" w:cs="Arial"/>
                <w:sz w:val="24"/>
              </w:rPr>
              <w:t>生理信号显示</w:t>
            </w:r>
          </w:p>
          <w:p>
            <w:pPr>
              <w:pStyle w:val="24"/>
              <w:rPr>
                <w:rFonts w:ascii="GE Inspira" w:hAnsi="GE Inspira" w:eastAsia="幼圆" w:cs="Arial"/>
                <w:sz w:val="24"/>
              </w:rPr>
            </w:pPr>
            <w:r>
              <w:rPr>
                <w:rFonts w:ascii="GE Inspira" w:hAnsi="GE Inspira" w:eastAsia="幼圆" w:cs="Arial"/>
                <w:sz w:val="24"/>
              </w:rPr>
              <w:t>8.</w:t>
            </w:r>
            <w:r>
              <w:rPr>
                <w:rFonts w:hint="eastAsia" w:ascii="GE Inspira" w:hAnsi="GE Inspira" w:eastAsia="幼圆" w:cs="Arial"/>
                <w:sz w:val="24"/>
              </w:rPr>
              <w:t>9</w:t>
            </w:r>
            <w:r>
              <w:rPr>
                <w:rFonts w:hint="eastAsia" w:ascii="GE Inspira" w:hAnsi="GE Inspira" w:eastAsia="幼圆" w:cs="Arial"/>
                <w:sz w:val="24"/>
                <w:lang w:val="en-US" w:eastAsia="zh-CN"/>
              </w:rPr>
              <w:t xml:space="preserve"> 具备</w:t>
            </w:r>
            <w:r>
              <w:rPr>
                <w:rFonts w:ascii="GE Inspira" w:hAnsi="GE Inspira" w:eastAsia="幼圆" w:cs="Arial"/>
                <w:sz w:val="24"/>
              </w:rPr>
              <w:t>紧急制动系统</w:t>
            </w:r>
          </w:p>
          <w:p>
            <w:pPr>
              <w:rPr>
                <w:rFonts w:hint="default" w:ascii="GE Inspira" w:hAnsi="GE Inspira" w:eastAsia="幼圆" w:cs="Arial"/>
                <w:sz w:val="24"/>
                <w:lang w:val="en-US" w:eastAsia="zh-CN"/>
              </w:rPr>
            </w:pPr>
            <w:r>
              <w:rPr>
                <w:rFonts w:ascii="GE Inspira" w:hAnsi="GE Inspira" w:eastAsia="幼圆" w:cs="Arial"/>
                <w:sz w:val="24"/>
              </w:rPr>
              <w:t>8.1</w:t>
            </w:r>
            <w:r>
              <w:rPr>
                <w:rFonts w:hint="eastAsia" w:ascii="GE Inspira" w:hAnsi="GE Inspira" w:eastAsia="幼圆" w:cs="Arial"/>
                <w:sz w:val="24"/>
              </w:rPr>
              <w:t>0</w:t>
            </w:r>
            <w:r>
              <w:rPr>
                <w:rFonts w:hint="eastAsia" w:ascii="GE Inspira" w:hAnsi="GE Inspira" w:eastAsia="幼圆" w:cs="Arial"/>
                <w:sz w:val="24"/>
                <w:lang w:val="en-US" w:eastAsia="zh-CN"/>
              </w:rPr>
              <w:t xml:space="preserve">具备 </w:t>
            </w:r>
            <w:r>
              <w:rPr>
                <w:rFonts w:ascii="GE Inspira" w:hAnsi="GE Inspira" w:eastAsia="幼圆" w:cs="Arial"/>
                <w:sz w:val="24"/>
              </w:rPr>
              <w:t>VCG心电门控</w:t>
            </w:r>
            <w:r>
              <w:rPr>
                <w:rFonts w:hint="eastAsia" w:ascii="GE Inspira" w:hAnsi="GE Inspira" w:eastAsia="幼圆" w:cs="Arial"/>
                <w:sz w:val="24"/>
                <w:lang w:eastAsia="zh-CN"/>
              </w:rPr>
              <w:t>、</w:t>
            </w:r>
            <w:r>
              <w:rPr>
                <w:rFonts w:hint="eastAsia" w:ascii="GE Inspira" w:hAnsi="GE Inspira" w:eastAsia="幼圆" w:cs="Arial"/>
                <w:sz w:val="24"/>
                <w:lang w:val="en-US" w:eastAsia="zh-CN"/>
              </w:rPr>
              <w:t>脉搏门控</w:t>
            </w:r>
          </w:p>
          <w:p>
            <w:pPr>
              <w:pStyle w:val="24"/>
              <w:rPr>
                <w:rFonts w:ascii="GE Inspira" w:hAnsi="GE Inspira" w:eastAsia="幼圆" w:cs="Arial"/>
                <w:sz w:val="24"/>
              </w:rPr>
            </w:pPr>
            <w:r>
              <w:rPr>
                <w:rFonts w:ascii="GE Inspira" w:hAnsi="GE Inspira" w:eastAsia="幼圆" w:cs="Arial"/>
                <w:sz w:val="24"/>
              </w:rPr>
              <w:t>8.1</w:t>
            </w:r>
            <w:r>
              <w:rPr>
                <w:rFonts w:hint="eastAsia"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呼吸门控</w:t>
            </w:r>
          </w:p>
          <w:p>
            <w:pPr>
              <w:rPr>
                <w:rFonts w:hint="eastAsia" w:ascii="GE Inspira" w:hAnsi="GE Inspira" w:eastAsia="幼圆" w:cs="Arial"/>
                <w:sz w:val="24"/>
              </w:rPr>
            </w:pPr>
            <w:r>
              <w:rPr>
                <w:rFonts w:ascii="GE Inspira" w:hAnsi="GE Inspira" w:eastAsia="幼圆" w:cs="Arial"/>
                <w:sz w:val="24"/>
                <w:lang w:val="de-DE"/>
              </w:rPr>
              <w:t>8</w:t>
            </w:r>
            <w:r>
              <w:rPr>
                <w:rFonts w:hint="eastAsia" w:ascii="GE Inspira" w:hAnsi="GE Inspira" w:eastAsia="幼圆" w:cs="Arial"/>
                <w:sz w:val="24"/>
                <w:lang w:val="de-DE"/>
              </w:rPr>
              <w:t>.</w:t>
            </w:r>
            <w:r>
              <w:rPr>
                <w:rFonts w:ascii="GE Inspira" w:hAnsi="GE Inspira" w:eastAsia="幼圆" w:cs="Arial"/>
                <w:sz w:val="24"/>
                <w:lang w:val="de-DE"/>
              </w:rPr>
              <w:t>12</w:t>
            </w:r>
            <w:r>
              <w:rPr>
                <w:rFonts w:hint="eastAsia" w:ascii="GE Inspira" w:hAnsi="GE Inspira" w:eastAsia="幼圆" w:cs="Arial"/>
                <w:sz w:val="24"/>
                <w:lang w:val="en-US" w:eastAsia="zh-CN"/>
              </w:rPr>
              <w:t xml:space="preserve"> 具备</w:t>
            </w:r>
            <w:r>
              <w:rPr>
                <w:rFonts w:hint="eastAsia" w:ascii="GE Inspira" w:hAnsi="GE Inspira" w:eastAsia="幼圆" w:cs="Arial"/>
                <w:sz w:val="24"/>
              </w:rPr>
              <w:t>面板显示屏</w:t>
            </w:r>
          </w:p>
          <w:p>
            <w:pPr>
              <w:pStyle w:val="24"/>
              <w:rPr>
                <w:rFonts w:hint="eastAsia" w:ascii="GE Inspira" w:hAnsi="GE Inspira" w:eastAsia="幼圆" w:cs="Arial"/>
                <w:sz w:val="24"/>
              </w:rPr>
            </w:pPr>
            <w:r>
              <w:rPr>
                <w:rFonts w:hint="eastAsia" w:ascii="GE Inspira" w:hAnsi="GE Inspira" w:eastAsia="幼圆" w:cs="Arial"/>
                <w:sz w:val="24"/>
              </w:rPr>
              <w:t>8.1</w:t>
            </w:r>
            <w:r>
              <w:rPr>
                <w:rFonts w:ascii="GE Inspira" w:hAnsi="GE Inspira" w:eastAsia="幼圆" w:cs="Arial"/>
                <w:sz w:val="24"/>
              </w:rPr>
              <w:t>3</w:t>
            </w:r>
            <w:r>
              <w:rPr>
                <w:rFonts w:hint="eastAsia" w:ascii="GE Inspira" w:hAnsi="GE Inspira" w:eastAsia="幼圆" w:cs="Arial"/>
                <w:sz w:val="24"/>
                <w:lang w:val="en-US" w:eastAsia="zh-CN"/>
              </w:rPr>
              <w:t xml:space="preserve"> 具备</w:t>
            </w:r>
            <w:r>
              <w:rPr>
                <w:rFonts w:hint="eastAsia" w:ascii="GE Inspira" w:hAnsi="GE Inspira" w:eastAsia="幼圆" w:cs="Arial"/>
                <w:sz w:val="24"/>
              </w:rPr>
              <w:t>智能中文操作界面</w:t>
            </w:r>
          </w:p>
          <w:p>
            <w:pPr>
              <w:rPr>
                <w:ins w:id="3" w:author="豆腐罩" w:date="2025-11-28T08:28:36Z"/>
                <w:rFonts w:hint="eastAsia" w:ascii="GE Inspira" w:hAnsi="GE Inspira" w:eastAsia="幼圆" w:cs="Arial"/>
                <w:sz w:val="24"/>
              </w:rPr>
            </w:pPr>
            <w:r>
              <w:rPr>
                <w:rFonts w:hint="eastAsia" w:ascii="GE Inspira" w:hAnsi="GE Inspira" w:eastAsia="幼圆" w:cs="Arial"/>
                <w:sz w:val="24"/>
              </w:rPr>
              <w:t>8.1</w:t>
            </w:r>
            <w:r>
              <w:rPr>
                <w:rFonts w:ascii="GE Inspira" w:hAnsi="GE Inspira" w:eastAsia="幼圆" w:cs="Arial"/>
                <w:sz w:val="24"/>
              </w:rPr>
              <w:t>4</w:t>
            </w:r>
            <w:r>
              <w:rPr>
                <w:rFonts w:hint="eastAsia" w:ascii="GE Inspira" w:hAnsi="GE Inspira" w:eastAsia="幼圆" w:cs="Arial"/>
                <w:sz w:val="24"/>
                <w:lang w:val="en-US" w:eastAsia="zh-CN"/>
              </w:rPr>
              <w:t xml:space="preserve"> 具备</w:t>
            </w:r>
            <w:r>
              <w:rPr>
                <w:rFonts w:hint="eastAsia" w:ascii="GE Inspira" w:hAnsi="GE Inspira" w:eastAsia="幼圆" w:cs="Arial"/>
                <w:sz w:val="24"/>
              </w:rPr>
              <w:t>智能英文操作界面</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8.15 具备智能应用操作界面</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8.16具备智能后处理操作界面</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 具备智能流程优化技术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8.17.1 具备头部流程优化技术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8.17.2具备腹部流程优化技术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8.17.3具备脊柱流程优化技术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8.17.4具备智能一键后处理技术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8.17.5具备智能优化重建平台</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8.17.6具备智能优化重建可用于多部位多序列</w:t>
            </w:r>
          </w:p>
          <w:p>
            <w:pPr>
              <w:pStyle w:val="24"/>
              <w:rPr>
                <w:rFonts w:hint="eastAsia" w:ascii="GE Inspira" w:hAnsi="GE Inspira" w:eastAsia="幼圆" w:cs="Arial"/>
                <w:b/>
                <w:sz w:val="24"/>
                <w:lang w:eastAsia="zh-CN"/>
              </w:rPr>
            </w:pPr>
            <w:r>
              <w:rPr>
                <w:rFonts w:hint="eastAsia" w:ascii="GE Inspira" w:hAnsi="GE Inspira" w:eastAsia="幼圆" w:cs="Arial"/>
                <w:sz w:val="24"/>
              </w:rPr>
              <w:t>★</w:t>
            </w:r>
            <w:r>
              <w:rPr>
                <w:rFonts w:ascii="GE Inspira" w:hAnsi="GE Inspira" w:eastAsia="幼圆" w:cs="Arial"/>
                <w:b/>
                <w:sz w:val="24"/>
              </w:rPr>
              <w:t>9. 后处理接口</w:t>
            </w:r>
            <w:r>
              <w:rPr>
                <w:rFonts w:hint="eastAsia" w:ascii="GE Inspira" w:hAnsi="GE Inspira" w:eastAsia="幼圆" w:cs="Arial"/>
                <w:b/>
                <w:sz w:val="24"/>
                <w:lang w:eastAsia="zh-CN"/>
              </w:rPr>
              <w:t>（后续免费接入医院PACS系统，软件免费升级）</w:t>
            </w:r>
          </w:p>
          <w:p>
            <w:pPr>
              <w:rPr>
                <w:rFonts w:ascii="GE Inspira" w:hAnsi="GE Inspira" w:eastAsia="幼圆" w:cs="Arial"/>
                <w:sz w:val="24"/>
              </w:rPr>
            </w:pPr>
            <w:r>
              <w:rPr>
                <w:rFonts w:ascii="GE Inspira" w:hAnsi="GE Inspira" w:eastAsia="幼圆" w:cs="Arial"/>
                <w:sz w:val="24"/>
              </w:rPr>
              <w:t>9.1</w:t>
            </w:r>
            <w:r>
              <w:rPr>
                <w:rFonts w:hint="eastAsia" w:ascii="GE Inspira" w:hAnsi="GE Inspira" w:eastAsia="幼圆" w:cs="Arial"/>
                <w:sz w:val="24"/>
                <w:lang w:val="en-US" w:eastAsia="zh-CN"/>
              </w:rPr>
              <w:t xml:space="preserve"> 具备</w:t>
            </w:r>
            <w:r>
              <w:rPr>
                <w:rFonts w:ascii="GE Inspira" w:hAnsi="GE Inspira" w:eastAsia="幼圆" w:cs="Arial"/>
                <w:sz w:val="24"/>
              </w:rPr>
              <w:t>软件控制照相</w:t>
            </w:r>
          </w:p>
          <w:p>
            <w:pPr>
              <w:pStyle w:val="24"/>
              <w:rPr>
                <w:rFonts w:ascii="GE Inspira" w:hAnsi="GE Inspira" w:eastAsia="幼圆" w:cs="Arial"/>
                <w:sz w:val="24"/>
              </w:rPr>
            </w:pPr>
            <w:r>
              <w:rPr>
                <w:rFonts w:ascii="GE Inspira" w:hAnsi="GE Inspira" w:eastAsia="幼圆" w:cs="Arial"/>
                <w:sz w:val="24"/>
              </w:rPr>
              <w:t>9.2</w:t>
            </w:r>
            <w:r>
              <w:rPr>
                <w:rFonts w:hint="eastAsia" w:ascii="GE Inspira" w:hAnsi="GE Inspira" w:eastAsia="幼圆" w:cs="Arial"/>
                <w:sz w:val="24"/>
                <w:lang w:val="en-US" w:eastAsia="zh-CN"/>
              </w:rPr>
              <w:t xml:space="preserve"> 具备</w:t>
            </w:r>
            <w:r>
              <w:rPr>
                <w:rFonts w:ascii="GE Inspira" w:hAnsi="GE Inspira" w:eastAsia="幼圆" w:cs="Arial"/>
                <w:sz w:val="24"/>
              </w:rPr>
              <w:t>激光相机接口</w:t>
            </w:r>
          </w:p>
          <w:p>
            <w:pPr>
              <w:rPr>
                <w:rFonts w:ascii="GE Inspira" w:hAnsi="GE Inspira" w:eastAsia="幼圆" w:cs="Arial"/>
                <w:sz w:val="24"/>
              </w:rPr>
            </w:pPr>
            <w:r>
              <w:rPr>
                <w:rFonts w:ascii="GE Inspira" w:hAnsi="GE Inspira" w:eastAsia="幼圆" w:cs="Arial"/>
                <w:sz w:val="24"/>
              </w:rPr>
              <w:t>9.3</w:t>
            </w:r>
            <w:r>
              <w:rPr>
                <w:rFonts w:hint="eastAsia" w:ascii="GE Inspira" w:hAnsi="GE Inspira" w:eastAsia="幼圆" w:cs="Arial"/>
                <w:sz w:val="24"/>
                <w:lang w:val="en-US" w:eastAsia="zh-CN"/>
              </w:rPr>
              <w:t xml:space="preserve"> 具备</w:t>
            </w:r>
            <w:r>
              <w:rPr>
                <w:rFonts w:ascii="GE Inspira" w:hAnsi="GE Inspira" w:eastAsia="幼圆" w:cs="Arial"/>
                <w:sz w:val="24"/>
              </w:rPr>
              <w:t>远程维修遥控</w:t>
            </w:r>
          </w:p>
          <w:p>
            <w:pPr>
              <w:pStyle w:val="24"/>
              <w:rPr>
                <w:rFonts w:ascii="GE Inspira" w:hAnsi="GE Inspira" w:eastAsia="幼圆"/>
                <w:sz w:val="24"/>
              </w:rPr>
            </w:pPr>
            <w:r>
              <w:rPr>
                <w:rFonts w:ascii="GE Inspira" w:hAnsi="GE Inspira" w:eastAsia="幼圆" w:cs="Arial"/>
                <w:sz w:val="24"/>
              </w:rPr>
              <w:t>9.4</w:t>
            </w:r>
            <w:r>
              <w:rPr>
                <w:rFonts w:hint="eastAsia" w:ascii="GE Inspira" w:hAnsi="GE Inspira" w:eastAsia="幼圆" w:cs="Arial"/>
                <w:sz w:val="24"/>
                <w:lang w:val="en-US" w:eastAsia="zh-CN"/>
              </w:rPr>
              <w:t xml:space="preserve"> 具备</w:t>
            </w:r>
            <w:r>
              <w:rPr>
                <w:rFonts w:ascii="GE Inspira" w:hAnsi="GE Inspira" w:eastAsia="幼圆" w:cs="Arial"/>
                <w:sz w:val="24"/>
              </w:rPr>
              <w:t>DICOM</w:t>
            </w:r>
            <w:r>
              <w:rPr>
                <w:rFonts w:ascii="GE Inspira" w:hAnsi="GE Inspira" w:eastAsia="幼圆"/>
                <w:sz w:val="24"/>
              </w:rPr>
              <w:t>发送/接收</w:t>
            </w:r>
          </w:p>
          <w:p>
            <w:pPr>
              <w:rPr>
                <w:rFonts w:ascii="GE Inspira" w:hAnsi="GE Inspira" w:eastAsia="幼圆"/>
                <w:sz w:val="24"/>
              </w:rPr>
            </w:pPr>
            <w:r>
              <w:rPr>
                <w:rFonts w:ascii="GE Inspira" w:hAnsi="GE Inspira" w:eastAsia="幼圆" w:cs="Arial"/>
                <w:sz w:val="24"/>
              </w:rPr>
              <w:t>9.5</w:t>
            </w:r>
            <w:r>
              <w:rPr>
                <w:rFonts w:hint="eastAsia" w:ascii="GE Inspira" w:hAnsi="GE Inspira" w:eastAsia="幼圆" w:cs="Arial"/>
                <w:sz w:val="24"/>
                <w:lang w:val="en-US" w:eastAsia="zh-CN"/>
              </w:rPr>
              <w:t xml:space="preserve"> 具备</w:t>
            </w:r>
            <w:r>
              <w:rPr>
                <w:rFonts w:ascii="GE Inspira" w:hAnsi="GE Inspira" w:eastAsia="幼圆" w:cs="Arial"/>
                <w:sz w:val="24"/>
              </w:rPr>
              <w:t>DICOM</w:t>
            </w:r>
            <w:r>
              <w:rPr>
                <w:rFonts w:ascii="GE Inspira" w:hAnsi="GE Inspira" w:eastAsia="幼圆"/>
                <w:sz w:val="24"/>
              </w:rPr>
              <w:t>查询/检索</w:t>
            </w:r>
          </w:p>
          <w:p>
            <w:pPr>
              <w:pStyle w:val="24"/>
              <w:rPr>
                <w:rFonts w:ascii="GE Inspira" w:hAnsi="GE Inspira" w:eastAsia="幼圆"/>
                <w:sz w:val="24"/>
              </w:rPr>
            </w:pPr>
            <w:r>
              <w:rPr>
                <w:rFonts w:ascii="GE Inspira" w:hAnsi="GE Inspira" w:eastAsia="幼圆" w:cs="Arial"/>
                <w:sz w:val="24"/>
              </w:rPr>
              <w:t>9.6</w:t>
            </w:r>
            <w:ins w:id="4" w:author="豆腐罩" w:date="2025-11-28T08:32:13Z">
              <w:r>
                <w:rPr>
                  <w:rFonts w:hint="eastAsia" w:ascii="GE Inspira" w:hAnsi="GE Inspira" w:eastAsia="幼圆" w:cs="Arial"/>
                  <w:sz w:val="24"/>
                  <w:lang w:val="en-US" w:eastAsia="zh-CN"/>
                </w:rPr>
                <w:t xml:space="preserve"> </w:t>
              </w:r>
            </w:ins>
            <w:r>
              <w:rPr>
                <w:rFonts w:hint="eastAsia" w:ascii="GE Inspira" w:hAnsi="GE Inspira" w:eastAsia="幼圆" w:cs="Arial"/>
                <w:sz w:val="24"/>
                <w:lang w:val="en-US" w:eastAsia="zh-CN"/>
              </w:rPr>
              <w:t xml:space="preserve">具备 </w:t>
            </w:r>
            <w:r>
              <w:rPr>
                <w:rFonts w:ascii="GE Inspira" w:hAnsi="GE Inspira" w:eastAsia="幼圆" w:cs="Arial"/>
                <w:sz w:val="24"/>
              </w:rPr>
              <w:t>DICOM</w:t>
            </w:r>
            <w:r>
              <w:rPr>
                <w:rFonts w:ascii="GE Inspira" w:hAnsi="GE Inspira" w:eastAsia="幼圆"/>
                <w:sz w:val="24"/>
              </w:rPr>
              <w:t>基本打印</w:t>
            </w:r>
          </w:p>
          <w:p>
            <w:pPr>
              <w:rPr>
                <w:rFonts w:ascii="GE Inspira" w:hAnsi="GE Inspira" w:eastAsia="幼圆" w:cs="Arial"/>
                <w:sz w:val="24"/>
                <w:lang w:val="de-DE"/>
              </w:rPr>
            </w:pPr>
            <w:r>
              <w:rPr>
                <w:rFonts w:ascii="GE Inspira" w:hAnsi="GE Inspira" w:eastAsia="幼圆" w:cs="Arial"/>
                <w:sz w:val="24"/>
              </w:rPr>
              <w:t>9.</w:t>
            </w:r>
            <w:r>
              <w:rPr>
                <w:rFonts w:hint="eastAsia" w:ascii="GE Inspira" w:hAnsi="GE Inspira" w:eastAsia="幼圆" w:cs="Arial"/>
                <w:sz w:val="24"/>
              </w:rPr>
              <w:t>7</w:t>
            </w:r>
            <w:r>
              <w:rPr>
                <w:rFonts w:hint="eastAsia" w:ascii="GE Inspira" w:hAnsi="GE Inspira" w:eastAsia="幼圆" w:cs="Arial"/>
                <w:sz w:val="24"/>
                <w:lang w:val="en-US" w:eastAsia="zh-CN"/>
              </w:rPr>
              <w:t xml:space="preserve"> </w:t>
            </w:r>
            <w:r>
              <w:rPr>
                <w:rFonts w:ascii="GE Inspira" w:hAnsi="GE Inspira" w:eastAsia="幼圆" w:cs="Arial"/>
                <w:sz w:val="24"/>
                <w:lang w:val="de-DE"/>
              </w:rPr>
              <w:t>图像传输</w:t>
            </w:r>
            <w:r>
              <w:rPr>
                <w:rFonts w:hint="eastAsia" w:ascii="GE Inspira" w:hAnsi="GE Inspira" w:eastAsia="幼圆" w:cs="Arial"/>
                <w:sz w:val="24"/>
                <w:lang w:val="de-DE"/>
              </w:rPr>
              <w:t>速度</w:t>
            </w:r>
            <w:r>
              <w:rPr>
                <w:rFonts w:hint="eastAsia" w:ascii="GE Inspira" w:hAnsi="GE Inspira" w:eastAsia="幼圆" w:cs="Arial"/>
                <w:sz w:val="24"/>
                <w:lang w:val="en-US" w:eastAsia="zh-CN"/>
              </w:rPr>
              <w:t>:</w:t>
            </w:r>
            <w:r>
              <w:rPr>
                <w:rFonts w:ascii="GE Inspira" w:hAnsi="GE Inspira" w:eastAsia="幼圆" w:cs="Arial"/>
                <w:sz w:val="24"/>
                <w:lang w:val="de-DE"/>
              </w:rPr>
              <w:t>1</w:t>
            </w:r>
            <w:r>
              <w:rPr>
                <w:rFonts w:hint="eastAsia" w:ascii="GE Inspira" w:hAnsi="GE Inspira" w:eastAsia="幼圆" w:cs="Arial"/>
                <w:sz w:val="24"/>
                <w:lang w:val="de-DE"/>
              </w:rPr>
              <w:t>GB/</w:t>
            </w:r>
            <w:r>
              <w:rPr>
                <w:rFonts w:ascii="GE Inspira" w:hAnsi="GE Inspira" w:eastAsia="幼圆" w:cs="Arial"/>
                <w:sz w:val="24"/>
                <w:lang w:val="de-DE"/>
              </w:rPr>
              <w:t>秒</w:t>
            </w:r>
          </w:p>
          <w:p>
            <w:pPr>
              <w:pStyle w:val="24"/>
              <w:rPr>
                <w:rFonts w:ascii="GE Inspira" w:hAnsi="GE Inspira" w:eastAsia="幼圆" w:cs="Arial"/>
                <w:b/>
                <w:sz w:val="24"/>
              </w:rPr>
            </w:pPr>
            <w:r>
              <w:rPr>
                <w:rFonts w:ascii="GE Inspira" w:hAnsi="GE Inspira" w:eastAsia="幼圆" w:cs="Arial"/>
                <w:b/>
                <w:sz w:val="24"/>
              </w:rPr>
              <w:t>10. 扫描参数</w:t>
            </w:r>
          </w:p>
          <w:p>
            <w:pPr>
              <w:rPr>
                <w:rFonts w:ascii="GE Inspira" w:hAnsi="GE Inspira" w:eastAsia="幼圆" w:cs="Arial"/>
                <w:sz w:val="24"/>
              </w:rPr>
            </w:pPr>
            <w:r>
              <w:rPr>
                <w:rFonts w:ascii="GE Inspira" w:hAnsi="GE Inspira" w:eastAsia="幼圆" w:cs="Arial"/>
                <w:sz w:val="24"/>
              </w:rPr>
              <w:t>10.1</w:t>
            </w:r>
            <w:r>
              <w:rPr>
                <w:rFonts w:hint="eastAsia" w:ascii="GE Inspira" w:hAnsi="GE Inspira" w:eastAsia="幼圆" w:cs="Arial"/>
                <w:sz w:val="24"/>
                <w:lang w:val="en-US" w:eastAsia="zh-CN"/>
              </w:rPr>
              <w:t xml:space="preserve"> </w:t>
            </w:r>
            <w:r>
              <w:rPr>
                <w:rFonts w:ascii="GE Inspira" w:hAnsi="GE Inspira" w:eastAsia="幼圆" w:cs="Arial"/>
                <w:sz w:val="24"/>
              </w:rPr>
              <w:t>最小二维层厚</w:t>
            </w:r>
            <w:r>
              <w:rPr>
                <w:rFonts w:hint="eastAsia" w:ascii="GE Inspira" w:hAnsi="GE Inspira" w:eastAsia="幼圆" w:cs="Arial"/>
                <w:sz w:val="24"/>
                <w:lang w:val="en-US" w:eastAsia="zh-CN"/>
              </w:rPr>
              <w:t>:</w:t>
            </w:r>
            <w:r>
              <w:rPr>
                <w:rFonts w:ascii="GE Inspira" w:hAnsi="GE Inspira" w:eastAsia="幼圆" w:cs="Arial"/>
                <w:sz w:val="24"/>
              </w:rPr>
              <w:t>≤0.</w:t>
            </w:r>
            <w:r>
              <w:rPr>
                <w:rFonts w:hint="eastAsia" w:ascii="GE Inspira" w:hAnsi="GE Inspira" w:eastAsia="幼圆" w:cs="Arial"/>
                <w:sz w:val="24"/>
              </w:rPr>
              <w:t>1</w:t>
            </w:r>
            <w:r>
              <w:rPr>
                <w:rFonts w:ascii="GE Inspira" w:hAnsi="GE Inspira" w:eastAsia="幼圆" w:cs="Arial"/>
                <w:sz w:val="24"/>
              </w:rPr>
              <w:t xml:space="preserve">mm   </w:t>
            </w:r>
          </w:p>
          <w:p>
            <w:pPr>
              <w:pStyle w:val="24"/>
              <w:rPr>
                <w:rFonts w:ascii="GE Inspira" w:hAnsi="GE Inspira" w:eastAsia="幼圆" w:cs="Arial"/>
                <w:sz w:val="24"/>
              </w:rPr>
            </w:pPr>
            <w:r>
              <w:rPr>
                <w:rFonts w:ascii="GE Inspira" w:hAnsi="GE Inspira" w:eastAsia="幼圆" w:cs="Arial"/>
                <w:sz w:val="24"/>
              </w:rPr>
              <w:t>10.2</w:t>
            </w:r>
            <w:r>
              <w:rPr>
                <w:rFonts w:hint="eastAsia" w:ascii="GE Inspira" w:hAnsi="GE Inspira" w:eastAsia="幼圆" w:cs="Arial"/>
                <w:sz w:val="24"/>
                <w:lang w:val="en-US" w:eastAsia="zh-CN"/>
              </w:rPr>
              <w:t xml:space="preserve"> </w:t>
            </w:r>
            <w:r>
              <w:rPr>
                <w:rFonts w:ascii="GE Inspira" w:hAnsi="GE Inspira" w:eastAsia="幼圆" w:cs="Arial"/>
                <w:sz w:val="24"/>
              </w:rPr>
              <w:t>最小三维层厚</w:t>
            </w:r>
            <w:r>
              <w:rPr>
                <w:rFonts w:hint="eastAsia" w:ascii="GE Inspira" w:hAnsi="GE Inspira" w:eastAsia="幼圆" w:cs="Arial"/>
                <w:sz w:val="24"/>
                <w:lang w:val="en-US" w:eastAsia="zh-CN"/>
              </w:rPr>
              <w:t>:</w:t>
            </w:r>
            <w:r>
              <w:rPr>
                <w:rFonts w:ascii="GE Inspira" w:hAnsi="GE Inspira" w:eastAsia="幼圆" w:cs="Arial"/>
                <w:sz w:val="24"/>
              </w:rPr>
              <w:t xml:space="preserve">≤0.1mm </w:t>
            </w:r>
          </w:p>
          <w:p>
            <w:pPr>
              <w:rPr>
                <w:rFonts w:ascii="GE Inspira" w:hAnsi="GE Inspira" w:eastAsia="幼圆" w:cs="Arial"/>
                <w:sz w:val="24"/>
              </w:rPr>
            </w:pPr>
            <w:r>
              <w:rPr>
                <w:rFonts w:ascii="GE Inspira" w:hAnsi="GE Inspira" w:eastAsia="幼圆" w:cs="Arial"/>
                <w:sz w:val="24"/>
              </w:rPr>
              <w:t>10.3</w:t>
            </w:r>
            <w:r>
              <w:rPr>
                <w:rFonts w:hint="eastAsia" w:ascii="GE Inspira" w:hAnsi="GE Inspira" w:eastAsia="幼圆" w:cs="Arial"/>
                <w:sz w:val="24"/>
                <w:lang w:val="en-US" w:eastAsia="zh-CN"/>
              </w:rPr>
              <w:t xml:space="preserve"> </w:t>
            </w:r>
            <w:r>
              <w:rPr>
                <w:rFonts w:ascii="GE Inspira" w:hAnsi="GE Inspira" w:eastAsia="幼圆" w:cs="Arial"/>
                <w:sz w:val="24"/>
              </w:rPr>
              <w:t>最大采集矩阵</w:t>
            </w:r>
            <w:r>
              <w:rPr>
                <w:rFonts w:hint="eastAsia" w:ascii="GE Inspira" w:hAnsi="GE Inspira" w:eastAsia="幼圆" w:cs="Arial"/>
                <w:sz w:val="24"/>
                <w:lang w:val="en-US" w:eastAsia="zh-CN"/>
              </w:rPr>
              <w:t>:</w:t>
            </w:r>
            <w:r>
              <w:rPr>
                <w:rFonts w:ascii="GE Inspira" w:hAnsi="GE Inspira" w:eastAsia="幼圆" w:cs="Arial"/>
                <w:sz w:val="24"/>
              </w:rPr>
              <w:t>≥1024×1024</w:t>
            </w:r>
          </w:p>
          <w:p>
            <w:pPr>
              <w:pStyle w:val="24"/>
              <w:rPr>
                <w:rFonts w:ascii="GE Inspira" w:hAnsi="GE Inspira" w:eastAsia="幼圆" w:cs="Arial"/>
                <w:sz w:val="24"/>
                <w:lang w:val="de-DE"/>
              </w:rPr>
            </w:pPr>
            <w:r>
              <w:rPr>
                <w:rFonts w:ascii="GE Inspira" w:hAnsi="GE Inspira" w:eastAsia="幼圆" w:cs="Arial"/>
                <w:sz w:val="24"/>
              </w:rPr>
              <w:t>10.4</w:t>
            </w:r>
            <w:r>
              <w:rPr>
                <w:rFonts w:hint="eastAsia" w:ascii="GE Inspira" w:hAnsi="GE Inspira" w:eastAsia="幼圆" w:cs="Arial"/>
                <w:sz w:val="24"/>
                <w:lang w:val="en-US" w:eastAsia="zh-CN"/>
              </w:rPr>
              <w:t xml:space="preserve"> </w:t>
            </w:r>
            <w:r>
              <w:rPr>
                <w:rFonts w:ascii="GE Inspira" w:hAnsi="GE Inspira" w:eastAsia="幼圆" w:cs="Arial"/>
                <w:sz w:val="24"/>
                <w:lang w:val="de-DE"/>
              </w:rPr>
              <w:t>弥散加权B值</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lang w:val="de-DE"/>
              </w:rPr>
              <w:t>10</w:t>
            </w:r>
            <w:r>
              <w:rPr>
                <w:rFonts w:ascii="GE Inspira" w:hAnsi="GE Inspira" w:eastAsia="幼圆" w:cs="Arial"/>
                <w:sz w:val="24"/>
                <w:lang w:val="de-DE"/>
              </w:rPr>
              <w:t xml:space="preserve">000   </w:t>
            </w:r>
          </w:p>
          <w:p>
            <w:pPr>
              <w:jc w:val="left"/>
              <w:rPr>
                <w:rFonts w:ascii="GE Inspira" w:hAnsi="GE Inspira" w:eastAsia="幼圆" w:cs="Arial"/>
                <w:sz w:val="24"/>
                <w:lang w:val="de-DE"/>
              </w:rPr>
            </w:pPr>
            <w:r>
              <w:rPr>
                <w:rFonts w:ascii="GE Inspira" w:hAnsi="GE Inspira" w:eastAsia="幼圆" w:cs="Arial"/>
                <w:sz w:val="24"/>
                <w:lang w:val="de-DE"/>
              </w:rPr>
              <w:t>10.5</w:t>
            </w:r>
            <w:r>
              <w:rPr>
                <w:rFonts w:hint="eastAsia" w:ascii="GE Inspira" w:hAnsi="GE Inspira" w:eastAsia="幼圆" w:cs="Arial"/>
                <w:sz w:val="24"/>
                <w:lang w:val="en-US" w:eastAsia="zh-CN"/>
              </w:rPr>
              <w:t xml:space="preserve"> </w:t>
            </w:r>
            <w:r>
              <w:rPr>
                <w:rFonts w:hint="eastAsia" w:ascii="GE Inspira" w:hAnsi="GE Inspira" w:eastAsia="幼圆" w:cs="Arial"/>
                <w:sz w:val="24"/>
                <w:lang w:val="de-DE"/>
              </w:rPr>
              <w:t xml:space="preserve">EPI </w:t>
            </w:r>
            <w:r>
              <w:rPr>
                <w:rFonts w:ascii="GE Inspira" w:hAnsi="GE Inspira" w:eastAsia="幼圆" w:cs="Arial"/>
                <w:sz w:val="24"/>
                <w:lang w:val="de-DE"/>
              </w:rPr>
              <w:t>最短TR(</w:t>
            </w:r>
            <w:r>
              <w:rPr>
                <w:rFonts w:hint="eastAsia" w:ascii="GE Inspira" w:hAnsi="GE Inspira" w:eastAsia="幼圆" w:cs="Arial"/>
                <w:sz w:val="24"/>
                <w:lang w:val="de-DE"/>
              </w:rPr>
              <w:t>128</w:t>
            </w:r>
            <w:r>
              <w:rPr>
                <w:rFonts w:ascii="GE Inspira" w:hAnsi="GE Inspira" w:eastAsia="幼圆" w:cs="Arial"/>
                <w:sz w:val="24"/>
                <w:lang w:val="de-DE"/>
              </w:rPr>
              <w:t>x</w:t>
            </w:r>
            <w:r>
              <w:rPr>
                <w:rFonts w:hint="eastAsia" w:ascii="GE Inspira" w:hAnsi="GE Inspira" w:eastAsia="幼圆" w:cs="Arial"/>
                <w:sz w:val="24"/>
                <w:lang w:val="de-DE"/>
              </w:rPr>
              <w:t>128</w:t>
            </w:r>
            <w:r>
              <w:rPr>
                <w:rFonts w:ascii="GE Inspira" w:hAnsi="GE Inspira" w:eastAsia="幼圆" w:cs="Arial"/>
                <w:sz w:val="24"/>
                <w:lang w:val="de-DE"/>
              </w:rPr>
              <w:t>)</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lang w:val="de-DE"/>
              </w:rPr>
              <w:t>5</w:t>
            </w:r>
            <w:r>
              <w:rPr>
                <w:rFonts w:ascii="GE Inspira" w:hAnsi="GE Inspira" w:eastAsia="幼圆" w:cs="Arial"/>
                <w:sz w:val="24"/>
                <w:lang w:val="de-DE"/>
              </w:rPr>
              <w:t>ms</w:t>
            </w:r>
          </w:p>
          <w:p>
            <w:pPr>
              <w:jc w:val="left"/>
              <w:rPr>
                <w:rFonts w:ascii="GE Inspira" w:hAnsi="GE Inspira" w:eastAsia="幼圆" w:cs="Arial"/>
                <w:sz w:val="24"/>
                <w:lang w:val="de-DE"/>
              </w:rPr>
            </w:pPr>
            <w:r>
              <w:rPr>
                <w:rFonts w:ascii="GE Inspira" w:hAnsi="GE Inspira" w:eastAsia="幼圆" w:cs="Arial"/>
                <w:sz w:val="24"/>
                <w:lang w:val="de-DE"/>
              </w:rPr>
              <w:t>10.6</w:t>
            </w:r>
            <w:r>
              <w:rPr>
                <w:rFonts w:hint="eastAsia" w:ascii="GE Inspira" w:hAnsi="GE Inspira" w:eastAsia="幼圆" w:cs="Arial"/>
                <w:sz w:val="24"/>
                <w:lang w:val="en-US" w:eastAsia="zh-CN"/>
              </w:rPr>
              <w:t xml:space="preserve"> </w:t>
            </w:r>
            <w:r>
              <w:rPr>
                <w:rFonts w:hint="eastAsia" w:ascii="GE Inspira" w:hAnsi="GE Inspira" w:eastAsia="幼圆" w:cs="Arial"/>
                <w:sz w:val="24"/>
                <w:lang w:val="de-DE"/>
              </w:rPr>
              <w:t xml:space="preserve">EPI </w:t>
            </w:r>
            <w:r>
              <w:rPr>
                <w:rFonts w:ascii="GE Inspira" w:hAnsi="GE Inspira" w:eastAsia="幼圆" w:cs="Arial"/>
                <w:sz w:val="24"/>
                <w:lang w:val="de-DE"/>
              </w:rPr>
              <w:t>最短TE (</w:t>
            </w:r>
            <w:r>
              <w:rPr>
                <w:rFonts w:hint="eastAsia" w:ascii="GE Inspira" w:hAnsi="GE Inspira" w:eastAsia="幼圆" w:cs="Arial"/>
                <w:sz w:val="24"/>
                <w:lang w:val="de-DE"/>
              </w:rPr>
              <w:t>128</w:t>
            </w:r>
            <w:r>
              <w:rPr>
                <w:rFonts w:ascii="GE Inspira" w:hAnsi="GE Inspira" w:eastAsia="幼圆" w:cs="Arial"/>
                <w:sz w:val="24"/>
                <w:lang w:val="de-DE"/>
              </w:rPr>
              <w:t>x</w:t>
            </w:r>
            <w:r>
              <w:rPr>
                <w:rFonts w:hint="eastAsia" w:ascii="GE Inspira" w:hAnsi="GE Inspira" w:eastAsia="幼圆" w:cs="Arial"/>
                <w:sz w:val="24"/>
                <w:lang w:val="de-DE"/>
              </w:rPr>
              <w:t>128</w:t>
            </w:r>
            <w:r>
              <w:rPr>
                <w:rFonts w:ascii="GE Inspira" w:hAnsi="GE Inspira" w:eastAsia="幼圆" w:cs="Arial"/>
                <w:sz w:val="24"/>
                <w:lang w:val="de-DE"/>
              </w:rPr>
              <w:t>)</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lang w:val="de-DE"/>
              </w:rPr>
              <w:t>1</w:t>
            </w:r>
            <w:r>
              <w:rPr>
                <w:rFonts w:ascii="GE Inspira" w:hAnsi="GE Inspira" w:eastAsia="幼圆" w:cs="Arial"/>
                <w:sz w:val="24"/>
                <w:lang w:val="de-DE"/>
              </w:rPr>
              <w:t xml:space="preserve">.3 ms </w:t>
            </w:r>
          </w:p>
          <w:p>
            <w:pPr>
              <w:pStyle w:val="24"/>
              <w:rPr>
                <w:rFonts w:ascii="GE Inspira" w:hAnsi="GE Inspira" w:eastAsia="幼圆" w:cs="Arial"/>
                <w:sz w:val="24"/>
              </w:rPr>
            </w:pPr>
            <w:r>
              <w:rPr>
                <w:rFonts w:ascii="GE Inspira" w:hAnsi="GE Inspira" w:eastAsia="幼圆" w:cs="Arial"/>
                <w:sz w:val="24"/>
              </w:rPr>
              <w:t>10.</w:t>
            </w:r>
            <w:r>
              <w:rPr>
                <w:rFonts w:hint="eastAsia" w:ascii="GE Inspira" w:hAnsi="GE Inspira" w:eastAsia="幼圆" w:cs="Arial"/>
                <w:sz w:val="24"/>
                <w:lang w:eastAsia="zh-CN"/>
              </w:rPr>
              <w:t>7</w:t>
            </w:r>
            <w:r>
              <w:rPr>
                <w:rFonts w:hint="eastAsia" w:ascii="GE Inspira" w:hAnsi="GE Inspira" w:eastAsia="幼圆" w:cs="Arial"/>
                <w:sz w:val="24"/>
                <w:lang w:val="en-US" w:eastAsia="zh-CN"/>
              </w:rPr>
              <w:t xml:space="preserve"> </w:t>
            </w:r>
            <w:r>
              <w:rPr>
                <w:rFonts w:ascii="GE Inspira" w:hAnsi="GE Inspira" w:eastAsia="幼圆" w:cs="Arial"/>
                <w:sz w:val="24"/>
              </w:rPr>
              <w:t>最大扫描视野</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50</w:t>
            </w:r>
            <w:r>
              <w:rPr>
                <w:rFonts w:ascii="GE Inspira" w:hAnsi="GE Inspira" w:eastAsia="幼圆" w:cs="Arial"/>
                <w:sz w:val="24"/>
              </w:rPr>
              <w:t xml:space="preserve">cm </w:t>
            </w:r>
          </w:p>
          <w:p>
            <w:pPr>
              <w:rPr>
                <w:rFonts w:ascii="GE Inspira" w:hAnsi="GE Inspira" w:eastAsia="幼圆" w:cs="Arial"/>
                <w:sz w:val="24"/>
              </w:rPr>
            </w:pPr>
            <w:r>
              <w:rPr>
                <w:rFonts w:ascii="GE Inspira" w:hAnsi="GE Inspira" w:eastAsia="幼圆" w:cs="Arial"/>
                <w:sz w:val="24"/>
              </w:rPr>
              <w:t>10.</w:t>
            </w:r>
            <w:r>
              <w:rPr>
                <w:rFonts w:hint="eastAsia" w:ascii="GE Inspira" w:hAnsi="GE Inspira" w:eastAsia="幼圆" w:cs="Arial"/>
                <w:sz w:val="24"/>
                <w:lang w:eastAsia="zh-CN"/>
              </w:rPr>
              <w:t>8</w:t>
            </w:r>
            <w:r>
              <w:rPr>
                <w:rFonts w:hint="eastAsia" w:ascii="GE Inspira" w:hAnsi="GE Inspira" w:eastAsia="幼圆" w:cs="Arial"/>
                <w:sz w:val="24"/>
                <w:lang w:val="en-US" w:eastAsia="zh-CN"/>
              </w:rPr>
              <w:t xml:space="preserve"> </w:t>
            </w:r>
            <w:r>
              <w:rPr>
                <w:rFonts w:ascii="GE Inspira" w:hAnsi="GE Inspira" w:eastAsia="幼圆" w:cs="Arial"/>
                <w:sz w:val="24"/>
              </w:rPr>
              <w:t>最小扫描视野</w:t>
            </w:r>
            <w:r>
              <w:rPr>
                <w:rFonts w:hint="eastAsia" w:ascii="GE Inspira" w:hAnsi="GE Inspira" w:eastAsia="幼圆" w:cs="Arial"/>
                <w:sz w:val="24"/>
                <w:lang w:val="en-US" w:eastAsia="zh-CN"/>
              </w:rPr>
              <w:t>:</w:t>
            </w:r>
            <w:r>
              <w:rPr>
                <w:rFonts w:ascii="GE Inspira" w:hAnsi="GE Inspira" w:eastAsia="幼圆" w:cs="Arial"/>
                <w:sz w:val="24"/>
              </w:rPr>
              <w:t>≤5mm</w:t>
            </w:r>
          </w:p>
          <w:p>
            <w:pPr>
              <w:pStyle w:val="24"/>
              <w:rPr>
                <w:ins w:id="5" w:author="豆腐罩" w:date="2025-11-28T08:32:59Z"/>
                <w:rFonts w:ascii="GE Inspira" w:hAnsi="GE Inspira" w:eastAsia="幼圆" w:cs="Arial"/>
                <w:sz w:val="24"/>
              </w:rPr>
            </w:pPr>
            <w:r>
              <w:rPr>
                <w:rFonts w:ascii="GE Inspira" w:hAnsi="GE Inspira" w:eastAsia="幼圆"/>
                <w:sz w:val="24"/>
              </w:rPr>
              <w:t>10.</w:t>
            </w:r>
            <w:r>
              <w:rPr>
                <w:rFonts w:hint="eastAsia" w:ascii="GE Inspira" w:hAnsi="GE Inspira" w:eastAsia="幼圆"/>
                <w:sz w:val="24"/>
                <w:lang w:eastAsia="zh-CN"/>
              </w:rPr>
              <w:t>9</w:t>
            </w:r>
            <w:r>
              <w:rPr>
                <w:rFonts w:hint="eastAsia" w:ascii="GE Inspira" w:hAnsi="GE Inspira" w:eastAsia="幼圆"/>
                <w:sz w:val="24"/>
                <w:lang w:val="en-US" w:eastAsia="zh-CN"/>
              </w:rPr>
              <w:t xml:space="preserve"> </w:t>
            </w:r>
            <w:r>
              <w:rPr>
                <w:rFonts w:ascii="GE Inspira" w:hAnsi="GE Inspira" w:eastAsia="幼圆" w:cs="Arial"/>
                <w:sz w:val="24"/>
              </w:rPr>
              <w:t>FSE最大回波链长度</w:t>
            </w:r>
            <w:r>
              <w:rPr>
                <w:rFonts w:hint="eastAsia" w:ascii="GE Inspira" w:hAnsi="GE Inspira" w:eastAsia="幼圆" w:cs="Arial"/>
                <w:sz w:val="24"/>
                <w:lang w:val="en-US" w:eastAsia="zh-CN"/>
              </w:rPr>
              <w:t>:</w:t>
            </w:r>
            <w:r>
              <w:rPr>
                <w:rFonts w:ascii="GE Inspira" w:hAnsi="GE Inspira" w:eastAsia="幼圆" w:cs="Arial"/>
                <w:sz w:val="24"/>
              </w:rPr>
              <w:t>≥480</w:t>
            </w:r>
          </w:p>
          <w:p>
            <w:pPr>
              <w:pStyle w:val="24"/>
              <w:rPr>
                <w:rFonts w:hint="default" w:ascii="GE Inspira" w:hAnsi="GE Inspira" w:eastAsia="幼圆" w:cs="Arial"/>
                <w:sz w:val="24"/>
                <w:lang w:val="en-US" w:eastAsia="zh-CN"/>
              </w:rPr>
            </w:pPr>
            <w:r>
              <w:rPr>
                <w:rFonts w:hint="eastAsia" w:ascii="GE Inspira" w:hAnsi="GE Inspira" w:eastAsia="幼圆" w:cs="Arial"/>
                <w:sz w:val="24"/>
                <w:lang w:val="en-US" w:eastAsia="zh-CN"/>
              </w:rPr>
              <w:t>10.10 EPI 最短TR(256x256)：≤6ms</w:t>
            </w:r>
          </w:p>
          <w:p>
            <w:pPr>
              <w:pStyle w:val="24"/>
              <w:rPr>
                <w:rFonts w:hint="default" w:ascii="GE Inspira" w:hAnsi="GE Inspira" w:eastAsia="幼圆" w:cs="Arial"/>
                <w:sz w:val="24"/>
                <w:lang w:val="en-US" w:eastAsia="zh-CN"/>
              </w:rPr>
            </w:pPr>
            <w:r>
              <w:rPr>
                <w:rFonts w:hint="eastAsia" w:ascii="GE Inspira" w:hAnsi="GE Inspira" w:eastAsia="幼圆" w:cs="Arial"/>
                <w:sz w:val="24"/>
                <w:lang w:val="en-US" w:eastAsia="zh-CN"/>
              </w:rPr>
              <w:t>10.11 EPI 最短TE (256x256)：≤1.8ms</w:t>
            </w:r>
          </w:p>
          <w:p>
            <w:pPr>
              <w:pStyle w:val="24"/>
              <w:rPr>
                <w:rFonts w:hint="default" w:ascii="GE Inspira" w:hAnsi="GE Inspira" w:eastAsia="幼圆" w:cs="Arial"/>
                <w:sz w:val="24"/>
                <w:lang w:val="en-US" w:eastAsia="zh-CN"/>
              </w:rPr>
            </w:pPr>
            <w:r>
              <w:rPr>
                <w:rFonts w:hint="eastAsia" w:ascii="GE Inspira" w:hAnsi="GE Inspira" w:eastAsia="幼圆" w:cs="Arial"/>
                <w:sz w:val="24"/>
                <w:lang w:val="en-US" w:eastAsia="zh-CN"/>
              </w:rPr>
              <w:t>10.12 3D 稳态自由进动最小 TR（256 矩阵）：≤2.6ms</w:t>
            </w:r>
          </w:p>
          <w:p>
            <w:pPr>
              <w:pStyle w:val="24"/>
              <w:rPr>
                <w:rFonts w:hint="eastAsia" w:ascii="GE Inspira" w:hAnsi="GE Inspira" w:eastAsia="幼圆" w:cs="Arial"/>
                <w:sz w:val="24"/>
                <w:lang w:eastAsia="zh-CN"/>
              </w:rPr>
            </w:pPr>
            <w:r>
              <w:rPr>
                <w:rFonts w:hint="eastAsia" w:ascii="GE Inspira" w:hAnsi="GE Inspira" w:eastAsia="幼圆" w:cs="Arial"/>
                <w:sz w:val="24"/>
                <w:lang w:val="en-US" w:eastAsia="zh-CN"/>
              </w:rPr>
              <w:t xml:space="preserve">10.13 </w:t>
            </w:r>
            <w:r>
              <w:rPr>
                <w:rFonts w:hint="eastAsia" w:ascii="GE Inspira" w:hAnsi="GE Inspira" w:eastAsia="幼圆" w:cs="Arial"/>
                <w:sz w:val="24"/>
              </w:rPr>
              <w:t>3D 稳态自由进动最小 TE（256 矩阵）</w:t>
            </w:r>
            <w:r>
              <w:rPr>
                <w:rFonts w:hint="eastAsia" w:ascii="GE Inspira" w:hAnsi="GE Inspira" w:eastAsia="幼圆" w:cs="Arial"/>
                <w:sz w:val="24"/>
                <w:lang w:eastAsia="zh-CN"/>
              </w:rPr>
              <w:t>：≤0.64ms</w:t>
            </w:r>
          </w:p>
          <w:p>
            <w:pPr>
              <w:rPr>
                <w:rFonts w:ascii="GE Inspira" w:hAnsi="GE Inspira" w:eastAsia="幼圆" w:cs="Arial"/>
                <w:b/>
                <w:sz w:val="24"/>
              </w:rPr>
            </w:pPr>
            <w:r>
              <w:rPr>
                <w:rFonts w:ascii="GE Inspira" w:hAnsi="GE Inspira" w:eastAsia="幼圆" w:cs="Arial"/>
                <w:b/>
                <w:sz w:val="24"/>
              </w:rPr>
              <w:t>11. 扫描序列</w:t>
            </w:r>
            <w:r>
              <w:rPr>
                <w:rFonts w:hint="eastAsia" w:ascii="GE Inspira" w:hAnsi="GE Inspira" w:eastAsia="幼圆" w:cs="Arial"/>
                <w:b/>
                <w:sz w:val="24"/>
              </w:rPr>
              <w:t>（T1WI、T2WI、T2WI-FLAIR、T2WI/PDWI压脂、T1WI压水、压脂、正反相序列等)</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hint="eastAsia" w:ascii="GE Inspira" w:hAnsi="GE Inspira" w:eastAsia="幼圆" w:cs="Arial"/>
                <w:sz w:val="24"/>
                <w:lang w:val="en-US" w:eastAsia="zh-CN"/>
              </w:rPr>
              <w:t xml:space="preserve"> </w:t>
            </w:r>
            <w:r>
              <w:rPr>
                <w:rFonts w:ascii="GE Inspira" w:hAnsi="GE Inspira" w:eastAsia="幼圆" w:cs="Arial"/>
                <w:sz w:val="24"/>
              </w:rPr>
              <w:t>自旋回波(SE)</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自旋回波序列</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2D/3D FSE</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.3</w:t>
            </w:r>
            <w:r>
              <w:rPr>
                <w:rFonts w:hint="eastAsia" w:ascii="GE Inspira" w:hAnsi="GE Inspira" w:eastAsia="幼圆" w:cs="Arial"/>
                <w:sz w:val="24"/>
                <w:lang w:val="en-US" w:eastAsia="zh-CN"/>
              </w:rPr>
              <w:t xml:space="preserve"> 具备 </w:t>
            </w:r>
            <w:r>
              <w:rPr>
                <w:rFonts w:ascii="GE Inspira" w:hAnsi="GE Inspira" w:eastAsia="幼圆" w:cs="Arial"/>
                <w:sz w:val="24"/>
              </w:rPr>
              <w:t>FSE回波分享</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三维FSE序列</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单次激发FSE</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.6</w:t>
            </w:r>
            <w:r>
              <w:rPr>
                <w:rFonts w:hint="eastAsia" w:ascii="GE Inspira" w:hAnsi="GE Inspira" w:eastAsia="幼圆" w:cs="Arial"/>
                <w:sz w:val="24"/>
                <w:lang w:val="en-US" w:eastAsia="zh-CN"/>
              </w:rPr>
              <w:t xml:space="preserve"> 具备</w:t>
            </w:r>
            <w:r>
              <w:rPr>
                <w:rFonts w:ascii="GE Inspira" w:hAnsi="GE Inspira" w:eastAsia="幼圆" w:cs="Arial"/>
                <w:sz w:val="24"/>
              </w:rPr>
              <w:t>脂肪抑制序列</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.7</w:t>
            </w:r>
            <w:r>
              <w:rPr>
                <w:rFonts w:hint="eastAsia" w:ascii="GE Inspira" w:hAnsi="GE Inspira" w:eastAsia="幼圆" w:cs="Arial"/>
                <w:sz w:val="24"/>
                <w:lang w:val="en-US" w:eastAsia="zh-CN"/>
              </w:rPr>
              <w:t>具备</w:t>
            </w:r>
            <w:r>
              <w:rPr>
                <w:rFonts w:ascii="GE Inspira" w:hAnsi="GE Inspira" w:eastAsia="幼圆" w:cs="Arial"/>
                <w:sz w:val="24"/>
              </w:rPr>
              <w:t>频率脂肪抑制</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1</w:t>
            </w:r>
            <w:r>
              <w:rPr>
                <w:rFonts w:ascii="GE Inspira" w:hAnsi="GE Inspira" w:eastAsia="幼圆" w:cs="Arial"/>
                <w:sz w:val="24"/>
              </w:rPr>
              <w:t>.8</w:t>
            </w:r>
            <w:r>
              <w:rPr>
                <w:rFonts w:hint="eastAsia" w:ascii="GE Inspira" w:hAnsi="GE Inspira" w:eastAsia="幼圆" w:cs="Arial"/>
                <w:sz w:val="24"/>
                <w:lang w:val="en-US" w:eastAsia="zh-CN"/>
              </w:rPr>
              <w:t xml:space="preserve"> 具备</w:t>
            </w:r>
            <w:r>
              <w:rPr>
                <w:rFonts w:ascii="GE Inspira" w:hAnsi="GE Inspira" w:eastAsia="幼圆" w:cs="Arial"/>
                <w:sz w:val="24"/>
              </w:rPr>
              <w:t>水抑制序列</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2</w:t>
            </w:r>
            <w:r>
              <w:rPr>
                <w:rFonts w:hint="eastAsia" w:ascii="GE Inspira" w:hAnsi="GE Inspira" w:eastAsia="幼圆" w:cs="Arial"/>
                <w:sz w:val="24"/>
                <w:lang w:val="en-US" w:eastAsia="zh-CN"/>
              </w:rPr>
              <w:t xml:space="preserve"> </w:t>
            </w:r>
            <w:r>
              <w:rPr>
                <w:rFonts w:ascii="GE Inspira" w:hAnsi="GE Inspira" w:eastAsia="幼圆" w:cs="Arial"/>
                <w:sz w:val="24"/>
              </w:rPr>
              <w:t>反转恢复（IR）</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2</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常规IR序列</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11.2.2 具备3D IR序列</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3 具备</w:t>
            </w:r>
            <w:r>
              <w:rPr>
                <w:rFonts w:ascii="GE Inspira" w:hAnsi="GE Inspira" w:eastAsia="幼圆" w:cs="Arial"/>
                <w:sz w:val="24"/>
              </w:rPr>
              <w:t>快速IR 序列 (水/脂抑制技术)</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4 具备</w:t>
            </w:r>
            <w:r>
              <w:rPr>
                <w:rFonts w:ascii="GE Inspira" w:hAnsi="GE Inspira" w:eastAsia="幼圆" w:cs="Arial"/>
                <w:sz w:val="24"/>
              </w:rPr>
              <w:t>水抑制( FLAIR)</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5 具备</w:t>
            </w:r>
            <w:r>
              <w:rPr>
                <w:rFonts w:ascii="GE Inspira" w:hAnsi="GE Inspira" w:eastAsia="幼圆" w:cs="Arial"/>
                <w:sz w:val="24"/>
              </w:rPr>
              <w:t>单次激发快速反转恢复序列</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hint="eastAsia" w:ascii="GE Inspira" w:hAnsi="GE Inspira" w:eastAsia="幼圆" w:cs="Arial"/>
                <w:sz w:val="24"/>
                <w:lang w:val="en-US" w:eastAsia="zh-CN"/>
              </w:rPr>
              <w:t xml:space="preserve"> </w:t>
            </w:r>
            <w:r>
              <w:rPr>
                <w:rFonts w:ascii="GE Inspira" w:hAnsi="GE Inspira" w:eastAsia="幼圆" w:cs="Arial"/>
                <w:sz w:val="24"/>
              </w:rPr>
              <w:t xml:space="preserve">梯度回波(GRE) </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多层面梯度回波</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3D梯度回波</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亚秒T1加权(2D/3D)</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亚秒T2加权(2D/3D)</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去除剩余磁化梯度回波技术</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.6</w:t>
            </w:r>
            <w:r>
              <w:rPr>
                <w:rFonts w:hint="eastAsia" w:ascii="GE Inspira" w:hAnsi="GE Inspira" w:eastAsia="幼圆" w:cs="Arial"/>
                <w:sz w:val="24"/>
                <w:lang w:val="en-US" w:eastAsia="zh-CN"/>
              </w:rPr>
              <w:t xml:space="preserve"> 具备</w:t>
            </w:r>
            <w:r>
              <w:rPr>
                <w:rFonts w:ascii="GE Inspira" w:hAnsi="GE Inspira" w:eastAsia="幼圆" w:cs="Arial"/>
                <w:sz w:val="24"/>
              </w:rPr>
              <w:t>利用剩余磁化梯度回波技术</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3</w:t>
            </w:r>
            <w:r>
              <w:rPr>
                <w:rFonts w:ascii="GE Inspira" w:hAnsi="GE Inspira" w:eastAsia="幼圆" w:cs="Arial"/>
                <w:sz w:val="24"/>
              </w:rPr>
              <w:t>.7</w:t>
            </w:r>
            <w:r>
              <w:rPr>
                <w:rFonts w:hint="eastAsia" w:ascii="GE Inspira" w:hAnsi="GE Inspira" w:eastAsia="幼圆" w:cs="Arial"/>
                <w:sz w:val="24"/>
                <w:lang w:val="en-US" w:eastAsia="zh-CN"/>
              </w:rPr>
              <w:t xml:space="preserve"> 具备</w:t>
            </w:r>
            <w:r>
              <w:rPr>
                <w:rFonts w:ascii="GE Inspira" w:hAnsi="GE Inspira" w:eastAsia="幼圆" w:cs="Arial"/>
                <w:sz w:val="24"/>
              </w:rPr>
              <w:t>重T2 加权高对比序列</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4</w:t>
            </w:r>
            <w:r>
              <w:rPr>
                <w:rFonts w:hint="eastAsia" w:ascii="GE Inspira" w:hAnsi="GE Inspira" w:eastAsia="幼圆" w:cs="Arial"/>
                <w:sz w:val="24"/>
                <w:lang w:val="en-US" w:eastAsia="zh-CN"/>
              </w:rPr>
              <w:t xml:space="preserve"> </w:t>
            </w:r>
            <w:r>
              <w:rPr>
                <w:rFonts w:ascii="GE Inspira" w:hAnsi="GE Inspira" w:eastAsia="幼圆" w:cs="Arial"/>
                <w:sz w:val="24"/>
              </w:rPr>
              <w:t>平面回波(EPI)</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4</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单次激发EPI</w:t>
            </w:r>
          </w:p>
          <w:p>
            <w:pPr>
              <w:pStyle w:val="24"/>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自旋回波EPI</w:t>
            </w:r>
          </w:p>
          <w:p>
            <w:pPr>
              <w:rPr>
                <w:rFonts w:ascii="GE Inspira" w:hAnsi="GE Inspira" w:eastAsia="幼圆" w:cs="Arial"/>
                <w:sz w:val="24"/>
              </w:rPr>
            </w:pPr>
            <w:r>
              <w:rPr>
                <w:rFonts w:ascii="GE Inspira" w:hAnsi="GE Inspira" w:eastAsia="幼圆" w:cs="Arial"/>
                <w:sz w:val="24"/>
              </w:rPr>
              <w:t>11.</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 xml:space="preserve">梯度回波EPI </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11.4.4 具备反转EPI</w:t>
            </w:r>
          </w:p>
          <w:p>
            <w:pPr>
              <w:pStyle w:val="24"/>
              <w:rPr>
                <w:rFonts w:ascii="GE Inspira" w:hAnsi="GE Inspira" w:eastAsia="幼圆" w:cs="Arial"/>
                <w:b/>
                <w:sz w:val="24"/>
              </w:rPr>
            </w:pPr>
            <w:r>
              <w:rPr>
                <w:rFonts w:ascii="GE Inspira" w:hAnsi="GE Inspira" w:eastAsia="幼圆" w:cs="Arial"/>
                <w:b/>
                <w:sz w:val="24"/>
              </w:rPr>
              <w:t>12. 高级应用技术</w:t>
            </w:r>
          </w:p>
          <w:p>
            <w:pPr>
              <w:rPr>
                <w:rFonts w:hint="eastAsia" w:ascii="GE Inspira" w:hAnsi="GE Inspira" w:eastAsia="幼圆" w:cs="Arial"/>
                <w:sz w:val="24"/>
              </w:rPr>
            </w:pPr>
            <w:r>
              <w:rPr>
                <w:rFonts w:hint="eastAsia" w:ascii="GE Inspira" w:hAnsi="GE Inspira" w:eastAsia="幼圆" w:cs="Arial"/>
                <w:sz w:val="24"/>
              </w:rPr>
              <w:t>12.1</w:t>
            </w:r>
            <w:r>
              <w:rPr>
                <w:rFonts w:hint="eastAsia" w:ascii="GE Inspira" w:hAnsi="GE Inspira" w:eastAsia="幼圆" w:cs="Arial"/>
                <w:sz w:val="24"/>
                <w:lang w:val="en-US" w:eastAsia="zh-CN"/>
              </w:rPr>
              <w:t xml:space="preserve"> </w:t>
            </w:r>
            <w:r>
              <w:rPr>
                <w:rFonts w:hint="eastAsia" w:ascii="GE Inspira" w:hAnsi="GE Inspira" w:eastAsia="幼圆" w:cs="Arial"/>
                <w:sz w:val="24"/>
              </w:rPr>
              <w:t>体部成像应同时具备清晰图像；常规平扫及增强（包括各部位及器官腺体动态增强）。</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w:t>
            </w:r>
            <w:r>
              <w:rPr>
                <w:rFonts w:ascii="GE Inspira" w:hAnsi="GE Inspira" w:eastAsia="幼圆" w:cs="Arial"/>
                <w:sz w:val="24"/>
              </w:rPr>
              <w:t>.</w:t>
            </w:r>
            <w:r>
              <w:rPr>
                <w:rFonts w:hint="eastAsia" w:ascii="GE Inspira" w:hAnsi="GE Inspira" w:eastAsia="幼圆" w:cs="Arial"/>
                <w:sz w:val="24"/>
              </w:rPr>
              <w:t>1</w:t>
            </w:r>
            <w:r>
              <w:rPr>
                <w:rFonts w:hint="eastAsia" w:ascii="GE Inspira" w:hAnsi="GE Inspira" w:eastAsia="幼圆" w:cs="Arial"/>
                <w:sz w:val="24"/>
                <w:lang w:val="en-US" w:eastAsia="zh-CN"/>
              </w:rPr>
              <w:t xml:space="preserve"> 具备</w:t>
            </w:r>
            <w:r>
              <w:rPr>
                <w:rFonts w:hint="eastAsia" w:ascii="GE Inspira" w:hAnsi="GE Inspira" w:eastAsia="幼圆" w:cs="Arial"/>
                <w:sz w:val="24"/>
              </w:rPr>
              <w:t>普通肝脏动态增强和普美显动态增强序列</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w:t>
            </w:r>
            <w:r>
              <w:rPr>
                <w:rFonts w:ascii="GE Inspira" w:hAnsi="GE Inspira" w:eastAsia="幼圆" w:cs="Arial"/>
                <w:sz w:val="24"/>
              </w:rPr>
              <w:t>.</w:t>
            </w:r>
            <w:r>
              <w:rPr>
                <w:rFonts w:hint="eastAsia"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全身弥散成像软件包</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w:t>
            </w:r>
            <w:r>
              <w:rPr>
                <w:rFonts w:ascii="GE Inspira" w:hAnsi="GE Inspira" w:eastAsia="幼圆" w:cs="Arial"/>
                <w:sz w:val="24"/>
              </w:rPr>
              <w:t>.</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同相位/去相位水脂分离技术</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w:t>
            </w:r>
            <w:r>
              <w:rPr>
                <w:rFonts w:ascii="GE Inspira" w:hAnsi="GE Inspira" w:eastAsia="幼圆" w:cs="Arial"/>
                <w:sz w:val="24"/>
              </w:rPr>
              <w:t>.</w:t>
            </w:r>
            <w:r>
              <w:rPr>
                <w:rFonts w:hint="eastAsia"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呼吸导航技术</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w:t>
            </w:r>
            <w:r>
              <w:rPr>
                <w:rFonts w:ascii="GE Inspira" w:hAnsi="GE Inspira" w:eastAsia="幼圆" w:cs="Arial"/>
                <w:sz w:val="24"/>
              </w:rPr>
              <w:t>.</w:t>
            </w:r>
            <w:r>
              <w:rPr>
                <w:rFonts w:hint="eastAsia"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磁共振胰胆管造影</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1.6</w:t>
            </w:r>
            <w:r>
              <w:rPr>
                <w:rFonts w:hint="eastAsia" w:ascii="GE Inspira" w:hAnsi="GE Inspira" w:eastAsia="幼圆" w:cs="Arial"/>
                <w:sz w:val="24"/>
                <w:lang w:val="en-US" w:eastAsia="zh-CN"/>
              </w:rPr>
              <w:t xml:space="preserve"> 具备</w:t>
            </w:r>
            <w:r>
              <w:rPr>
                <w:rFonts w:ascii="GE Inspira" w:hAnsi="GE Inspira" w:eastAsia="幼圆" w:cs="Arial"/>
                <w:sz w:val="24"/>
              </w:rPr>
              <w:t>磁共振尿路造影</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1.7</w:t>
            </w:r>
            <w:r>
              <w:rPr>
                <w:rFonts w:hint="eastAsia" w:ascii="GE Inspira" w:hAnsi="GE Inspira" w:eastAsia="幼圆" w:cs="Arial"/>
                <w:sz w:val="24"/>
                <w:lang w:val="en-US" w:eastAsia="zh-CN"/>
              </w:rPr>
              <w:t xml:space="preserve"> 具备</w:t>
            </w:r>
            <w:r>
              <w:rPr>
                <w:rFonts w:ascii="GE Inspira" w:hAnsi="GE Inspira" w:eastAsia="幼圆" w:cs="Arial"/>
                <w:sz w:val="24"/>
              </w:rPr>
              <w:t>磁共振椎管造影</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2</w:t>
            </w:r>
            <w:r>
              <w:rPr>
                <w:rFonts w:hint="eastAsia" w:ascii="GE Inspira" w:hAnsi="GE Inspira" w:eastAsia="幼圆" w:cs="Arial"/>
                <w:sz w:val="24"/>
                <w:lang w:val="en-US" w:eastAsia="zh-CN"/>
              </w:rPr>
              <w:t xml:space="preserve"> </w:t>
            </w:r>
            <w:r>
              <w:rPr>
                <w:rFonts w:ascii="GE Inspira" w:hAnsi="GE Inspira" w:eastAsia="幼圆" w:cs="Arial"/>
                <w:sz w:val="24"/>
              </w:rPr>
              <w:t>神经成像</w:t>
            </w:r>
          </w:p>
          <w:p>
            <w:pPr>
              <w:pStyle w:val="24"/>
              <w:rPr>
                <w:rFonts w:hint="eastAsia"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rPr>
              <w:t>1</w:t>
            </w:r>
            <w:r>
              <w:rPr>
                <w:rFonts w:hint="eastAsia" w:ascii="GE Inspira" w:hAnsi="GE Inspira" w:eastAsia="幼圆" w:cs="Arial"/>
                <w:sz w:val="24"/>
                <w:lang w:val="en-US" w:eastAsia="zh-CN"/>
              </w:rPr>
              <w:t xml:space="preserve"> </w:t>
            </w:r>
            <w:r>
              <w:rPr>
                <w:rFonts w:hint="eastAsia" w:ascii="GE Inspira" w:hAnsi="GE Inspira" w:eastAsia="幼圆"/>
                <w:bCs/>
                <w:sz w:val="24"/>
              </w:rPr>
              <w:t>外源性对比剂全脑容积灌注成像应具同时备清晰图像</w:t>
            </w:r>
          </w:p>
          <w:p>
            <w:pPr>
              <w:rPr>
                <w:rFonts w:hint="default" w:eastAsia="幼圆"/>
                <w:lang w:val="en-US" w:eastAsia="zh-CN"/>
              </w:rPr>
            </w:pPr>
            <w:r>
              <w:rPr>
                <w:rFonts w:hint="eastAsia" w:ascii="GE Inspira" w:hAnsi="GE Inspira" w:eastAsia="幼圆"/>
                <w:bCs/>
                <w:sz w:val="24"/>
                <w:lang w:val="en-US" w:eastAsia="zh-CN"/>
              </w:rPr>
              <w:t>12.2.2内源性对比剂全脑容积灌注成像应具同时备清晰图像</w:t>
            </w:r>
          </w:p>
          <w:p>
            <w:pPr>
              <w:rPr>
                <w:rFonts w:hint="eastAsia"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2</w:t>
            </w:r>
            <w:r>
              <w:rPr>
                <w:rFonts w:hint="eastAsia" w:ascii="GE Inspira" w:hAnsi="GE Inspira" w:eastAsia="幼圆" w:cs="Arial"/>
                <w:sz w:val="24"/>
              </w:rPr>
              <w:t>.1</w:t>
            </w:r>
            <w:r>
              <w:rPr>
                <w:rFonts w:hint="eastAsia" w:ascii="GE Inspira" w:hAnsi="GE Inspira" w:eastAsia="幼圆" w:cs="Arial"/>
                <w:sz w:val="24"/>
                <w:lang w:val="en-US" w:eastAsia="zh-CN"/>
              </w:rPr>
              <w:t xml:space="preserve">  具备</w:t>
            </w:r>
            <w:r>
              <w:rPr>
                <w:rFonts w:hint="eastAsia" w:ascii="GE Inspira" w:hAnsi="GE Inspira" w:eastAsia="幼圆"/>
                <w:bCs/>
                <w:sz w:val="24"/>
              </w:rPr>
              <w:t>FDA认证</w:t>
            </w:r>
          </w:p>
          <w:p>
            <w:pPr>
              <w:pStyle w:val="24"/>
              <w:rPr>
                <w:rFonts w:hint="eastAsia"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2</w:t>
            </w:r>
            <w:r>
              <w:rPr>
                <w:rFonts w:hint="eastAsia" w:ascii="GE Inspira" w:hAnsi="GE Inspira" w:eastAsia="幼圆" w:cs="Arial"/>
                <w:sz w:val="24"/>
              </w:rPr>
              <w:t>.2</w:t>
            </w:r>
            <w:r>
              <w:rPr>
                <w:rFonts w:hint="eastAsia" w:ascii="GE Inspira" w:hAnsi="GE Inspira" w:eastAsia="幼圆" w:cs="Arial"/>
                <w:sz w:val="24"/>
                <w:lang w:val="en-US" w:eastAsia="zh-CN"/>
              </w:rPr>
              <w:t xml:space="preserve">  具备</w:t>
            </w:r>
            <w:r>
              <w:rPr>
                <w:rFonts w:hint="eastAsia" w:ascii="GE Inspira" w:hAnsi="GE Inspira" w:eastAsia="幼圆"/>
                <w:bCs/>
                <w:sz w:val="24"/>
              </w:rPr>
              <w:t>Spiral K空间填充</w:t>
            </w:r>
          </w:p>
          <w:p>
            <w:pPr>
              <w:rPr>
                <w:rFonts w:hint="eastAsia"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2</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hint="eastAsia" w:ascii="GE Inspira" w:hAnsi="GE Inspira" w:eastAsia="幼圆"/>
                <w:bCs/>
                <w:sz w:val="24"/>
              </w:rPr>
              <w:t>连续性RF脉冲标记</w:t>
            </w:r>
          </w:p>
          <w:p>
            <w:pPr>
              <w:pStyle w:val="24"/>
              <w:rPr>
                <w:rFonts w:hint="eastAsia"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2</w:t>
            </w:r>
            <w:r>
              <w:rPr>
                <w:rFonts w:hint="eastAsia" w:ascii="GE Inspira" w:hAnsi="GE Inspira" w:eastAsia="幼圆" w:cs="Arial"/>
                <w:sz w:val="24"/>
              </w:rPr>
              <w:t>.4</w:t>
            </w:r>
            <w:r>
              <w:rPr>
                <w:rFonts w:hint="eastAsia" w:ascii="GE Inspira" w:hAnsi="GE Inspira" w:eastAsia="幼圆" w:cs="Arial"/>
                <w:sz w:val="24"/>
                <w:lang w:val="en-US" w:eastAsia="zh-CN"/>
              </w:rPr>
              <w:t xml:space="preserve">  具备</w:t>
            </w:r>
            <w:r>
              <w:rPr>
                <w:rFonts w:hint="eastAsia" w:ascii="GE Inspira" w:hAnsi="GE Inspira" w:eastAsia="幼圆"/>
                <w:bCs/>
                <w:sz w:val="24"/>
              </w:rPr>
              <w:t>ASL定量后处理分析软件</w:t>
            </w:r>
          </w:p>
          <w:p>
            <w:pPr>
              <w:rPr>
                <w:rFonts w:ascii="GE Inspira" w:hAnsi="GE Inspira" w:eastAsia="幼圆"/>
                <w:bCs/>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3 具备</w:t>
            </w:r>
            <w:r>
              <w:rPr>
                <w:rFonts w:ascii="GE Inspira" w:hAnsi="GE Inspira" w:eastAsia="幼圆"/>
                <w:bCs/>
                <w:sz w:val="24"/>
              </w:rPr>
              <w:t>全脊柱成像</w:t>
            </w:r>
          </w:p>
          <w:p>
            <w:pPr>
              <w:pStyle w:val="24"/>
              <w:rPr>
                <w:ins w:id="6" w:author="豆腐罩" w:date="2025-11-28T08:48:31Z"/>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2</w:t>
            </w:r>
            <w:r>
              <w:rPr>
                <w:rFonts w:ascii="GE Inspira" w:hAnsi="GE Inspira" w:eastAsia="幼圆" w:cs="Arial"/>
                <w:sz w:val="24"/>
              </w:rPr>
              <w:t>.</w:t>
            </w:r>
            <w:r>
              <w:rPr>
                <w:rFonts w:hint="eastAsia" w:ascii="GE Inspira" w:hAnsi="GE Inspira" w:eastAsia="幼圆" w:cs="Arial"/>
                <w:sz w:val="24"/>
                <w:lang w:val="en-US" w:eastAsia="zh-CN"/>
              </w:rPr>
              <w:t>4 具备</w:t>
            </w:r>
            <w:r>
              <w:rPr>
                <w:rFonts w:ascii="GE Inspira" w:hAnsi="GE Inspira" w:eastAsia="幼圆" w:cs="Arial"/>
                <w:sz w:val="24"/>
              </w:rPr>
              <w:t>全中枢神经系统成像</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12.2.5 具备高分辨率颈髓成像</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12.2.6 具备高分辨率内耳三维成像</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12.2.7 具备波普成像技术</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12.2.8 具备DTI成像序列</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hint="eastAsia" w:ascii="GE Inspira" w:hAnsi="GE Inspira" w:eastAsia="幼圆" w:cs="Arial"/>
                <w:sz w:val="24"/>
                <w:lang w:val="en-US" w:eastAsia="zh-CN"/>
              </w:rPr>
              <w:t xml:space="preserve"> </w:t>
            </w:r>
            <w:r>
              <w:rPr>
                <w:rFonts w:ascii="GE Inspira" w:hAnsi="GE Inspira" w:eastAsia="幼圆" w:cs="Arial"/>
                <w:sz w:val="24"/>
              </w:rPr>
              <w:t>弥散成像</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ascii="GE Inspira" w:hAnsi="GE Inspira" w:eastAsia="幼圆" w:cs="Arial"/>
                <w:sz w:val="24"/>
              </w:rPr>
              <w:t>.</w:t>
            </w:r>
            <w:r>
              <w:rPr>
                <w:rFonts w:hint="eastAsia"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各向同性采集</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ascii="GE Inspira" w:hAnsi="GE Inspira" w:eastAsia="幼圆" w:cs="Arial"/>
                <w:sz w:val="24"/>
              </w:rPr>
              <w:t>.</w:t>
            </w:r>
            <w:r>
              <w:rPr>
                <w:rFonts w:hint="eastAsia"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各向异性采集</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ascii="GE Inspira" w:hAnsi="GE Inspira" w:eastAsia="幼圆" w:cs="Arial"/>
                <w:sz w:val="24"/>
              </w:rPr>
              <w:t>.</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ADC值测量</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ascii="GE Inspira" w:hAnsi="GE Inspira" w:eastAsia="幼圆" w:cs="Arial"/>
                <w:sz w:val="24"/>
              </w:rPr>
              <w:t>.</w:t>
            </w:r>
            <w:r>
              <w:rPr>
                <w:rFonts w:hint="eastAsia"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ADC-map彩图</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3</w:t>
            </w:r>
            <w:r>
              <w:rPr>
                <w:rFonts w:ascii="GE Inspira" w:hAnsi="GE Inspira" w:eastAsia="幼圆" w:cs="Arial"/>
                <w:sz w:val="24"/>
              </w:rPr>
              <w:t>.</w:t>
            </w:r>
            <w:r>
              <w:rPr>
                <w:rFonts w:hint="eastAsia"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体部脏器弥散</w:t>
            </w:r>
          </w:p>
          <w:p>
            <w:pPr>
              <w:rPr>
                <w:rFonts w:hint="default" w:eastAsia="幼圆"/>
                <w:lang w:val="en-US" w:eastAsia="zh-CN"/>
              </w:rPr>
            </w:pPr>
            <w:r>
              <w:rPr>
                <w:rFonts w:hint="eastAsia" w:ascii="GE Inspira" w:hAnsi="GE Inspira" w:eastAsia="幼圆" w:cs="Arial"/>
                <w:sz w:val="24"/>
                <w:lang w:val="en-US" w:eastAsia="zh-CN"/>
              </w:rPr>
              <w:t>12.3.6 具备SWI成像</w:t>
            </w:r>
          </w:p>
          <w:p>
            <w:pPr>
              <w:rPr>
                <w:rFonts w:hint="default" w:ascii="GE Inspira" w:hAnsi="GE Inspira" w:eastAsia="幼圆" w:cs="Arial"/>
                <w:sz w:val="24"/>
                <w:lang w:val="en-US" w:eastAsia="zh-CN"/>
              </w:rPr>
            </w:pPr>
            <w:r>
              <w:rPr>
                <w:rFonts w:ascii="GE Inspira" w:hAnsi="GE Inspira" w:eastAsia="幼圆" w:cs="Arial"/>
                <w:sz w:val="24"/>
              </w:rPr>
              <w:t>12.</w:t>
            </w:r>
            <w:r>
              <w:rPr>
                <w:rFonts w:hint="eastAsia" w:ascii="GE Inspira" w:hAnsi="GE Inspira" w:eastAsia="幼圆" w:cs="Arial"/>
                <w:sz w:val="24"/>
              </w:rPr>
              <w:t>4</w:t>
            </w:r>
            <w:r>
              <w:rPr>
                <w:rFonts w:hint="eastAsia" w:ascii="GE Inspira" w:hAnsi="GE Inspira" w:eastAsia="幼圆" w:cs="Arial"/>
                <w:sz w:val="24"/>
                <w:lang w:val="en-US" w:eastAsia="zh-CN"/>
              </w:rPr>
              <w:t xml:space="preserve"> </w:t>
            </w:r>
            <w:r>
              <w:rPr>
                <w:rFonts w:ascii="GE Inspira" w:hAnsi="GE Inspira" w:eastAsia="幼圆" w:cs="Arial"/>
                <w:sz w:val="24"/>
              </w:rPr>
              <w:t>灌注成像</w:t>
            </w:r>
            <w:r>
              <w:rPr>
                <w:rFonts w:hint="eastAsia" w:ascii="GE Inspira" w:hAnsi="GE Inspira" w:eastAsia="幼圆" w:cs="Arial"/>
                <w:sz w:val="24"/>
                <w:lang w:val="en-US" w:eastAsia="zh-CN"/>
              </w:rPr>
              <w:t>应同时具备清晰图像</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灌注成像技术</w:t>
            </w:r>
          </w:p>
          <w:p>
            <w:pPr>
              <w:rPr>
                <w:rFonts w:hint="default" w:eastAsia="幼圆"/>
                <w:lang w:val="en-US" w:eastAsia="zh-CN"/>
              </w:rPr>
            </w:pPr>
            <w:r>
              <w:rPr>
                <w:rFonts w:hint="eastAsia" w:ascii="GE Inspira" w:hAnsi="GE Inspira" w:eastAsia="幼圆" w:cs="Arial"/>
                <w:sz w:val="24"/>
                <w:lang w:val="en-US" w:eastAsia="zh-CN"/>
              </w:rPr>
              <w:t>12.4.2 具备rCBF分析</w:t>
            </w:r>
          </w:p>
          <w:p>
            <w:pPr>
              <w:rPr>
                <w:rFonts w:hint="default" w:ascii="GE Inspira" w:hAnsi="GE Inspira" w:eastAsia="幼圆" w:cs="Arial"/>
                <w:sz w:val="24"/>
                <w:lang w:val="en-US" w:eastAsia="zh-CN"/>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rCBV分析</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4  具备</w:t>
            </w:r>
            <w:r>
              <w:rPr>
                <w:rFonts w:ascii="GE Inspira" w:hAnsi="GE Inspira" w:eastAsia="幼圆" w:cs="Arial"/>
                <w:sz w:val="24"/>
              </w:rPr>
              <w:t>TTP分析</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5  具备</w:t>
            </w:r>
            <w:r>
              <w:rPr>
                <w:rFonts w:ascii="GE Inspira" w:hAnsi="GE Inspira" w:eastAsia="幼圆" w:cs="Arial"/>
                <w:sz w:val="24"/>
              </w:rPr>
              <w:t>MTT分析</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6 具备</w:t>
            </w:r>
            <w:r>
              <w:rPr>
                <w:rFonts w:ascii="GE Inspira" w:hAnsi="GE Inspira" w:eastAsia="幼圆" w:cs="Arial"/>
                <w:sz w:val="24"/>
              </w:rPr>
              <w:t>负积分图</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7 具备</w:t>
            </w:r>
            <w:r>
              <w:rPr>
                <w:rFonts w:ascii="GE Inspira" w:hAnsi="GE Inspira" w:eastAsia="幼圆" w:cs="Arial"/>
                <w:sz w:val="24"/>
              </w:rPr>
              <w:t>检索图</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8 具备</w:t>
            </w:r>
            <w:r>
              <w:rPr>
                <w:rFonts w:ascii="GE Inspira" w:hAnsi="GE Inspira" w:eastAsia="幼圆" w:cs="Arial"/>
                <w:sz w:val="24"/>
              </w:rPr>
              <w:t>时间信号曲线</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4</w:t>
            </w:r>
            <w:r>
              <w:rPr>
                <w:rFonts w:ascii="GE Inspira" w:hAnsi="GE Inspira" w:eastAsia="幼圆" w:cs="Arial"/>
                <w:sz w:val="24"/>
              </w:rPr>
              <w:t>.</w:t>
            </w:r>
            <w:r>
              <w:rPr>
                <w:rFonts w:hint="eastAsia" w:ascii="GE Inspira" w:hAnsi="GE Inspira" w:eastAsia="幼圆" w:cs="Arial"/>
                <w:sz w:val="24"/>
                <w:lang w:val="en-US" w:eastAsia="zh-CN"/>
              </w:rPr>
              <w:t>9 具备</w:t>
            </w:r>
            <w:r>
              <w:rPr>
                <w:rFonts w:ascii="GE Inspira" w:hAnsi="GE Inspira" w:eastAsia="幼圆" w:cs="Arial"/>
                <w:sz w:val="24"/>
              </w:rPr>
              <w:t>彩色显示</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hint="eastAsia" w:ascii="GE Inspira" w:hAnsi="GE Inspira" w:eastAsia="幼圆" w:cs="Arial"/>
                <w:sz w:val="24"/>
                <w:lang w:val="en-US" w:eastAsia="zh-CN"/>
              </w:rPr>
              <w:t xml:space="preserve"> </w:t>
            </w:r>
            <w:r>
              <w:rPr>
                <w:rFonts w:ascii="GE Inspira" w:hAnsi="GE Inspira" w:eastAsia="幼圆" w:cs="Arial"/>
                <w:sz w:val="24"/>
              </w:rPr>
              <w:t>血管成像</w:t>
            </w:r>
            <w:r>
              <w:rPr>
                <w:rFonts w:hint="eastAsia" w:ascii="GE Inspira" w:hAnsi="GE Inspira" w:eastAsia="幼圆" w:cs="Arial"/>
                <w:sz w:val="24"/>
                <w:lang w:val="en-US" w:eastAsia="zh-CN"/>
              </w:rPr>
              <w:t>应同时具备清晰图像</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2D/3D TOF法技术</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.2</w:t>
            </w:r>
            <w:r>
              <w:rPr>
                <w:rFonts w:hint="eastAsia" w:ascii="GE Inspira" w:hAnsi="GE Inspira" w:eastAsia="幼圆" w:cs="Arial"/>
                <w:sz w:val="24"/>
                <w:lang w:val="en-US" w:eastAsia="zh-CN"/>
              </w:rPr>
              <w:t xml:space="preserve"> 具备</w:t>
            </w:r>
            <w:r>
              <w:rPr>
                <w:rFonts w:ascii="GE Inspira" w:hAnsi="GE Inspira" w:eastAsia="幼圆" w:cs="Arial"/>
                <w:sz w:val="24"/>
              </w:rPr>
              <w:t>连续多层3D时飞法(TOF)技术</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门控2D血管</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2D/3D相位对比法技术</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增强对比MRA</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.6</w:t>
            </w:r>
            <w:r>
              <w:rPr>
                <w:rFonts w:hint="eastAsia" w:ascii="GE Inspira" w:hAnsi="GE Inspira" w:eastAsia="幼圆" w:cs="Arial"/>
                <w:sz w:val="24"/>
                <w:lang w:val="en-US" w:eastAsia="zh-CN"/>
              </w:rPr>
              <w:t xml:space="preserve"> 具备</w:t>
            </w:r>
            <w:r>
              <w:rPr>
                <w:rFonts w:ascii="GE Inspira" w:hAnsi="GE Inspira" w:eastAsia="幼圆" w:cs="Arial"/>
                <w:sz w:val="24"/>
              </w:rPr>
              <w:t>自动移床MRA</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.7</w:t>
            </w:r>
            <w:r>
              <w:rPr>
                <w:rFonts w:hint="eastAsia" w:ascii="GE Inspira" w:hAnsi="GE Inspira" w:eastAsia="幼圆" w:cs="Arial"/>
                <w:sz w:val="24"/>
                <w:lang w:val="en-US" w:eastAsia="zh-CN"/>
              </w:rPr>
              <w:t xml:space="preserve"> 具备</w:t>
            </w:r>
            <w:r>
              <w:rPr>
                <w:rFonts w:ascii="GE Inspira" w:hAnsi="GE Inspira" w:eastAsia="幼圆" w:cs="Arial"/>
                <w:sz w:val="24"/>
              </w:rPr>
              <w:t>最大强度投影</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.8</w:t>
            </w:r>
            <w:r>
              <w:rPr>
                <w:rFonts w:hint="eastAsia" w:ascii="GE Inspira" w:hAnsi="GE Inspira" w:eastAsia="幼圆" w:cs="Arial"/>
                <w:sz w:val="24"/>
                <w:lang w:val="en-US" w:eastAsia="zh-CN"/>
              </w:rPr>
              <w:t xml:space="preserve"> 具备</w:t>
            </w:r>
            <w:r>
              <w:rPr>
                <w:rFonts w:ascii="GE Inspira" w:hAnsi="GE Inspira" w:eastAsia="幼圆" w:cs="Arial"/>
                <w:sz w:val="24"/>
              </w:rPr>
              <w:t>多层面重建</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.9</w:t>
            </w:r>
            <w:r>
              <w:rPr>
                <w:rFonts w:hint="eastAsia" w:ascii="GE Inspira" w:hAnsi="GE Inspira" w:eastAsia="幼圆" w:cs="Arial"/>
                <w:sz w:val="24"/>
                <w:lang w:val="en-US" w:eastAsia="zh-CN"/>
              </w:rPr>
              <w:t xml:space="preserve"> 具备</w:t>
            </w:r>
            <w:r>
              <w:rPr>
                <w:rFonts w:ascii="GE Inspira" w:hAnsi="GE Inspira" w:eastAsia="幼圆" w:cs="Arial"/>
                <w:sz w:val="24"/>
              </w:rPr>
              <w:t>曲面重建</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5</w:t>
            </w:r>
            <w:r>
              <w:rPr>
                <w:rFonts w:ascii="GE Inspira" w:hAnsi="GE Inspira" w:eastAsia="幼圆" w:cs="Arial"/>
                <w:sz w:val="24"/>
              </w:rPr>
              <w:t>.10</w:t>
            </w:r>
            <w:r>
              <w:rPr>
                <w:rFonts w:hint="eastAsia" w:ascii="GE Inspira" w:hAnsi="GE Inspira" w:eastAsia="幼圆" w:cs="Arial"/>
                <w:sz w:val="24"/>
                <w:lang w:val="en-US" w:eastAsia="zh-CN"/>
              </w:rPr>
              <w:t xml:space="preserve"> 具备</w:t>
            </w:r>
            <w:r>
              <w:rPr>
                <w:rFonts w:ascii="GE Inspira" w:hAnsi="GE Inspira" w:eastAsia="幼圆" w:cs="Arial"/>
                <w:sz w:val="24"/>
              </w:rPr>
              <w:t>电影回放</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12.5.11 具备智能造影剂跟踪制度</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12.5.12 具备门静脉成像技术</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6</w:t>
            </w:r>
            <w:r>
              <w:rPr>
                <w:rFonts w:hint="eastAsia" w:ascii="GE Inspira" w:hAnsi="GE Inspira" w:eastAsia="幼圆" w:cs="Arial"/>
                <w:sz w:val="24"/>
                <w:lang w:val="en-US" w:eastAsia="zh-CN"/>
              </w:rPr>
              <w:t xml:space="preserve"> </w:t>
            </w:r>
            <w:r>
              <w:rPr>
                <w:rFonts w:ascii="GE Inspira" w:hAnsi="GE Inspira" w:eastAsia="幼圆" w:cs="Arial"/>
                <w:sz w:val="24"/>
              </w:rPr>
              <w:t>心脏成像</w:t>
            </w:r>
            <w:r>
              <w:rPr>
                <w:rFonts w:hint="eastAsia" w:ascii="GE Inspira" w:hAnsi="GE Inspira" w:eastAsia="幼圆" w:cs="Arial"/>
                <w:sz w:val="24"/>
                <w:lang w:val="en-US" w:eastAsia="zh-CN"/>
              </w:rPr>
              <w:t>应同时具备清晰图像</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6</w:t>
            </w:r>
            <w:r>
              <w:rPr>
                <w:rFonts w:ascii="GE Inspira" w:hAnsi="GE Inspira" w:eastAsia="幼圆" w:cs="Arial"/>
                <w:sz w:val="24"/>
              </w:rPr>
              <w:t>.1</w:t>
            </w:r>
            <w:r>
              <w:rPr>
                <w:rFonts w:hint="eastAsia" w:ascii="GE Inspira" w:hAnsi="GE Inspira" w:eastAsia="幼圆" w:cs="Arial"/>
                <w:sz w:val="24"/>
                <w:lang w:val="en-US" w:eastAsia="zh-CN"/>
              </w:rPr>
              <w:t xml:space="preserve"> 具备</w:t>
            </w:r>
            <w:r>
              <w:rPr>
                <w:rFonts w:ascii="GE Inspira" w:hAnsi="GE Inspira" w:eastAsia="幼圆" w:cs="Arial"/>
                <w:sz w:val="24"/>
              </w:rPr>
              <w:t>常规形态学成像</w:t>
            </w:r>
          </w:p>
          <w:p>
            <w:pPr>
              <w:rPr>
                <w:rFonts w:hint="eastAsia"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6</w:t>
            </w:r>
            <w:r>
              <w:rPr>
                <w:rFonts w:ascii="GE Inspira" w:hAnsi="GE Inspira" w:eastAsia="幼圆" w:cs="Arial"/>
                <w:sz w:val="24"/>
              </w:rPr>
              <w:t>.2</w:t>
            </w:r>
            <w:r>
              <w:rPr>
                <w:rFonts w:hint="eastAsia" w:ascii="GE Inspira" w:hAnsi="GE Inspira" w:eastAsia="幼圆" w:cs="Arial"/>
                <w:sz w:val="24"/>
                <w:lang w:val="en-US" w:eastAsia="zh-CN"/>
              </w:rPr>
              <w:t xml:space="preserve"> 具备</w:t>
            </w:r>
            <w:r>
              <w:rPr>
                <w:rFonts w:hint="eastAsia" w:ascii="GE Inspira" w:hAnsi="GE Inspira" w:eastAsia="幼圆" w:cs="Arial"/>
                <w:sz w:val="24"/>
              </w:rPr>
              <w:t>心脏电影成像</w:t>
            </w:r>
          </w:p>
          <w:p>
            <w:pPr>
              <w:pStyle w:val="24"/>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6</w:t>
            </w:r>
            <w:r>
              <w:rPr>
                <w:rFonts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首过灌注</w:t>
            </w:r>
          </w:p>
          <w:p>
            <w:pPr>
              <w:rPr>
                <w:rFonts w:ascii="GE Inspira" w:hAnsi="GE Inspira" w:eastAsia="幼圆" w:cs="Arial"/>
                <w:sz w:val="24"/>
              </w:rPr>
            </w:pPr>
            <w:r>
              <w:rPr>
                <w:rFonts w:ascii="GE Inspira" w:hAnsi="GE Inspira" w:eastAsia="幼圆" w:cs="Arial"/>
                <w:sz w:val="24"/>
              </w:rPr>
              <w:t>12.</w:t>
            </w:r>
            <w:r>
              <w:rPr>
                <w:rFonts w:hint="eastAsia" w:ascii="GE Inspira" w:hAnsi="GE Inspira" w:eastAsia="幼圆" w:cs="Arial"/>
                <w:sz w:val="24"/>
              </w:rPr>
              <w:t>6</w:t>
            </w:r>
            <w:r>
              <w:rPr>
                <w:rFonts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延迟灌注</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12.6.5 具备快速梯度回波/快速心脏采集</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12.6.6 具备黑血技术</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12.6.7 具备亮血技术</w:t>
            </w:r>
          </w:p>
          <w:p>
            <w:pPr>
              <w:rPr>
                <w:ins w:id="7" w:author="豆腐罩" w:date="2025-11-28T09:06:29Z"/>
                <w:rFonts w:hint="eastAsia" w:ascii="GE Inspira" w:hAnsi="GE Inspira" w:eastAsia="幼圆" w:cs="Arial"/>
                <w:sz w:val="24"/>
                <w:lang w:val="en-US" w:eastAsia="zh-CN"/>
              </w:rPr>
            </w:pPr>
            <w:r>
              <w:rPr>
                <w:rFonts w:hint="eastAsia" w:ascii="GE Inspira" w:hAnsi="GE Inspira" w:eastAsia="幼圆" w:cs="Arial"/>
                <w:sz w:val="24"/>
                <w:lang w:val="en-US" w:eastAsia="zh-CN"/>
              </w:rPr>
              <w:t>12.6.8 具备心电触发</w:t>
            </w:r>
          </w:p>
          <w:p>
            <w:pPr>
              <w:rPr>
                <w:rFonts w:hint="eastAsia" w:ascii="GE Inspira" w:hAnsi="GE Inspira" w:eastAsia="幼圆" w:cs="Arial"/>
                <w:sz w:val="24"/>
                <w:lang w:val="en-US" w:eastAsia="zh-CN"/>
              </w:rPr>
            </w:pPr>
            <w:r>
              <w:rPr>
                <w:rFonts w:hint="eastAsia" w:ascii="GE Inspira" w:hAnsi="GE Inspira" w:eastAsia="幼圆" w:cs="Arial"/>
                <w:sz w:val="24"/>
                <w:lang w:val="en-US" w:eastAsia="zh-CN"/>
              </w:rPr>
              <w:t>12.6.9 具备二维/三维多相位成像</w:t>
            </w:r>
          </w:p>
          <w:p>
            <w:pPr>
              <w:rPr>
                <w:ins w:id="8" w:author="豆腐罩" w:date="2025-11-28T09:07:18Z"/>
                <w:rFonts w:hint="eastAsia" w:ascii="GE Inspira" w:hAnsi="GE Inspira" w:eastAsia="幼圆" w:cs="Arial"/>
                <w:sz w:val="24"/>
                <w:lang w:val="en-US" w:eastAsia="zh-CN"/>
              </w:rPr>
            </w:pPr>
            <w:r>
              <w:rPr>
                <w:rFonts w:hint="eastAsia" w:ascii="GE Inspira" w:hAnsi="GE Inspira" w:eastAsia="幼圆" w:cs="Arial"/>
                <w:sz w:val="24"/>
                <w:lang w:val="en-US" w:eastAsia="zh-CN"/>
              </w:rPr>
              <w:t>12.6.10具备磁共振波谱成像（MRS）</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12.7 具备颈部斑块定量定性扫描序列</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12.8 具备PWI成像序列</w:t>
            </w:r>
          </w:p>
          <w:p>
            <w:pPr>
              <w:rPr>
                <w:rFonts w:hint="default" w:ascii="GE Inspira" w:hAnsi="GE Inspira" w:eastAsia="幼圆" w:cs="Arial"/>
                <w:sz w:val="24"/>
                <w:lang w:val="en-US" w:eastAsia="zh-CN"/>
              </w:rPr>
            </w:pPr>
            <w:r>
              <w:rPr>
                <w:rFonts w:hint="eastAsia" w:ascii="GE Inspira" w:hAnsi="GE Inspira" w:eastAsia="幼圆" w:cs="Arial"/>
                <w:sz w:val="24"/>
                <w:lang w:val="en-US" w:eastAsia="zh-CN"/>
              </w:rPr>
              <w:t>12.9 具备冠脉成像序列</w:t>
            </w:r>
          </w:p>
          <w:p>
            <w:pPr>
              <w:pStyle w:val="24"/>
              <w:rPr>
                <w:rFonts w:ascii="GE Inspira" w:hAnsi="GE Inspira" w:eastAsia="幼圆" w:cs="Arial"/>
                <w:b/>
                <w:sz w:val="24"/>
              </w:rPr>
            </w:pPr>
            <w:r>
              <w:rPr>
                <w:rFonts w:ascii="GE Inspira" w:hAnsi="GE Inspira" w:eastAsia="幼圆" w:cs="Arial"/>
                <w:b/>
                <w:sz w:val="24"/>
              </w:rPr>
              <w:t>13. 并行采集技术</w:t>
            </w:r>
            <w:r>
              <w:rPr>
                <w:rFonts w:hint="eastAsia" w:ascii="GE Inspira" w:hAnsi="GE Inspira" w:eastAsia="幼圆" w:cs="Arial"/>
                <w:b/>
                <w:sz w:val="24"/>
              </w:rPr>
              <w:t>（体现AI智能操作）</w:t>
            </w:r>
          </w:p>
          <w:p>
            <w:pPr>
              <w:rPr>
                <w:rFonts w:hint="eastAsia" w:ascii="GE Inspira" w:hAnsi="GE Inspira" w:eastAsia="幼圆" w:cs="Arial"/>
                <w:sz w:val="24"/>
                <w:lang w:val="en-US" w:eastAsia="zh-CN"/>
              </w:rPr>
            </w:pPr>
            <w:r>
              <w:rPr>
                <w:rFonts w:ascii="GE Inspira" w:hAnsi="GE Inspira" w:eastAsia="幼圆" w:cs="Arial"/>
                <w:sz w:val="24"/>
              </w:rPr>
              <w:t>13.1</w:t>
            </w:r>
            <w:r>
              <w:rPr>
                <w:rFonts w:hint="eastAsia" w:ascii="GE Inspira" w:hAnsi="GE Inspira" w:eastAsia="幼圆" w:cs="Arial"/>
                <w:sz w:val="24"/>
                <w:lang w:val="en-US" w:eastAsia="zh-CN"/>
              </w:rPr>
              <w:t xml:space="preserve"> 具备</w:t>
            </w:r>
            <w:r>
              <w:rPr>
                <w:rFonts w:ascii="GE Inspira" w:hAnsi="GE Inspira" w:eastAsia="幼圆" w:cs="Arial"/>
                <w:sz w:val="24"/>
              </w:rPr>
              <w:t>基于图像算法</w:t>
            </w:r>
            <w:r>
              <w:rPr>
                <w:rFonts w:hint="eastAsia" w:ascii="GE Inspira" w:hAnsi="GE Inspira" w:eastAsia="幼圆" w:cs="Arial"/>
                <w:sz w:val="24"/>
                <w:lang w:val="en-US" w:eastAsia="zh-CN"/>
              </w:rPr>
              <w:t xml:space="preserve"> </w:t>
            </w:r>
          </w:p>
          <w:p>
            <w:pPr>
              <w:rPr>
                <w:rFonts w:hint="eastAsia" w:ascii="GE Inspira" w:hAnsi="GE Inspira" w:eastAsia="幼圆" w:cs="Arial"/>
                <w:sz w:val="24"/>
              </w:rPr>
            </w:pPr>
            <w:r>
              <w:rPr>
                <w:rFonts w:ascii="GE Inspira" w:hAnsi="GE Inspira" w:eastAsia="幼圆" w:cs="Arial"/>
                <w:sz w:val="24"/>
              </w:rPr>
              <w:t>13.2</w:t>
            </w:r>
            <w:r>
              <w:rPr>
                <w:rFonts w:hint="eastAsia" w:ascii="GE Inspira" w:hAnsi="GE Inspira" w:eastAsia="幼圆" w:cs="Arial"/>
                <w:sz w:val="24"/>
                <w:lang w:val="en-US" w:eastAsia="zh-CN"/>
              </w:rPr>
              <w:t xml:space="preserve"> </w:t>
            </w:r>
            <w:r>
              <w:rPr>
                <w:rFonts w:ascii="GE Inspira" w:hAnsi="GE Inspira" w:eastAsia="幼圆" w:cs="Arial"/>
                <w:sz w:val="24"/>
              </w:rPr>
              <w:t>并行采集加速因子</w:t>
            </w:r>
            <w:r>
              <w:rPr>
                <w:rFonts w:hint="eastAsia" w:ascii="GE Inspira" w:hAnsi="GE Inspira" w:eastAsia="幼圆" w:cs="Arial"/>
                <w:sz w:val="24"/>
                <w:lang w:val="en-US" w:eastAsia="zh-CN"/>
              </w:rPr>
              <w:t>:</w:t>
            </w:r>
            <w:r>
              <w:rPr>
                <w:rFonts w:ascii="GE Inspira" w:hAnsi="GE Inspira" w:eastAsia="幼圆" w:cs="Arial"/>
                <w:sz w:val="24"/>
              </w:rPr>
              <w:t>≥</w:t>
            </w:r>
            <w:r>
              <w:rPr>
                <w:rFonts w:hint="eastAsia" w:ascii="GE Inspira" w:hAnsi="GE Inspira" w:eastAsia="幼圆" w:cs="Arial"/>
                <w:sz w:val="24"/>
              </w:rPr>
              <w:t>4</w:t>
            </w:r>
          </w:p>
          <w:p>
            <w:pPr>
              <w:pStyle w:val="24"/>
              <w:rPr>
                <w:rFonts w:ascii="GE Inspira" w:hAnsi="GE Inspira" w:eastAsia="幼圆" w:cs="Arial"/>
                <w:sz w:val="24"/>
              </w:rPr>
            </w:pPr>
            <w:r>
              <w:rPr>
                <w:rFonts w:ascii="GE Inspira" w:hAnsi="GE Inspira" w:eastAsia="幼圆" w:cs="Arial"/>
                <w:sz w:val="24"/>
              </w:rPr>
              <w:t>13.</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自动校准技术</w:t>
            </w:r>
          </w:p>
          <w:p>
            <w:pPr>
              <w:rPr>
                <w:rFonts w:ascii="GE Inspira" w:hAnsi="GE Inspira" w:eastAsia="幼圆" w:cs="Arial"/>
                <w:b/>
                <w:sz w:val="24"/>
              </w:rPr>
            </w:pPr>
            <w:r>
              <w:rPr>
                <w:rFonts w:ascii="GE Inspira" w:hAnsi="GE Inspira" w:eastAsia="幼圆" w:cs="Arial"/>
                <w:b/>
                <w:sz w:val="24"/>
              </w:rPr>
              <w:t>14. 伪影校正技术</w:t>
            </w:r>
            <w:r>
              <w:rPr>
                <w:rFonts w:hint="eastAsia" w:ascii="GE Inspira" w:hAnsi="GE Inspira" w:eastAsia="幼圆" w:cs="Arial"/>
                <w:b/>
                <w:sz w:val="24"/>
              </w:rPr>
              <w:t>（包括金属伪影去除技术）</w:t>
            </w:r>
          </w:p>
          <w:p>
            <w:pPr>
              <w:pStyle w:val="24"/>
              <w:rPr>
                <w:rFonts w:ascii="GE Inspira" w:hAnsi="GE Inspira" w:eastAsia="幼圆" w:cs="Arial"/>
                <w:sz w:val="24"/>
              </w:rPr>
            </w:pPr>
            <w:r>
              <w:rPr>
                <w:rFonts w:ascii="GE Inspira" w:hAnsi="GE Inspira" w:eastAsia="幼圆" w:cs="Arial"/>
                <w:sz w:val="24"/>
              </w:rPr>
              <w:t>14.1</w:t>
            </w:r>
            <w:r>
              <w:rPr>
                <w:rFonts w:hint="eastAsia" w:ascii="GE Inspira" w:hAnsi="GE Inspira" w:eastAsia="幼圆" w:cs="Arial"/>
                <w:sz w:val="24"/>
                <w:lang w:val="en-US" w:eastAsia="zh-CN"/>
              </w:rPr>
              <w:t xml:space="preserve"> 具备</w:t>
            </w:r>
            <w:r>
              <w:rPr>
                <w:rFonts w:ascii="GE Inspira" w:hAnsi="GE Inspira" w:eastAsia="幼圆" w:cs="Arial"/>
                <w:sz w:val="24"/>
              </w:rPr>
              <w:t>流体补偿</w:t>
            </w:r>
          </w:p>
          <w:p>
            <w:pPr>
              <w:rPr>
                <w:rFonts w:ascii="GE Inspira" w:hAnsi="GE Inspira" w:eastAsia="幼圆" w:cs="Arial"/>
                <w:sz w:val="24"/>
              </w:rPr>
            </w:pPr>
            <w:r>
              <w:rPr>
                <w:rFonts w:ascii="GE Inspira" w:hAnsi="GE Inspira" w:eastAsia="幼圆" w:cs="Arial"/>
                <w:sz w:val="24"/>
              </w:rPr>
              <w:t>14.2</w:t>
            </w:r>
            <w:r>
              <w:rPr>
                <w:rFonts w:hint="eastAsia" w:ascii="GE Inspira" w:hAnsi="GE Inspira" w:eastAsia="幼圆" w:cs="Arial"/>
                <w:sz w:val="24"/>
                <w:lang w:val="en-US" w:eastAsia="zh-CN"/>
              </w:rPr>
              <w:t xml:space="preserve"> 具备</w:t>
            </w:r>
            <w:r>
              <w:rPr>
                <w:rFonts w:ascii="GE Inspira" w:hAnsi="GE Inspira" w:eastAsia="幼圆" w:cs="Arial"/>
                <w:sz w:val="24"/>
              </w:rPr>
              <w:t>呼吸补偿</w:t>
            </w:r>
          </w:p>
          <w:p>
            <w:pPr>
              <w:pStyle w:val="24"/>
              <w:rPr>
                <w:rFonts w:ascii="GE Inspira" w:hAnsi="GE Inspira" w:eastAsia="幼圆" w:cs="Arial"/>
                <w:sz w:val="24"/>
              </w:rPr>
            </w:pPr>
            <w:r>
              <w:rPr>
                <w:rFonts w:ascii="GE Inspira" w:hAnsi="GE Inspira" w:eastAsia="幼圆" w:cs="Arial"/>
                <w:sz w:val="24"/>
              </w:rPr>
              <w:t>14.</w:t>
            </w:r>
            <w:r>
              <w:rPr>
                <w:rFonts w:hint="eastAsia" w:ascii="GE Inspira" w:hAnsi="GE Inspira" w:eastAsia="幼圆" w:cs="Arial"/>
                <w:sz w:val="24"/>
              </w:rPr>
              <w:t>3</w:t>
            </w:r>
            <w:r>
              <w:rPr>
                <w:rFonts w:hint="eastAsia" w:ascii="GE Inspira" w:hAnsi="GE Inspira" w:eastAsia="幼圆" w:cs="Arial"/>
                <w:sz w:val="24"/>
                <w:lang w:val="en-US" w:eastAsia="zh-CN"/>
              </w:rPr>
              <w:t xml:space="preserve"> 具备</w:t>
            </w:r>
            <w:r>
              <w:rPr>
                <w:rFonts w:ascii="GE Inspira" w:hAnsi="GE Inspira" w:eastAsia="幼圆" w:cs="Arial"/>
                <w:sz w:val="24"/>
              </w:rPr>
              <w:t>卷积伪影去除</w:t>
            </w:r>
          </w:p>
          <w:p>
            <w:pPr>
              <w:rPr>
                <w:rFonts w:ascii="GE Inspira" w:hAnsi="GE Inspira" w:eastAsia="幼圆" w:cs="Arial"/>
                <w:sz w:val="24"/>
              </w:rPr>
            </w:pPr>
            <w:r>
              <w:rPr>
                <w:rFonts w:ascii="GE Inspira" w:hAnsi="GE Inspira" w:eastAsia="幼圆" w:cs="Arial"/>
                <w:sz w:val="24"/>
              </w:rPr>
              <w:t>14.</w:t>
            </w:r>
            <w:r>
              <w:rPr>
                <w:rFonts w:hint="eastAsia" w:ascii="GE Inspira" w:hAnsi="GE Inspira" w:eastAsia="幼圆" w:cs="Arial"/>
                <w:sz w:val="24"/>
              </w:rPr>
              <w:t>4</w:t>
            </w:r>
            <w:r>
              <w:rPr>
                <w:rFonts w:hint="eastAsia" w:ascii="GE Inspira" w:hAnsi="GE Inspira" w:eastAsia="幼圆" w:cs="Arial"/>
                <w:sz w:val="24"/>
                <w:lang w:val="en-US" w:eastAsia="zh-CN"/>
              </w:rPr>
              <w:t xml:space="preserve"> 具备</w:t>
            </w:r>
            <w:r>
              <w:rPr>
                <w:rFonts w:ascii="GE Inspira" w:hAnsi="GE Inspira" w:eastAsia="幼圆" w:cs="Arial"/>
                <w:sz w:val="24"/>
              </w:rPr>
              <w:t>前瞻性运动伪影校正</w:t>
            </w:r>
          </w:p>
          <w:p>
            <w:pPr>
              <w:pStyle w:val="24"/>
              <w:rPr>
                <w:rFonts w:ascii="GE Inspira" w:hAnsi="GE Inspira" w:eastAsia="幼圆" w:cs="Arial"/>
                <w:sz w:val="24"/>
              </w:rPr>
            </w:pPr>
            <w:r>
              <w:rPr>
                <w:rFonts w:ascii="GE Inspira" w:hAnsi="GE Inspira" w:eastAsia="幼圆" w:cs="Arial"/>
                <w:sz w:val="24"/>
              </w:rPr>
              <w:t>14.</w:t>
            </w:r>
            <w:r>
              <w:rPr>
                <w:rFonts w:hint="eastAsia" w:ascii="GE Inspira" w:hAnsi="GE Inspira" w:eastAsia="幼圆" w:cs="Arial"/>
                <w:sz w:val="24"/>
              </w:rPr>
              <w:t>5</w:t>
            </w:r>
            <w:r>
              <w:rPr>
                <w:rFonts w:hint="eastAsia" w:ascii="GE Inspira" w:hAnsi="GE Inspira" w:eastAsia="幼圆" w:cs="Arial"/>
                <w:sz w:val="24"/>
                <w:lang w:val="en-US" w:eastAsia="zh-CN"/>
              </w:rPr>
              <w:t xml:space="preserve"> 具备</w:t>
            </w:r>
            <w:r>
              <w:rPr>
                <w:rFonts w:ascii="GE Inspira" w:hAnsi="GE Inspira" w:eastAsia="幼圆" w:cs="Arial"/>
                <w:sz w:val="24"/>
              </w:rPr>
              <w:t>回顾性运动伪影校正</w:t>
            </w:r>
          </w:p>
          <w:p>
            <w:pPr>
              <w:rPr>
                <w:rFonts w:ascii="GE Inspira" w:hAnsi="GE Inspira" w:eastAsia="幼圆" w:cs="Arial"/>
                <w:b/>
                <w:sz w:val="24"/>
              </w:rPr>
            </w:pPr>
            <w:r>
              <w:rPr>
                <w:rFonts w:ascii="GE Inspira" w:hAnsi="GE Inspira" w:eastAsia="幼圆" w:cs="Arial"/>
                <w:b/>
                <w:sz w:val="24"/>
              </w:rPr>
              <w:t>15. 其他技术参数要求</w:t>
            </w:r>
          </w:p>
          <w:p>
            <w:pPr>
              <w:rPr>
                <w:rFonts w:ascii="GE Inspira" w:hAnsi="GE Inspira" w:eastAsia="幼圆" w:cs="Arial"/>
                <w:sz w:val="24"/>
              </w:rPr>
            </w:pPr>
            <w:r>
              <w:rPr>
                <w:rFonts w:ascii="GE Inspira" w:hAnsi="GE Inspira" w:eastAsia="幼圆" w:cs="Arial"/>
                <w:sz w:val="24"/>
              </w:rPr>
              <w:t>15.1</w:t>
            </w:r>
            <w:r>
              <w:rPr>
                <w:rFonts w:hint="eastAsia" w:ascii="GE Inspira" w:hAnsi="GE Inspira" w:eastAsia="幼圆" w:cs="Arial"/>
                <w:sz w:val="24"/>
                <w:lang w:val="en-US" w:eastAsia="zh-CN"/>
              </w:rPr>
              <w:t xml:space="preserve"> 具备</w:t>
            </w:r>
            <w:r>
              <w:rPr>
                <w:rFonts w:ascii="GE Inspira" w:hAnsi="GE Inspira" w:eastAsia="幼圆" w:cs="Arial"/>
                <w:sz w:val="24"/>
              </w:rPr>
              <w:t>自动和手动滤波</w:t>
            </w:r>
          </w:p>
          <w:p>
            <w:pPr>
              <w:pStyle w:val="24"/>
              <w:rPr>
                <w:rFonts w:ascii="GE Inspira" w:hAnsi="GE Inspira" w:eastAsia="幼圆" w:cs="Arial"/>
                <w:sz w:val="24"/>
              </w:rPr>
            </w:pPr>
            <w:r>
              <w:rPr>
                <w:rFonts w:ascii="GE Inspira" w:hAnsi="GE Inspira" w:eastAsia="幼圆" w:cs="Arial"/>
                <w:sz w:val="24"/>
              </w:rPr>
              <w:t>15.2</w:t>
            </w:r>
            <w:r>
              <w:rPr>
                <w:rFonts w:hint="eastAsia" w:ascii="GE Inspira" w:hAnsi="GE Inspira" w:eastAsia="幼圆" w:cs="Arial"/>
                <w:sz w:val="24"/>
                <w:lang w:val="en-US" w:eastAsia="zh-CN"/>
              </w:rPr>
              <w:t xml:space="preserve"> 具备</w:t>
            </w:r>
            <w:r>
              <w:rPr>
                <w:rFonts w:ascii="GE Inspira" w:hAnsi="GE Inspira" w:eastAsia="幼圆" w:cs="Arial"/>
                <w:sz w:val="24"/>
              </w:rPr>
              <w:t>实时交互式成像</w:t>
            </w:r>
          </w:p>
          <w:p>
            <w:pPr>
              <w:rPr>
                <w:rFonts w:ascii="GE Inspira" w:hAnsi="GE Inspira" w:eastAsia="幼圆" w:cs="Arial"/>
                <w:sz w:val="24"/>
              </w:rPr>
            </w:pPr>
            <w:r>
              <w:rPr>
                <w:rFonts w:ascii="GE Inspira" w:hAnsi="GE Inspira" w:eastAsia="幼圆" w:cs="Arial"/>
                <w:sz w:val="24"/>
              </w:rPr>
              <w:t>15.3</w:t>
            </w:r>
            <w:r>
              <w:rPr>
                <w:rFonts w:hint="eastAsia" w:ascii="GE Inspira" w:hAnsi="GE Inspira" w:eastAsia="幼圆" w:cs="Arial"/>
                <w:sz w:val="24"/>
                <w:lang w:val="en-US" w:eastAsia="zh-CN"/>
              </w:rPr>
              <w:t xml:space="preserve"> 具备</w:t>
            </w:r>
            <w:r>
              <w:rPr>
                <w:rFonts w:ascii="GE Inspira" w:hAnsi="GE Inspira" w:eastAsia="幼圆" w:cs="Arial"/>
                <w:sz w:val="24"/>
              </w:rPr>
              <w:t>三维定位系统</w:t>
            </w:r>
          </w:p>
          <w:p>
            <w:pPr>
              <w:pStyle w:val="24"/>
              <w:rPr>
                <w:rFonts w:ascii="GE Inspira" w:hAnsi="GE Inspira" w:eastAsia="幼圆" w:cs="Arial"/>
                <w:sz w:val="24"/>
              </w:rPr>
            </w:pPr>
            <w:r>
              <w:rPr>
                <w:rFonts w:ascii="GE Inspira" w:hAnsi="GE Inspira" w:eastAsia="幼圆" w:cs="Arial"/>
                <w:sz w:val="24"/>
              </w:rPr>
              <w:t>15.4</w:t>
            </w:r>
            <w:r>
              <w:rPr>
                <w:rFonts w:hint="eastAsia" w:ascii="GE Inspira" w:hAnsi="GE Inspira" w:eastAsia="幼圆" w:cs="Arial"/>
                <w:sz w:val="24"/>
                <w:lang w:val="en-US" w:eastAsia="zh-CN"/>
              </w:rPr>
              <w:t xml:space="preserve"> 具备</w:t>
            </w:r>
            <w:r>
              <w:rPr>
                <w:rFonts w:ascii="GE Inspira" w:hAnsi="GE Inspira" w:eastAsia="幼圆" w:cs="Arial"/>
                <w:sz w:val="24"/>
              </w:rPr>
              <w:t>频率编码方向扩大采集</w:t>
            </w:r>
          </w:p>
          <w:p>
            <w:pPr>
              <w:rPr>
                <w:rFonts w:ascii="GE Inspira" w:hAnsi="GE Inspira" w:eastAsia="幼圆" w:cs="Arial"/>
                <w:sz w:val="24"/>
              </w:rPr>
            </w:pPr>
            <w:r>
              <w:rPr>
                <w:rFonts w:ascii="GE Inspira" w:hAnsi="GE Inspira" w:eastAsia="幼圆" w:cs="Arial"/>
                <w:sz w:val="24"/>
              </w:rPr>
              <w:t>15.5</w:t>
            </w:r>
            <w:r>
              <w:rPr>
                <w:rFonts w:hint="eastAsia" w:ascii="GE Inspira" w:hAnsi="GE Inspira" w:eastAsia="幼圆" w:cs="Arial"/>
                <w:sz w:val="24"/>
                <w:lang w:val="en-US" w:eastAsia="zh-CN"/>
              </w:rPr>
              <w:t xml:space="preserve"> 具备</w:t>
            </w:r>
            <w:r>
              <w:rPr>
                <w:rFonts w:ascii="GE Inspira" w:hAnsi="GE Inspira" w:eastAsia="幼圆" w:cs="Arial"/>
                <w:sz w:val="24"/>
              </w:rPr>
              <w:t>相位编码方向扩大采集</w:t>
            </w:r>
          </w:p>
          <w:p>
            <w:pPr>
              <w:pStyle w:val="24"/>
              <w:rPr>
                <w:rFonts w:ascii="GE Inspira" w:hAnsi="GE Inspira" w:eastAsia="幼圆" w:cs="Arial"/>
                <w:sz w:val="24"/>
              </w:rPr>
            </w:pPr>
            <w:r>
              <w:rPr>
                <w:rFonts w:ascii="GE Inspira" w:hAnsi="GE Inspira" w:eastAsia="幼圆" w:cs="Arial"/>
                <w:sz w:val="24"/>
              </w:rPr>
              <w:t>15.6</w:t>
            </w:r>
            <w:r>
              <w:rPr>
                <w:rFonts w:hint="eastAsia" w:ascii="GE Inspira" w:hAnsi="GE Inspira" w:eastAsia="幼圆" w:cs="Arial"/>
                <w:sz w:val="24"/>
                <w:lang w:val="en-US" w:eastAsia="zh-CN"/>
              </w:rPr>
              <w:t xml:space="preserve"> 具备</w:t>
            </w:r>
            <w:r>
              <w:rPr>
                <w:rFonts w:ascii="GE Inspira" w:hAnsi="GE Inspira" w:eastAsia="幼圆" w:cs="Arial"/>
                <w:sz w:val="24"/>
              </w:rPr>
              <w:t>预饱和技术</w:t>
            </w:r>
          </w:p>
          <w:p>
            <w:pPr>
              <w:rPr>
                <w:rFonts w:ascii="GE Inspira" w:hAnsi="GE Inspira" w:eastAsia="幼圆" w:cs="Arial"/>
                <w:sz w:val="24"/>
              </w:rPr>
            </w:pPr>
            <w:r>
              <w:rPr>
                <w:rFonts w:ascii="GE Inspira" w:hAnsi="GE Inspira" w:eastAsia="幼圆" w:cs="Arial"/>
                <w:sz w:val="24"/>
              </w:rPr>
              <w:t>15.7</w:t>
            </w:r>
            <w:r>
              <w:rPr>
                <w:rFonts w:hint="eastAsia" w:ascii="GE Inspira" w:hAnsi="GE Inspira" w:eastAsia="幼圆" w:cs="Arial"/>
                <w:sz w:val="24"/>
                <w:lang w:val="en-US" w:eastAsia="zh-CN"/>
              </w:rPr>
              <w:t xml:space="preserve"> </w:t>
            </w:r>
            <w:r>
              <w:rPr>
                <w:rFonts w:ascii="GE Inspira" w:hAnsi="GE Inspira" w:eastAsia="幼圆" w:cs="Arial"/>
                <w:sz w:val="24"/>
              </w:rPr>
              <w:t>饱和带数目</w:t>
            </w:r>
            <w:r>
              <w:rPr>
                <w:rFonts w:hint="eastAsia" w:ascii="GE Inspira" w:hAnsi="GE Inspira" w:eastAsia="幼圆" w:cs="Arial"/>
                <w:sz w:val="24"/>
                <w:lang w:val="en-US" w:eastAsia="zh-CN"/>
              </w:rPr>
              <w:t>:</w:t>
            </w:r>
            <w:r>
              <w:rPr>
                <w:rFonts w:ascii="GE Inspira" w:hAnsi="GE Inspira" w:eastAsia="幼圆" w:cs="Arial"/>
                <w:sz w:val="24"/>
              </w:rPr>
              <w:t>≥6</w:t>
            </w:r>
          </w:p>
          <w:p>
            <w:pPr>
              <w:pStyle w:val="24"/>
              <w:rPr>
                <w:rFonts w:ascii="GE Inspira" w:hAnsi="GE Inspira" w:eastAsia="幼圆" w:cs="Arial"/>
                <w:sz w:val="24"/>
              </w:rPr>
            </w:pPr>
            <w:r>
              <w:rPr>
                <w:rFonts w:ascii="GE Inspira" w:hAnsi="GE Inspira" w:eastAsia="幼圆" w:cs="Arial"/>
                <w:sz w:val="24"/>
              </w:rPr>
              <w:t>15.8</w:t>
            </w:r>
            <w:r>
              <w:rPr>
                <w:rFonts w:hint="eastAsia" w:ascii="GE Inspira" w:hAnsi="GE Inspira" w:eastAsia="幼圆" w:cs="Arial"/>
                <w:sz w:val="24"/>
                <w:lang w:val="en-US" w:eastAsia="zh-CN"/>
              </w:rPr>
              <w:t xml:space="preserve"> 具备</w:t>
            </w:r>
            <w:r>
              <w:rPr>
                <w:rFonts w:ascii="GE Inspira" w:hAnsi="GE Inspira" w:eastAsia="幼圆" w:cs="Arial"/>
                <w:sz w:val="24"/>
              </w:rPr>
              <w:t>脂肪饱和技术</w:t>
            </w:r>
          </w:p>
          <w:p>
            <w:pPr>
              <w:rPr>
                <w:rFonts w:ascii="GE Inspira" w:hAnsi="GE Inspira" w:eastAsia="幼圆" w:cs="Arial"/>
                <w:sz w:val="24"/>
              </w:rPr>
            </w:pPr>
            <w:r>
              <w:rPr>
                <w:rFonts w:ascii="GE Inspira" w:hAnsi="GE Inspira" w:eastAsia="幼圆" w:cs="Arial"/>
                <w:sz w:val="24"/>
              </w:rPr>
              <w:t>15.9</w:t>
            </w:r>
            <w:r>
              <w:rPr>
                <w:rFonts w:hint="eastAsia" w:ascii="GE Inspira" w:hAnsi="GE Inspira" w:eastAsia="幼圆" w:cs="Arial"/>
                <w:sz w:val="24"/>
                <w:lang w:val="en-US" w:eastAsia="zh-CN"/>
              </w:rPr>
              <w:t xml:space="preserve"> 具备</w:t>
            </w:r>
            <w:r>
              <w:rPr>
                <w:rFonts w:ascii="GE Inspira" w:hAnsi="GE Inspira" w:eastAsia="幼圆" w:cs="Arial"/>
                <w:sz w:val="24"/>
              </w:rPr>
              <w:t>水饱和技术</w:t>
            </w:r>
          </w:p>
          <w:p>
            <w:pPr>
              <w:pStyle w:val="24"/>
              <w:rPr>
                <w:rFonts w:ascii="GE Inspira" w:hAnsi="GE Inspira" w:eastAsia="幼圆" w:cs="Arial"/>
                <w:sz w:val="24"/>
              </w:rPr>
            </w:pPr>
            <w:r>
              <w:rPr>
                <w:rFonts w:ascii="GE Inspira" w:hAnsi="GE Inspira" w:eastAsia="幼圆" w:cs="Arial"/>
                <w:sz w:val="24"/>
              </w:rPr>
              <w:t>15.10</w:t>
            </w:r>
            <w:r>
              <w:rPr>
                <w:rFonts w:hint="eastAsia" w:ascii="GE Inspira" w:hAnsi="GE Inspira" w:eastAsia="幼圆" w:cs="Arial"/>
                <w:sz w:val="24"/>
                <w:lang w:val="en-US" w:eastAsia="zh-CN"/>
              </w:rPr>
              <w:t xml:space="preserve"> 具备</w:t>
            </w:r>
            <w:r>
              <w:rPr>
                <w:rFonts w:ascii="GE Inspira" w:hAnsi="GE Inspira" w:eastAsia="幼圆" w:cs="Arial"/>
                <w:sz w:val="24"/>
              </w:rPr>
              <w:t>水激发技术</w:t>
            </w:r>
          </w:p>
          <w:p>
            <w:pPr>
              <w:rPr>
                <w:rFonts w:ascii="GE Inspira" w:hAnsi="GE Inspira" w:eastAsia="幼圆" w:cs="Arial"/>
                <w:sz w:val="24"/>
              </w:rPr>
            </w:pPr>
            <w:r>
              <w:rPr>
                <w:rFonts w:ascii="GE Inspira" w:hAnsi="GE Inspira" w:eastAsia="幼圆" w:cs="Arial"/>
                <w:sz w:val="24"/>
              </w:rPr>
              <w:t>15.11</w:t>
            </w:r>
            <w:r>
              <w:rPr>
                <w:rFonts w:hint="eastAsia" w:ascii="GE Inspira" w:hAnsi="GE Inspira" w:eastAsia="幼圆" w:cs="Arial"/>
                <w:sz w:val="24"/>
                <w:lang w:val="en-US" w:eastAsia="zh-CN"/>
              </w:rPr>
              <w:t xml:space="preserve"> 具备</w:t>
            </w:r>
            <w:r>
              <w:rPr>
                <w:rFonts w:ascii="GE Inspira" w:hAnsi="GE Inspira" w:eastAsia="幼圆" w:cs="Arial"/>
                <w:sz w:val="24"/>
              </w:rPr>
              <w:t>偏中心扫描技术</w:t>
            </w:r>
          </w:p>
          <w:p>
            <w:pPr>
              <w:pStyle w:val="24"/>
              <w:rPr>
                <w:rFonts w:ascii="GE Inspira" w:hAnsi="GE Inspira" w:eastAsia="幼圆" w:cs="Arial"/>
                <w:sz w:val="24"/>
              </w:rPr>
            </w:pPr>
            <w:r>
              <w:rPr>
                <w:rFonts w:ascii="GE Inspira" w:hAnsi="GE Inspira" w:eastAsia="幼圆" w:cs="Arial"/>
                <w:sz w:val="24"/>
              </w:rPr>
              <w:t>15.12</w:t>
            </w:r>
            <w:r>
              <w:rPr>
                <w:rFonts w:hint="eastAsia" w:ascii="GE Inspira" w:hAnsi="GE Inspira" w:eastAsia="幼圆" w:cs="Arial"/>
                <w:sz w:val="24"/>
                <w:lang w:val="en-US" w:eastAsia="zh-CN"/>
              </w:rPr>
              <w:t xml:space="preserve"> 具备</w:t>
            </w:r>
            <w:r>
              <w:rPr>
                <w:rFonts w:ascii="GE Inspira" w:hAnsi="GE Inspira" w:eastAsia="幼圆" w:cs="Arial"/>
                <w:sz w:val="24"/>
              </w:rPr>
              <w:t>扫描暂停技术</w:t>
            </w:r>
          </w:p>
          <w:p>
            <w:pPr>
              <w:rPr>
                <w:rFonts w:ascii="GE Inspira" w:hAnsi="GE Inspira" w:eastAsia="幼圆" w:cs="Arial"/>
                <w:sz w:val="24"/>
              </w:rPr>
            </w:pPr>
            <w:r>
              <w:rPr>
                <w:rFonts w:ascii="GE Inspira" w:hAnsi="GE Inspira" w:eastAsia="幼圆" w:cs="Arial"/>
                <w:sz w:val="24"/>
              </w:rPr>
              <w:t>15.13</w:t>
            </w:r>
            <w:r>
              <w:rPr>
                <w:rFonts w:hint="eastAsia" w:ascii="GE Inspira" w:hAnsi="GE Inspira" w:eastAsia="幼圆" w:cs="Arial"/>
                <w:sz w:val="24"/>
                <w:lang w:val="en-US" w:eastAsia="zh-CN"/>
              </w:rPr>
              <w:t xml:space="preserve"> 具备</w:t>
            </w:r>
            <w:r>
              <w:rPr>
                <w:rFonts w:ascii="GE Inspira" w:hAnsi="GE Inspira" w:eastAsia="幼圆" w:cs="Arial"/>
                <w:sz w:val="24"/>
              </w:rPr>
              <w:t>可变带宽技术</w:t>
            </w:r>
          </w:p>
          <w:p>
            <w:pPr>
              <w:pStyle w:val="24"/>
              <w:rPr>
                <w:rFonts w:ascii="GE Inspira" w:hAnsi="GE Inspira" w:eastAsia="幼圆" w:cs="Arial"/>
                <w:sz w:val="24"/>
              </w:rPr>
            </w:pPr>
            <w:r>
              <w:rPr>
                <w:rFonts w:ascii="GE Inspira" w:hAnsi="GE Inspira" w:eastAsia="幼圆" w:cs="Arial"/>
                <w:sz w:val="24"/>
              </w:rPr>
              <w:t>15.14</w:t>
            </w:r>
            <w:r>
              <w:rPr>
                <w:rFonts w:hint="eastAsia" w:ascii="GE Inspira" w:hAnsi="GE Inspira" w:eastAsia="幼圆" w:cs="Arial"/>
                <w:sz w:val="24"/>
                <w:lang w:val="en-US" w:eastAsia="zh-CN"/>
              </w:rPr>
              <w:t xml:space="preserve"> 具备</w:t>
            </w:r>
            <w:r>
              <w:rPr>
                <w:rFonts w:ascii="GE Inspira" w:hAnsi="GE Inspira" w:eastAsia="幼圆" w:cs="Arial"/>
                <w:sz w:val="24"/>
              </w:rPr>
              <w:t>可变k空间填充</w:t>
            </w:r>
          </w:p>
          <w:p>
            <w:pPr>
              <w:rPr>
                <w:rFonts w:ascii="GE Inspira" w:hAnsi="GE Inspira" w:eastAsia="幼圆" w:cs="Arial"/>
                <w:sz w:val="24"/>
              </w:rPr>
            </w:pPr>
            <w:r>
              <w:rPr>
                <w:rFonts w:ascii="GE Inspira" w:hAnsi="GE Inspira" w:eastAsia="幼圆" w:cs="Arial"/>
                <w:sz w:val="24"/>
              </w:rPr>
              <w:t>15.15</w:t>
            </w:r>
            <w:r>
              <w:rPr>
                <w:rFonts w:hint="eastAsia" w:ascii="GE Inspira" w:hAnsi="GE Inspira" w:eastAsia="幼圆" w:cs="Arial"/>
                <w:sz w:val="24"/>
                <w:lang w:val="en-US" w:eastAsia="zh-CN"/>
              </w:rPr>
              <w:t xml:space="preserve"> 具备</w:t>
            </w:r>
            <w:r>
              <w:rPr>
                <w:rFonts w:ascii="GE Inspira" w:hAnsi="GE Inspira" w:eastAsia="幼圆" w:cs="Arial"/>
                <w:sz w:val="24"/>
              </w:rPr>
              <w:t>非/对称回波</w:t>
            </w:r>
          </w:p>
          <w:p>
            <w:pPr>
              <w:pStyle w:val="24"/>
              <w:rPr>
                <w:rFonts w:ascii="GE Inspira" w:hAnsi="GE Inspira" w:eastAsia="幼圆" w:cs="Arial"/>
                <w:sz w:val="24"/>
              </w:rPr>
            </w:pPr>
            <w:r>
              <w:rPr>
                <w:rFonts w:ascii="GE Inspira" w:hAnsi="GE Inspira" w:eastAsia="幼圆" w:cs="Arial"/>
                <w:sz w:val="24"/>
              </w:rPr>
              <w:t>15.16</w:t>
            </w:r>
            <w:r>
              <w:rPr>
                <w:rFonts w:hint="eastAsia" w:ascii="GE Inspira" w:hAnsi="GE Inspira" w:eastAsia="幼圆" w:cs="Arial"/>
                <w:sz w:val="24"/>
                <w:lang w:val="en-US" w:eastAsia="zh-CN"/>
              </w:rPr>
              <w:t xml:space="preserve"> 具备</w:t>
            </w:r>
            <w:r>
              <w:rPr>
                <w:rFonts w:ascii="GE Inspira" w:hAnsi="GE Inspira" w:eastAsia="幼圆" w:cs="Arial"/>
                <w:sz w:val="24"/>
              </w:rPr>
              <w:t>信噪比指示器</w:t>
            </w:r>
          </w:p>
          <w:p>
            <w:pPr>
              <w:rPr>
                <w:rFonts w:ascii="GE Inspira" w:hAnsi="GE Inspira" w:eastAsia="幼圆" w:cs="Arial"/>
                <w:sz w:val="24"/>
              </w:rPr>
            </w:pPr>
            <w:r>
              <w:rPr>
                <w:rFonts w:ascii="GE Inspira" w:hAnsi="GE Inspira" w:eastAsia="幼圆" w:cs="Arial"/>
                <w:sz w:val="24"/>
              </w:rPr>
              <w:t>15.17</w:t>
            </w:r>
            <w:r>
              <w:rPr>
                <w:rFonts w:hint="eastAsia" w:ascii="GE Inspira" w:hAnsi="GE Inspira" w:eastAsia="幼圆" w:cs="Arial"/>
                <w:sz w:val="24"/>
                <w:lang w:val="en-US" w:eastAsia="zh-CN"/>
              </w:rPr>
              <w:t xml:space="preserve"> 具备</w:t>
            </w:r>
            <w:r>
              <w:rPr>
                <w:rFonts w:ascii="GE Inspira" w:hAnsi="GE Inspira" w:eastAsia="幼圆" w:cs="Arial"/>
                <w:sz w:val="24"/>
              </w:rPr>
              <w:t>优化反转角技术</w:t>
            </w:r>
          </w:p>
          <w:p>
            <w:pPr>
              <w:pStyle w:val="24"/>
              <w:rPr>
                <w:rFonts w:ascii="GE Inspira" w:hAnsi="GE Inspira" w:eastAsia="幼圆" w:cs="Arial"/>
                <w:sz w:val="24"/>
              </w:rPr>
            </w:pPr>
            <w:r>
              <w:rPr>
                <w:rFonts w:ascii="GE Inspira" w:hAnsi="GE Inspira" w:eastAsia="幼圆" w:cs="Arial"/>
                <w:sz w:val="24"/>
              </w:rPr>
              <w:t>15.18</w:t>
            </w:r>
            <w:r>
              <w:rPr>
                <w:rFonts w:hint="eastAsia" w:ascii="GE Inspira" w:hAnsi="GE Inspira" w:eastAsia="幼圆" w:cs="Arial"/>
                <w:sz w:val="24"/>
                <w:lang w:val="en-US" w:eastAsia="zh-CN"/>
              </w:rPr>
              <w:t xml:space="preserve"> 具备</w:t>
            </w:r>
            <w:r>
              <w:rPr>
                <w:rFonts w:ascii="GE Inspira" w:hAnsi="GE Inspira" w:eastAsia="幼圆" w:cs="Arial"/>
                <w:sz w:val="24"/>
              </w:rPr>
              <w:t>线圈灵敏度校正</w:t>
            </w:r>
          </w:p>
          <w:p>
            <w:pPr>
              <w:rPr>
                <w:rFonts w:ascii="GE Inspira" w:hAnsi="GE Inspira" w:eastAsia="幼圆" w:cs="Arial"/>
                <w:sz w:val="24"/>
              </w:rPr>
            </w:pPr>
            <w:r>
              <w:rPr>
                <w:rFonts w:ascii="GE Inspira" w:hAnsi="GE Inspira" w:eastAsia="幼圆" w:cs="Arial"/>
                <w:sz w:val="24"/>
              </w:rPr>
              <w:t>15.19</w:t>
            </w:r>
            <w:r>
              <w:rPr>
                <w:rFonts w:hint="eastAsia" w:ascii="GE Inspira" w:hAnsi="GE Inspira" w:eastAsia="幼圆" w:cs="Arial"/>
                <w:sz w:val="24"/>
                <w:lang w:val="en-US" w:eastAsia="zh-CN"/>
              </w:rPr>
              <w:t xml:space="preserve"> 具备</w:t>
            </w:r>
            <w:r>
              <w:rPr>
                <w:rFonts w:ascii="GE Inspira" w:hAnsi="GE Inspira" w:eastAsia="幼圆" w:cs="Arial"/>
                <w:sz w:val="24"/>
              </w:rPr>
              <w:t>神经高分辨成像</w:t>
            </w:r>
          </w:p>
          <w:p>
            <w:pPr>
              <w:pStyle w:val="24"/>
              <w:rPr>
                <w:rFonts w:ascii="GE Inspira" w:hAnsi="GE Inspira" w:eastAsia="幼圆" w:cs="Arial"/>
                <w:sz w:val="24"/>
              </w:rPr>
            </w:pPr>
            <w:r>
              <w:rPr>
                <w:rFonts w:ascii="GE Inspira" w:hAnsi="GE Inspira" w:eastAsia="幼圆" w:cs="Arial"/>
                <w:sz w:val="24"/>
              </w:rPr>
              <w:t>15.20</w:t>
            </w:r>
            <w:r>
              <w:rPr>
                <w:rFonts w:hint="eastAsia" w:ascii="GE Inspira" w:hAnsi="GE Inspira" w:eastAsia="幼圆" w:cs="Arial"/>
                <w:sz w:val="24"/>
                <w:lang w:val="en-US" w:eastAsia="zh-CN"/>
              </w:rPr>
              <w:t xml:space="preserve"> 具备</w:t>
            </w:r>
            <w:r>
              <w:rPr>
                <w:rFonts w:ascii="GE Inspira" w:hAnsi="GE Inspira" w:eastAsia="幼圆" w:cs="Arial"/>
                <w:sz w:val="24"/>
              </w:rPr>
              <w:t>磁共振实时定位</w:t>
            </w:r>
          </w:p>
          <w:p>
            <w:pPr>
              <w:rPr>
                <w:rFonts w:ascii="GE Inspira" w:hAnsi="GE Inspira" w:eastAsia="幼圆" w:cs="Arial"/>
                <w:sz w:val="24"/>
              </w:rPr>
            </w:pPr>
            <w:r>
              <w:rPr>
                <w:rFonts w:ascii="GE Inspira" w:hAnsi="GE Inspira" w:eastAsia="幼圆" w:cs="Arial"/>
                <w:sz w:val="24"/>
              </w:rPr>
              <w:t>15.21</w:t>
            </w:r>
            <w:r>
              <w:rPr>
                <w:rFonts w:hint="eastAsia" w:ascii="GE Inspira" w:hAnsi="GE Inspira" w:eastAsia="幼圆" w:cs="Arial"/>
                <w:sz w:val="24"/>
                <w:lang w:val="en-US" w:eastAsia="zh-CN"/>
              </w:rPr>
              <w:t xml:space="preserve"> 具备</w:t>
            </w:r>
            <w:r>
              <w:rPr>
                <w:rFonts w:ascii="GE Inspira" w:hAnsi="GE Inspira" w:eastAsia="幼圆" w:cs="Arial"/>
                <w:sz w:val="24"/>
              </w:rPr>
              <w:t>磁共振实时透视</w:t>
            </w:r>
          </w:p>
          <w:p>
            <w:pPr>
              <w:pStyle w:val="24"/>
              <w:rPr>
                <w:rFonts w:ascii="GE Inspira" w:hAnsi="GE Inspira" w:eastAsia="幼圆" w:cs="Arial"/>
                <w:sz w:val="24"/>
              </w:rPr>
            </w:pPr>
            <w:r>
              <w:rPr>
                <w:rFonts w:ascii="GE Inspira" w:hAnsi="GE Inspira" w:eastAsia="幼圆" w:cs="Arial"/>
                <w:sz w:val="24"/>
              </w:rPr>
              <w:t>15.22</w:t>
            </w:r>
            <w:r>
              <w:rPr>
                <w:rFonts w:hint="eastAsia" w:ascii="GE Inspira" w:hAnsi="GE Inspira" w:eastAsia="幼圆" w:cs="Arial"/>
                <w:sz w:val="24"/>
                <w:lang w:val="en-US" w:eastAsia="zh-CN"/>
              </w:rPr>
              <w:t xml:space="preserve"> 具备</w:t>
            </w:r>
            <w:r>
              <w:rPr>
                <w:rFonts w:ascii="GE Inspira" w:hAnsi="GE Inspira" w:eastAsia="幼圆" w:cs="Arial"/>
                <w:sz w:val="24"/>
              </w:rPr>
              <w:t>交互式参数改变</w:t>
            </w:r>
          </w:p>
          <w:p>
            <w:pPr>
              <w:rPr>
                <w:rFonts w:ascii="GE Inspira" w:hAnsi="GE Inspira" w:eastAsia="幼圆" w:cs="Arial"/>
                <w:sz w:val="24"/>
              </w:rPr>
            </w:pPr>
            <w:r>
              <w:rPr>
                <w:rFonts w:ascii="GE Inspira" w:hAnsi="GE Inspira" w:eastAsia="幼圆" w:cs="Arial"/>
                <w:sz w:val="24"/>
              </w:rPr>
              <w:t>15.23</w:t>
            </w:r>
            <w:r>
              <w:rPr>
                <w:rFonts w:hint="eastAsia" w:ascii="GE Inspira" w:hAnsi="GE Inspira" w:eastAsia="幼圆" w:cs="Arial"/>
                <w:sz w:val="24"/>
                <w:lang w:val="en-US" w:eastAsia="zh-CN"/>
              </w:rPr>
              <w:t xml:space="preserve"> 具备</w:t>
            </w:r>
            <w:r>
              <w:rPr>
                <w:rFonts w:ascii="GE Inspira" w:hAnsi="GE Inspira" w:eastAsia="幼圆" w:cs="Arial"/>
                <w:sz w:val="24"/>
              </w:rPr>
              <w:t>扫描参数顾问</w:t>
            </w:r>
          </w:p>
          <w:p>
            <w:pPr>
              <w:pStyle w:val="24"/>
              <w:rPr>
                <w:ins w:id="9" w:author="豆腐罩" w:date="2025-11-28T09:27:50Z"/>
                <w:rFonts w:ascii="GE Inspira" w:hAnsi="GE Inspira" w:eastAsia="幼圆" w:cs="Arial"/>
                <w:sz w:val="24"/>
              </w:rPr>
            </w:pPr>
            <w:r>
              <w:rPr>
                <w:rFonts w:ascii="GE Inspira" w:hAnsi="GE Inspira" w:eastAsia="幼圆" w:cs="Arial"/>
                <w:sz w:val="24"/>
              </w:rPr>
              <w:t>15.24</w:t>
            </w:r>
            <w:r>
              <w:rPr>
                <w:rFonts w:hint="eastAsia" w:ascii="GE Inspira" w:hAnsi="GE Inspira" w:eastAsia="幼圆" w:cs="Arial"/>
                <w:sz w:val="24"/>
                <w:lang w:val="en-US" w:eastAsia="zh-CN"/>
              </w:rPr>
              <w:t xml:space="preserve"> 具备</w:t>
            </w:r>
            <w:r>
              <w:rPr>
                <w:rFonts w:ascii="GE Inspira" w:hAnsi="GE Inspira" w:eastAsia="幼圆" w:cs="Arial"/>
                <w:sz w:val="24"/>
              </w:rPr>
              <w:t>恒定信号技术</w:t>
            </w:r>
          </w:p>
          <w:p>
            <w:pPr>
              <w:rPr>
                <w:ins w:id="10" w:author="豆腐罩" w:date="2025-11-28T09:28:10Z"/>
                <w:rFonts w:hint="eastAsia" w:ascii="GE Inspira" w:hAnsi="GE Inspira" w:eastAsia="幼圆" w:cs="Arial"/>
                <w:b/>
                <w:bCs/>
                <w:sz w:val="24"/>
                <w:lang w:val="en-US" w:eastAsia="zh-CN"/>
              </w:rPr>
            </w:pPr>
            <w:r>
              <w:rPr>
                <w:rFonts w:hint="eastAsia" w:ascii="GE Inspira" w:hAnsi="GE Inspira" w:eastAsia="幼圆" w:cs="Arial"/>
                <w:sz w:val="24"/>
              </w:rPr>
              <w:t>★</w:t>
            </w:r>
            <w:r>
              <w:rPr>
                <w:rFonts w:hint="eastAsia" w:ascii="GE Inspira" w:hAnsi="GE Inspira" w:eastAsia="幼圆" w:cs="Arial"/>
                <w:b/>
                <w:bCs/>
                <w:sz w:val="24"/>
                <w:lang w:val="en-US" w:eastAsia="zh-CN"/>
              </w:rPr>
              <w:t>16 第三方配置</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 无磁轮椅</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16.2 无磁转运床</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16.3 无磁耳机</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16.4 铁磁探测仪（两套）</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16.5 无磁高压注射器</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16.6 医用显示器2台具备后处理工作站二套及医生工作站一套（显示器为4兆以上、彩色</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16.7 精密空调1套</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16.8 无磁线圈柜</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16.9 机房装修防护</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16.10 配套办公设备设施（满足安装工作站、出诊断报告、医生办公等配套硬件和设施）；两套</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16.11 医用4M显示阅片器；两套</w:t>
            </w:r>
          </w:p>
          <w:p>
            <w:pPr>
              <w:rPr>
                <w:rFonts w:hint="eastAsia"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16.12 无磁灭火器；两个</w:t>
            </w:r>
          </w:p>
          <w:p>
            <w:pPr>
              <w:rPr>
                <w:rFonts w:hint="eastAsia"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16.13 精密水冷散热装置：一套</w:t>
            </w:r>
          </w:p>
          <w:p>
            <w:pPr>
              <w:rPr>
                <w:rFonts w:hint="eastAsia"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16.14 机房配套屏蔽、安装和精装修：一套</w:t>
            </w:r>
          </w:p>
          <w:p>
            <w:pPr>
              <w:rPr>
                <w:rFonts w:hint="eastAsia"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16.15 腹部呼吸门控，专用配电箱、不间断电源等设施</w:t>
            </w:r>
          </w:p>
          <w:p>
            <w:pPr>
              <w:rPr>
                <w:rFonts w:hint="default" w:ascii="GE Inspira" w:hAnsi="GE Inspira" w:eastAsia="幼圆" w:cs="Arial"/>
                <w:b w:val="0"/>
                <w:bCs w:val="0"/>
                <w:sz w:val="24"/>
                <w:lang w:val="en-US" w:eastAsia="zh-CN"/>
              </w:rPr>
            </w:pPr>
            <w:r>
              <w:rPr>
                <w:rFonts w:hint="eastAsia" w:ascii="GE Inspira" w:hAnsi="GE Inspira" w:eastAsia="幼圆" w:cs="Arial"/>
                <w:b w:val="0"/>
                <w:bCs w:val="0"/>
                <w:sz w:val="24"/>
                <w:lang w:val="en-US" w:eastAsia="zh-CN"/>
              </w:rPr>
              <w:t>16.16 供电房至磁共振房间的供电电缆</w:t>
            </w:r>
          </w:p>
        </w:tc>
        <w:tc>
          <w:tcPr>
            <w:tcW w:w="695" w:type="dxa"/>
            <w:vAlign w:val="center"/>
          </w:tcPr>
          <w:p>
            <w:pPr>
              <w:wordWrap w:val="0"/>
              <w:topLinePunct/>
              <w:spacing w:line="288" w:lineRule="auto"/>
              <w:ind w:firstLine="210" w:firstLineChars="10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1</w:t>
            </w:r>
          </w:p>
        </w:tc>
        <w:tc>
          <w:tcPr>
            <w:tcW w:w="700" w:type="dxa"/>
            <w:vAlign w:val="center"/>
          </w:tcPr>
          <w:p>
            <w:pPr>
              <w:wordWrap w:val="0"/>
              <w:topLinePunct/>
              <w:spacing w:line="288" w:lineRule="auto"/>
              <w:ind w:firstLine="210" w:firstLineChars="100"/>
              <w:jc w:val="center"/>
              <w:rPr>
                <w:rFonts w:hint="eastAsia"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套</w:t>
            </w:r>
          </w:p>
        </w:tc>
        <w:tc>
          <w:tcPr>
            <w:tcW w:w="675" w:type="dxa"/>
            <w:vAlign w:val="center"/>
          </w:tcPr>
          <w:p>
            <w:pPr>
              <w:wordWrap w:val="0"/>
              <w:topLinePunct/>
              <w:spacing w:line="288" w:lineRule="auto"/>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工业</w:t>
            </w:r>
          </w:p>
        </w:tc>
        <w:tc>
          <w:tcPr>
            <w:tcW w:w="1101" w:type="dxa"/>
            <w:vAlign w:val="center"/>
          </w:tcPr>
          <w:p>
            <w:pPr>
              <w:wordWrap w:val="0"/>
              <w:topLinePunct/>
              <w:spacing w:line="288" w:lineRule="auto"/>
              <w:ind w:firstLine="210" w:firstLineChars="100"/>
              <w:rPr>
                <w:rFonts w:hint="default" w:ascii="宋体" w:hAnsi="宋体" w:eastAsia="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aps w:val="0"/>
                <w:smallCaps w:val="0"/>
                <w:color w:val="auto"/>
                <w:spacing w:val="0"/>
                <w:w w:val="100"/>
                <w:sz w:val="21"/>
                <w:szCs w:val="21"/>
                <w:highlight w:val="none"/>
                <w:lang w:val="en-US" w:eastAsia="zh-CN"/>
              </w:rPr>
              <w:t>715</w:t>
            </w:r>
          </w:p>
        </w:tc>
      </w:tr>
    </w:tbl>
    <w:p>
      <w:pPr>
        <w:pStyle w:val="54"/>
        <w:widowControl w:val="0"/>
        <w:numPr>
          <w:ilvl w:val="0"/>
          <w:numId w:val="0"/>
        </w:numPr>
        <w:spacing w:before="25" w:after="25"/>
        <w:jc w:val="left"/>
        <w:rPr>
          <w:rFonts w:hint="eastAsia" w:ascii="宋体" w:hAnsi="宋体" w:eastAsia="宋体"/>
          <w:b/>
          <w:color w:val="000000" w:themeColor="text1"/>
          <w:sz w:val="21"/>
          <w:szCs w:val="21"/>
          <w:highlight w:val="none"/>
          <w:lang w:eastAsia="zh-CN"/>
          <w14:textFill>
            <w14:solidFill>
              <w14:schemeClr w14:val="tx1"/>
            </w14:solidFill>
          </w14:textFill>
        </w:rPr>
      </w:pPr>
    </w:p>
    <w:p>
      <w:pPr>
        <w:pStyle w:val="54"/>
        <w:widowControl w:val="0"/>
        <w:numPr>
          <w:ilvl w:val="0"/>
          <w:numId w:val="0"/>
        </w:numPr>
        <w:spacing w:before="25" w:after="25"/>
        <w:jc w:val="left"/>
        <w:rPr>
          <w:rFonts w:hint="eastAsia" w:ascii="宋体" w:hAnsi="宋体" w:eastAsia="宋体"/>
          <w:b/>
          <w:color w:val="000000" w:themeColor="text1"/>
          <w:sz w:val="21"/>
          <w:szCs w:val="21"/>
          <w:highlight w:val="none"/>
          <w:lang w:eastAsia="zh-CN"/>
          <w14:textFill>
            <w14:solidFill>
              <w14:schemeClr w14:val="tx1"/>
            </w14:solidFill>
          </w14:textFill>
        </w:rPr>
      </w:pPr>
    </w:p>
    <w:p>
      <w:pPr>
        <w:pStyle w:val="54"/>
        <w:widowControl w:val="0"/>
        <w:numPr>
          <w:ilvl w:val="0"/>
          <w:numId w:val="0"/>
        </w:numPr>
        <w:spacing w:before="25" w:after="25"/>
        <w:jc w:val="left"/>
        <w:rPr>
          <w:rFonts w:hint="eastAsia" w:ascii="宋体" w:hAnsi="宋体" w:eastAsia="宋体"/>
          <w:b/>
          <w:color w:val="000000" w:themeColor="text1"/>
          <w:sz w:val="21"/>
          <w:szCs w:val="21"/>
          <w:highlight w:val="none"/>
          <w:lang w:eastAsia="zh-CN"/>
          <w14:textFill>
            <w14:solidFill>
              <w14:schemeClr w14:val="tx1"/>
            </w14:solidFill>
          </w14:textFill>
        </w:rPr>
      </w:pPr>
    </w:p>
    <w:p>
      <w:pPr>
        <w:pStyle w:val="54"/>
        <w:widowControl w:val="0"/>
        <w:numPr>
          <w:ilvl w:val="0"/>
          <w:numId w:val="0"/>
        </w:numPr>
        <w:spacing w:before="25" w:after="25"/>
        <w:jc w:val="left"/>
        <w:rPr>
          <w:rFonts w:hint="eastAsia" w:ascii="宋体" w:hAnsi="宋体" w:eastAsia="宋体"/>
          <w:b/>
          <w:color w:val="000000" w:themeColor="text1"/>
          <w:sz w:val="21"/>
          <w:szCs w:val="21"/>
          <w:highlight w:val="none"/>
          <w:lang w:eastAsia="zh-CN"/>
          <w14:textFill>
            <w14:solidFill>
              <w14:schemeClr w14:val="tx1"/>
            </w14:solidFill>
          </w14:textFill>
        </w:rPr>
      </w:pPr>
    </w:p>
    <w:p>
      <w:pPr>
        <w:pStyle w:val="54"/>
        <w:widowControl w:val="0"/>
        <w:numPr>
          <w:ilvl w:val="0"/>
          <w:numId w:val="0"/>
        </w:numPr>
        <w:spacing w:before="25" w:after="25"/>
        <w:jc w:val="left"/>
        <w:rPr>
          <w:rFonts w:hint="eastAsia" w:ascii="宋体" w:hAnsi="宋体" w:eastAsia="宋体"/>
          <w:b/>
          <w:color w:val="000000" w:themeColor="text1"/>
          <w:sz w:val="21"/>
          <w:szCs w:val="21"/>
          <w:highlight w:val="none"/>
          <w:lang w:eastAsia="zh-CN"/>
          <w14:textFill>
            <w14:solidFill>
              <w14:schemeClr w14:val="tx1"/>
            </w14:solidFill>
          </w14:textFill>
        </w:rPr>
      </w:pPr>
    </w:p>
    <w:p>
      <w:pPr>
        <w:pStyle w:val="54"/>
        <w:numPr>
          <w:ilvl w:val="0"/>
          <w:numId w:val="6"/>
        </w:numPr>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商务要求</w:t>
      </w:r>
    </w:p>
    <w:tbl>
      <w:tblPr>
        <w:tblStyle w:val="37"/>
        <w:tblpPr w:leftFromText="180" w:rightFromText="180" w:vertAnchor="text" w:tblpXSpec="center" w:tblpY="1"/>
        <w:tblOverlap w:val="never"/>
        <w:tblW w:w="9649" w:type="dxa"/>
        <w:jc w:val="center"/>
        <w:tblLayout w:type="fixed"/>
        <w:tblCellMar>
          <w:top w:w="0" w:type="dxa"/>
          <w:left w:w="108" w:type="dxa"/>
          <w:bottom w:w="0" w:type="dxa"/>
          <w:right w:w="108" w:type="dxa"/>
        </w:tblCellMar>
      </w:tblPr>
      <w:tblGrid>
        <w:gridCol w:w="2235"/>
        <w:gridCol w:w="7414"/>
      </w:tblGrid>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（一）声明</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人应对投标文件内容所涉及的专利、专有技术承担法律责任，并负责保护采购人的利益不受任何损害。一切由于文字、商标、技术和软件专利授权引起的法律裁决、诉讼和赔偿费用均由成交供应商负责。同时，具有产品专利、专有技术的投标人应在其投标文件中提供与其自有产品专利、专有技术相关的有效证明材料，否则，不能就其产品的专利、专有技术在本项目采购过程中被侵权问题而提出异议。</w:t>
            </w:r>
          </w:p>
        </w:tc>
      </w:tr>
      <w:tr>
        <w:tblPrEx>
          <w:tblCellMar>
            <w:top w:w="0" w:type="dxa"/>
            <w:left w:w="108" w:type="dxa"/>
            <w:bottom w:w="0" w:type="dxa"/>
            <w:right w:w="108" w:type="dxa"/>
          </w:tblCellMar>
        </w:tblPrEx>
        <w:trPr>
          <w:trHeight w:val="48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（二）合同签订期</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自中标通知书发出之日起</w:t>
            </w:r>
            <w:r>
              <w:rPr>
                <w:rFonts w:hint="eastAsia" w:ascii="宋体" w:hAnsi="宋体" w:eastAsia="宋体"/>
                <w:color w:val="000000" w:themeColor="text1"/>
                <w:sz w:val="21"/>
                <w:szCs w:val="21"/>
                <w:highlight w:val="none"/>
                <w:lang w:val="en-US" w:eastAsia="zh-CN"/>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个日历日内。</w:t>
            </w:r>
          </w:p>
        </w:tc>
      </w:tr>
      <w:tr>
        <w:tblPrEx>
          <w:tblCellMar>
            <w:top w:w="0" w:type="dxa"/>
            <w:left w:w="108" w:type="dxa"/>
            <w:bottom w:w="0" w:type="dxa"/>
            <w:right w:w="108" w:type="dxa"/>
          </w:tblCellMar>
        </w:tblPrEx>
        <w:trPr>
          <w:trHeight w:val="115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三</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产品</w:t>
            </w:r>
            <w:r>
              <w:rPr>
                <w:rFonts w:hint="eastAsia" w:ascii="宋体" w:hAnsi="宋体"/>
                <w:color w:val="000000" w:themeColor="text1"/>
                <w:sz w:val="21"/>
                <w:szCs w:val="21"/>
                <w:highlight w:val="none"/>
                <w14:textFill>
                  <w14:solidFill>
                    <w14:schemeClr w14:val="tx1"/>
                  </w14:solidFill>
                </w14:textFill>
              </w:rPr>
              <w:t>质保期</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按国家有关产品“三包”规定执行“三包”， 除非各分项有要求，否则保修期不少于</w:t>
            </w:r>
            <w:r>
              <w:rPr>
                <w:rFonts w:hint="eastAsia" w:ascii="宋体" w:hAnsi="宋体" w:eastAsia="宋体"/>
                <w:color w:val="000000" w:themeColor="text1"/>
                <w:sz w:val="21"/>
                <w:szCs w:val="21"/>
                <w:highlight w:val="none"/>
                <w:lang w:eastAsia="zh-CN"/>
                <w14:textFill>
                  <w14:solidFill>
                    <w14:schemeClr w14:val="tx1"/>
                  </w14:solidFill>
                </w14:textFill>
              </w:rPr>
              <w:t>一</w:t>
            </w:r>
            <w:r>
              <w:rPr>
                <w:rFonts w:hint="eastAsia" w:ascii="宋体" w:hAnsi="宋体"/>
                <w:color w:val="000000" w:themeColor="text1"/>
                <w:sz w:val="21"/>
                <w:szCs w:val="21"/>
                <w:highlight w:val="none"/>
                <w14:textFill>
                  <w14:solidFill>
                    <w14:schemeClr w14:val="tx1"/>
                  </w14:solidFill>
                </w14:textFill>
              </w:rPr>
              <w:t>年，终身维修，保修期内出现故障，需派出技术工程师到达现场处理故障，并承担一切费用；保修期外发生维修只收材料成本费，成本费用以定额、信息价或投标报价为准。</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四</w:t>
            </w:r>
            <w:r>
              <w:rPr>
                <w:rFonts w:hint="eastAsia" w:ascii="宋体" w:hAnsi="宋体"/>
                <w:color w:val="000000" w:themeColor="text1"/>
                <w:sz w:val="21"/>
                <w:szCs w:val="21"/>
                <w:highlight w:val="none"/>
                <w14:textFill>
                  <w14:solidFill>
                    <w14:schemeClr w14:val="tx1"/>
                  </w14:solidFill>
                </w14:textFill>
              </w:rPr>
              <w:t>）交货时间和交货地点</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color w:val="000000" w:themeColor="text1"/>
                <w:sz w:val="21"/>
                <w:szCs w:val="21"/>
                <w:highlight w:val="none"/>
                <w14:textFill>
                  <w14:solidFill>
                    <w14:schemeClr w14:val="tx1"/>
                  </w14:solidFill>
                </w14:textFill>
              </w:rPr>
            </w:pPr>
            <w:bookmarkStart w:id="151" w:name="OLE_LINK3"/>
            <w:r>
              <w:rPr>
                <w:rFonts w:hint="eastAsia" w:ascii="宋体" w:hAnsi="宋体"/>
                <w:color w:val="000000" w:themeColor="text1"/>
                <w:sz w:val="21"/>
                <w:szCs w:val="21"/>
                <w:highlight w:val="none"/>
                <w14:textFill>
                  <w14:solidFill>
                    <w14:schemeClr w14:val="tx1"/>
                  </w14:solidFill>
                </w14:textFill>
              </w:rPr>
              <w:t>交货时间及地点：自签订合同之日起</w:t>
            </w:r>
            <w:r>
              <w:rPr>
                <w:rFonts w:hint="eastAsia" w:ascii="宋体" w:hAnsi="宋体" w:eastAsia="宋体"/>
                <w:color w:val="auto"/>
                <w:sz w:val="21"/>
                <w:szCs w:val="21"/>
                <w:highlight w:val="none"/>
                <w:lang w:eastAsia="zh-CN"/>
              </w:rPr>
              <w:t>30个工作日内</w:t>
            </w:r>
            <w:r>
              <w:rPr>
                <w:rFonts w:hint="eastAsia" w:ascii="宋体" w:hAnsi="宋体"/>
                <w:color w:val="000000" w:themeColor="text1"/>
                <w:sz w:val="21"/>
                <w:szCs w:val="21"/>
                <w:highlight w:val="none"/>
                <w14:textFill>
                  <w14:solidFill>
                    <w14:schemeClr w14:val="tx1"/>
                  </w14:solidFill>
                </w14:textFill>
              </w:rPr>
              <w:t>必须到货并安装调试合格</w:t>
            </w:r>
            <w:bookmarkEnd w:id="151"/>
            <w:r>
              <w:rPr>
                <w:rFonts w:hint="eastAsia" w:ascii="宋体" w:hAnsi="宋体"/>
                <w:color w:val="000000" w:themeColor="text1"/>
                <w:sz w:val="21"/>
                <w:szCs w:val="21"/>
                <w:highlight w:val="none"/>
                <w14:textFill>
                  <w14:solidFill>
                    <w14:schemeClr w14:val="tx1"/>
                  </w14:solidFill>
                </w14:textFill>
              </w:rPr>
              <w:t>。地点：采购人指定位置</w:t>
            </w:r>
            <w:r>
              <w:rPr>
                <w:rFonts w:hint="eastAsia" w:ascii="宋体" w:hAnsi="宋体" w:eastAsia="宋体"/>
                <w:color w:val="000000" w:themeColor="text1"/>
                <w:sz w:val="21"/>
                <w:szCs w:val="21"/>
                <w:highlight w:val="none"/>
                <w:lang w:eastAsia="zh-CN"/>
                <w14:textFill>
                  <w14:solidFill>
                    <w14:schemeClr w14:val="tx1"/>
                  </w14:solidFill>
                </w14:textFill>
              </w:rPr>
              <w:t>（采购单位2号楼一楼放射科MR室）</w:t>
            </w:r>
            <w:r>
              <w:rPr>
                <w:rFonts w:hint="eastAsia" w:ascii="宋体" w:hAnsi="宋体"/>
                <w:color w:val="000000" w:themeColor="text1"/>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五</w:t>
            </w:r>
            <w:r>
              <w:rPr>
                <w:rFonts w:hint="eastAsia" w:ascii="宋体" w:hAnsi="宋体"/>
                <w:color w:val="000000" w:themeColor="text1"/>
                <w:sz w:val="21"/>
                <w:szCs w:val="21"/>
                <w:highlight w:val="none"/>
                <w14:textFill>
                  <w14:solidFill>
                    <w14:schemeClr w14:val="tx1"/>
                  </w14:solidFill>
                </w14:textFill>
              </w:rPr>
              <w:t>）投标设备要求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投标人提供的产品必须是全新、完整、未使用过的产品，具体要求如下：</w:t>
            </w:r>
          </w:p>
          <w:p>
            <w:pPr>
              <w:spacing w:line="288"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核心部件要求：产品核心部件（含磁体、线圈、射频模块、梯度模块）须为设备原厂生产，不得采用第三方代加工部件；其中进口设备的生产日期须在一年内，国产设备的生产日期须在半年内。</w:t>
            </w:r>
          </w:p>
          <w:p>
            <w:pPr>
              <w:spacing w:line="288" w:lineRule="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通用质量要求：产品所有零部件、配件均须为全新未使用状态，并符合国家相关行业质量安全标准，具备完整的质量合格证明文件。在设备装机调试、验收及入库等关键环节，若发现产品存在质量缺陷、性能不达标等问题，投标人须在收到买方通知后[X]个工作日内，提供整机免费更换或无条件退货服务，并承担由此产生的全部物流、人工及其他相关费用。</w:t>
            </w:r>
          </w:p>
          <w:p>
            <w:pPr>
              <w:spacing w:line="288" w:lineRule="auto"/>
              <w:ind w:firstLine="210" w:firstLineChars="1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在正常安装、使用和保养条件下，其使用寿命期内各项指标均达到质量要求。</w:t>
            </w:r>
            <w:r>
              <w:rPr>
                <w:rFonts w:hint="eastAsia" w:ascii="宋体" w:hAnsi="宋体" w:eastAsia="Times New Roman" w:cs="宋体"/>
                <w:color w:val="000000" w:themeColor="text1"/>
                <w:sz w:val="21"/>
                <w:szCs w:val="21"/>
                <w:highlight w:val="none"/>
                <w:lang w:eastAsia="zh-CN"/>
                <w14:textFill>
                  <w14:solidFill>
                    <w14:schemeClr w14:val="tx1"/>
                  </w14:solidFill>
                </w14:textFill>
              </w:rPr>
              <w:t>所有货物都提供使用说明书和详细装箱清单及质量合格证。</w:t>
            </w:r>
          </w:p>
          <w:p>
            <w:pPr>
              <w:spacing w:line="288" w:lineRule="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w:t>
            </w:r>
            <w:r>
              <w:rPr>
                <w:rFonts w:hint="eastAsia" w:ascii="宋体" w:hAnsi="宋体" w:cs="宋体"/>
                <w:color w:val="auto"/>
                <w:szCs w:val="21"/>
                <w:highlight w:val="none"/>
              </w:rPr>
              <w:t>进口产品说明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本项目货物所涉及的货物不接受进口产品（即通过中国海关报关验放进入中国境内且产自关境外的产品）参与</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，如有进口产品参与</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的作无效标处理。</w:t>
            </w:r>
          </w:p>
          <w:p>
            <w:pPr>
              <w:spacing w:line="288" w:lineRule="auto"/>
              <w:rPr>
                <w:rFonts w:ascii="宋体" w:hAnsi="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.中标人所提供产品,如有质量监督部门要求对产品进行检测、检验时，必须派出厂方代表协助检查，发现产品如有质量问题，中标人应承担全部费用及相应的责任。</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六</w:t>
            </w:r>
            <w:r>
              <w:rPr>
                <w:rFonts w:hint="eastAsia" w:ascii="宋体" w:hAnsi="宋体"/>
                <w:color w:val="000000" w:themeColor="text1"/>
                <w:sz w:val="21"/>
                <w:szCs w:val="21"/>
                <w:highlight w:val="none"/>
                <w14:textFill>
                  <w14:solidFill>
                    <w14:schemeClr w14:val="tx1"/>
                  </w14:solidFill>
                </w14:textFill>
              </w:rPr>
              <w:t>）售后服务要求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1、</w:t>
            </w: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按国家有关产品“三包”规定执行“三包”，质保期自货物验收合格之日起1年原厂质保及售后服务（“技术参数”中有特殊要求的，按其要求执行）。质保期满后，终身维护。注：如投标文件中提供产品生产厂家对质保期的承诺，与乙方承诺不一致的，以最长期限为准。</w:t>
            </w:r>
          </w:p>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2、故障响应时间：中标供应商应接到故障通知后在</w:t>
            </w:r>
            <w:r>
              <w:rPr>
                <w:rFonts w:hint="eastAsia" w:eastAsiaTheme="minorEastAsia"/>
                <w:color w:val="000000" w:themeColor="text1"/>
                <w:sz w:val="21"/>
                <w:szCs w:val="21"/>
                <w:highlight w:val="none"/>
                <w:lang w:val="en-US" w:eastAsia="zh-CN"/>
                <w14:textFill>
                  <w14:solidFill>
                    <w14:schemeClr w14:val="tx1"/>
                  </w14:solidFill>
                </w14:textFill>
              </w:rPr>
              <w:t>24</w:t>
            </w: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小时内到采购人指定现场，按国家及行业标准对故障进行及时处理。</w:t>
            </w:r>
          </w:p>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3、负责送货上门、安装、调试，培训使用人员和维护人员。</w:t>
            </w:r>
          </w:p>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4、在质保期内每半年至少进行一次定期回访以及对设备保养。</w:t>
            </w:r>
          </w:p>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5、在质保期内无偿提供人员和技术支持配合建设单位进行技术改进，设备运行发生故障，中标供应商提供维修服务，费用包含在报价中。质保期后优惠提供产品更新、改造服务。</w:t>
            </w:r>
          </w:p>
          <w:p>
            <w:pPr>
              <w:spacing w:line="288" w:lineRule="auto"/>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6、中标供应商向采购人提供的产品必须是全新的原装产品。</w:t>
            </w:r>
          </w:p>
          <w:p>
            <w:pPr>
              <w:spacing w:line="288" w:lineRule="auto"/>
              <w:rPr>
                <w:ins w:id="11" w:author="豆腐罩" w:date="2025-11-28T09:32:48Z"/>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7、</w:t>
            </w: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设备如需接入医院HIS、LIS、PACS系统或互联互通平台，相关费用由中标人负责。</w:t>
            </w:r>
          </w:p>
          <w:p>
            <w:pPr>
              <w:spacing w:line="288" w:lineRule="auto"/>
              <w:rPr>
                <w:rFonts w:hint="default" w:ascii="Times New Roman" w:hAnsi="Times New Roman" w:eastAsiaTheme="minorEastAsia"/>
                <w:color w:val="000000" w:themeColor="text1"/>
                <w:sz w:val="21"/>
                <w:szCs w:val="21"/>
                <w:highlight w:val="none"/>
                <w:lang w:val="en-US" w:eastAsia="zh-CN"/>
                <w14:textFill>
                  <w14:solidFill>
                    <w14:schemeClr w14:val="tx1"/>
                  </w14:solidFill>
                </w14:textFill>
              </w:rPr>
            </w:pPr>
            <w:r>
              <w:rPr>
                <w:rFonts w:hint="eastAsia" w:eastAsiaTheme="minorEastAsia"/>
                <w:color w:val="000000" w:themeColor="text1"/>
                <w:sz w:val="21"/>
                <w:szCs w:val="21"/>
                <w:highlight w:val="none"/>
                <w:lang w:val="en-US" w:eastAsia="zh-CN"/>
                <w14:textFill>
                  <w14:solidFill>
                    <w14:schemeClr w14:val="tx1"/>
                  </w14:solidFill>
                </w14:textFill>
              </w:rPr>
              <w:t>8、原厂保修（全保）≥五年(含整机及所有零配件以及第三方产品等)，终身维修保养，原厂软件系统免费升级及维护；提供远程维修诊断系统。</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七</w:t>
            </w:r>
            <w:r>
              <w:rPr>
                <w:rFonts w:hint="eastAsia" w:ascii="宋体" w:hAnsi="宋体"/>
                <w:color w:val="000000" w:themeColor="text1"/>
                <w:sz w:val="21"/>
                <w:szCs w:val="21"/>
                <w:highlight w:val="none"/>
                <w14:textFill>
                  <w14:solidFill>
                    <w14:schemeClr w14:val="tx1"/>
                  </w14:solidFill>
                </w14:textFill>
              </w:rPr>
              <w:t>）培训要求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验收合格后对采购人技术人员免费进行设备操作及维护培训。主要内容应为设备的基本结构、性能、主要部件的构造及原理，日常使用操作、保养与管理，常见故障的排除，紧急情况的处理等，能达到熟练使用设备及进行日常维护的水平。配件供应迅速，并配备专业售后服务人员</w:t>
            </w:r>
            <w:r>
              <w:rPr>
                <w:rFonts w:hint="eastAsia" w:ascii="宋体" w:hAnsi="宋体" w:eastAsia="宋体"/>
                <w:color w:val="000000" w:themeColor="text1"/>
                <w:sz w:val="21"/>
                <w:szCs w:val="21"/>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八</w:t>
            </w:r>
            <w:r>
              <w:rPr>
                <w:rFonts w:hint="eastAsia" w:ascii="宋体" w:hAnsi="宋体"/>
                <w:color w:val="000000" w:themeColor="text1"/>
                <w:sz w:val="21"/>
                <w:szCs w:val="21"/>
                <w:highlight w:val="none"/>
                <w14:textFill>
                  <w14:solidFill>
                    <w14:schemeClr w14:val="tx1"/>
                  </w14:solidFill>
                </w14:textFill>
              </w:rPr>
              <w:t>）</w:t>
            </w:r>
            <w:bookmarkStart w:id="152" w:name="OLE_LINK4"/>
            <w:r>
              <w:rPr>
                <w:rFonts w:hint="eastAsia" w:ascii="宋体" w:hAnsi="宋体"/>
                <w:color w:val="000000" w:themeColor="text1"/>
                <w:sz w:val="21"/>
                <w:szCs w:val="21"/>
                <w:highlight w:val="none"/>
                <w14:textFill>
                  <w14:solidFill>
                    <w14:schemeClr w14:val="tx1"/>
                  </w14:solidFill>
                </w14:textFill>
              </w:rPr>
              <w:t>付款</w:t>
            </w:r>
            <w:r>
              <w:rPr>
                <w:rFonts w:hint="eastAsia" w:ascii="宋体" w:hAnsi="宋体" w:eastAsia="宋体"/>
                <w:color w:val="000000" w:themeColor="text1"/>
                <w:sz w:val="21"/>
                <w:szCs w:val="21"/>
                <w:highlight w:val="none"/>
                <w:lang w:eastAsia="zh-CN"/>
                <w14:textFill>
                  <w14:solidFill>
                    <w14:schemeClr w14:val="tx1"/>
                  </w14:solidFill>
                </w14:textFill>
              </w:rPr>
              <w:t>方式</w:t>
            </w:r>
            <w:bookmarkEnd w:id="152"/>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1.本合同项下设备采购总金额为人民币（大写                    ） （小写：￥           ），无预付款。</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2.付款方式为分四期支付，质保期自设备验收合格之日起计算，期限为五年，按约定比例支付该期款项。</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3.乙方应在第一期付款前向甲方提供合规、有效的全额发票，以及相关请款函和验收合格报告，否则甲方有权顺延付款，且不承担违约责任。</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4.第一期在验收合格之日起满3个月后的次月内支付合同总额的50%；</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5.第二期在第一期付款完成满 12 个月后的次月内，甲方在收到乙方提供的有效请款函后，甲方向乙方支付合同总金额的25%；</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6.第三期在第二期付款完成满 12 个月后的次月内，甲方在收到乙方提供的有效请款函后，甲方向乙方支付合同总金额的 20%；</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7.第四期在质保期满五年（自第一期验收合格之日起算）且无质量情况下后的次月内，甲方在收到乙方提供的有效请款函后，甲方向乙方支付合同总金额的 5%。</w:t>
            </w:r>
          </w:p>
          <w:p>
            <w:pPr>
              <w:spacing w:line="288" w:lineRule="auto"/>
              <w:jc w:val="both"/>
              <w:rPr>
                <w:rFonts w:hint="eastAsia" w:ascii="Times New Roman" w:hAnsi="Times New Roman" w:eastAsiaTheme="minorEastAsia"/>
                <w:color w:val="000000" w:themeColor="text1"/>
                <w:sz w:val="21"/>
                <w:szCs w:val="21"/>
                <w:highlight w:val="none"/>
                <w:lang w:eastAsia="zh-CN"/>
                <w14:textFill>
                  <w14:solidFill>
                    <w14:schemeClr w14:val="tx1"/>
                  </w14:solidFill>
                </w14:textFill>
              </w:rPr>
            </w:pPr>
            <w:r>
              <w:rPr>
                <w:rFonts w:hint="eastAsia" w:ascii="Times New Roman" w:hAnsi="Times New Roman" w:eastAsiaTheme="minorEastAsia"/>
                <w:color w:val="000000" w:themeColor="text1"/>
                <w:sz w:val="21"/>
                <w:szCs w:val="21"/>
                <w:highlight w:val="none"/>
                <w:lang w:eastAsia="zh-CN"/>
                <w14:textFill>
                  <w14:solidFill>
                    <w14:schemeClr w14:val="tx1"/>
                  </w14:solidFill>
                </w14:textFill>
              </w:rPr>
              <w:t>8.乙方（中标供应商）在本合同有效期内，如发生公司注销、合并、分立等非因乙方主观原因导致的主体变更事宜，应第一时间书面告知甲方（采购单位），并在完成注销、合并、分立等相关工商及法律手续后的 1 个月内，向甲方提交合法有效、符合甲方付款合规要求的主体变更证明文件、权利义务承继说明、合规付款账户信息等相关资料，确保甲方付款流程的合法合规性。</w:t>
            </w:r>
          </w:p>
        </w:tc>
      </w:tr>
      <w:tr>
        <w:tblPrEx>
          <w:tblCellMar>
            <w:top w:w="0" w:type="dxa"/>
            <w:left w:w="108" w:type="dxa"/>
            <w:bottom w:w="0" w:type="dxa"/>
            <w:right w:w="108" w:type="dxa"/>
          </w:tblCellMar>
        </w:tblPrEx>
        <w:trPr>
          <w:trHeight w:val="454"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九</w:t>
            </w:r>
            <w:r>
              <w:rPr>
                <w:rFonts w:hint="eastAsia" w:ascii="宋体" w:hAnsi="宋体"/>
                <w:color w:val="000000" w:themeColor="text1"/>
                <w:sz w:val="21"/>
                <w:szCs w:val="21"/>
                <w:highlight w:val="none"/>
                <w14:textFill>
                  <w14:solidFill>
                    <w14:schemeClr w14:val="tx1"/>
                  </w14:solidFill>
                </w14:textFill>
              </w:rPr>
              <w:t>）验收条件及标准</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hAnsi="宋体" w:eastAsiaTheme="minorEastAsia"/>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货物验收时包装完整无破损，必须提供装箱单、保修单、货物生产厂家出厂合格证书及有关供货说明文件，货物的所有正规手续必须齐全。</w:t>
            </w:r>
            <w:r>
              <w:rPr>
                <w:rFonts w:hint="eastAsia"/>
                <w:color w:val="000000" w:themeColor="text1"/>
                <w:sz w:val="21"/>
                <w:szCs w:val="21"/>
                <w:highlight w:val="none"/>
                <w14:textFill>
                  <w14:solidFill>
                    <w14:schemeClr w14:val="tx1"/>
                  </w14:solidFill>
                </w14:textFill>
              </w:rPr>
              <w:t>为防止虚假应标，如有必要，中标供应商需配合院方联合院方指定的第三方或该项目其他投标供应商对中标供应商提供产品的技术参数逐一验收，如发现提供产品的实际技术参数与投标参数不符，则视为虚假应标，取消其中标资格。</w:t>
            </w:r>
          </w:p>
        </w:tc>
      </w:tr>
      <w:tr>
        <w:tblPrEx>
          <w:tblCellMar>
            <w:top w:w="0" w:type="dxa"/>
            <w:left w:w="108" w:type="dxa"/>
            <w:bottom w:w="0" w:type="dxa"/>
            <w:right w:w="108" w:type="dxa"/>
          </w:tblCellMar>
        </w:tblPrEx>
        <w:trPr>
          <w:trHeight w:val="1041"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十</w:t>
            </w:r>
            <w:r>
              <w:rPr>
                <w:rFonts w:hint="eastAsia" w:ascii="宋体" w:hAnsi="宋体"/>
                <w:color w:val="000000" w:themeColor="text1"/>
                <w:sz w:val="21"/>
                <w:szCs w:val="21"/>
                <w:highlight w:val="none"/>
                <w14:textFill>
                  <w14:solidFill>
                    <w14:schemeClr w14:val="tx1"/>
                  </w14:solidFill>
                </w14:textFill>
              </w:rPr>
              <w:t>）验收方法及方案</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验收时，采购人对中标人所交货物依照中标人的投标文件所承诺的技术规格要求和国家有关标准进行现场验收。性能达到技术要求的给予签收，若有一项指标不满足其投标承诺的不予签收，</w:t>
            </w:r>
            <w:r>
              <w:rPr>
                <w:rFonts w:hint="eastAsia" w:ascii="宋体" w:hAnsi="宋体"/>
                <w:color w:val="000000" w:themeColor="text1"/>
                <w:sz w:val="21"/>
                <w:szCs w:val="21"/>
                <w:highlight w:val="none"/>
                <w14:textFill>
                  <w14:solidFill>
                    <w14:schemeClr w14:val="tx1"/>
                  </w14:solidFill>
                </w14:textFill>
              </w:rPr>
              <w:t>视为中标人违约</w:t>
            </w:r>
            <w:r>
              <w:rPr>
                <w:rFonts w:ascii="宋体" w:hAnsi="宋体"/>
                <w:color w:val="000000" w:themeColor="text1"/>
                <w:sz w:val="21"/>
                <w:szCs w:val="21"/>
                <w:highlight w:val="none"/>
                <w14:textFill>
                  <w14:solidFill>
                    <w14:schemeClr w14:val="tx1"/>
                  </w14:solidFill>
                </w14:textFill>
              </w:rPr>
              <w:t>并按照政府采购相关法律法规和合同约定条款进行处罚，由此造成的项目延误等所有责任均由中标人承担。</w:t>
            </w:r>
          </w:p>
        </w:tc>
      </w:tr>
      <w:tr>
        <w:tblPrEx>
          <w:tblCellMar>
            <w:top w:w="0" w:type="dxa"/>
            <w:left w:w="108" w:type="dxa"/>
            <w:bottom w:w="0" w:type="dxa"/>
            <w:right w:w="108" w:type="dxa"/>
          </w:tblCellMar>
        </w:tblPrEx>
        <w:trPr>
          <w:trHeight w:val="416"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（十</w:t>
            </w:r>
            <w:r>
              <w:rPr>
                <w:rFonts w:hint="eastAsia" w:ascii="宋体" w:hAnsi="宋体" w:eastAsia="宋体"/>
                <w:color w:val="000000" w:themeColor="text1"/>
                <w:sz w:val="21"/>
                <w:szCs w:val="21"/>
                <w:highlight w:val="none"/>
                <w:lang w:eastAsia="zh-CN"/>
                <w14:textFill>
                  <w14:solidFill>
                    <w14:schemeClr w14:val="tx1"/>
                  </w14:solidFill>
                </w14:textFill>
              </w:rPr>
              <w:t>一</w:t>
            </w:r>
            <w:r>
              <w:rPr>
                <w:rFonts w:hint="eastAsia" w:ascii="宋体" w:hAnsi="宋体"/>
                <w:color w:val="000000" w:themeColor="text1"/>
                <w:sz w:val="21"/>
                <w:szCs w:val="21"/>
                <w:highlight w:val="none"/>
                <w14:textFill>
                  <w14:solidFill>
                    <w14:schemeClr w14:val="tx1"/>
                  </w14:solidFill>
                </w14:textFill>
              </w:rPr>
              <w:t>）投标报价</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ascii="宋体"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总报价为包含但不限于货物、随配附件、备品备件（详细清单由投标人提供）、专用工具和运输、保险、卸货、保管、安装调试、验收、技术培训、质保等售后服务、税金、利润、间接费的总和。投标人保证所提供的设备正常运行，并能通过采购人及相关部门的项目验收。</w:t>
            </w:r>
          </w:p>
        </w:tc>
      </w:tr>
      <w:tr>
        <w:tblPrEx>
          <w:tblCellMar>
            <w:top w:w="0" w:type="dxa"/>
            <w:left w:w="108" w:type="dxa"/>
            <w:bottom w:w="0" w:type="dxa"/>
            <w:right w:w="108" w:type="dxa"/>
          </w:tblCellMar>
        </w:tblPrEx>
        <w:trPr>
          <w:trHeight w:val="755" w:hRule="atLeast"/>
          <w:jc w:val="center"/>
        </w:trPr>
        <w:tc>
          <w:tcPr>
            <w:tcW w:w="2235" w:type="dxa"/>
            <w:tcBorders>
              <w:top w:val="single" w:color="auto" w:sz="4" w:space="0"/>
              <w:left w:val="single" w:color="auto" w:sz="4" w:space="0"/>
              <w:bottom w:val="single" w:color="auto" w:sz="4" w:space="0"/>
              <w:right w:val="single" w:color="auto" w:sz="4" w:space="0"/>
            </w:tcBorders>
            <w:noWrap/>
            <w:vAlign w:val="center"/>
          </w:tcPr>
          <w:p>
            <w:pPr>
              <w:spacing w:line="288" w:lineRule="auto"/>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（十</w:t>
            </w:r>
            <w:r>
              <w:rPr>
                <w:rFonts w:hint="eastAsia" w:ascii="宋体" w:hAnsi="宋体" w:eastAsia="宋体"/>
                <w:color w:val="000000" w:themeColor="text1"/>
                <w:sz w:val="21"/>
                <w:szCs w:val="21"/>
                <w:highlight w:val="none"/>
                <w:lang w:eastAsia="zh-CN"/>
                <w14:textFill>
                  <w14:solidFill>
                    <w14:schemeClr w14:val="tx1"/>
                  </w14:solidFill>
                </w14:textFill>
              </w:rPr>
              <w:t>二</w:t>
            </w:r>
            <w:r>
              <w:rPr>
                <w:rFonts w:hint="eastAsia" w:ascii="宋体" w:hAnsi="宋体"/>
                <w:color w:val="000000" w:themeColor="text1"/>
                <w:sz w:val="21"/>
                <w:szCs w:val="21"/>
                <w:highlight w:val="none"/>
                <w14:textFill>
                  <w14:solidFill>
                    <w14:schemeClr w14:val="tx1"/>
                  </w14:solidFill>
                </w14:textFill>
              </w:rPr>
              <w:t>）其他要求</w:t>
            </w:r>
          </w:p>
        </w:tc>
        <w:tc>
          <w:tcPr>
            <w:tcW w:w="7414" w:type="dxa"/>
            <w:tcBorders>
              <w:top w:val="single" w:color="auto" w:sz="4" w:space="0"/>
              <w:left w:val="single" w:color="auto" w:sz="4" w:space="0"/>
              <w:bottom w:val="single" w:color="auto" w:sz="4" w:space="0"/>
              <w:right w:val="single" w:color="auto" w:sz="4" w:space="0"/>
            </w:tcBorders>
            <w:noWrap/>
            <w:vAlign w:val="center"/>
          </w:tcPr>
          <w:p>
            <w:pPr>
              <w:spacing w:line="288"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1、投标人必须根据实际情况及招标要求在投标文件中提供详细的项目实施方案和售后服务方案。</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2、货物使用期限，自货物生产日期起，不少于5年；提供铭牌标识、照片或说明书相关页面复印件；货物无使用期限的，提供说明。</w:t>
            </w:r>
          </w:p>
          <w:p>
            <w:pPr>
              <w:pStyle w:val="24"/>
              <w:rPr>
                <w:color w:val="auto"/>
                <w:sz w:val="21"/>
                <w:szCs w:val="21"/>
                <w:highlight w:val="none"/>
              </w:rPr>
            </w:pPr>
            <w:r>
              <w:rPr>
                <w:rFonts w:hint="eastAsia"/>
                <w:color w:val="auto"/>
                <w:sz w:val="21"/>
                <w:szCs w:val="21"/>
                <w:highlight w:val="none"/>
                <w:lang w:val="en-US" w:eastAsia="zh-CN"/>
              </w:rPr>
              <w:t xml:space="preserve">3、货物生产日期，货物生产日期（以产品标签、标识为准）：货物到达买方机房之日前6个月内(国产产品)、8 个月内(进口产品)；货物使用期限≥10 年，货物生产日期为到达买方机房之日前 6 个月内。 </w:t>
            </w:r>
          </w:p>
          <w:p>
            <w:pPr>
              <w:pStyle w:val="26"/>
              <w:spacing w:line="288" w:lineRule="auto"/>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4</w:t>
            </w:r>
            <w:r>
              <w:rPr>
                <w:rFonts w:hint="eastAsia" w:ascii="宋体" w:hAnsi="宋体"/>
                <w:b/>
                <w:bCs/>
                <w:color w:val="auto"/>
                <w:sz w:val="21"/>
                <w:szCs w:val="21"/>
                <w:highlight w:val="none"/>
              </w:rPr>
              <w:t>、</w:t>
            </w:r>
            <w:r>
              <w:rPr>
                <w:rFonts w:hint="eastAsia" w:ascii="宋体" w:hAnsi="宋体" w:eastAsia="宋体"/>
                <w:b/>
                <w:bCs/>
                <w:color w:val="auto"/>
                <w:sz w:val="21"/>
                <w:szCs w:val="21"/>
                <w:highlight w:val="none"/>
                <w:lang w:eastAsia="zh-CN"/>
              </w:rPr>
              <w:t>货物需求一览表“技术参数及性能配置要求”中标“★”的为实质性要求，不允许负偏离，否则投标无效。</w:t>
            </w:r>
            <w:r>
              <w:rPr>
                <w:rFonts w:hint="eastAsia" w:ascii="宋体" w:hAnsi="宋体" w:eastAsia="宋体"/>
                <w:b/>
                <w:bCs/>
                <w:color w:val="auto"/>
                <w:sz w:val="21"/>
                <w:szCs w:val="21"/>
                <w:highlight w:val="none"/>
              </w:rPr>
              <w:t>不带“★”的参数发生负偏离达3项数（含）以上的，视为不实质性响应采购文件要求，评审时响应文件将被作为无效文件处理。</w:t>
            </w:r>
            <w:r>
              <w:rPr>
                <w:rFonts w:hint="eastAsia" w:ascii="宋体" w:hAnsi="宋体" w:eastAsia="宋体"/>
                <w:b/>
                <w:bCs/>
                <w:color w:val="auto"/>
                <w:sz w:val="21"/>
                <w:szCs w:val="21"/>
                <w:highlight w:val="none"/>
                <w:lang w:val="en-US" w:eastAsia="zh-CN"/>
              </w:rPr>
              <w:t>带“</w:t>
            </w:r>
            <w:r>
              <w:rPr>
                <w:rFonts w:hint="eastAsia" w:ascii="宋体" w:hAnsi="宋体" w:eastAsia="宋体"/>
                <w:b/>
                <w:bCs/>
                <w:color w:val="auto"/>
                <w:sz w:val="21"/>
                <w:szCs w:val="21"/>
                <w:highlight w:val="none"/>
                <w:lang w:eastAsia="zh-CN"/>
              </w:rPr>
              <w:t>★</w:t>
            </w:r>
            <w:r>
              <w:rPr>
                <w:rFonts w:hint="eastAsia" w:ascii="宋体" w:hAnsi="宋体" w:eastAsia="宋体"/>
                <w:b/>
                <w:bCs/>
                <w:color w:val="auto"/>
                <w:sz w:val="21"/>
                <w:szCs w:val="21"/>
                <w:highlight w:val="none"/>
                <w:lang w:val="en-US" w:eastAsia="zh-CN"/>
              </w:rPr>
              <w:t>”的为实质性技术参数，投标人必须于投标文件中提供相关有效证明材料并加盖投标人公章进行佐证，[资料可以是国家认可的第三方检测/检验机构出具的检测/检验报告或产品生产厂家出具的技术参数说明(技术白皮书)(加盖投标人公章)]。</w:t>
            </w:r>
          </w:p>
          <w:p>
            <w:pPr>
              <w:pStyle w:val="26"/>
              <w:spacing w:line="288" w:lineRule="auto"/>
              <w:rPr>
                <w:rFonts w:hint="eastAsia" w:eastAsia="宋体"/>
                <w:color w:val="000000" w:themeColor="text1"/>
                <w:sz w:val="24"/>
                <w:szCs w:val="24"/>
                <w:highlight w:val="none"/>
                <w:lang w:eastAsia="zh-CN"/>
                <w14:textFill>
                  <w14:solidFill>
                    <w14:schemeClr w14:val="tx1"/>
                  </w14:solidFill>
                </w14:textFill>
              </w:rPr>
            </w:pPr>
            <w:r>
              <w:rPr>
                <w:rFonts w:hint="eastAsia" w:ascii="宋体" w:hAnsi="宋体" w:eastAsia="宋体"/>
                <w:b/>
                <w:bCs/>
                <w:color w:val="auto"/>
                <w:sz w:val="21"/>
                <w:szCs w:val="21"/>
                <w:highlight w:val="none"/>
                <w:lang w:val="en-US" w:eastAsia="zh-CN"/>
              </w:rPr>
              <w:t>5、</w:t>
            </w:r>
            <w:r>
              <w:rPr>
                <w:rFonts w:hint="eastAsia" w:ascii="宋体" w:hAnsi="宋体" w:eastAsia="宋体"/>
                <w:b/>
                <w:bCs/>
                <w:color w:val="auto"/>
                <w:sz w:val="21"/>
                <w:szCs w:val="21"/>
                <w:highlight w:val="none"/>
              </w:rPr>
              <w:t>商务条款不允许负偏离，否则投标无效</w:t>
            </w:r>
            <w:r>
              <w:rPr>
                <w:rFonts w:hint="eastAsia" w:ascii="宋体" w:hAnsi="宋体" w:eastAsia="宋体"/>
                <w:b/>
                <w:bCs/>
                <w:color w:val="auto"/>
                <w:sz w:val="21"/>
                <w:szCs w:val="21"/>
                <w:highlight w:val="none"/>
                <w:lang w:val="en-US" w:eastAsia="zh-CN"/>
              </w:rPr>
              <w:t>。</w:t>
            </w:r>
          </w:p>
        </w:tc>
      </w:tr>
    </w:tbl>
    <w:p>
      <w:pPr>
        <w:pStyle w:val="54"/>
        <w:numPr>
          <w:ilvl w:val="0"/>
          <w:numId w:val="0"/>
        </w:numPr>
        <w:rPr>
          <w:rFonts w:hint="eastAsia" w:ascii="宋体" w:hAnsi="宋体" w:eastAsia="宋体"/>
          <w:b/>
          <w:color w:val="000000" w:themeColor="text1"/>
          <w:sz w:val="21"/>
          <w:szCs w:val="21"/>
          <w:highlight w:val="none"/>
          <w:lang w:eastAsia="zh-CN"/>
          <w14:textFill>
            <w14:solidFill>
              <w14:schemeClr w14:val="tx1"/>
            </w14:solidFill>
          </w14:textFill>
        </w:rPr>
      </w:pPr>
    </w:p>
    <w:p>
      <w:pPr>
        <w:rPr>
          <w:lang w:eastAsia="zh-CN"/>
        </w:rPr>
      </w:pPr>
      <w:bookmarkStart w:id="153" w:name="_Toc27274"/>
      <w:bookmarkStart w:id="154" w:name="_Toc28447"/>
      <w:bookmarkStart w:id="155" w:name="_Toc25582_WPSOffice_Level1"/>
    </w:p>
    <w:p>
      <w:pPr>
        <w:pStyle w:val="24"/>
        <w:rPr>
          <w:lang w:eastAsia="zh-CN"/>
        </w:rPr>
      </w:pPr>
    </w:p>
    <w:p>
      <w:pPr>
        <w:rPr>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0"/>
        <w:spacing w:line="360" w:lineRule="exact"/>
        <w:jc w:val="center"/>
        <w:outlineLvl w:val="0"/>
        <w:rPr>
          <w:rStyle w:val="58"/>
          <w:rFonts w:hint="eastAsia" w:hAnsi="宋体" w:eastAsia="宋体" w:cs="宋体"/>
          <w:color w:val="000000" w:themeColor="text1"/>
          <w:highlight w:val="none"/>
          <w:lang w:eastAsia="zh-CN"/>
          <w14:textFill>
            <w14:solidFill>
              <w14:schemeClr w14:val="tx1"/>
            </w14:solidFill>
          </w14:textFill>
        </w:rPr>
      </w:pPr>
      <w:r>
        <w:rPr>
          <w:rStyle w:val="58"/>
          <w:rFonts w:hint="eastAsia" w:hAnsi="宋体" w:cs="宋体"/>
          <w:color w:val="000000" w:themeColor="text1"/>
          <w:highlight w:val="none"/>
          <w14:textFill>
            <w14:solidFill>
              <w14:schemeClr w14:val="tx1"/>
            </w14:solidFill>
          </w14:textFill>
        </w:rPr>
        <w:t xml:space="preserve">第四章 </w:t>
      </w:r>
      <w:bookmarkEnd w:id="144"/>
      <w:bookmarkEnd w:id="145"/>
      <w:bookmarkEnd w:id="146"/>
      <w:bookmarkEnd w:id="147"/>
      <w:bookmarkEnd w:id="148"/>
      <w:bookmarkEnd w:id="149"/>
      <w:bookmarkEnd w:id="153"/>
      <w:bookmarkEnd w:id="154"/>
      <w:r>
        <w:rPr>
          <w:rStyle w:val="58"/>
          <w:rFonts w:hint="eastAsia" w:hAnsi="宋体" w:cs="宋体"/>
          <w:color w:val="000000" w:themeColor="text1"/>
          <w:highlight w:val="none"/>
          <w14:textFill>
            <w14:solidFill>
              <w14:schemeClr w14:val="tx1"/>
            </w14:solidFill>
          </w14:textFill>
        </w:rPr>
        <w:t>合同</w:t>
      </w:r>
      <w:bookmarkEnd w:id="155"/>
      <w:r>
        <w:rPr>
          <w:rStyle w:val="58"/>
          <w:rFonts w:hint="eastAsia" w:hAnsi="宋体" w:cs="宋体"/>
          <w:color w:val="000000" w:themeColor="text1"/>
          <w:highlight w:val="none"/>
          <w:lang w:eastAsia="zh-CN"/>
          <w14:textFill>
            <w14:solidFill>
              <w14:schemeClr w14:val="tx1"/>
            </w14:solidFill>
          </w14:textFill>
        </w:rPr>
        <w:t>格式</w:t>
      </w:r>
    </w:p>
    <w:p>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bookmarkStart w:id="156" w:name="_Toc147250397"/>
      <w:bookmarkStart w:id="157" w:name="_Toc147250351"/>
      <w:bookmarkStart w:id="158" w:name="_Toc147250553"/>
    </w:p>
    <w:p>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pPr>
        <w:pStyle w:val="2"/>
        <w:keepNext w:val="0"/>
        <w:keepLines w:val="0"/>
        <w:spacing w:before="0" w:after="0" w:line="600" w:lineRule="exact"/>
        <w:jc w:val="center"/>
        <w:rPr>
          <w:rFonts w:ascii="宋体" w:hAnsi="宋体" w:cs="宋体"/>
          <w:b w:val="0"/>
          <w:color w:val="000000" w:themeColor="text1"/>
          <w:kern w:val="0"/>
          <w:sz w:val="36"/>
          <w:szCs w:val="36"/>
          <w:highlight w:val="none"/>
          <w:lang w:eastAsia="zh-CN"/>
          <w14:textFill>
            <w14:solidFill>
              <w14:schemeClr w14:val="tx1"/>
            </w14:solidFill>
          </w14:textFill>
        </w:rPr>
      </w:pPr>
    </w:p>
    <w:p>
      <w:pPr>
        <w:jc w:val="center"/>
        <w:rPr>
          <w:rFonts w:ascii="宋体" w:hAnsi="宋体"/>
          <w:b/>
          <w:color w:val="000000" w:themeColor="text1"/>
          <w:sz w:val="84"/>
          <w:szCs w:val="84"/>
          <w:highlight w:val="none"/>
          <w:lang w:eastAsia="zh-CN"/>
          <w14:textFill>
            <w14:solidFill>
              <w14:schemeClr w14:val="tx1"/>
            </w14:solidFill>
          </w14:textFill>
        </w:rPr>
      </w:pPr>
      <w:r>
        <w:rPr>
          <w:rFonts w:hint="eastAsia" w:ascii="宋体" w:hAnsi="宋体"/>
          <w:b/>
          <w:color w:val="000000" w:themeColor="text1"/>
          <w:sz w:val="84"/>
          <w:szCs w:val="84"/>
          <w:highlight w:val="none"/>
          <w:lang w:eastAsia="zh-CN"/>
          <w14:textFill>
            <w14:solidFill>
              <w14:schemeClr w14:val="tx1"/>
            </w14:solidFill>
          </w14:textFill>
        </w:rPr>
        <w:t>政府采购合同书</w:t>
      </w:r>
    </w:p>
    <w:p>
      <w:pPr>
        <w:jc w:val="left"/>
        <w:rPr>
          <w:rFonts w:ascii="宋体" w:hAnsi="宋体"/>
          <w:color w:val="000000" w:themeColor="text1"/>
          <w:sz w:val="28"/>
          <w:szCs w:val="28"/>
          <w:highlight w:val="none"/>
          <w:lang w:eastAsia="zh-CN"/>
          <w14:textFill>
            <w14:solidFill>
              <w14:schemeClr w14:val="tx1"/>
            </w14:solidFill>
          </w14:textFill>
        </w:rPr>
      </w:pPr>
    </w:p>
    <w:p>
      <w:pPr>
        <w:pStyle w:val="54"/>
        <w:rPr>
          <w:rFonts w:ascii="宋体" w:hAnsi="宋体"/>
          <w:color w:val="000000" w:themeColor="text1"/>
          <w:sz w:val="28"/>
          <w:szCs w:val="28"/>
          <w:highlight w:val="none"/>
          <w:lang w:eastAsia="zh-CN"/>
          <w14:textFill>
            <w14:solidFill>
              <w14:schemeClr w14:val="tx1"/>
            </w14:solidFill>
          </w14:textFill>
        </w:rPr>
      </w:pPr>
    </w:p>
    <w:p>
      <w:pPr>
        <w:jc w:val="left"/>
        <w:rPr>
          <w:rFonts w:ascii="宋体" w:hAnsi="宋体"/>
          <w:color w:val="000000" w:themeColor="text1"/>
          <w:sz w:val="28"/>
          <w:szCs w:val="28"/>
          <w:highlight w:val="none"/>
          <w:lang w:eastAsia="zh-CN"/>
          <w14:textFill>
            <w14:solidFill>
              <w14:schemeClr w14:val="tx1"/>
            </w14:solidFill>
          </w14:textFill>
        </w:rPr>
      </w:pPr>
    </w:p>
    <w:p>
      <w:pPr>
        <w:spacing w:line="360" w:lineRule="auto"/>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p>
    <w:p>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p>
    <w:p>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 xml:space="preserve">项目名称： </w:t>
      </w:r>
    </w:p>
    <w:p>
      <w:pPr>
        <w:spacing w:line="700" w:lineRule="exact"/>
        <w:ind w:left="1200" w:leftChars="6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项目编号：</w:t>
      </w:r>
    </w:p>
    <w:p>
      <w:pPr>
        <w:spacing w:line="700" w:lineRule="exact"/>
        <w:ind w:left="1200" w:leftChars="600"/>
        <w:jc w:val="left"/>
        <w:rPr>
          <w:rFonts w:ascii="宋体" w:hAnsi="宋体"/>
          <w:b/>
          <w:color w:val="000000" w:themeColor="text1"/>
          <w:sz w:val="32"/>
          <w:szCs w:val="32"/>
          <w:highlight w:val="none"/>
          <w:lang w:eastAsia="zh-CN"/>
          <w14:textFill>
            <w14:solidFill>
              <w14:schemeClr w14:val="tx1"/>
            </w14:solidFill>
          </w14:textFill>
        </w:rPr>
      </w:pPr>
    </w:p>
    <w:p>
      <w:pPr>
        <w:spacing w:line="700" w:lineRule="exact"/>
        <w:ind w:left="2801" w:leftChars="600" w:hanging="1601" w:hangingChars="5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采购单位（甲方）：浦北县中医医院</w:t>
      </w:r>
    </w:p>
    <w:p>
      <w:pPr>
        <w:widowControl/>
        <w:spacing w:line="700" w:lineRule="exact"/>
        <w:ind w:left="2801" w:leftChars="600" w:hanging="1601" w:hangingChars="500"/>
        <w:jc w:val="left"/>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供应商（乙方）：</w:t>
      </w:r>
    </w:p>
    <w:p>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签订合同地点：  浦北县中医医院</w:t>
      </w:r>
    </w:p>
    <w:p>
      <w:pPr>
        <w:spacing w:line="700" w:lineRule="exact"/>
        <w:ind w:left="2801" w:leftChars="600" w:hanging="1601" w:hangingChars="500"/>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签订合同时间：</w:t>
      </w:r>
    </w:p>
    <w:p>
      <w:pPr>
        <w:pStyle w:val="20"/>
        <w:jc w:val="center"/>
        <w:rPr>
          <w:rFonts w:hAnsi="宋体" w:cs="宋体"/>
          <w:color w:val="000000" w:themeColor="text1"/>
          <w:highlight w:val="none"/>
          <w14:textFill>
            <w14:solidFill>
              <w14:schemeClr w14:val="tx1"/>
            </w14:solidFill>
          </w14:textFill>
        </w:rPr>
      </w:pPr>
    </w:p>
    <w:p>
      <w:pPr>
        <w:rPr>
          <w:rFonts w:hAnsi="宋体"/>
          <w:color w:val="000000" w:themeColor="text1"/>
          <w:highlight w:val="none"/>
          <w:lang w:eastAsia="zh-CN"/>
          <w14:textFill>
            <w14:solidFill>
              <w14:schemeClr w14:val="tx1"/>
            </w14:solidFill>
          </w14:textFill>
        </w:rPr>
      </w:pPr>
    </w:p>
    <w:p>
      <w:pPr>
        <w:pStyle w:val="26"/>
        <w:rPr>
          <w:rFonts w:hAnsi="宋体"/>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6"/>
        <w:rPr>
          <w:color w:val="000000" w:themeColor="text1"/>
          <w:highlight w:val="none"/>
          <w:lang w:eastAsia="zh-CN"/>
          <w14:textFill>
            <w14:solidFill>
              <w14:schemeClr w14:val="tx1"/>
            </w14:solidFill>
          </w14:textFill>
        </w:rPr>
      </w:pPr>
    </w:p>
    <w:p>
      <w:pPr>
        <w:rPr>
          <w:lang w:eastAsia="zh-CN"/>
        </w:rPr>
      </w:pPr>
    </w:p>
    <w:p>
      <w:pPr>
        <w:pStyle w:val="24"/>
        <w:rPr>
          <w:lang w:eastAsia="zh-CN"/>
        </w:rPr>
      </w:pPr>
    </w:p>
    <w:p>
      <w:pPr>
        <w:pStyle w:val="26"/>
        <w:rPr>
          <w:color w:val="000000" w:themeColor="text1"/>
          <w:highlight w:val="none"/>
          <w:lang w:eastAsia="zh-CN"/>
          <w14:textFill>
            <w14:solidFill>
              <w14:schemeClr w14:val="tx1"/>
            </w14:solidFill>
          </w14:textFill>
        </w:rPr>
      </w:pPr>
    </w:p>
    <w:p>
      <w:pPr>
        <w:pStyle w:val="20"/>
        <w:spacing w:line="360" w:lineRule="exact"/>
        <w:ind w:firstLine="420" w:firstLineChars="200"/>
        <w:rPr>
          <w:rFonts w:hAnsi="宋体" w:cs="宋体"/>
          <w:color w:val="000000" w:themeColor="text1"/>
          <w:highlight w:val="none"/>
          <w14:textFill>
            <w14:solidFill>
              <w14:schemeClr w14:val="tx1"/>
            </w14:solidFill>
          </w14:textFill>
        </w:rPr>
      </w:pPr>
    </w:p>
    <w:p>
      <w:pPr>
        <w:spacing w:line="240" w:lineRule="auto"/>
        <w:ind w:firstLine="2241" w:firstLineChars="700"/>
        <w:jc w:val="both"/>
        <w:rPr>
          <w:rFonts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广西壮族自治区政府采购合同（格式）</w:t>
      </w:r>
    </w:p>
    <w:p>
      <w:pPr>
        <w:spacing w:line="240" w:lineRule="auto"/>
        <w:jc w:val="center"/>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（浦北县中医医院货物采购合同范本）</w:t>
      </w:r>
    </w:p>
    <w:p>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合同编号：</w:t>
      </w:r>
    </w:p>
    <w:p>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采购人（甲方）：                                  采 购 计 划 号：                         </w:t>
      </w:r>
    </w:p>
    <w:p>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供应商（乙方）：                                  采购项目名称和编号：                       </w:t>
      </w:r>
    </w:p>
    <w:p>
      <w:pPr>
        <w:spacing w:line="40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签  订  地  点：                                  签 订 时 间：                       </w:t>
      </w:r>
    </w:p>
    <w:p>
      <w:pPr>
        <w:spacing w:line="400" w:lineRule="exact"/>
        <w:ind w:left="798"/>
        <w:rPr>
          <w:rFonts w:ascii="宋体" w:hAnsi="宋体"/>
          <w:color w:val="000000" w:themeColor="text1"/>
          <w:sz w:val="22"/>
          <w:highlight w:val="none"/>
          <w:lang w:eastAsia="zh-CN"/>
          <w14:textFill>
            <w14:solidFill>
              <w14:schemeClr w14:val="tx1"/>
            </w14:solidFill>
          </w14:textFill>
        </w:rPr>
      </w:pP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根据《中华人民共和国政府采购法》《中华人民共和国民法典》之合同编等法律、法规规定，按照</w:t>
      </w:r>
      <w:r>
        <w:rPr>
          <w:rFonts w:hint="eastAsia" w:ascii="宋体" w:hAnsi="宋体" w:eastAsia="宋体"/>
          <w:color w:val="000000" w:themeColor="text1"/>
          <w:sz w:val="22"/>
          <w:highlight w:val="none"/>
          <w:lang w:eastAsia="zh-CN"/>
          <w14:textFill>
            <w14:solidFill>
              <w14:schemeClr w14:val="tx1"/>
            </w14:solidFill>
          </w14:textFill>
        </w:rPr>
        <w:t>公开招标文件</w:t>
      </w:r>
      <w:r>
        <w:rPr>
          <w:rFonts w:hint="eastAsia" w:ascii="宋体" w:hAnsi="宋体"/>
          <w:color w:val="000000" w:themeColor="text1"/>
          <w:sz w:val="22"/>
          <w:highlight w:val="none"/>
          <w:lang w:eastAsia="zh-CN"/>
          <w14:textFill>
            <w14:solidFill>
              <w14:schemeClr w14:val="tx1"/>
            </w14:solidFill>
          </w14:textFill>
        </w:rPr>
        <w:t>（以下简称“</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”）规定条款和乙方</w:t>
      </w:r>
      <w:r>
        <w:rPr>
          <w:rFonts w:hint="eastAsia" w:ascii="宋体" w:hAnsi="宋体" w:eastAsia="宋体"/>
          <w:color w:val="000000" w:themeColor="text1"/>
          <w:sz w:val="22"/>
          <w:highlight w:val="none"/>
          <w:lang w:eastAsia="zh-CN"/>
          <w14:textFill>
            <w14:solidFill>
              <w14:schemeClr w14:val="tx1"/>
            </w14:solidFill>
          </w14:textFill>
        </w:rPr>
        <w:t>投标响应文件</w:t>
      </w:r>
      <w:r>
        <w:rPr>
          <w:rFonts w:hint="eastAsia" w:ascii="宋体" w:hAnsi="宋体"/>
          <w:color w:val="000000" w:themeColor="text1"/>
          <w:sz w:val="22"/>
          <w:highlight w:val="none"/>
          <w:lang w:eastAsia="zh-CN"/>
          <w14:textFill>
            <w14:solidFill>
              <w14:schemeClr w14:val="tx1"/>
            </w14:solidFill>
          </w14:textFill>
        </w:rPr>
        <w:t>（以下简称“响应文件”）及其承诺，甲乙双方签订本合同。</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第一条　合同标的</w:t>
      </w:r>
    </w:p>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供货一览表</w:t>
      </w:r>
    </w:p>
    <w:tbl>
      <w:tblPr>
        <w:tblStyle w:val="3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54"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序号</w:t>
            </w:r>
          </w:p>
        </w:tc>
        <w:tc>
          <w:tcPr>
            <w:tcW w:w="1555" w:type="dxa"/>
            <w:vAlign w:val="center"/>
          </w:tcPr>
          <w:p>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产品名称</w:t>
            </w:r>
          </w:p>
        </w:tc>
        <w:tc>
          <w:tcPr>
            <w:tcW w:w="992" w:type="dxa"/>
            <w:vAlign w:val="center"/>
          </w:tcPr>
          <w:p>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商标品牌</w:t>
            </w:r>
          </w:p>
        </w:tc>
        <w:tc>
          <w:tcPr>
            <w:tcW w:w="1276" w:type="dxa"/>
            <w:vAlign w:val="center"/>
          </w:tcPr>
          <w:p>
            <w:pPr>
              <w:spacing w:line="440" w:lineRule="exact"/>
              <w:ind w:left="200" w:leftChars="100"/>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规格型号</w:t>
            </w:r>
          </w:p>
        </w:tc>
        <w:tc>
          <w:tcPr>
            <w:tcW w:w="745"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生产厂家</w:t>
            </w:r>
          </w:p>
        </w:tc>
        <w:tc>
          <w:tcPr>
            <w:tcW w:w="531"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数量</w:t>
            </w:r>
          </w:p>
        </w:tc>
        <w:tc>
          <w:tcPr>
            <w:tcW w:w="567"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单位</w:t>
            </w:r>
          </w:p>
        </w:tc>
        <w:tc>
          <w:tcPr>
            <w:tcW w:w="850"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单价（元）</w:t>
            </w:r>
          </w:p>
        </w:tc>
        <w:tc>
          <w:tcPr>
            <w:tcW w:w="851" w:type="dxa"/>
            <w:vAlign w:val="center"/>
          </w:tcPr>
          <w:p>
            <w:pPr>
              <w:spacing w:line="440" w:lineRule="exact"/>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金额（元）</w:t>
            </w:r>
          </w:p>
        </w:tc>
        <w:tc>
          <w:tcPr>
            <w:tcW w:w="1436" w:type="dxa"/>
            <w:vAlign w:val="center"/>
          </w:tcPr>
          <w:p>
            <w:pPr>
              <w:spacing w:line="440" w:lineRule="exact"/>
              <w:jc w:val="center"/>
              <w:rPr>
                <w:rFonts w:ascii="宋体" w:hAnsi="宋体"/>
                <w:color w:val="000000" w:themeColor="text1"/>
                <w:sz w:val="22"/>
                <w:highlight w:val="none"/>
                <w:lang w:eastAsia="zh-CN"/>
                <w14:textFill>
                  <w14:solidFill>
                    <w14:schemeClr w14:val="tx1"/>
                  </w14:solidFill>
                </w14:textFill>
              </w:rPr>
            </w:pPr>
            <w:r>
              <w:rPr>
                <w:rFonts w:ascii="宋体" w:hAnsi="宋体"/>
                <w:color w:val="000000" w:themeColor="text1"/>
                <w:sz w:val="22"/>
                <w:highlight w:val="none"/>
                <w:lang w:eastAsia="zh-CN"/>
                <w14:textFill>
                  <w14:solidFill>
                    <w14:schemeClr w14:val="tx1"/>
                  </w14:solidFill>
                </w14:textFill>
              </w:rPr>
              <w:t>产品医疗设备注册证号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pPr>
              <w:spacing w:line="440" w:lineRule="exact"/>
              <w:ind w:left="798"/>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1</w:t>
            </w:r>
          </w:p>
        </w:tc>
        <w:tc>
          <w:tcPr>
            <w:tcW w:w="1555" w:type="dxa"/>
            <w:vAlign w:val="center"/>
          </w:tcPr>
          <w:p>
            <w:pPr>
              <w:spacing w:line="440" w:lineRule="exact"/>
              <w:rPr>
                <w:rFonts w:ascii="宋体" w:hAnsi="宋体"/>
                <w:color w:val="000000" w:themeColor="text1"/>
                <w:sz w:val="22"/>
                <w:highlight w:val="none"/>
                <w:lang w:eastAsia="zh-CN"/>
                <w14:textFill>
                  <w14:solidFill>
                    <w14:schemeClr w14:val="tx1"/>
                  </w14:solidFill>
                </w14:textFill>
              </w:rPr>
            </w:pPr>
            <w:r>
              <w:rPr>
                <w:rFonts w:ascii="宋体" w:hAnsi="宋体"/>
                <w:color w:val="000000" w:themeColor="text1"/>
                <w:sz w:val="22"/>
                <w:highlight w:val="none"/>
                <w:lang w:eastAsia="zh-CN"/>
                <w14:textFill>
                  <w14:solidFill>
                    <w14:schemeClr w14:val="tx1"/>
                  </w14:solidFill>
                </w14:textFill>
              </w:rPr>
              <w:t>招标货物名称</w:t>
            </w:r>
            <w:r>
              <w:rPr>
                <w:rFonts w:hint="eastAsia" w:ascii="宋体" w:hAnsi="宋体"/>
                <w:color w:val="000000" w:themeColor="text1"/>
                <w:sz w:val="22"/>
                <w:highlight w:val="none"/>
                <w:lang w:eastAsia="zh-CN"/>
                <w14:textFill>
                  <w14:solidFill>
                    <w14:schemeClr w14:val="tx1"/>
                  </w14:solidFill>
                </w14:textFill>
              </w:rPr>
              <w:t>（货物注册证名称）</w:t>
            </w:r>
          </w:p>
        </w:tc>
        <w:tc>
          <w:tcPr>
            <w:tcW w:w="992"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555"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992"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555"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992"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27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745"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3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567"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0"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851"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c>
          <w:tcPr>
            <w:tcW w:w="1436" w:type="dxa"/>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人民币合计金额（大写）                          （小写）                 </w:t>
            </w:r>
          </w:p>
        </w:tc>
      </w:tr>
    </w:tbl>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2、合同合计金额是履行合同的最终价格，应包含产品价、运输费（含装卸费）、保 险费、安装调试费、税费、培训费、产品检测费、产品质保期内维护费等费用。对于本 文件中明确列明必须报价的货物或服务，投标人应分别报价。对于本文件中未列明，而 投标人认为必需的费用也需列入总报价。在合同实施时，采购人将不予支付投标人没有 列入的项目费用，并认为此项目的费用已包含在投标总报价中。</w:t>
      </w:r>
    </w:p>
    <w:p>
      <w:pPr>
        <w:pStyle w:val="54"/>
        <w:rPr>
          <w:rFonts w:eastAsia="仿宋_GB2312"/>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ascii="宋体" w:hAnsi="宋体"/>
          <w:color w:val="000000" w:themeColor="text1"/>
          <w:spacing w:val="0"/>
          <w:kern w:val="2"/>
          <w:sz w:val="22"/>
          <w:szCs w:val="22"/>
          <w:highlight w:val="none"/>
          <w:lang w:eastAsia="zh-CN"/>
          <w14:textFill>
            <w14:solidFill>
              <w14:schemeClr w14:val="tx1"/>
            </w14:solidFill>
          </w14:textFill>
        </w:rPr>
        <w:t>设备如需接入医院HIS、LIS、PACS系统或互联互通平台，相关费用由中标供应商负责。</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第二条　质量保证</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1、乙方所提供的货物型号、技术规格、技术参数等质量必须与</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、响应文件和承诺相一致。乙方提供的节能和环保产品必须是列入政府采购清单的产品。</w:t>
      </w:r>
    </w:p>
    <w:p>
      <w:pPr>
        <w:spacing w:line="440" w:lineRule="exact"/>
        <w:ind w:firstLine="220" w:firstLineChars="100"/>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2、乙方所提供的货物必须是全新、未经使用的原装产品，</w:t>
      </w:r>
      <w:r>
        <w:rPr>
          <w:rFonts w:hint="eastAsia" w:ascii="宋体" w:hAnsi="宋体"/>
          <w:color w:val="000000" w:themeColor="text1"/>
          <w:sz w:val="21"/>
          <w:szCs w:val="21"/>
          <w:highlight w:val="none"/>
          <w14:textFill>
            <w14:solidFill>
              <w14:schemeClr w14:val="tx1"/>
            </w14:solidFill>
          </w14:textFill>
        </w:rPr>
        <w:t>进口设备生产日期在一年内（国产的在半年内），</w:t>
      </w:r>
      <w:r>
        <w:rPr>
          <w:rFonts w:hint="eastAsia" w:ascii="宋体" w:hAnsi="宋体" w:eastAsia="宋体" w:cs="宋体"/>
          <w:color w:val="000000" w:themeColor="text1"/>
          <w:sz w:val="22"/>
          <w:szCs w:val="22"/>
          <w:highlight w:val="none"/>
          <w:lang w:eastAsia="zh-CN"/>
          <w14:textFill>
            <w14:solidFill>
              <w14:schemeClr w14:val="tx1"/>
            </w14:solidFill>
          </w14:textFill>
        </w:rPr>
        <w:t>以及</w:t>
      </w:r>
      <w:r>
        <w:rPr>
          <w:rFonts w:hint="eastAsia" w:ascii="宋体" w:hAnsi="宋体" w:eastAsia="宋体" w:cs="宋体"/>
          <w:color w:val="000000" w:themeColor="text1"/>
          <w:sz w:val="22"/>
          <w:szCs w:val="22"/>
          <w:highlight w:val="none"/>
          <w14:textFill>
            <w14:solidFill>
              <w14:schemeClr w14:val="tx1"/>
            </w14:solidFill>
          </w14:textFill>
        </w:rPr>
        <w:t>所有零部件、配件</w:t>
      </w:r>
      <w:r>
        <w:rPr>
          <w:rFonts w:hint="eastAsia" w:ascii="宋体" w:hAnsi="宋体" w:eastAsia="宋体" w:cs="宋体"/>
          <w:color w:val="000000" w:themeColor="text1"/>
          <w:sz w:val="22"/>
          <w:szCs w:val="22"/>
          <w:highlight w:val="none"/>
          <w:lang w:eastAsia="zh-CN"/>
          <w14:textFill>
            <w14:solidFill>
              <w14:schemeClr w14:val="tx1"/>
            </w14:solidFill>
          </w14:textFill>
        </w:rPr>
        <w:t>均</w:t>
      </w:r>
      <w:r>
        <w:rPr>
          <w:rFonts w:hint="eastAsia" w:ascii="宋体" w:hAnsi="宋体" w:eastAsia="宋体" w:cs="宋体"/>
          <w:color w:val="000000" w:themeColor="text1"/>
          <w:sz w:val="22"/>
          <w:szCs w:val="22"/>
          <w:highlight w:val="none"/>
          <w14:textFill>
            <w14:solidFill>
              <w14:schemeClr w14:val="tx1"/>
            </w14:solidFill>
          </w14:textFill>
        </w:rPr>
        <w:t>必须是全新</w:t>
      </w:r>
      <w:r>
        <w:rPr>
          <w:rFonts w:hint="eastAsia" w:ascii="宋体" w:hAnsi="宋体" w:eastAsia="宋体" w:cs="宋体"/>
          <w:color w:val="000000" w:themeColor="text1"/>
          <w:sz w:val="22"/>
          <w:szCs w:val="22"/>
          <w:highlight w:val="none"/>
          <w:lang w:eastAsia="zh-CN"/>
          <w14:textFill>
            <w14:solidFill>
              <w14:schemeClr w14:val="tx1"/>
            </w14:solidFill>
          </w14:textFill>
        </w:rPr>
        <w:t>未经使用的并符合国家有关质量安全标准的产品。</w:t>
      </w:r>
      <w:r>
        <w:rPr>
          <w:rFonts w:hint="eastAsia" w:ascii="宋体" w:hAnsi="宋体"/>
          <w:color w:val="000000" w:themeColor="text1"/>
          <w:sz w:val="21"/>
          <w:szCs w:val="21"/>
          <w:highlight w:val="none"/>
          <w14:textFill>
            <w14:solidFill>
              <w14:schemeClr w14:val="tx1"/>
            </w14:solidFill>
          </w14:textFill>
        </w:rPr>
        <w:t>在装机、验收、入库期间有质量问题应提供整机更换或退货。</w:t>
      </w:r>
      <w:r>
        <w:rPr>
          <w:rFonts w:hint="eastAsia" w:ascii="宋体" w:hAnsi="宋体"/>
          <w:color w:val="000000" w:themeColor="text1"/>
          <w:sz w:val="22"/>
          <w:highlight w:val="none"/>
          <w:lang w:eastAsia="zh-CN"/>
          <w14:textFill>
            <w14:solidFill>
              <w14:schemeClr w14:val="tx1"/>
            </w14:solidFill>
          </w14:textFill>
        </w:rPr>
        <w:t>且在正常安装、使用和保养条件下，其使用寿命期内各项指标均达到质量要求。</w:t>
      </w:r>
      <w:r>
        <w:rPr>
          <w:rFonts w:hint="eastAsia" w:ascii="宋体" w:hAnsi="宋体" w:eastAsia="宋体" w:cs="宋体"/>
          <w:color w:val="000000" w:themeColor="text1"/>
          <w:sz w:val="22"/>
          <w:szCs w:val="22"/>
          <w:highlight w:val="none"/>
          <w:lang w:eastAsia="zh-CN"/>
          <w14:textFill>
            <w14:solidFill>
              <w14:schemeClr w14:val="tx1"/>
            </w14:solidFill>
          </w14:textFill>
        </w:rPr>
        <w:t>所有货物都提供使用说明书和详细装箱清单及质量合格证。</w:t>
      </w:r>
    </w:p>
    <w:p>
      <w:pPr>
        <w:pStyle w:val="21"/>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hAnsi="宋体" w:eastAsia="Times New Roman" w:cs="宋体"/>
          <w:bCs w:val="0"/>
          <w:color w:val="000000" w:themeColor="text1"/>
          <w:kern w:val="0"/>
          <w:sz w:val="21"/>
          <w:szCs w:val="21"/>
          <w:highlight w:val="none"/>
          <w:lang w:val="en-US" w:eastAsia="en-US"/>
          <w14:textFill>
            <w14:solidFill>
              <w14:schemeClr w14:val="tx1"/>
            </w14:solidFill>
          </w14:textFill>
        </w:rPr>
      </w:pPr>
      <w:r>
        <w:rPr>
          <w:rFonts w:hint="eastAsia"/>
          <w:lang w:val="en-US" w:eastAsia="zh-CN"/>
        </w:rPr>
        <w:t xml:space="preserve">    </w:t>
      </w:r>
      <w:r>
        <w:rPr>
          <w:rFonts w:hint="eastAsia" w:hAnsi="宋体" w:eastAsia="Times New Roman" w:cs="宋体"/>
          <w:bCs w:val="0"/>
          <w:color w:val="000000" w:themeColor="text1"/>
          <w:kern w:val="0"/>
          <w:sz w:val="21"/>
          <w:szCs w:val="21"/>
          <w:highlight w:val="none"/>
          <w:lang w:val="en-US" w:eastAsia="en-US"/>
          <w14:textFill>
            <w14:solidFill>
              <w14:schemeClr w14:val="tx1"/>
            </w14:solidFill>
          </w14:textFill>
        </w:rPr>
        <w:t>3、货物使用期限，自货物生产日期起，不少于</w:t>
      </w:r>
      <w:r>
        <w:rPr>
          <w:rFonts w:hint="eastAsia" w:hAnsi="宋体" w:eastAsia="宋体" w:cs="宋体"/>
          <w:bCs w:val="0"/>
          <w:color w:val="000000" w:themeColor="text1"/>
          <w:kern w:val="0"/>
          <w:sz w:val="21"/>
          <w:szCs w:val="21"/>
          <w:highlight w:val="none"/>
          <w:lang w:val="en-US" w:eastAsia="zh-CN"/>
          <w14:textFill>
            <w14:solidFill>
              <w14:schemeClr w14:val="tx1"/>
            </w14:solidFill>
          </w14:textFill>
        </w:rPr>
        <w:t>10</w:t>
      </w:r>
      <w:r>
        <w:rPr>
          <w:rFonts w:hint="eastAsia" w:hAnsi="宋体" w:eastAsia="Times New Roman" w:cs="宋体"/>
          <w:bCs w:val="0"/>
          <w:color w:val="000000" w:themeColor="text1"/>
          <w:kern w:val="0"/>
          <w:sz w:val="21"/>
          <w:szCs w:val="21"/>
          <w:highlight w:val="none"/>
          <w:lang w:val="en-US" w:eastAsia="en-US"/>
          <w14:textFill>
            <w14:solidFill>
              <w14:schemeClr w14:val="tx1"/>
            </w14:solidFill>
          </w14:textFill>
        </w:rPr>
        <w:t>年；提供铭牌标识、照片或说明书相关页面复印件；货物无使用期限的，提供说明。</w:t>
      </w:r>
    </w:p>
    <w:p>
      <w:pPr>
        <w:pStyle w:val="24"/>
        <w:ind w:firstLine="420" w:firstLineChars="200"/>
        <w:rPr>
          <w:rFonts w:hint="eastAsia" w:hAnsi="宋体"/>
          <w:color w:val="000000" w:themeColor="text1"/>
          <w:kern w:val="0"/>
          <w:sz w:val="21"/>
          <w:szCs w:val="21"/>
          <w:highlight w:val="none"/>
          <w:lang w:val="en-US" w:eastAsia="en-US"/>
          <w14:textFill>
            <w14:solidFill>
              <w14:schemeClr w14:val="tx1"/>
            </w14:solidFill>
          </w14:textFill>
        </w:rPr>
      </w:pPr>
      <w:r>
        <w:rPr>
          <w:rFonts w:hint="eastAsia" w:hAnsi="宋体"/>
          <w:color w:val="000000" w:themeColor="text1"/>
          <w:kern w:val="0"/>
          <w:sz w:val="21"/>
          <w:szCs w:val="21"/>
          <w:highlight w:val="none"/>
          <w:lang w:val="en-US" w:eastAsia="en-US"/>
          <w14:textFill>
            <w14:solidFill>
              <w14:schemeClr w14:val="tx1"/>
            </w14:solidFill>
          </w14:textFill>
        </w:rPr>
        <w:t xml:space="preserve">4、货物生产日期，货物生产日期（以产品标签、标识为准）：货物到达买方机房之日前6个月内(国产产品)、8 个月内(进口产品)；货物使用期限≥10 年，货物生产日期为到达买方机房之日前 </w:t>
      </w:r>
      <w:r>
        <w:rPr>
          <w:rFonts w:hint="eastAsia" w:hAnsi="宋体" w:eastAsia="宋体"/>
          <w:color w:val="000000" w:themeColor="text1"/>
          <w:kern w:val="0"/>
          <w:sz w:val="21"/>
          <w:szCs w:val="21"/>
          <w:highlight w:val="none"/>
          <w:lang w:val="en-US" w:eastAsia="zh-CN"/>
          <w14:textFill>
            <w14:solidFill>
              <w14:schemeClr w14:val="tx1"/>
            </w14:solidFill>
          </w14:textFill>
        </w:rPr>
        <w:t>6</w:t>
      </w:r>
      <w:r>
        <w:rPr>
          <w:rFonts w:hint="eastAsia" w:hAnsi="宋体"/>
          <w:color w:val="000000" w:themeColor="text1"/>
          <w:kern w:val="0"/>
          <w:sz w:val="21"/>
          <w:szCs w:val="21"/>
          <w:highlight w:val="none"/>
          <w:lang w:val="en-US" w:eastAsia="en-US"/>
          <w14:textFill>
            <w14:solidFill>
              <w14:schemeClr w14:val="tx1"/>
            </w14:solidFill>
          </w14:textFill>
        </w:rPr>
        <w:t xml:space="preserve"> 个月内。 </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第三条　权利保证</w:t>
      </w:r>
    </w:p>
    <w:p>
      <w:pPr>
        <w:spacing w:line="440" w:lineRule="exact"/>
        <w:ind w:firstLine="528" w:firstLineChars="2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乙方应保证所提供货物在使用时不会侵犯任何第三方的专利权、商标权、工业设计权或其他权利。</w:t>
      </w:r>
    </w:p>
    <w:p>
      <w:pPr>
        <w:spacing w:line="440" w:lineRule="exact"/>
        <w:ind w:firstLine="528" w:firstLineChars="2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乙方应按</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规定的时间或响应文件承诺的时间向甲方提供使用货物的有关技术资料。</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乙方保证所交付的货物的所有权完全属于乙方且无任何抵押、质押、查封等产权瑕疵。</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第四条　包装和运输</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1、乙方提供的货物均应按</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、响应文件要求的包装材料、包装标准、包装方式进行包装，每一包装单元内应附详细的装箱单和质量合格证。</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2、货物的运输方式：</w:t>
      </w:r>
      <w:r>
        <w:rPr>
          <w:rFonts w:hint="eastAsia" w:ascii="宋体" w:hAnsi="宋体"/>
          <w:color w:val="000000" w:themeColor="text1"/>
          <w:sz w:val="22"/>
          <w:highlight w:val="none"/>
          <w:u w:val="single"/>
          <w:lang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3、乙方负责货物运输，货物运输合理损耗及计算方法：</w:t>
      </w:r>
      <w:r>
        <w:rPr>
          <w:rFonts w:hint="eastAsia" w:ascii="宋体" w:hAnsi="宋体"/>
          <w:color w:val="000000" w:themeColor="text1"/>
          <w:sz w:val="22"/>
          <w:highlight w:val="none"/>
          <w:u w:val="single"/>
          <w:lang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w:t>
      </w:r>
    </w:p>
    <w:p>
      <w:pPr>
        <w:spacing w:line="440" w:lineRule="exact"/>
        <w:ind w:firstLine="638" w:firstLineChars="2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第五条　交付和验收</w:t>
      </w:r>
    </w:p>
    <w:p>
      <w:pPr>
        <w:spacing w:line="440" w:lineRule="exact"/>
        <w:ind w:firstLine="330" w:firstLineChars="15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1、交付使用时间：</w:t>
      </w:r>
      <w:r>
        <w:rPr>
          <w:rFonts w:hint="eastAsia" w:ascii="宋体" w:hAnsi="宋体"/>
          <w:color w:val="000000" w:themeColor="text1"/>
          <w:sz w:val="22"/>
          <w:highlight w:val="none"/>
          <w:u w:val="single"/>
          <w:lang w:eastAsia="zh-CN"/>
          <w14:textFill>
            <w14:solidFill>
              <w14:schemeClr w14:val="tx1"/>
            </w14:solidFill>
          </w14:textFill>
        </w:rPr>
        <w:t>按乙方响应文件中所承诺的时间；地点：采购人指定地点（</w:t>
      </w:r>
      <w:r>
        <w:rPr>
          <w:rFonts w:hint="eastAsia" w:ascii="宋体" w:hAnsi="宋体"/>
          <w:color w:val="000000" w:themeColor="text1"/>
          <w:sz w:val="22"/>
          <w:highlight w:val="none"/>
          <w:u w:val="single"/>
          <w:lang w:val="en-US" w:eastAsia="zh-CN"/>
          <w14:textFill>
            <w14:solidFill>
              <w14:schemeClr w14:val="tx1"/>
            </w14:solidFill>
          </w14:textFill>
        </w:rPr>
        <w:t>采购单位放射科MR室</w:t>
      </w:r>
      <w:r>
        <w:rPr>
          <w:rFonts w:hint="eastAsia" w:ascii="宋体" w:hAnsi="宋体"/>
          <w:color w:val="000000" w:themeColor="text1"/>
          <w:sz w:val="22"/>
          <w:highlight w:val="none"/>
          <w:u w:val="single"/>
          <w:lang w:eastAsia="zh-CN"/>
          <w14:textFill>
            <w14:solidFill>
              <w14:schemeClr w14:val="tx1"/>
            </w14:solidFill>
          </w14:textFill>
        </w:rPr>
        <w:t>）。</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2、乙方提供不符合</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、响应文件和本合同规定的货物，甲方有权拒绝接受。</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3、乙方应将所提供货物的装箱清单、用户手册、原厂保修卡、随机资料、工具和备品、备件等交付给甲方，如有缺失应及时补齐，否则视为逾期交货。</w:t>
      </w:r>
    </w:p>
    <w:p>
      <w:pPr>
        <w:spacing w:line="440" w:lineRule="exact"/>
        <w:ind w:firstLine="220" w:firstLineChars="1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4、甲方应当在到货（安装、调试完</w:t>
      </w:r>
      <w:r>
        <w:rPr>
          <w:rFonts w:hint="eastAsia" w:ascii="宋体" w:hAnsi="宋体" w:eastAsia="宋体"/>
          <w:color w:val="000000" w:themeColor="text1"/>
          <w:sz w:val="22"/>
          <w:highlight w:val="none"/>
          <w:lang w:eastAsia="zh-CN"/>
          <w14:textFill>
            <w14:solidFill>
              <w14:schemeClr w14:val="tx1"/>
            </w14:solidFill>
          </w14:textFill>
        </w:rPr>
        <w:t>毕</w:t>
      </w:r>
      <w:r>
        <w:rPr>
          <w:rFonts w:hint="eastAsia" w:ascii="宋体" w:hAnsi="宋体"/>
          <w:color w:val="000000" w:themeColor="text1"/>
          <w:sz w:val="22"/>
          <w:highlight w:val="none"/>
          <w:lang w:eastAsia="zh-CN"/>
          <w14:textFill>
            <w14:solidFill>
              <w14:schemeClr w14:val="tx1"/>
            </w14:solidFill>
          </w14:textFill>
        </w:rPr>
        <w:t>）后七个工作日内进行验收，逾期不验收的，乙方可视同验收合格。验收合格后由甲乙双方签署货物验收单并加盖采购人公章，甲乙双方各执一份。</w:t>
      </w:r>
    </w:p>
    <w:p>
      <w:pPr>
        <w:spacing w:line="440" w:lineRule="exact"/>
        <w:ind w:firstLine="220" w:firstLineChars="1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6、甲方对验收有异议的，在验收后五个工作日内以书面形式向乙方提出，乙方应自收到甲方书面异议后</w:t>
      </w:r>
      <w:r>
        <w:rPr>
          <w:rFonts w:hint="eastAsia" w:ascii="宋体" w:hAnsi="宋体"/>
          <w:color w:val="000000" w:themeColor="text1"/>
          <w:sz w:val="22"/>
          <w:highlight w:val="none"/>
          <w:u w:val="single"/>
          <w:lang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日内及时予以解决。</w:t>
      </w:r>
    </w:p>
    <w:p>
      <w:pPr>
        <w:spacing w:line="440" w:lineRule="exact"/>
        <w:ind w:firstLine="220" w:firstLineChars="1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第六条　安装和培训</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1、甲方应提供必要安装条件（如场地、电源、水源等）。</w:t>
      </w:r>
    </w:p>
    <w:p>
      <w:pPr>
        <w:spacing w:line="440" w:lineRule="exact"/>
        <w:ind w:firstLine="110" w:firstLineChars="50"/>
        <w:rPr>
          <w:rFonts w:ascii="宋体" w:hAnsi="宋体"/>
          <w:color w:val="000000" w:themeColor="text1"/>
          <w:sz w:val="22"/>
          <w:highlight w:val="none"/>
          <w:u w:val="singl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2、乙方负责甲方有关人员的培训。培训时间、地点</w:t>
      </w:r>
      <w:r>
        <w:rPr>
          <w:rFonts w:hint="eastAsia" w:ascii="宋体" w:hAnsi="宋体"/>
          <w:color w:val="000000" w:themeColor="text1"/>
          <w:sz w:val="22"/>
          <w:highlight w:val="none"/>
          <w:u w:val="single"/>
          <w:lang w:eastAsia="zh-CN"/>
          <w14:textFill>
            <w14:solidFill>
              <w14:schemeClr w14:val="tx1"/>
            </w14:solidFill>
          </w14:textFill>
        </w:rPr>
        <w:t xml:space="preserve">：由甲方根据情况合理安排 </w:t>
      </w:r>
      <w:r>
        <w:rPr>
          <w:rFonts w:hint="eastAsia" w:ascii="宋体" w:hAnsi="宋体"/>
          <w:color w:val="000000" w:themeColor="text1"/>
          <w:sz w:val="22"/>
          <w:highlight w:val="none"/>
          <w:lang w:eastAsia="zh-CN"/>
          <w14:textFill>
            <w14:solidFill>
              <w14:schemeClr w14:val="tx1"/>
            </w14:solidFill>
          </w14:textFill>
        </w:rPr>
        <w:t>。</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第七条  售后服务、保修期</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1、乙方应按照国家有关法律法规和“三包”规定以及</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、响应文件和本合同所附的《服务承诺》，为甲方提供售后服务。</w:t>
      </w:r>
    </w:p>
    <w:p>
      <w:pPr>
        <w:spacing w:line="440" w:lineRule="exact"/>
        <w:ind w:firstLine="330" w:firstLineChars="15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2、货物保修期：</w:t>
      </w:r>
      <w:r>
        <w:rPr>
          <w:rFonts w:hint="eastAsia" w:ascii="宋体" w:hAnsi="宋体"/>
          <w:color w:val="000000" w:themeColor="text1"/>
          <w:sz w:val="22"/>
          <w:highlight w:val="none"/>
          <w:u w:val="single"/>
          <w:lang w:eastAsia="zh-CN"/>
          <w14:textFill>
            <w14:solidFill>
              <w14:schemeClr w14:val="tx1"/>
            </w14:solidFill>
          </w14:textFill>
        </w:rPr>
        <w:t xml:space="preserve">按响应文件的承诺  </w:t>
      </w:r>
      <w:r>
        <w:rPr>
          <w:rFonts w:hint="eastAsia" w:ascii="宋体" w:hAnsi="宋体"/>
          <w:color w:val="000000" w:themeColor="text1"/>
          <w:sz w:val="22"/>
          <w:highlight w:val="none"/>
          <w:lang w:eastAsia="zh-CN"/>
          <w14:textFill>
            <w14:solidFill>
              <w14:schemeClr w14:val="tx1"/>
            </w14:solidFill>
          </w14:textFill>
        </w:rPr>
        <w:t>。</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3、乙方提供的服务承诺和售后服务及保修期责任等</w:t>
      </w:r>
      <w:r>
        <w:rPr>
          <w:rFonts w:hint="eastAsia" w:ascii="宋体" w:hAnsi="宋体" w:eastAsia="宋体"/>
          <w:color w:val="000000" w:themeColor="text1"/>
          <w:sz w:val="22"/>
          <w:highlight w:val="none"/>
          <w:lang w:eastAsia="zh-CN"/>
          <w14:textFill>
            <w14:solidFill>
              <w14:schemeClr w14:val="tx1"/>
            </w14:solidFill>
          </w14:textFill>
        </w:rPr>
        <w:t>其他</w:t>
      </w:r>
      <w:r>
        <w:rPr>
          <w:rFonts w:hint="eastAsia" w:ascii="宋体" w:hAnsi="宋体"/>
          <w:color w:val="000000" w:themeColor="text1"/>
          <w:sz w:val="22"/>
          <w:highlight w:val="none"/>
          <w:lang w:eastAsia="zh-CN"/>
          <w14:textFill>
            <w14:solidFill>
              <w14:schemeClr w14:val="tx1"/>
            </w14:solidFill>
          </w14:textFill>
        </w:rPr>
        <w:t>具体约定事项。（见合同附件）</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第八条　付款方式和保证金</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1、当采购数量与实际使用数量不一致时，乙方应根据实际使用量供货，合同的最终结算金额按实际使用量乘以成交单价进行计算。</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2、资金性质：</w:t>
      </w:r>
      <w:r>
        <w:rPr>
          <w:rFonts w:hint="eastAsia" w:ascii="宋体" w:hAnsi="宋体"/>
          <w:color w:val="000000" w:themeColor="text1"/>
          <w:sz w:val="22"/>
          <w:highlight w:val="none"/>
          <w:u w:val="single"/>
          <w:lang w:eastAsia="zh-CN"/>
          <w14:textFill>
            <w14:solidFill>
              <w14:schemeClr w14:val="tx1"/>
            </w14:solidFill>
          </w14:textFill>
        </w:rPr>
        <w:t xml:space="preserve">  自筹资金   </w:t>
      </w:r>
      <w:r>
        <w:rPr>
          <w:rFonts w:hint="eastAsia" w:ascii="宋体" w:hAnsi="宋体"/>
          <w:color w:val="000000" w:themeColor="text1"/>
          <w:sz w:val="22"/>
          <w:highlight w:val="none"/>
          <w:lang w:eastAsia="zh-CN"/>
          <w14:textFill>
            <w14:solidFill>
              <w14:schemeClr w14:val="tx1"/>
            </w14:solidFill>
          </w14:textFill>
        </w:rPr>
        <w:t xml:space="preserve"> 。</w:t>
      </w:r>
    </w:p>
    <w:p>
      <w:pPr>
        <w:spacing w:line="288" w:lineRule="auto"/>
        <w:jc w:val="both"/>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3、付款方式：</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1.本合同项下设备采购总金额为人民币（大写                    ） （小写：￥           ），无预付款。</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2.付款方式为分四期支付，质保期自设备验收合格之日起计算，期限为五年，按约定比例支付该期款项。</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3.乙方应在第一期付款前向甲方提供合规、有效的全额发票，以及相关请款函和验收合格报告，否则甲方有权顺延付款，且不承担违约责任。</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4.第一期在验收合格之日起满3个月后的次月内支付合同总额的50%；</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5.第二期在第一期付款完成满 12 个月后的次月内，甲方在收到乙方提供的有效请款函后，甲方向乙方支付合同总金额的25%；</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6.第三期在第二期付款完成满 12 个月后的次月内，甲方在收到乙方提供的有效请款函后，甲方向乙方支付合同总金额的 20%；</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7.第四期在质保期满五年（自第一期验收合格之日起算）且无质量情况下后的次月内，甲方在收到乙方提供的有效请款函后，甲方向乙方支付合同总金额的 5%。</w:t>
      </w:r>
    </w:p>
    <w:p>
      <w:pPr>
        <w:spacing w:line="440" w:lineRule="exact"/>
        <w:ind w:firstLine="418" w:firstLineChars="190"/>
        <w:rPr>
          <w:rFonts w:hint="eastAsia"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8.乙方（中标供应商）在本合同有效期内，如发生公司注销、合并、分立等非因乙方主观原因导致的主体变更事宜，应第一时间书面告知甲方（采购单位），并在完成注销、合并、分立等相关工商及法律手续后的 1 个月内，向甲方提交合法有效、符合甲方付款合规要求的主体变更证明文件、权利义务承继说明、合规付款账户信息等相关资料，确保甲方付款流程的合法合规性。</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第九条　履约保证金</w:t>
      </w:r>
    </w:p>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无。</w:t>
      </w:r>
    </w:p>
    <w:p>
      <w:pPr>
        <w:spacing w:line="440" w:lineRule="exact"/>
        <w:ind w:firstLine="528" w:firstLineChars="240"/>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第十条  税费</w:t>
      </w:r>
    </w:p>
    <w:p>
      <w:pPr>
        <w:pStyle w:val="87"/>
        <w:numPr>
          <w:ilvl w:val="0"/>
          <w:numId w:val="7"/>
        </w:numPr>
        <w:spacing w:line="440" w:lineRule="exact"/>
        <w:ind w:firstLineChars="0"/>
        <w:jc w:val="lef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本合同执行中相关的一切税费均由乙方负担。</w:t>
      </w:r>
    </w:p>
    <w:p>
      <w:pPr>
        <w:pStyle w:val="54"/>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ascii="宋体" w:hAnsi="宋体"/>
          <w:bCs w:val="0"/>
          <w:color w:val="000000" w:themeColor="text1"/>
          <w:spacing w:val="0"/>
          <w:sz w:val="22"/>
          <w:szCs w:val="22"/>
          <w:highlight w:val="none"/>
          <w:lang w:eastAsia="zh-CN"/>
          <w14:textFill>
            <w14:solidFill>
              <w14:schemeClr w14:val="tx1"/>
            </w14:solidFill>
          </w14:textFill>
        </w:rPr>
        <w:t>设备如需接入医院HIS、LIS、PACS系统或互联互通平台，相关费用由中标人负责。</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第十一条  质量保证及售后服务</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1、乙方应按</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（1）更换：由乙方承担所发生的全部费用。</w:t>
      </w:r>
    </w:p>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（2）贬值处理：由甲乙双方合议定价。</w:t>
      </w:r>
    </w:p>
    <w:p>
      <w:pPr>
        <w:spacing w:line="440" w:lineRule="exact"/>
        <w:ind w:left="798"/>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（3）退货处理：乙方应退还甲方支付的合同款，同时应承担该货物的直接费用（运输、保险、检验、货款利息及银行手续费等）。</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2、如在使用过程中发生质量问题，乙方在接到甲方通知后在</w:t>
      </w:r>
      <w:r>
        <w:rPr>
          <w:rFonts w:hint="eastAsia" w:ascii="宋体" w:hAnsi="宋体"/>
          <w:color w:val="000000" w:themeColor="text1"/>
          <w:sz w:val="22"/>
          <w:highlight w:val="none"/>
          <w:u w:val="single"/>
          <w:lang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小时内到达甲方现场。</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3、在质保期内，乙方应对货物出现的质量及安全问题负责处理解决并承担一切费用。</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4、产品质量保证期应当包括但不限于：质保期不少于</w:t>
      </w:r>
      <w:r>
        <w:rPr>
          <w:rFonts w:hint="eastAsia" w:ascii="宋体" w:hAnsi="宋体"/>
          <w:color w:val="000000" w:themeColor="text1"/>
          <w:sz w:val="22"/>
          <w:highlight w:val="none"/>
          <w:lang w:val="en-US" w:eastAsia="zh-CN"/>
          <w14:textFill>
            <w14:solidFill>
              <w14:schemeClr w14:val="tx1"/>
            </w14:solidFill>
          </w14:textFill>
        </w:rPr>
        <w:t>5</w:t>
      </w:r>
      <w:r>
        <w:rPr>
          <w:rFonts w:hint="eastAsia" w:ascii="宋体" w:hAnsi="宋体"/>
          <w:color w:val="000000" w:themeColor="text1"/>
          <w:sz w:val="22"/>
          <w:highlight w:val="none"/>
          <w:lang w:eastAsia="zh-CN"/>
          <w14:textFill>
            <w14:solidFill>
              <w14:schemeClr w14:val="tx1"/>
            </w14:solidFill>
          </w14:textFill>
        </w:rPr>
        <w:t>年，质保期内，乙方负责对其提供的设备进行上门维修，不收取额外费用，所涉及的小件部分质保期内免费更换。</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第十二条  调试和验收</w:t>
      </w:r>
    </w:p>
    <w:p>
      <w:pPr>
        <w:spacing w:line="440" w:lineRule="exact"/>
        <w:ind w:firstLine="528" w:firstLineChars="2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1、甲方对乙方提交的货物依据</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上的技术规格要求和国家有关质量标准进行现场初步验收，外观、说明书符合</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技术要求的，给予签收，初步验收不合格的不予签收。货到后，甲方应当在到货（安装、调试完</w:t>
      </w:r>
      <w:r>
        <w:rPr>
          <w:rFonts w:hint="eastAsia" w:ascii="宋体" w:hAnsi="宋体" w:eastAsia="宋体"/>
          <w:color w:val="000000" w:themeColor="text1"/>
          <w:sz w:val="22"/>
          <w:highlight w:val="none"/>
          <w:lang w:eastAsia="zh-CN"/>
          <w14:textFill>
            <w14:solidFill>
              <w14:schemeClr w14:val="tx1"/>
            </w14:solidFill>
          </w14:textFill>
        </w:rPr>
        <w:t>毕</w:t>
      </w:r>
      <w:r>
        <w:rPr>
          <w:rFonts w:hint="eastAsia" w:ascii="宋体" w:hAnsi="宋体"/>
          <w:color w:val="000000" w:themeColor="text1"/>
          <w:sz w:val="22"/>
          <w:highlight w:val="none"/>
          <w:lang w:eastAsia="zh-CN"/>
          <w14:textFill>
            <w14:solidFill>
              <w14:schemeClr w14:val="tx1"/>
            </w14:solidFill>
          </w14:textFill>
        </w:rPr>
        <w:t>）后七个工作日内进行验收。</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2、乙方交货前应对产品作出全面检查和对验收文件进行整理，并列出清单，作为甲方收货验收和使用的技术条件依据，检验的结果应随货物交甲方。</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3、甲方对乙方提供的货物在使用前进行调试时，乙方需负责安装并培训甲方的使用操作人员，并协助甲方一起调试，直到符合技术要求，甲方才做最终验收。</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w:t>
      </w:r>
      <w:r>
        <w:rPr>
          <w:rFonts w:hint="eastAsia" w:ascii="宋体" w:hAnsi="宋体"/>
          <w:color w:val="000000" w:themeColor="text1"/>
          <w:sz w:val="22"/>
          <w:highlight w:val="none"/>
          <w:lang w:val="en-US"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4、对技术复杂的货物，甲方应请国家认可的专业检测机构参与初步验收及最终验收，并由其出具质量检测报告。</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w:t>
      </w:r>
      <w:r>
        <w:rPr>
          <w:rFonts w:hint="eastAsia" w:ascii="宋体" w:hAnsi="宋体"/>
          <w:color w:val="000000" w:themeColor="text1"/>
          <w:sz w:val="22"/>
          <w:highlight w:val="none"/>
          <w:lang w:val="en-US"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5、验收时乙方必须在现场，验收完毕后作出验收结果报告；验收费用由乙方负责。</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第十三条  货物包装、发运及运输</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1、乙方应在货物发运前对其进行满足运输距离、防潮、防震、防锈和防破损装卸等要求包装，以保证货物安全运达甲方指定地点。</w:t>
      </w:r>
    </w:p>
    <w:p>
      <w:pPr>
        <w:spacing w:line="440" w:lineRule="exact"/>
        <w:ind w:firstLine="330" w:firstLineChars="15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2、乙方应提供设备的随机附件、技术资料，可包括相应的安装配件、图纸、操作手册、维护手册、质量保证文件、服务指南、清单等一并附于货物内。</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3、乙方在货物发运手续办理完毕后二十四小时内或货到甲方四十八小时前通知甲方，以准备接货。</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4、货物在交付甲方前发生的损毁、灭失等风险均由乙方负责。</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5、货物在规定的交付期限内由乙方送达甲方指定的地点视为交付，乙方同时需通知甲方货物已送达。</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第十四条　 违约责任</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w:t>
      </w:r>
      <w:r>
        <w:rPr>
          <w:rFonts w:hint="eastAsia" w:ascii="宋体" w:hAnsi="宋体"/>
          <w:color w:val="000000" w:themeColor="text1"/>
          <w:sz w:val="22"/>
          <w:highlight w:val="none"/>
          <w:lang w:val="en-US"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2、乙方提供的货物如侵犯了第三方合法权益而引发的任何纠纷或诉讼，均由乙方负责交涉并承担全部责任，且乙方须按合同总额的5%向甲方支付违约金。</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3、因包装、运输引起的货物损坏，按质量不合格处理。</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4、甲方无故延期接收货物、乙方逾期交货的，每天向对方偿付违约货款额3‰违约金，超过</w:t>
      </w:r>
      <w:r>
        <w:rPr>
          <w:rFonts w:hint="eastAsia" w:ascii="宋体" w:hAnsi="宋体"/>
          <w:color w:val="000000" w:themeColor="text1"/>
          <w:sz w:val="22"/>
          <w:highlight w:val="none"/>
          <w:u w:val="single"/>
          <w:lang w:eastAsia="zh-CN"/>
          <w14:textFill>
            <w14:solidFill>
              <w14:schemeClr w14:val="tx1"/>
            </w14:solidFill>
          </w14:textFill>
        </w:rPr>
        <w:t xml:space="preserve">   </w:t>
      </w:r>
      <w:r>
        <w:rPr>
          <w:rFonts w:hint="eastAsia" w:ascii="宋体" w:hAnsi="宋体"/>
          <w:color w:val="000000" w:themeColor="text1"/>
          <w:sz w:val="22"/>
          <w:highlight w:val="none"/>
          <w:lang w:eastAsia="zh-CN"/>
          <w14:textFill>
            <w14:solidFill>
              <w14:schemeClr w14:val="tx1"/>
            </w14:solidFill>
          </w14:textFill>
        </w:rPr>
        <w:t>天对方有权解除合同，违约方承担因此给对方造成经济损失；甲方延期付货款的，每天向乙方偿付延期货款额3‰ 违约金，但违约金累计不得超过延期货款额5%。</w:t>
      </w:r>
    </w:p>
    <w:p>
      <w:pPr>
        <w:spacing w:line="440" w:lineRule="exact"/>
        <w:ind w:firstLine="330" w:firstLineChars="15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5、乙方未按本合同和响应文件中规定的服务承诺提供服务的，乙方应按本合同合计金额 5%向甲方支付违约金，甲方有权解除合同。</w:t>
      </w:r>
    </w:p>
    <w:p>
      <w:pPr>
        <w:spacing w:line="440" w:lineRule="exact"/>
        <w:ind w:firstLine="330" w:firstLineChars="15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6、乙方提供的货物在质量保证期内，因设计、工艺或材料的缺陷和</w:t>
      </w:r>
      <w:r>
        <w:rPr>
          <w:rFonts w:hint="eastAsia" w:ascii="宋体" w:hAnsi="宋体" w:eastAsia="宋体"/>
          <w:color w:val="000000" w:themeColor="text1"/>
          <w:sz w:val="22"/>
          <w:highlight w:val="none"/>
          <w:lang w:eastAsia="zh-CN"/>
          <w14:textFill>
            <w14:solidFill>
              <w14:schemeClr w14:val="tx1"/>
            </w14:solidFill>
          </w14:textFill>
        </w:rPr>
        <w:t>其他</w:t>
      </w:r>
      <w:r>
        <w:rPr>
          <w:rFonts w:hint="eastAsia" w:ascii="宋体" w:hAnsi="宋体"/>
          <w:color w:val="000000" w:themeColor="text1"/>
          <w:sz w:val="22"/>
          <w:highlight w:val="none"/>
          <w:lang w:eastAsia="zh-CN"/>
          <w14:textFill>
            <w14:solidFill>
              <w14:schemeClr w14:val="tx1"/>
            </w14:solidFill>
          </w14:textFill>
        </w:rPr>
        <w:t>质量原因造成的问题，由乙方负责，费用从履约保证金中扣除，不足另补。</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7、</w:t>
      </w:r>
      <w:r>
        <w:rPr>
          <w:rFonts w:hint="eastAsia" w:ascii="宋体" w:hAnsi="宋体" w:eastAsia="宋体"/>
          <w:color w:val="000000" w:themeColor="text1"/>
          <w:sz w:val="22"/>
          <w:highlight w:val="none"/>
          <w:lang w:eastAsia="zh-CN"/>
          <w14:textFill>
            <w14:solidFill>
              <w14:schemeClr w14:val="tx1"/>
            </w14:solidFill>
          </w14:textFill>
        </w:rPr>
        <w:t>其他</w:t>
      </w:r>
      <w:r>
        <w:rPr>
          <w:rFonts w:hint="eastAsia" w:ascii="宋体" w:hAnsi="宋体"/>
          <w:color w:val="000000" w:themeColor="text1"/>
          <w:sz w:val="22"/>
          <w:highlight w:val="none"/>
          <w:lang w:eastAsia="zh-CN"/>
          <w14:textFill>
            <w14:solidFill>
              <w14:schemeClr w14:val="tx1"/>
            </w14:solidFill>
          </w14:textFill>
        </w:rPr>
        <w:t>违约行为按合同金额5%收取违约金。</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8、乙方支付的违约金不足以弥补甲方损失的，还应承担赔偿责任。</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第十五条  不可抗力事件处理</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1、在合同有效期内，任何一方因不可抗力事件导致不能履行合同，则合同履行期可延长，其延长期与不可抗力影响期相同。</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2、不可抗力事件发生后，应立即通知对方，并寄送有关权威机构出具的证明。</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3、不可抗力事件延续一百二十天以上，双方应通过友好协商，确定是否继续履行合同。</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第十六条  合同争议解决</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pPr>
        <w:spacing w:line="440" w:lineRule="exact"/>
        <w:ind w:firstLine="308" w:firstLineChars="14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2、因履行本合同引起的或与本合同有关的争议，甲乙双方应首先通过友好协商解决，如果协商不能解决，向甲方所在地人民法院提起诉讼。</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3、诉讼期间，本合同继续履行。</w:t>
      </w:r>
    </w:p>
    <w:p>
      <w:pPr>
        <w:spacing w:line="440" w:lineRule="exact"/>
        <w:ind w:firstLine="418" w:firstLineChars="190"/>
        <w:rPr>
          <w:rFonts w:ascii="宋体" w:hAnsi="宋体" w:eastAsia="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第十七条  合同生效及</w:t>
      </w:r>
      <w:r>
        <w:rPr>
          <w:rFonts w:hint="eastAsia" w:ascii="宋体" w:hAnsi="宋体" w:eastAsia="宋体"/>
          <w:color w:val="000000" w:themeColor="text1"/>
          <w:sz w:val="22"/>
          <w:highlight w:val="none"/>
          <w:lang w:eastAsia="zh-CN"/>
          <w14:textFill>
            <w14:solidFill>
              <w14:schemeClr w14:val="tx1"/>
            </w14:solidFill>
          </w14:textFill>
        </w:rPr>
        <w:t>其他</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1、合同经双方法定代表人或授权代表（委托代理人）签字并加盖单位公章后生效。</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2、合同执行中涉及采购资金和采购内容修改或补充的，须经同级政府采购监督管理办公室审批，并签书面补充协议报同级政府采购监督管理办公室备案，方可作为本合同不可分割的一部分。</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3、本合同未尽事宜，遵照《中华人民共和国民法典》之合同编的有关条文执行。</w:t>
      </w:r>
    </w:p>
    <w:p>
      <w:pPr>
        <w:spacing w:line="440" w:lineRule="exact"/>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 xml:space="preserve"> 第十八条　 合同的变更、终止与转让</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1、除《中华人民共和国政府采购法》第五十条规定的情形外，本合同一经签订，甲乙双方不得擅自变更、中止或终止。</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2、乙方不得擅自转让（无进口资格的供应商委托进口货物除外）其应履行的合同义务。</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第十九条　 签订本合同依据</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1、</w:t>
      </w:r>
      <w:r>
        <w:rPr>
          <w:rFonts w:hint="eastAsia" w:ascii="宋体" w:hAnsi="宋体" w:eastAsia="宋体"/>
          <w:color w:val="000000" w:themeColor="text1"/>
          <w:sz w:val="22"/>
          <w:highlight w:val="none"/>
          <w:lang w:eastAsia="zh-CN"/>
          <w14:textFill>
            <w14:solidFill>
              <w14:schemeClr w14:val="tx1"/>
            </w14:solidFill>
          </w14:textFill>
        </w:rPr>
        <w:t>招标文件</w:t>
      </w:r>
      <w:r>
        <w:rPr>
          <w:rFonts w:hint="eastAsia" w:ascii="宋体" w:hAnsi="宋体"/>
          <w:color w:val="000000" w:themeColor="text1"/>
          <w:sz w:val="22"/>
          <w:highlight w:val="none"/>
          <w:lang w:eastAsia="zh-CN"/>
          <w14:textFill>
            <w14:solidFill>
              <w14:schemeClr w14:val="tx1"/>
            </w14:solidFill>
          </w14:textFill>
        </w:rPr>
        <w:t>；</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2、乙方提供的响应文件；</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3、</w:t>
      </w:r>
      <w:r>
        <w:rPr>
          <w:rFonts w:hint="eastAsia" w:ascii="宋体" w:hAnsi="宋体" w:eastAsia="宋体"/>
          <w:color w:val="000000" w:themeColor="text1"/>
          <w:sz w:val="22"/>
          <w:highlight w:val="none"/>
          <w:lang w:eastAsia="zh-CN"/>
          <w14:textFill>
            <w14:solidFill>
              <w14:schemeClr w14:val="tx1"/>
            </w14:solidFill>
          </w14:textFill>
        </w:rPr>
        <w:t>投标函</w:t>
      </w:r>
      <w:r>
        <w:rPr>
          <w:rFonts w:hint="eastAsia" w:ascii="宋体" w:hAnsi="宋体"/>
          <w:color w:val="000000" w:themeColor="text1"/>
          <w:sz w:val="22"/>
          <w:highlight w:val="none"/>
          <w:lang w:eastAsia="zh-CN"/>
          <w14:textFill>
            <w14:solidFill>
              <w14:schemeClr w14:val="tx1"/>
            </w14:solidFill>
          </w14:textFill>
        </w:rPr>
        <w:t xml:space="preserve">； </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4、</w:t>
      </w:r>
      <w:r>
        <w:rPr>
          <w:rFonts w:hint="eastAsia" w:ascii="宋体" w:hAnsi="宋体" w:eastAsia="宋体"/>
          <w:color w:val="000000" w:themeColor="text1"/>
          <w:sz w:val="22"/>
          <w:highlight w:val="none"/>
          <w:lang w:eastAsia="zh-CN"/>
          <w14:textFill>
            <w14:solidFill>
              <w14:schemeClr w14:val="tx1"/>
            </w14:solidFill>
          </w14:textFill>
        </w:rPr>
        <w:t>中标</w:t>
      </w:r>
      <w:r>
        <w:rPr>
          <w:rFonts w:hint="eastAsia" w:ascii="宋体" w:hAnsi="宋体"/>
          <w:color w:val="000000" w:themeColor="text1"/>
          <w:sz w:val="22"/>
          <w:highlight w:val="none"/>
          <w:lang w:eastAsia="zh-CN"/>
          <w14:textFill>
            <w14:solidFill>
              <w14:schemeClr w14:val="tx1"/>
            </w14:solidFill>
          </w14:textFill>
        </w:rPr>
        <w:t>通知书。</w:t>
      </w:r>
    </w:p>
    <w:p>
      <w:pPr>
        <w:spacing w:line="440" w:lineRule="exact"/>
        <w:ind w:firstLine="418" w:firstLineChars="19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第二十条　本合同一式伍份，具有同等法律效力，甲</w:t>
      </w:r>
      <w:r>
        <w:rPr>
          <w:rFonts w:hint="eastAsia" w:ascii="宋体" w:hAnsi="宋体" w:eastAsia="宋体"/>
          <w:color w:val="000000" w:themeColor="text1"/>
          <w:sz w:val="22"/>
          <w:highlight w:val="none"/>
          <w:lang w:eastAsia="zh-CN"/>
          <w14:textFill>
            <w14:solidFill>
              <w14:schemeClr w14:val="tx1"/>
            </w14:solidFill>
          </w14:textFill>
        </w:rPr>
        <w:t>方执</w:t>
      </w:r>
      <w:r>
        <w:rPr>
          <w:rFonts w:hint="eastAsia" w:ascii="宋体" w:hAnsi="宋体"/>
          <w:color w:val="000000" w:themeColor="text1"/>
          <w:sz w:val="22"/>
          <w:highlight w:val="none"/>
          <w:lang w:eastAsia="zh-CN"/>
          <w14:textFill>
            <w14:solidFill>
              <w14:schemeClr w14:val="tx1"/>
            </w14:solidFill>
          </w14:textFill>
        </w:rPr>
        <w:t>叁份，乙方执壹份，采购代理机构执壹份。</w:t>
      </w:r>
    </w:p>
    <w:p>
      <w:pPr>
        <w:spacing w:line="440" w:lineRule="exact"/>
        <w:ind w:firstLine="440" w:firstLineChars="200"/>
        <w:rPr>
          <w:rFonts w:ascii="宋体" w:hAnsi="宋体"/>
          <w:color w:val="000000" w:themeColor="text1"/>
          <w:sz w:val="22"/>
          <w:highlight w:val="none"/>
          <w:lang w:eastAsia="zh-CN"/>
          <w14:textFill>
            <w14:solidFill>
              <w14:schemeClr w14:val="tx1"/>
            </w14:solidFill>
          </w14:textFill>
        </w:rPr>
      </w:pPr>
      <w:r>
        <w:rPr>
          <w:rFonts w:hint="eastAsia" w:ascii="宋体" w:hAnsi="宋体"/>
          <w:color w:val="000000" w:themeColor="text1"/>
          <w:sz w:val="22"/>
          <w:highlight w:val="none"/>
          <w:lang w:eastAsia="zh-CN"/>
          <w14:textFill>
            <w14:solidFill>
              <w14:schemeClr w14:val="tx1"/>
            </w14:solidFill>
          </w14:textFill>
        </w:rPr>
        <w:t>第二十一条  本合同甲乙双方签字盖章后生效，自签订之日起两个工作日内，采购人或采购代理机构应当将合同上传广西政府采购云平台备案公示。</w:t>
      </w:r>
    </w:p>
    <w:p>
      <w:pPr>
        <w:pStyle w:val="54"/>
        <w:rPr>
          <w:color w:val="000000" w:themeColor="text1"/>
          <w:highlight w:val="none"/>
          <w:lang w:eastAsia="zh-CN"/>
          <w14:textFill>
            <w14:solidFill>
              <w14:schemeClr w14:val="tx1"/>
            </w14:solidFill>
          </w14:textFill>
        </w:rPr>
      </w:pPr>
    </w:p>
    <w:tbl>
      <w:tblPr>
        <w:tblStyle w:val="37"/>
        <w:tblpPr w:leftFromText="180" w:rightFromText="180" w:vertAnchor="text" w:horzAnchor="page" w:tblpX="1162" w:tblpY="429"/>
        <w:tblOverlap w:val="never"/>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3"/>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甲方（章）</w:t>
            </w:r>
            <w:r>
              <w:rPr>
                <w:rFonts w:hint="eastAsia"/>
                <w:color w:val="000000" w:themeColor="text1"/>
                <w:sz w:val="21"/>
                <w:szCs w:val="21"/>
                <w:highlight w:val="none"/>
                <w:lang w:eastAsia="zh-CN"/>
                <w14:textFill>
                  <w14:solidFill>
                    <w14:schemeClr w14:val="tx1"/>
                  </w14:solidFill>
                </w14:textFill>
              </w:rPr>
              <w:t>浦北县中医医院</w:t>
            </w:r>
            <w:r>
              <w:rPr>
                <w:rFonts w:hint="eastAsia" w:ascii="宋体" w:hAnsi="宋体"/>
                <w:color w:val="000000" w:themeColor="text1"/>
                <w:sz w:val="21"/>
                <w:szCs w:val="21"/>
                <w:highlight w:val="none"/>
                <w14:textFill>
                  <w14:solidFill>
                    <w14:schemeClr w14:val="tx1"/>
                  </w14:solidFill>
                </w14:textFill>
              </w:rPr>
              <w:t xml:space="preserve">           </w:t>
            </w:r>
          </w:p>
          <w:p>
            <w:pPr>
              <w:snapToGrid w:val="0"/>
              <w:spacing w:line="400" w:lineRule="exact"/>
              <w:rPr>
                <w:rFonts w:ascii="宋体" w:hAnsi="宋体"/>
                <w:color w:val="000000" w:themeColor="text1"/>
                <w:sz w:val="21"/>
                <w:szCs w:val="21"/>
                <w:highlight w:val="none"/>
                <w14:textFill>
                  <w14:solidFill>
                    <w14:schemeClr w14:val="tx1"/>
                  </w14:solidFill>
                </w14:textFill>
              </w:rPr>
            </w:pPr>
          </w:p>
          <w:p>
            <w:pPr>
              <w:snapToGrid w:val="0"/>
              <w:spacing w:line="400" w:lineRule="exact"/>
              <w:ind w:firstLine="945" w:firstLineChars="450"/>
              <w:jc w:val="righ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   月   日</w:t>
            </w:r>
          </w:p>
        </w:tc>
        <w:tc>
          <w:tcPr>
            <w:tcW w:w="4826" w:type="dxa"/>
            <w:tcBorders>
              <w:top w:val="single" w:color="auto" w:sz="4" w:space="0"/>
              <w:left w:val="nil"/>
              <w:bottom w:val="single" w:color="auto" w:sz="4" w:space="0"/>
              <w:right w:val="single" w:color="auto" w:sz="4" w:space="0"/>
            </w:tcBorders>
            <w:vAlign w:val="center"/>
          </w:tcPr>
          <w:p>
            <w:pPr>
              <w:widowControl/>
              <w:jc w:val="lef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乙方（章）           </w:t>
            </w:r>
          </w:p>
          <w:p>
            <w:pPr>
              <w:snapToGrid w:val="0"/>
              <w:spacing w:line="400" w:lineRule="exact"/>
              <w:rPr>
                <w:rFonts w:ascii="宋体" w:hAnsi="宋体"/>
                <w:color w:val="000000" w:themeColor="text1"/>
                <w:sz w:val="21"/>
                <w:szCs w:val="21"/>
                <w:highlight w:val="none"/>
                <w14:textFill>
                  <w14:solidFill>
                    <w14:schemeClr w14:val="tx1"/>
                  </w14:solidFill>
                </w14:textFill>
              </w:rPr>
            </w:pPr>
          </w:p>
          <w:p>
            <w:pPr>
              <w:snapToGrid w:val="0"/>
              <w:spacing w:line="400" w:lineRule="exact"/>
              <w:jc w:val="righ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单位地址：浦北县</w:t>
            </w:r>
            <w:r>
              <w:rPr>
                <w:rFonts w:hint="eastAsia" w:ascii="宋体" w:hAnsi="宋体"/>
                <w:color w:val="000000" w:themeColor="text1"/>
                <w:sz w:val="21"/>
                <w:szCs w:val="21"/>
                <w:highlight w:val="none"/>
                <w:lang w:eastAsia="zh-CN"/>
                <w14:textFill>
                  <w14:solidFill>
                    <w14:schemeClr w14:val="tx1"/>
                  </w14:solidFill>
                </w14:textFill>
              </w:rPr>
              <w:t>城</w:t>
            </w:r>
            <w:r>
              <w:rPr>
                <w:rFonts w:hint="eastAsia" w:ascii="宋体" w:hAnsi="宋体"/>
                <w:color w:val="000000" w:themeColor="text1"/>
                <w:sz w:val="21"/>
                <w:szCs w:val="21"/>
                <w:highlight w:val="none"/>
                <w14:textFill>
                  <w14:solidFill>
                    <w14:schemeClr w14:val="tx1"/>
                  </w14:solidFill>
                </w14:textFill>
              </w:rPr>
              <w:t>金浦大街177号</w:t>
            </w:r>
          </w:p>
        </w:tc>
        <w:tc>
          <w:tcPr>
            <w:tcW w:w="4826" w:type="dxa"/>
            <w:tcBorders>
              <w:top w:val="single" w:color="auto" w:sz="4" w:space="0"/>
              <w:left w:val="nil"/>
              <w:bottom w:val="single" w:color="auto" w:sz="4" w:space="0"/>
              <w:right w:val="single" w:color="auto" w:sz="4" w:space="0"/>
            </w:tcBorders>
            <w:vAlign w:val="center"/>
          </w:tcPr>
          <w:p>
            <w:pPr>
              <w:widowControl/>
              <w:ind w:left="1050" w:hanging="1050" w:hangingChars="50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或委托代理人：</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w:t>
            </w:r>
            <w:r>
              <w:rPr>
                <w:rFonts w:hint="eastAsia"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话</w:t>
            </w:r>
            <w:r>
              <w:rPr>
                <w:rFonts w:hint="eastAsia" w:ascii="宋体" w:hAnsi="宋体" w:eastAsia="宋体" w:cs="Times New Roman"/>
                <w:color w:val="000000" w:themeColor="text1"/>
                <w:sz w:val="21"/>
                <w:szCs w:val="21"/>
                <w:highlight w:val="none"/>
                <w14:textFill>
                  <w14:solidFill>
                    <w14:schemeClr w14:val="tx1"/>
                  </w14:solidFill>
                </w14:textFill>
              </w:rPr>
              <w:t>：0777-8318109</w:t>
            </w:r>
          </w:p>
        </w:tc>
        <w:tc>
          <w:tcPr>
            <w:tcW w:w="4826"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w:t>
            </w:r>
            <w:r>
              <w:rPr>
                <w:rFonts w:hint="eastAsia" w:ascii="宋体" w:hAnsi="宋体" w:eastAsia="宋体" w:cs="Times New Roman"/>
                <w:color w:val="000000" w:themeColor="text1"/>
                <w:sz w:val="21"/>
                <w:szCs w:val="21"/>
                <w:highlight w:val="none"/>
                <w:lang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电子邮箱：</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开户银行</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p>
        </w:tc>
        <w:tc>
          <w:tcPr>
            <w:tcW w:w="4826"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账</w:t>
            </w:r>
            <w:r>
              <w:rPr>
                <w:rFonts w:hint="eastAsia"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号</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 </w:t>
            </w:r>
          </w:p>
        </w:tc>
        <w:tc>
          <w:tcPr>
            <w:tcW w:w="4826" w:type="dxa"/>
            <w:tcBorders>
              <w:top w:val="single" w:color="auto" w:sz="4" w:space="0"/>
              <w:left w:val="nil"/>
              <w:bottom w:val="single" w:color="auto" w:sz="4" w:space="0"/>
              <w:right w:val="single" w:color="auto" w:sz="4" w:space="0"/>
            </w:tcBorders>
            <w:vAlign w:val="center"/>
          </w:tcPr>
          <w:p>
            <w:pPr>
              <w:widowControl/>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纳税人识别号：</w:t>
            </w:r>
            <w:r>
              <w:rPr>
                <w:rFonts w:hint="eastAsia" w:ascii="宋体" w:hAnsi="宋体"/>
                <w:color w:val="000000" w:themeColor="text1"/>
                <w:sz w:val="21"/>
                <w:szCs w:val="21"/>
                <w:highlight w:val="none"/>
                <w:lang w:val="en-US" w:eastAsia="zh-CN"/>
                <w14:textFill>
                  <w14:solidFill>
                    <w14:schemeClr w14:val="tx1"/>
                  </w14:solidFill>
                </w14:textFill>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统一社会信用代码：</w:t>
            </w:r>
            <w:r>
              <w:rPr>
                <w:rFonts w:hint="eastAsia" w:ascii="宋体" w:hAnsi="宋体"/>
                <w:color w:val="000000" w:themeColor="text1"/>
                <w:sz w:val="21"/>
                <w:szCs w:val="21"/>
                <w:highlight w:val="none"/>
                <w:lang w:val="en-US" w:eastAsia="zh-CN"/>
                <w14:textFill>
                  <w14:solidFill>
                    <w14:schemeClr w14:val="tx1"/>
                  </w14:solidFill>
                </w14:textFill>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493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邮政编码：</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p>
        </w:tc>
        <w:tc>
          <w:tcPr>
            <w:tcW w:w="4826"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邮政编码：</w:t>
            </w:r>
          </w:p>
        </w:tc>
      </w:tr>
    </w:tbl>
    <w:p>
      <w:pPr>
        <w:pStyle w:val="54"/>
        <w:rPr>
          <w:color w:val="000000" w:themeColor="text1"/>
          <w:highlight w:val="non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spacing w:line="300" w:lineRule="exact"/>
        <w:ind w:left="798"/>
        <w:rPr>
          <w:rFonts w:ascii="宋体" w:hAnsi="宋体"/>
          <w:color w:val="000000" w:themeColor="text1"/>
          <w:sz w:val="22"/>
          <w:highlight w:val="none"/>
          <w14:textFill>
            <w14:solidFill>
              <w14:schemeClr w14:val="tx1"/>
            </w14:solidFill>
          </w14:textFill>
        </w:rPr>
      </w:pPr>
    </w:p>
    <w:p>
      <w:pPr>
        <w:pStyle w:val="24"/>
        <w:rPr>
          <w:rFonts w:ascii="宋体" w:hAnsi="宋体"/>
          <w:color w:val="000000" w:themeColor="text1"/>
          <w:sz w:val="21"/>
          <w:szCs w:val="21"/>
          <w:highlight w:val="none"/>
          <w:lang w:eastAsia="zh-CN"/>
          <w14:textFill>
            <w14:solidFill>
              <w14:schemeClr w14:val="tx1"/>
            </w14:solidFill>
          </w14:textFill>
        </w:rPr>
      </w:pPr>
    </w:p>
    <w:p>
      <w:pPr>
        <w:pStyle w:val="26"/>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rPr>
          <w:rFonts w:ascii="宋体" w:hAnsi="宋体"/>
          <w:color w:val="000000" w:themeColor="text1"/>
          <w:sz w:val="21"/>
          <w:szCs w:val="21"/>
          <w:highlight w:val="none"/>
          <w:lang w:eastAsia="zh-CN"/>
          <w14:textFill>
            <w14:solidFill>
              <w14:schemeClr w14:val="tx1"/>
            </w14:solidFill>
          </w14:textFill>
        </w:rPr>
      </w:pPr>
    </w:p>
    <w:p>
      <w:pPr>
        <w:pStyle w:val="24"/>
        <w:rPr>
          <w:rFonts w:ascii="宋体" w:hAnsi="宋体"/>
          <w:color w:val="000000" w:themeColor="text1"/>
          <w:sz w:val="21"/>
          <w:szCs w:val="21"/>
          <w:highlight w:val="none"/>
          <w:lang w:eastAsia="zh-CN"/>
          <w14:textFill>
            <w14:solidFill>
              <w14:schemeClr w14:val="tx1"/>
            </w14:solidFill>
          </w14:textFill>
        </w:rPr>
      </w:pPr>
    </w:p>
    <w:p>
      <w:pPr>
        <w:rPr>
          <w:lang w:eastAsia="zh-CN"/>
        </w:rPr>
      </w:pPr>
    </w:p>
    <w:p>
      <w:pPr>
        <w:rPr>
          <w:color w:val="000000" w:themeColor="text1"/>
          <w:highlight w:val="none"/>
          <w:lang w:eastAsia="zh-CN"/>
          <w14:textFill>
            <w14:solidFill>
              <w14:schemeClr w14:val="tx1"/>
            </w14:solidFill>
          </w14:textFill>
        </w:rPr>
      </w:pPr>
    </w:p>
    <w:bookmarkEnd w:id="156"/>
    <w:bookmarkEnd w:id="157"/>
    <w:bookmarkEnd w:id="158"/>
    <w:p>
      <w:pPr>
        <w:pStyle w:val="20"/>
        <w:numPr>
          <w:ilvl w:val="0"/>
          <w:numId w:val="8"/>
        </w:numPr>
        <w:spacing w:line="360" w:lineRule="auto"/>
        <w:jc w:val="center"/>
        <w:outlineLvl w:val="0"/>
        <w:rPr>
          <w:rStyle w:val="61"/>
          <w:color w:val="000000" w:themeColor="text1"/>
          <w:sz w:val="32"/>
          <w:szCs w:val="32"/>
          <w:highlight w:val="none"/>
          <w14:textFill>
            <w14:solidFill>
              <w14:schemeClr w14:val="tx1"/>
            </w14:solidFill>
          </w14:textFill>
        </w:rPr>
      </w:pPr>
      <w:bookmarkStart w:id="159" w:name="_Toc10644_WPSOffice_Level1"/>
      <w:bookmarkStart w:id="160" w:name="_Toc21828"/>
      <w:bookmarkStart w:id="161" w:name="_Toc7859"/>
      <w:r>
        <w:rPr>
          <w:rStyle w:val="61"/>
          <w:rFonts w:hint="eastAsia"/>
          <w:color w:val="000000" w:themeColor="text1"/>
          <w:sz w:val="32"/>
          <w:szCs w:val="32"/>
          <w:highlight w:val="none"/>
          <w14:textFill>
            <w14:solidFill>
              <w14:schemeClr w14:val="tx1"/>
            </w14:solidFill>
          </w14:textFill>
        </w:rPr>
        <w:t>评标办法（综合评分法）</w:t>
      </w:r>
      <w:bookmarkEnd w:id="159"/>
      <w:bookmarkEnd w:id="160"/>
      <w:bookmarkEnd w:id="161"/>
    </w:p>
    <w:p>
      <w:pPr>
        <w:pStyle w:val="20"/>
        <w:spacing w:line="340" w:lineRule="atLeast"/>
        <w:ind w:firstLine="42" w:firstLineChars="20"/>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一、评标原则</w:t>
      </w:r>
    </w:p>
    <w:p>
      <w:pPr>
        <w:spacing w:line="340" w:lineRule="atLeast"/>
        <w:ind w:firstLine="420" w:firstLineChars="200"/>
        <w:jc w:val="left"/>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(一)评委构成：本招标采购项目的评委由依法组成的专家共5人以上单数构成，其中专家人数不少于成员总数的三分之二。</w:t>
      </w:r>
    </w:p>
    <w:p>
      <w:pPr>
        <w:spacing w:line="340" w:lineRule="atLeast"/>
        <w:ind w:firstLine="420" w:firstLineChars="200"/>
        <w:jc w:val="left"/>
        <w:rPr>
          <w:rFonts w:ascii="宋体" w:hAnsi="宋体"/>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(二)评标依据：评委将以招投标文件为评标依据，对投标人的投标报价、技术 、</w:t>
      </w:r>
      <w:r>
        <w:rPr>
          <w:rFonts w:hint="eastAsia" w:ascii="宋体" w:hAnsi="宋体" w:eastAsia="宋体"/>
          <w:bCs/>
          <w:color w:val="000000" w:themeColor="text1"/>
          <w:spacing w:val="-4"/>
          <w:sz w:val="21"/>
          <w:szCs w:val="21"/>
          <w:highlight w:val="none"/>
          <w:lang w:eastAsia="zh-CN"/>
          <w14:textFill>
            <w14:solidFill>
              <w14:schemeClr w14:val="tx1"/>
            </w14:solidFill>
          </w14:textFill>
        </w:rPr>
        <w:t>商务</w:t>
      </w:r>
      <w:r>
        <w:rPr>
          <w:rFonts w:hint="eastAsia" w:ascii="宋体" w:hAnsi="宋体"/>
          <w:bCs/>
          <w:color w:val="000000" w:themeColor="text1"/>
          <w:sz w:val="21"/>
          <w:szCs w:val="21"/>
          <w:highlight w:val="none"/>
          <w:lang w:eastAsia="zh-CN"/>
          <w14:textFill>
            <w14:solidFill>
              <w14:schemeClr w14:val="tx1"/>
            </w14:solidFill>
          </w14:textFill>
        </w:rPr>
        <w:t>等方面内容按百分制打分。</w:t>
      </w:r>
    </w:p>
    <w:p>
      <w:pPr>
        <w:spacing w:line="340" w:lineRule="atLeast"/>
        <w:ind w:firstLine="420" w:firstLineChars="200"/>
        <w:jc w:val="left"/>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(三)评标方式：以封闭方式进行。</w:t>
      </w:r>
    </w:p>
    <w:p>
      <w:pPr>
        <w:pStyle w:val="17"/>
        <w:rPr>
          <w:rFonts w:hAnsi="宋体"/>
          <w:color w:val="000000" w:themeColor="text1"/>
          <w:sz w:val="21"/>
          <w:szCs w:val="21"/>
          <w:highlight w:val="none"/>
          <w:lang w:eastAsia="zh-CN"/>
          <w14:textFill>
            <w14:solidFill>
              <w14:schemeClr w14:val="tx1"/>
            </w14:solidFill>
          </w14:textFill>
        </w:rPr>
      </w:pPr>
    </w:p>
    <w:p>
      <w:pPr>
        <w:pStyle w:val="17"/>
        <w:rPr>
          <w:rFonts w:hAnsi="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二、资格审查及符合性审查标准</w:t>
      </w:r>
    </w:p>
    <w:tbl>
      <w:tblPr>
        <w:tblStyle w:val="37"/>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439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97" w:type="dxa"/>
            <w:gridSpan w:val="2"/>
            <w:shd w:val="clear" w:color="auto" w:fill="D7D7D7"/>
            <w:vAlign w:val="center"/>
          </w:tcPr>
          <w:p>
            <w:pPr>
              <w:pStyle w:val="20"/>
              <w:spacing w:line="320" w:lineRule="exact"/>
              <w:jc w:val="center"/>
              <w:outlineLvl w:val="0"/>
              <w:rPr>
                <w:rStyle w:val="120"/>
                <w:rFonts w:hAnsi="宋体" w:cs="宋体"/>
                <w:color w:val="000000" w:themeColor="text1"/>
                <w:szCs w:val="21"/>
                <w:highlight w:val="none"/>
                <w14:textFill>
                  <w14:solidFill>
                    <w14:schemeClr w14:val="tx1"/>
                  </w14:solidFill>
                </w14:textFill>
              </w:rPr>
            </w:pPr>
            <w:r>
              <w:rPr>
                <w:rStyle w:val="120"/>
                <w:rFonts w:hint="eastAsia" w:hAnsi="宋体" w:cs="宋体"/>
                <w:color w:val="000000" w:themeColor="text1"/>
                <w:szCs w:val="21"/>
                <w:highlight w:val="none"/>
                <w14:textFill>
                  <w14:solidFill>
                    <w14:schemeClr w14:val="tx1"/>
                  </w14:solidFill>
                </w14:textFill>
              </w:rPr>
              <w:t>评审内容</w:t>
            </w:r>
          </w:p>
        </w:tc>
        <w:tc>
          <w:tcPr>
            <w:tcW w:w="3937" w:type="dxa"/>
            <w:shd w:val="clear" w:color="auto" w:fill="D7D7D7"/>
            <w:vAlign w:val="center"/>
          </w:tcPr>
          <w:p>
            <w:pPr>
              <w:pStyle w:val="20"/>
              <w:spacing w:line="320" w:lineRule="exact"/>
              <w:jc w:val="center"/>
              <w:outlineLvl w:val="0"/>
              <w:rPr>
                <w:rStyle w:val="120"/>
                <w:rFonts w:hAnsi="宋体" w:cs="宋体"/>
                <w:color w:val="000000" w:themeColor="text1"/>
                <w:szCs w:val="21"/>
                <w:highlight w:val="none"/>
                <w14:textFill>
                  <w14:solidFill>
                    <w14:schemeClr w14:val="tx1"/>
                  </w14:solidFill>
                </w14:textFill>
              </w:rPr>
            </w:pPr>
            <w:r>
              <w:rPr>
                <w:rStyle w:val="120"/>
                <w:rFonts w:hint="eastAsia" w:hAnsi="宋体" w:cs="宋体"/>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04" w:type="dxa"/>
            <w:vMerge w:val="restart"/>
            <w:vAlign w:val="center"/>
          </w:tcPr>
          <w:p>
            <w:pPr>
              <w:pStyle w:val="20"/>
              <w:spacing w:line="320" w:lineRule="exact"/>
              <w:jc w:val="center"/>
              <w:outlineLvl w:val="0"/>
              <w:rPr>
                <w:rStyle w:val="120"/>
                <w:rFonts w:hAnsi="宋体" w:cs="宋体"/>
                <w:color w:val="000000" w:themeColor="text1"/>
                <w:szCs w:val="21"/>
                <w:highlight w:val="none"/>
                <w14:textFill>
                  <w14:solidFill>
                    <w14:schemeClr w14:val="tx1"/>
                  </w14:solidFill>
                </w14:textFill>
              </w:rPr>
            </w:pPr>
            <w:r>
              <w:rPr>
                <w:rStyle w:val="120"/>
                <w:rFonts w:hint="eastAsia" w:hAnsi="宋体" w:cs="宋体"/>
                <w:color w:val="000000" w:themeColor="text1"/>
                <w:szCs w:val="21"/>
                <w:highlight w:val="none"/>
                <w14:textFill>
                  <w14:solidFill>
                    <w14:schemeClr w14:val="tx1"/>
                  </w14:solidFill>
                </w14:textFill>
              </w:rPr>
              <w:t>资格审查</w:t>
            </w:r>
          </w:p>
          <w:p>
            <w:pPr>
              <w:pStyle w:val="20"/>
              <w:spacing w:line="320" w:lineRule="exact"/>
              <w:jc w:val="center"/>
              <w:outlineLvl w:val="0"/>
              <w:rPr>
                <w:rStyle w:val="120"/>
                <w:rFonts w:hAnsi="宋体" w:cs="宋体"/>
                <w:color w:val="000000" w:themeColor="text1"/>
                <w:szCs w:val="21"/>
                <w:highlight w:val="none"/>
                <w14:textFill>
                  <w14:solidFill>
                    <w14:schemeClr w14:val="tx1"/>
                  </w14:solidFill>
                </w14:textFill>
              </w:rPr>
            </w:pPr>
            <w:r>
              <w:rPr>
                <w:rStyle w:val="120"/>
                <w:rFonts w:hint="eastAsia" w:hAnsi="宋体" w:cs="宋体"/>
                <w:color w:val="000000" w:themeColor="text1"/>
                <w:szCs w:val="21"/>
                <w:highlight w:val="none"/>
                <w14:textFill>
                  <w14:solidFill>
                    <w14:schemeClr w14:val="tx1"/>
                  </w14:solidFill>
                </w14:textFill>
              </w:rPr>
              <w:t>部分</w:t>
            </w:r>
          </w:p>
          <w:p>
            <w:pPr>
              <w:pStyle w:val="20"/>
              <w:spacing w:line="320" w:lineRule="exact"/>
              <w:jc w:val="center"/>
              <w:outlineLvl w:val="0"/>
              <w:rPr>
                <w:rStyle w:val="120"/>
                <w:rFonts w:hAnsi="宋体" w:cs="宋体"/>
                <w:color w:val="000000" w:themeColor="text1"/>
                <w:szCs w:val="21"/>
                <w:highlight w:val="none"/>
                <w14:textFill>
                  <w14:solidFill>
                    <w14:schemeClr w14:val="tx1"/>
                  </w14:solidFill>
                </w14:textFill>
              </w:rPr>
            </w:pPr>
            <w:r>
              <w:rPr>
                <w:rStyle w:val="120"/>
                <w:rFonts w:hint="eastAsia" w:hAnsi="宋体" w:cs="宋体"/>
                <w:color w:val="000000" w:themeColor="text1"/>
                <w:szCs w:val="21"/>
                <w:highlight w:val="none"/>
                <w14:textFill>
                  <w14:solidFill>
                    <w14:schemeClr w14:val="tx1"/>
                  </w14:solidFill>
                </w14:textFill>
              </w:rPr>
              <w:t>（合格制）</w:t>
            </w:r>
          </w:p>
        </w:tc>
        <w:tc>
          <w:tcPr>
            <w:tcW w:w="4393" w:type="dxa"/>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（1）投标人为法人或者其他组织的，提供营业执照等证明文件（如营业执照或者事业单位法人证书或者执业许可证等），投标人为自然人的，提供身份证复印件</w:t>
            </w:r>
          </w:p>
        </w:tc>
        <w:tc>
          <w:tcPr>
            <w:tcW w:w="3937" w:type="dxa"/>
            <w:vMerge w:val="restart"/>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按招标文件要求编制左侧的内容，</w:t>
            </w:r>
            <w:r>
              <w:rPr>
                <w:bCs/>
                <w:color w:val="000000" w:themeColor="text1"/>
                <w:szCs w:val="21"/>
                <w:highlight w:val="none"/>
                <w14:textFill>
                  <w14:solidFill>
                    <w14:schemeClr w14:val="tx1"/>
                  </w14:solidFill>
                </w14:textFill>
              </w:rPr>
              <w:t>缺少任何一项或有任何一项不合格者</w:t>
            </w: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其资格审查视为不合格</w:t>
            </w:r>
            <w:r>
              <w:rPr>
                <w:rFonts w:hint="eastAsia"/>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（2）投标人依法缴纳税收的相关材料（202</w:t>
            </w:r>
            <w:r>
              <w:rPr>
                <w:rFonts w:hint="eastAsia" w:hAnsi="宋体"/>
                <w:color w:val="000000" w:themeColor="text1"/>
                <w:szCs w:val="21"/>
                <w:highlight w:val="none"/>
                <w:lang w:val="en-US" w:eastAsia="zh-CN"/>
                <w14:textFill>
                  <w14:solidFill>
                    <w14:schemeClr w14:val="tx1"/>
                  </w14:solidFill>
                </w14:textFill>
              </w:rPr>
              <w:t>5</w:t>
            </w:r>
            <w:r>
              <w:rPr>
                <w:rFonts w:hint="eastAsia" w:hAnsi="宋体"/>
                <w:color w:val="000000" w:themeColor="text1"/>
                <w:szCs w:val="21"/>
                <w:highlight w:val="none"/>
                <w14:textFill>
                  <w14:solidFill>
                    <w14:schemeClr w14:val="tx1"/>
                  </w14:solidFill>
                </w14:textFill>
              </w:rPr>
              <w:t>年</w:t>
            </w:r>
            <w:r>
              <w:rPr>
                <w:rFonts w:hint="eastAsia" w:hAnsi="宋体"/>
                <w:color w:val="000000" w:themeColor="text1"/>
                <w:szCs w:val="21"/>
                <w:highlight w:val="none"/>
                <w:lang w:val="en-US" w:eastAsia="zh-CN"/>
                <w14:textFill>
                  <w14:solidFill>
                    <w14:schemeClr w14:val="tx1"/>
                  </w14:solidFill>
                </w14:textFill>
              </w:rPr>
              <w:t>1</w:t>
            </w:r>
            <w:r>
              <w:rPr>
                <w:rFonts w:hint="eastAsia" w:hAnsi="宋体"/>
                <w:color w:val="000000" w:themeColor="text1"/>
                <w:szCs w:val="21"/>
                <w:highlight w:val="none"/>
                <w14:textFill>
                  <w14:solidFill>
                    <w14:schemeClr w14:val="tx1"/>
                  </w14:solidFill>
                </w14:textFill>
              </w:rPr>
              <w:t>月以来内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（3）投标人依法缴纳社会保障资金的相关材料[202</w:t>
            </w:r>
            <w:r>
              <w:rPr>
                <w:rFonts w:hint="eastAsia" w:hAnsi="宋体"/>
                <w:color w:val="000000" w:themeColor="text1"/>
                <w:szCs w:val="21"/>
                <w:highlight w:val="none"/>
                <w:lang w:val="en-US" w:eastAsia="zh-CN"/>
                <w14:textFill>
                  <w14:solidFill>
                    <w14:schemeClr w14:val="tx1"/>
                  </w14:solidFill>
                </w14:textFill>
              </w:rPr>
              <w:t>5</w:t>
            </w:r>
            <w:r>
              <w:rPr>
                <w:rFonts w:hint="eastAsia" w:hAnsi="宋体"/>
                <w:color w:val="000000" w:themeColor="text1"/>
                <w:szCs w:val="21"/>
                <w:highlight w:val="none"/>
                <w14:textFill>
                  <w14:solidFill>
                    <w14:schemeClr w14:val="tx1"/>
                  </w14:solidFill>
                </w14:textFill>
              </w:rPr>
              <w:t>年</w:t>
            </w:r>
            <w:r>
              <w:rPr>
                <w:rFonts w:hint="eastAsia" w:hAnsi="宋体"/>
                <w:color w:val="000000" w:themeColor="text1"/>
                <w:szCs w:val="21"/>
                <w:highlight w:val="none"/>
                <w:lang w:val="en-US" w:eastAsia="zh-CN"/>
                <w14:textFill>
                  <w14:solidFill>
                    <w14:schemeClr w14:val="tx1"/>
                  </w14:solidFill>
                </w14:textFill>
              </w:rPr>
              <w:t>1</w:t>
            </w:r>
            <w:r>
              <w:rPr>
                <w:rFonts w:hint="eastAsia" w:hAnsi="宋体"/>
                <w:color w:val="000000" w:themeColor="text1"/>
                <w:szCs w:val="21"/>
                <w:highlight w:val="none"/>
                <w14:textFill>
                  <w14:solidFill>
                    <w14:schemeClr w14:val="tx1"/>
                  </w14:solidFill>
                </w14:textFill>
              </w:rPr>
              <w:t>月以来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（4）供应商财务状况报告[202</w:t>
            </w:r>
            <w:r>
              <w:rPr>
                <w:rFonts w:hint="eastAsia" w:hAnsi="宋体"/>
                <w:color w:val="000000" w:themeColor="text1"/>
                <w:szCs w:val="21"/>
                <w:highlight w:val="none"/>
                <w:lang w:val="en-US" w:eastAsia="zh-CN"/>
                <w14:textFill>
                  <w14:solidFill>
                    <w14:schemeClr w14:val="tx1"/>
                  </w14:solidFill>
                </w14:textFill>
              </w:rPr>
              <w:t>4</w:t>
            </w:r>
            <w:r>
              <w:rPr>
                <w:rFonts w:hint="eastAsia" w:hAnsi="宋体"/>
                <w:color w:val="000000" w:themeColor="text1"/>
                <w:szCs w:val="21"/>
                <w:highlight w:val="none"/>
                <w14:textFill>
                  <w14:solidFill>
                    <w14:schemeClr w14:val="tx1"/>
                  </w14:solidFill>
                </w14:textFill>
              </w:rPr>
              <w:t>年财务状况报告复印件，供应商是法人的，应提供财务状况报告（包括资产负债表、利润表、现金流量表）或者其基本开户银行出具的资信证明（注明有效期的，应在有效期内；未注明有效期的，出具时间至投标截止时间不超过一年）；供应商是其他组织或者自然人的，应提供财务状况报告（包括资产负债表、利润表、现金流量表，)或者银行出具的资信证明（注明有效期的，应在有效期内；未注明有效期的，出具时间至投标截止时间不超过一年）]</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（5）投标声明函</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（6）投标人股东及出资信息表、管理关系信息表</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（7）投标人有效的医疗器械生产许可证或有效的医疗器械经营备案凭证或许可证原件扫描件或复印件</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（8）投标人所投设备有效医疗器械注册证原件扫描件或复印件；(如涉及2类、3类医疗器械时必须提供，1类医疗器械如有请提供，不涉及医疗器械不提供)</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（9）投标保证金缴纳证明材料</w:t>
            </w:r>
          </w:p>
        </w:tc>
        <w:tc>
          <w:tcPr>
            <w:tcW w:w="3937"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restart"/>
            <w:vAlign w:val="center"/>
          </w:tcPr>
          <w:p>
            <w:pPr>
              <w:pStyle w:val="20"/>
              <w:spacing w:line="320" w:lineRule="exact"/>
              <w:jc w:val="center"/>
              <w:outlineLvl w:val="0"/>
              <w:rPr>
                <w:rStyle w:val="120"/>
                <w:rFonts w:hAnsi="宋体" w:cs="宋体"/>
                <w:b w:val="0"/>
                <w:color w:val="000000" w:themeColor="text1"/>
                <w:szCs w:val="21"/>
                <w:highlight w:val="none"/>
                <w14:textFill>
                  <w14:solidFill>
                    <w14:schemeClr w14:val="tx1"/>
                  </w14:solidFill>
                </w14:textFill>
              </w:rPr>
            </w:pPr>
            <w:r>
              <w:rPr>
                <w:rStyle w:val="120"/>
                <w:rFonts w:hint="eastAsia" w:hAnsi="宋体" w:cs="宋体"/>
                <w:bCs/>
                <w:color w:val="000000" w:themeColor="text1"/>
                <w:szCs w:val="21"/>
                <w:highlight w:val="none"/>
                <w14:textFill>
                  <w14:solidFill>
                    <w14:schemeClr w14:val="tx1"/>
                  </w14:solidFill>
                </w14:textFill>
              </w:rPr>
              <w:t>符合性审查部分</w:t>
            </w:r>
          </w:p>
        </w:tc>
        <w:tc>
          <w:tcPr>
            <w:tcW w:w="4393" w:type="dxa"/>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r>
              <w:rPr>
                <w:rStyle w:val="120"/>
                <w:rFonts w:hint="eastAsia" w:hAnsi="宋体" w:cs="宋体"/>
                <w:b w:val="0"/>
                <w:color w:val="000000" w:themeColor="text1"/>
                <w:szCs w:val="21"/>
                <w:highlight w:val="none"/>
                <w14:textFill>
                  <w14:solidFill>
                    <w14:schemeClr w14:val="tx1"/>
                  </w14:solidFill>
                </w14:textFill>
              </w:rPr>
              <w:t>投标报价</w:t>
            </w:r>
          </w:p>
        </w:tc>
        <w:tc>
          <w:tcPr>
            <w:tcW w:w="3937" w:type="dxa"/>
            <w:vAlign w:val="center"/>
          </w:tcPr>
          <w:p>
            <w:pPr>
              <w:pStyle w:val="20"/>
              <w:spacing w:line="320" w:lineRule="exact"/>
              <w:outlineLvl w:val="0"/>
              <w:rPr>
                <w:rStyle w:val="120"/>
                <w:rFonts w:ascii="Times New Roman" w:hAnsi="Times New Roman"/>
                <w:b w:val="0"/>
                <w:color w:val="000000" w:themeColor="text1"/>
                <w:szCs w:val="21"/>
                <w:highlight w:val="none"/>
                <w:lang w:val="en-US"/>
                <w14:textFill>
                  <w14:solidFill>
                    <w14:schemeClr w14:val="tx1"/>
                  </w14:solidFill>
                </w14:textFill>
              </w:rPr>
            </w:pPr>
            <w:r>
              <w:rPr>
                <w:rStyle w:val="120"/>
                <w:rFonts w:hint="eastAsia" w:ascii="Times New Roman" w:hAnsi="Times New Roman"/>
                <w:b w:val="0"/>
                <w:color w:val="000000" w:themeColor="text1"/>
                <w:szCs w:val="21"/>
                <w:highlight w:val="none"/>
                <w:lang w:val="en-US"/>
                <w14:textFill>
                  <w14:solidFill>
                    <w14:schemeClr w14:val="tx1"/>
                  </w14:solidFill>
                </w14:textFill>
              </w:rPr>
              <w:t>符合招标文件中规定的实质性要求，未有第二章投标人须知13.4项规定导致投标无效的情形。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r>
              <w:rPr>
                <w:rStyle w:val="120"/>
                <w:rFonts w:hint="eastAsia" w:hAnsi="宋体" w:cs="宋体"/>
                <w:b w:val="0"/>
                <w:color w:val="000000" w:themeColor="text1"/>
                <w:szCs w:val="21"/>
                <w:highlight w:val="none"/>
                <w14:textFill>
                  <w14:solidFill>
                    <w14:schemeClr w14:val="tx1"/>
                  </w14:solidFill>
                </w14:textFill>
              </w:rPr>
              <w:t>商务</w:t>
            </w:r>
          </w:p>
        </w:tc>
        <w:tc>
          <w:tcPr>
            <w:tcW w:w="3937" w:type="dxa"/>
            <w:vAlign w:val="center"/>
          </w:tcPr>
          <w:p>
            <w:pPr>
              <w:pStyle w:val="20"/>
              <w:spacing w:line="320" w:lineRule="exact"/>
              <w:outlineLvl w:val="0"/>
              <w:rPr>
                <w:rStyle w:val="120"/>
                <w:rFonts w:ascii="Times New Roman" w:hAnsi="Times New Roman"/>
                <w:b w:val="0"/>
                <w:color w:val="000000" w:themeColor="text1"/>
                <w:szCs w:val="21"/>
                <w:highlight w:val="none"/>
                <w:lang w:val="en-US"/>
                <w14:textFill>
                  <w14:solidFill>
                    <w14:schemeClr w14:val="tx1"/>
                  </w14:solidFill>
                </w14:textFill>
              </w:rPr>
            </w:pPr>
            <w:r>
              <w:rPr>
                <w:rStyle w:val="120"/>
                <w:rFonts w:hint="eastAsia" w:ascii="Times New Roman" w:hAnsi="Times New Roman"/>
                <w:b w:val="0"/>
                <w:color w:val="000000" w:themeColor="text1"/>
                <w:szCs w:val="21"/>
                <w:highlight w:val="none"/>
                <w:lang w:val="en-US"/>
                <w14:textFill>
                  <w14:solidFill>
                    <w14:schemeClr w14:val="tx1"/>
                  </w14:solidFill>
                </w14:textFill>
              </w:rPr>
              <w:t>符合招标文件中规定的实质性要求，未有第二章投标人须知13.2项规定导致投标无效的情形。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04" w:type="dxa"/>
            <w:vMerge w:val="continue"/>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p>
        </w:tc>
        <w:tc>
          <w:tcPr>
            <w:tcW w:w="4393" w:type="dxa"/>
            <w:vAlign w:val="center"/>
          </w:tcPr>
          <w:p>
            <w:pPr>
              <w:pStyle w:val="20"/>
              <w:spacing w:line="320" w:lineRule="exact"/>
              <w:outlineLvl w:val="0"/>
              <w:rPr>
                <w:rStyle w:val="120"/>
                <w:rFonts w:hAnsi="宋体" w:cs="宋体"/>
                <w:b w:val="0"/>
                <w:color w:val="000000" w:themeColor="text1"/>
                <w:szCs w:val="21"/>
                <w:highlight w:val="none"/>
                <w14:textFill>
                  <w14:solidFill>
                    <w14:schemeClr w14:val="tx1"/>
                  </w14:solidFill>
                </w14:textFill>
              </w:rPr>
            </w:pPr>
            <w:r>
              <w:rPr>
                <w:rStyle w:val="120"/>
                <w:rFonts w:hint="eastAsia" w:hAnsi="宋体" w:cs="宋体"/>
                <w:b w:val="0"/>
                <w:color w:val="000000" w:themeColor="text1"/>
                <w:szCs w:val="21"/>
                <w:highlight w:val="none"/>
                <w14:textFill>
                  <w14:solidFill>
                    <w14:schemeClr w14:val="tx1"/>
                  </w14:solidFill>
                </w14:textFill>
              </w:rPr>
              <w:t>技术</w:t>
            </w:r>
          </w:p>
        </w:tc>
        <w:tc>
          <w:tcPr>
            <w:tcW w:w="3937" w:type="dxa"/>
            <w:vAlign w:val="center"/>
          </w:tcPr>
          <w:p>
            <w:pPr>
              <w:pStyle w:val="20"/>
              <w:spacing w:line="320" w:lineRule="exact"/>
              <w:outlineLvl w:val="0"/>
              <w:rPr>
                <w:rStyle w:val="120"/>
                <w:rFonts w:ascii="Times New Roman" w:hAnsi="Times New Roman"/>
                <w:b w:val="0"/>
                <w:color w:val="000000" w:themeColor="text1"/>
                <w:szCs w:val="21"/>
                <w:highlight w:val="none"/>
                <w:lang w:val="en-US"/>
                <w14:textFill>
                  <w14:solidFill>
                    <w14:schemeClr w14:val="tx1"/>
                  </w14:solidFill>
                </w14:textFill>
              </w:rPr>
            </w:pPr>
            <w:r>
              <w:rPr>
                <w:rStyle w:val="120"/>
                <w:rFonts w:hint="eastAsia" w:ascii="Times New Roman" w:hAnsi="Times New Roman"/>
                <w:b w:val="0"/>
                <w:color w:val="000000" w:themeColor="text1"/>
                <w:szCs w:val="21"/>
                <w:highlight w:val="none"/>
                <w:lang w:val="en-US"/>
                <w14:textFill>
                  <w14:solidFill>
                    <w14:schemeClr w14:val="tx1"/>
                  </w14:solidFill>
                </w14:textFill>
              </w:rPr>
              <w:t>符合招标文件中规定的实质性要求，未有第二章投标人须知13.3项规定导致投标无效的情形。</w:t>
            </w:r>
          </w:p>
        </w:tc>
      </w:tr>
    </w:tbl>
    <w:p>
      <w:pPr>
        <w:spacing w:line="440" w:lineRule="exact"/>
        <w:rPr>
          <w:rFonts w:ascii="宋体" w:hAnsi="宋体"/>
          <w:b/>
          <w:bCs/>
          <w:color w:val="000000" w:themeColor="text1"/>
          <w:szCs w:val="21"/>
          <w:highlight w:val="none"/>
          <w:lang w:eastAsia="zh-CN"/>
          <w14:textFill>
            <w14:solidFill>
              <w14:schemeClr w14:val="tx1"/>
            </w14:solidFill>
          </w14:textFill>
        </w:rPr>
      </w:pPr>
    </w:p>
    <w:p>
      <w:pPr>
        <w:spacing w:line="440" w:lineRule="exact"/>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三、评标办法</w:t>
      </w:r>
    </w:p>
    <w:p>
      <w:pPr>
        <w:spacing w:line="440" w:lineRule="exact"/>
        <w:ind w:firstLine="420" w:firstLineChars="200"/>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（一）对进入详评的，采用综合评分法。</w:t>
      </w:r>
    </w:p>
    <w:p>
      <w:pPr>
        <w:spacing w:line="440" w:lineRule="exact"/>
        <w:ind w:firstLine="420" w:firstLineChars="200"/>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（二）计分办法（按四舍五入取至小数点后二位）</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91"/>
        <w:gridCol w:w="612"/>
        <w:gridCol w:w="2671"/>
        <w:gridCol w:w="381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序号</w:t>
            </w:r>
          </w:p>
        </w:tc>
        <w:tc>
          <w:tcPr>
            <w:tcW w:w="1303" w:type="dxa"/>
            <w:gridSpan w:val="2"/>
            <w:tcBorders>
              <w:top w:val="single" w:color="auto" w:sz="4" w:space="0"/>
              <w:left w:val="single" w:color="auto" w:sz="4" w:space="0"/>
              <w:bottom w:val="single" w:color="auto" w:sz="4" w:space="0"/>
              <w:right w:val="single" w:color="auto" w:sz="4" w:space="0"/>
            </w:tcBorders>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评分类型</w:t>
            </w:r>
          </w:p>
        </w:tc>
        <w:tc>
          <w:tcPr>
            <w:tcW w:w="6488" w:type="dxa"/>
            <w:gridSpan w:val="2"/>
            <w:tcBorders>
              <w:top w:val="single" w:color="auto" w:sz="4" w:space="0"/>
              <w:left w:val="single" w:color="auto" w:sz="4" w:space="0"/>
              <w:bottom w:val="single" w:color="auto" w:sz="4" w:space="0"/>
              <w:right w:val="single" w:color="auto" w:sz="4" w:space="0"/>
            </w:tcBorders>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评分标准</w:t>
            </w:r>
          </w:p>
        </w:tc>
        <w:tc>
          <w:tcPr>
            <w:tcW w:w="1350" w:type="dxa"/>
            <w:tcBorders>
              <w:top w:val="single" w:color="auto" w:sz="4" w:space="0"/>
              <w:left w:val="single" w:color="auto" w:sz="4" w:space="0"/>
              <w:bottom w:val="single" w:color="auto" w:sz="4" w:space="0"/>
              <w:right w:val="single" w:color="auto" w:sz="4" w:space="0"/>
            </w:tcBorders>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vAlign w:val="center"/>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1</w:t>
            </w:r>
          </w:p>
        </w:tc>
        <w:tc>
          <w:tcPr>
            <w:tcW w:w="1303" w:type="dxa"/>
            <w:gridSpan w:val="2"/>
            <w:tcBorders>
              <w:top w:val="single" w:color="auto" w:sz="4" w:space="0"/>
              <w:left w:val="single" w:color="auto" w:sz="4" w:space="0"/>
              <w:bottom w:val="single" w:color="auto" w:sz="4" w:space="0"/>
              <w:right w:val="single" w:color="auto" w:sz="4" w:space="0"/>
            </w:tcBorders>
            <w:vAlign w:val="center"/>
          </w:tcPr>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报价分</w:t>
            </w:r>
          </w:p>
          <w:p>
            <w:pPr>
              <w:pStyle w:val="20"/>
              <w:autoSpaceDE w:val="0"/>
              <w:spacing w:line="360" w:lineRule="auto"/>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（30分）</w:t>
            </w:r>
          </w:p>
        </w:tc>
        <w:tc>
          <w:tcPr>
            <w:tcW w:w="6488" w:type="dxa"/>
            <w:gridSpan w:val="2"/>
            <w:tcBorders>
              <w:top w:val="single" w:color="auto" w:sz="4" w:space="0"/>
              <w:left w:val="single" w:color="auto" w:sz="4" w:space="0"/>
              <w:bottom w:val="single" w:color="auto" w:sz="4" w:space="0"/>
              <w:right w:val="single" w:color="auto" w:sz="4" w:space="0"/>
            </w:tcBorders>
          </w:tcPr>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（1）评标报价为投标人的投标报价进行政策性扣除后的价格，评标报价只是作为评标时使用。最终中标人的中标金额等于投标报价。</w:t>
            </w:r>
          </w:p>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2）按照《政府采购促进中小企业发展管理办法》（财库〔2020〕46号）、《广西壮族自治区财政厅关于贯彻落实政府采购支持中小企业发展政策的通知》（桂财采〔2022〕31号[2022]31号）的规定，投标人在其投标文件中提供《中小企业声明函》，且其服务为小型和微型企业承接的，对其最后报价给予20%的扣除。</w:t>
            </w:r>
          </w:p>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（4）按照</w:t>
            </w:r>
            <w:r>
              <w:rPr>
                <w:rFonts w:hint="eastAsia" w:ascii="宋体" w:hAnsi="宋体"/>
                <w:bCs/>
                <w:color w:val="000000" w:themeColor="text1"/>
                <w:sz w:val="21"/>
                <w:szCs w:val="21"/>
                <w:highlight w:val="none"/>
                <w:lang w:eastAsia="zh-CN"/>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sz w:val="21"/>
                <w:szCs w:val="21"/>
                <w:highlight w:val="none"/>
                <w:lang w:eastAsia="zh-CN"/>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sz w:val="21"/>
                <w:szCs w:val="21"/>
                <w:highlight w:val="none"/>
                <w:lang w:eastAsia="zh-CN"/>
                <w14:textFill>
                  <w14:solidFill>
                    <w14:schemeClr w14:val="tx1"/>
                  </w14:solidFill>
                </w14:textFill>
              </w:rPr>
              <w:t>残疾人福利性单位属于小型、微型企业的，不重复享受政策。</w:t>
            </w:r>
          </w:p>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（5）政策性扣除计算方法。</w:t>
            </w:r>
          </w:p>
          <w:p>
            <w:pPr>
              <w:autoSpaceDE w:val="0"/>
              <w:snapToGrid w:val="0"/>
              <w:spacing w:line="288" w:lineRule="auto"/>
              <w:ind w:firstLine="443" w:firstLineChars="211"/>
              <w:rPr>
                <w:rFonts w:ascii="宋体" w:hAnsi="宋体"/>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在货物采购项目中，货物由小微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000000" w:themeColor="text1"/>
                <w:sz w:val="21"/>
                <w:szCs w:val="21"/>
                <w:highlight w:val="none"/>
                <w:u w:val="single"/>
                <w:lang w:eastAsia="zh-CN"/>
                <w14:textFill>
                  <w14:solidFill>
                    <w14:schemeClr w14:val="tx1"/>
                  </w14:solidFill>
                </w14:textFill>
              </w:rPr>
              <w:t xml:space="preserve"> 6% </w:t>
            </w:r>
            <w:r>
              <w:rPr>
                <w:rFonts w:hint="eastAsia" w:ascii="宋体" w:hAnsi="宋体"/>
                <w:bCs/>
                <w:color w:val="000000" w:themeColor="text1"/>
                <w:sz w:val="21"/>
                <w:szCs w:val="21"/>
                <w:highlight w:val="none"/>
                <w:lang w:eastAsia="zh-CN"/>
                <w14:textFill>
                  <w14:solidFill>
                    <w14:schemeClr w14:val="tx1"/>
                  </w14:solidFill>
                </w14:textFill>
              </w:rPr>
              <w:t>的扣除，用扣除后的价格参加评审，扣除后的价格为评标报价，即评标报价=投标报价×（1-</w:t>
            </w:r>
            <w:r>
              <w:rPr>
                <w:rFonts w:hint="eastAsia" w:ascii="宋体" w:hAnsi="宋体"/>
                <w:bCs/>
                <w:color w:val="000000" w:themeColor="text1"/>
                <w:sz w:val="21"/>
                <w:szCs w:val="21"/>
                <w:highlight w:val="none"/>
                <w:u w:val="single"/>
                <w:lang w:eastAsia="zh-CN"/>
                <w14:textFill>
                  <w14:solidFill>
                    <w14:schemeClr w14:val="tx1"/>
                  </w14:solidFill>
                </w14:textFill>
              </w:rPr>
              <w:t xml:space="preserve"> 6% </w:t>
            </w:r>
            <w:r>
              <w:rPr>
                <w:rFonts w:hint="eastAsia" w:ascii="宋体" w:hAnsi="宋体"/>
                <w:bCs/>
                <w:color w:val="000000" w:themeColor="text1"/>
                <w:sz w:val="21"/>
                <w:szCs w:val="21"/>
                <w:highlight w:val="none"/>
                <w:lang w:eastAsia="zh-CN"/>
                <w14:textFill>
                  <w14:solidFill>
                    <w14:schemeClr w14:val="tx1"/>
                  </w14:solidFill>
                </w14:textFill>
              </w:rPr>
              <w:t>）。除上述情况外，评标报价=投标报价。</w:t>
            </w:r>
          </w:p>
          <w:p>
            <w:pPr>
              <w:autoSpaceDE w:val="0"/>
              <w:snapToGrid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（6）满足招标文件要求且评标报价最低的评标报价为评标基准价，其价格分为满分。</w:t>
            </w:r>
          </w:p>
          <w:p>
            <w:pPr>
              <w:autoSpaceDE w:val="0"/>
              <w:spacing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 xml:space="preserve">（7）价格分计算公式：        </w:t>
            </w:r>
          </w:p>
          <w:p>
            <w:pPr>
              <w:autoSpaceDE w:val="0"/>
              <w:spacing w:before="100" w:beforeAutospacing="1" w:line="288" w:lineRule="auto"/>
              <w:ind w:firstLine="233" w:firstLineChars="111"/>
              <w:rPr>
                <w:rFonts w:ascii="宋体" w:hAnsi="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价格分=(评标基准价／评标报价)×</w:t>
            </w:r>
            <w:r>
              <w:rPr>
                <w:rFonts w:hint="eastAsia" w:ascii="宋体" w:hAnsi="宋体"/>
                <w:bCs/>
                <w:color w:val="000000" w:themeColor="text1"/>
                <w:sz w:val="21"/>
                <w:szCs w:val="21"/>
                <w:highlight w:val="none"/>
                <w:u w:val="single"/>
                <w:lang w:eastAsia="zh-CN"/>
                <w14:textFill>
                  <w14:solidFill>
                    <w14:schemeClr w14:val="tx1"/>
                  </w14:solidFill>
                </w14:textFill>
              </w:rPr>
              <w:t xml:space="preserve">  30 </w:t>
            </w:r>
            <w:r>
              <w:rPr>
                <w:rFonts w:hint="eastAsia" w:ascii="宋体" w:hAnsi="宋体"/>
                <w:bCs/>
                <w:color w:val="000000" w:themeColor="text1"/>
                <w:sz w:val="21"/>
                <w:szCs w:val="21"/>
                <w:highlight w:val="none"/>
                <w:lang w:eastAsia="zh-CN"/>
                <w14:textFill>
                  <w14:solidFill>
                    <w14:schemeClr w14:val="tx1"/>
                  </w14:solidFill>
                </w14:textFill>
              </w:rPr>
              <w:t>分</w:t>
            </w:r>
          </w:p>
          <w:p>
            <w:pPr>
              <w:pStyle w:val="54"/>
              <w:spacing w:line="288" w:lineRule="auto"/>
              <w:ind w:firstLine="420" w:firstLineChars="200"/>
              <w:rPr>
                <w:color w:val="000000" w:themeColor="text1"/>
                <w:highlight w:val="none"/>
                <w:lang w:eastAsia="zh-CN"/>
                <w14:textFill>
                  <w14:solidFill>
                    <w14:schemeClr w14:val="tx1"/>
                  </w14:solidFill>
                </w14:textFill>
              </w:rPr>
            </w:pPr>
            <w:r>
              <w:rPr>
                <w:rFonts w:hint="eastAsia" w:ascii="宋体" w:hAnsi="宋体"/>
                <w:color w:val="000000" w:themeColor="text1"/>
                <w:spacing w:val="0"/>
                <w:sz w:val="21"/>
                <w:szCs w:val="21"/>
                <w:highlight w:val="none"/>
                <w:lang w:eastAsia="zh-CN"/>
                <w14:textFill>
                  <w14:solidFill>
                    <w14:schemeClr w14:val="tx1"/>
                  </w14:solidFill>
                </w14:textFill>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相关证明材料包含但不限于：1、本项目成本分析报告（格式自拟）；2、不少于两个投标产品成功销售并验收合格的案例证明【案例证明需同时提供投标产品销售合同复印件、经采购方盖章确认的验收报告以及技术参数及性能配置表（不得低于本次投标响应的技术参数及性能配置），缺一不可】。</w:t>
            </w:r>
          </w:p>
        </w:tc>
        <w:tc>
          <w:tcPr>
            <w:tcW w:w="1350" w:type="dxa"/>
            <w:tcBorders>
              <w:top w:val="single" w:color="auto" w:sz="4" w:space="0"/>
              <w:left w:val="single" w:color="auto" w:sz="4" w:space="0"/>
              <w:bottom w:val="single" w:color="auto" w:sz="4" w:space="0"/>
              <w:right w:val="single" w:color="auto" w:sz="4" w:space="0"/>
            </w:tcBorders>
            <w:vAlign w:val="center"/>
          </w:tcPr>
          <w:p>
            <w:pPr>
              <w:pStyle w:val="20"/>
              <w:autoSpaceDE w:val="0"/>
              <w:spacing w:line="360" w:lineRule="auto"/>
              <w:jc w:val="center"/>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87" w:type="dxa"/>
            <w:gridSpan w:val="4"/>
            <w:shd w:val="clear" w:color="auto" w:fill="D7D7D7"/>
            <w:vAlign w:val="center"/>
          </w:tcPr>
          <w:p>
            <w:pPr>
              <w:pStyle w:val="20"/>
              <w:spacing w:line="360" w:lineRule="auto"/>
              <w:rPr>
                <w:rFonts w:hAnsi="宋体" w:cs="宋体"/>
                <w:b/>
                <w:bCs/>
                <w:color w:val="000000" w:themeColor="text1"/>
                <w:szCs w:val="21"/>
                <w:highlight w:val="none"/>
                <w14:textFill>
                  <w14:solidFill>
                    <w14:schemeClr w14:val="tx1"/>
                  </w14:solidFill>
                </w14:textFill>
              </w:rPr>
            </w:pPr>
            <w:bookmarkStart w:id="162" w:name="_Toc18639"/>
            <w:bookmarkStart w:id="163" w:name="_Toc11086"/>
            <w:r>
              <w:rPr>
                <w:rFonts w:hint="eastAsia" w:hAnsi="宋体" w:cs="宋体"/>
                <w:b/>
                <w:bCs/>
                <w:color w:val="000000" w:themeColor="text1"/>
                <w:szCs w:val="21"/>
                <w:highlight w:val="none"/>
                <w14:textFill>
                  <w14:solidFill>
                    <w14:schemeClr w14:val="tx1"/>
                  </w14:solidFill>
                </w14:textFill>
              </w:rPr>
              <w:t>评审内容</w:t>
            </w:r>
            <w:bookmarkEnd w:id="162"/>
            <w:bookmarkEnd w:id="163"/>
          </w:p>
        </w:tc>
        <w:tc>
          <w:tcPr>
            <w:tcW w:w="5167" w:type="dxa"/>
            <w:gridSpan w:val="2"/>
            <w:shd w:val="clear" w:color="auto" w:fill="D7D7D7"/>
            <w:vAlign w:val="center"/>
          </w:tcPr>
          <w:p>
            <w:pPr>
              <w:pStyle w:val="20"/>
              <w:spacing w:line="360" w:lineRule="auto"/>
              <w:rPr>
                <w:rFonts w:hAnsi="宋体" w:cs="宋体"/>
                <w:b/>
                <w:bCs/>
                <w:color w:val="000000" w:themeColor="text1"/>
                <w:szCs w:val="21"/>
                <w:highlight w:val="none"/>
                <w14:textFill>
                  <w14:solidFill>
                    <w14:schemeClr w14:val="tx1"/>
                  </w14:solidFill>
                </w14:textFill>
              </w:rPr>
            </w:pPr>
            <w:bookmarkStart w:id="164" w:name="_Toc24736"/>
            <w:bookmarkStart w:id="165" w:name="_Toc2237"/>
            <w:r>
              <w:rPr>
                <w:rFonts w:hint="eastAsia" w:hAnsi="宋体" w:cs="宋体"/>
                <w:b/>
                <w:bCs/>
                <w:color w:val="000000" w:themeColor="text1"/>
                <w:szCs w:val="21"/>
                <w:highlight w:val="none"/>
                <w14:textFill>
                  <w14:solidFill>
                    <w14:schemeClr w14:val="tx1"/>
                  </w14:solidFill>
                </w14:textFill>
              </w:rPr>
              <w:t>评审标准</w:t>
            </w:r>
            <w:bookmarkEnd w:id="164"/>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04" w:type="dxa"/>
            <w:gridSpan w:val="2"/>
            <w:vMerge w:val="restart"/>
            <w:vAlign w:val="center"/>
          </w:tcPr>
          <w:p>
            <w:pPr>
              <w:pStyle w:val="20"/>
              <w:spacing w:line="360" w:lineRule="auto"/>
              <w:jc w:val="center"/>
              <w:rPr>
                <w:rFonts w:hAnsi="宋体" w:cs="宋体"/>
                <w:b/>
                <w:bCs/>
                <w:color w:val="000000" w:themeColor="text1"/>
                <w:szCs w:val="21"/>
                <w:highlight w:val="none"/>
                <w14:textFill>
                  <w14:solidFill>
                    <w14:schemeClr w14:val="tx1"/>
                  </w14:solidFill>
                </w14:textFill>
              </w:rPr>
            </w:pPr>
            <w:bookmarkStart w:id="166" w:name="_Toc4742"/>
            <w:bookmarkStart w:id="167" w:name="_Toc8577"/>
            <w:r>
              <w:rPr>
                <w:rFonts w:hint="eastAsia" w:hAnsi="宋体" w:cs="宋体"/>
                <w:b/>
                <w:bCs/>
                <w:color w:val="000000" w:themeColor="text1"/>
                <w:szCs w:val="21"/>
                <w:highlight w:val="none"/>
                <w14:textFill>
                  <w14:solidFill>
                    <w14:schemeClr w14:val="tx1"/>
                  </w14:solidFill>
                </w14:textFill>
              </w:rPr>
              <w:t>技术</w:t>
            </w:r>
            <w:bookmarkEnd w:id="166"/>
            <w:bookmarkEnd w:id="167"/>
            <w:bookmarkStart w:id="168" w:name="_Toc6430"/>
            <w:bookmarkStart w:id="169" w:name="_Toc17957"/>
            <w:r>
              <w:rPr>
                <w:rFonts w:hint="eastAsia" w:hAnsi="宋体" w:cs="宋体"/>
                <w:b/>
                <w:bCs/>
                <w:color w:val="000000" w:themeColor="text1"/>
                <w:szCs w:val="21"/>
                <w:highlight w:val="none"/>
                <w14:textFill>
                  <w14:solidFill>
                    <w14:schemeClr w14:val="tx1"/>
                  </w14:solidFill>
                </w14:textFill>
              </w:rPr>
              <w:t>分</w:t>
            </w:r>
          </w:p>
          <w:p>
            <w:pPr>
              <w:pStyle w:val="20"/>
              <w:spacing w:line="360" w:lineRule="auto"/>
              <w:jc w:val="center"/>
              <w:rPr>
                <w:rFonts w:hAnsi="宋体" w:cs="宋体"/>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（满分6</w:t>
            </w:r>
            <w:r>
              <w:rPr>
                <w:rFonts w:hint="eastAsia" w:hAnsi="宋体" w:cs="宋体"/>
                <w:b/>
                <w:bCs/>
                <w:color w:val="000000" w:themeColor="text1"/>
                <w:szCs w:val="21"/>
                <w:highlight w:val="none"/>
                <w:lang w:val="en-US" w:eastAsia="zh-CN"/>
                <w14:textFill>
                  <w14:solidFill>
                    <w14:schemeClr w14:val="tx1"/>
                  </w14:solidFill>
                </w14:textFill>
              </w:rPr>
              <w:t>3</w:t>
            </w:r>
            <w:r>
              <w:rPr>
                <w:rFonts w:hint="eastAsia" w:hAnsi="宋体" w:cs="宋体"/>
                <w:b/>
                <w:bCs/>
                <w:color w:val="000000" w:themeColor="text1"/>
                <w:szCs w:val="21"/>
                <w:highlight w:val="none"/>
                <w14:textFill>
                  <w14:solidFill>
                    <w14:schemeClr w14:val="tx1"/>
                  </w14:solidFill>
                </w14:textFill>
              </w:rPr>
              <w:t>分）</w:t>
            </w:r>
            <w:bookmarkEnd w:id="168"/>
            <w:bookmarkEnd w:id="169"/>
          </w:p>
        </w:tc>
        <w:tc>
          <w:tcPr>
            <w:tcW w:w="3283" w:type="dxa"/>
            <w:gridSpan w:val="2"/>
            <w:vAlign w:val="center"/>
          </w:tcPr>
          <w:p>
            <w:pPr>
              <w:pStyle w:val="20"/>
              <w:spacing w:line="360" w:lineRule="auto"/>
              <w:rPr>
                <w:rFonts w:hAnsi="宋体" w:cs="宋体"/>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产品综合性能分（满分</w:t>
            </w:r>
            <w:r>
              <w:rPr>
                <w:rFonts w:hint="eastAsia" w:hAnsi="宋体" w:cs="宋体"/>
                <w:b/>
                <w:bCs/>
                <w:color w:val="000000" w:themeColor="text1"/>
                <w:szCs w:val="21"/>
                <w:highlight w:val="none"/>
                <w:lang w:val="en-US" w:eastAsia="zh-CN"/>
                <w14:textFill>
                  <w14:solidFill>
                    <w14:schemeClr w14:val="tx1"/>
                  </w14:solidFill>
                </w14:textFill>
              </w:rPr>
              <w:t>24</w:t>
            </w:r>
            <w:r>
              <w:rPr>
                <w:rFonts w:hint="eastAsia" w:hAnsi="宋体" w:cs="宋体"/>
                <w:b/>
                <w:bCs/>
                <w:color w:val="000000" w:themeColor="text1"/>
                <w:szCs w:val="21"/>
                <w:highlight w:val="none"/>
                <w14:textFill>
                  <w14:solidFill>
                    <w14:schemeClr w14:val="tx1"/>
                  </w14:solidFill>
                </w14:textFill>
              </w:rPr>
              <w:t>分）</w:t>
            </w:r>
          </w:p>
        </w:tc>
        <w:tc>
          <w:tcPr>
            <w:tcW w:w="5167" w:type="dxa"/>
            <w:gridSpan w:val="2"/>
            <w:vAlign w:val="center"/>
          </w:tcPr>
          <w:p>
            <w:pPr>
              <w:pStyle w:val="112"/>
              <w:spacing w:before="166" w:line="224" w:lineRule="auto"/>
              <w:ind w:left="0"/>
              <w:jc w:val="both"/>
              <w:rPr>
                <w:rFonts w:hint="eastAsia" w:ascii="宋体" w:hAnsi="宋体" w:cs="宋体"/>
                <w:bCs/>
                <w:color w:val="000000" w:themeColor="text1"/>
                <w:kern w:val="2"/>
                <w:sz w:val="21"/>
                <w:szCs w:val="21"/>
                <w:highlight w:val="none"/>
                <w:lang w:eastAsia="zh-CN"/>
                <w14:textFill>
                  <w14:solidFill>
                    <w14:schemeClr w14:val="tx1"/>
                  </w14:solidFill>
                </w14:textFill>
              </w:rPr>
            </w:pPr>
            <w:r>
              <w:rPr>
                <w:rFonts w:hint="eastAsia" w:ascii="宋体" w:hAnsi="宋体" w:cs="宋体"/>
                <w:bCs/>
                <w:color w:val="000000" w:themeColor="text1"/>
                <w:spacing w:val="0"/>
                <w:kern w:val="2"/>
                <w:sz w:val="21"/>
                <w:szCs w:val="21"/>
                <w:highlight w:val="none"/>
                <w:lang w:eastAsia="zh-CN"/>
                <w14:textFill>
                  <w14:solidFill>
                    <w14:schemeClr w14:val="tx1"/>
                  </w14:solidFill>
                </w14:textFill>
              </w:rPr>
              <w:t xml:space="preserve">投标人在技术需求偏离表中对“技术参数及性能配置要求 ”响应无负偏离或无漏项的得 24 分；存在负偏离或漏项的，每有 1 项负偏离或漏项的扣 </w:t>
            </w:r>
            <w:r>
              <w:rPr>
                <w:rFonts w:hint="eastAsia" w:ascii="宋体" w:hAnsi="宋体" w:cs="宋体"/>
                <w:bCs/>
                <w:color w:val="000000" w:themeColor="text1"/>
                <w:spacing w:val="0"/>
                <w:kern w:val="2"/>
                <w:sz w:val="21"/>
                <w:szCs w:val="21"/>
                <w:highlight w:val="none"/>
                <w:lang w:val="en-US" w:eastAsia="zh-CN"/>
                <w14:textFill>
                  <w14:solidFill>
                    <w14:schemeClr w14:val="tx1"/>
                  </w14:solidFill>
                </w14:textFill>
              </w:rPr>
              <w:t>4</w:t>
            </w:r>
            <w:r>
              <w:rPr>
                <w:rFonts w:hint="eastAsia" w:ascii="宋体" w:hAnsi="宋体" w:cs="宋体"/>
                <w:bCs/>
                <w:color w:val="000000" w:themeColor="text1"/>
                <w:spacing w:val="0"/>
                <w:kern w:val="2"/>
                <w:sz w:val="21"/>
                <w:szCs w:val="21"/>
                <w:highlight w:val="none"/>
                <w:lang w:eastAsia="zh-CN"/>
                <w14:textFill>
                  <w14:solidFill>
                    <w14:schemeClr w14:val="tx1"/>
                  </w14:solidFill>
                </w14:textFill>
              </w:rPr>
              <w:t>分</w:t>
            </w:r>
            <w:r>
              <w:rPr>
                <w:rFonts w:hint="eastAsia" w:ascii="宋体" w:hAnsi="宋体" w:cs="宋体"/>
                <w:bCs/>
                <w:color w:val="000000" w:themeColor="text1"/>
                <w:spacing w:val="0"/>
                <w:kern w:val="2"/>
                <w:sz w:val="21"/>
                <w:szCs w:val="21"/>
                <w:highlight w:val="none"/>
                <w:lang w:val="en-US" w:eastAsia="zh-CN"/>
                <w14:textFill>
                  <w14:solidFill>
                    <w14:schemeClr w14:val="tx1"/>
                  </w14:solidFill>
                </w14:textFill>
              </w:rPr>
              <w:t>(在招标文件允许偏离的项数内)</w:t>
            </w:r>
            <w:r>
              <w:rPr>
                <w:rFonts w:hint="eastAsia" w:ascii="宋体" w:hAnsi="宋体" w:cs="宋体"/>
                <w:bCs/>
                <w:color w:val="000000" w:themeColor="text1"/>
                <w:spacing w:val="0"/>
                <w:kern w:val="2"/>
                <w:sz w:val="21"/>
                <w:szCs w:val="21"/>
                <w:highlight w:val="none"/>
                <w:lang w:eastAsia="zh-CN"/>
                <w14:textFill>
                  <w14:solidFill>
                    <w14:schemeClr w14:val="tx1"/>
                  </w14:solidFill>
                </w14:textFill>
              </w:rPr>
              <w:t>。（本项满分24分）注：</w:t>
            </w:r>
          </w:p>
          <w:p>
            <w:pPr>
              <w:pStyle w:val="112"/>
              <w:spacing w:before="170" w:line="309" w:lineRule="auto"/>
              <w:ind w:left="0" w:right="107" w:firstLine="0"/>
              <w:jc w:val="both"/>
              <w:rPr>
                <w:rFonts w:hint="eastAsia" w:ascii="宋体" w:hAnsi="宋体" w:cs="宋体"/>
                <w:bCs/>
                <w:color w:val="000000" w:themeColor="text1"/>
                <w:kern w:val="2"/>
                <w:sz w:val="21"/>
                <w:szCs w:val="21"/>
                <w:highlight w:val="none"/>
                <w:lang w:eastAsia="zh-CN"/>
                <w14:textFill>
                  <w14:solidFill>
                    <w14:schemeClr w14:val="tx1"/>
                  </w14:solidFill>
                </w14:textFill>
              </w:rPr>
            </w:pPr>
            <w:r>
              <w:rPr>
                <w:rFonts w:hint="eastAsia" w:ascii="宋体" w:hAnsi="宋体" w:cs="宋体"/>
                <w:bCs/>
                <w:color w:val="000000" w:themeColor="text1"/>
                <w:spacing w:val="0"/>
                <w:kern w:val="2"/>
                <w:sz w:val="21"/>
                <w:szCs w:val="21"/>
                <w:highlight w:val="none"/>
                <w:lang w:eastAsia="zh-CN"/>
                <w14:textFill>
                  <w14:solidFill>
                    <w14:schemeClr w14:val="tx1"/>
                  </w14:solidFill>
                </w14:textFill>
              </w:rPr>
              <w:t>1.投标人对“技术参数及性能配置要求 ”的响应为无偏离，但经评标委员会认定为负偏离的，评标委员会 可给予相应扣分。</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pacing w:val="0"/>
                <w:szCs w:val="21"/>
                <w:highlight w:val="none"/>
                <w14:textFill>
                  <w14:solidFill>
                    <w14:schemeClr w14:val="tx1"/>
                  </w14:solidFill>
                </w14:textFill>
              </w:rPr>
              <w:t>2.“技术参数及性能配置要求 ”中带“</w:t>
            </w:r>
            <w:r>
              <w:rPr>
                <w:rFonts w:hint="eastAsia" w:hAnsi="宋体" w:cs="宋体"/>
                <w:bCs/>
                <w:color w:val="000000" w:themeColor="text1"/>
                <w:szCs w:val="21"/>
                <w:highlight w:val="none"/>
                <w14:textFill>
                  <w14:solidFill>
                    <w14:schemeClr w14:val="tx1"/>
                  </w14:solidFill>
                </w14:textFill>
              </w:rPr>
              <w:t>★</w:t>
            </w:r>
            <w:r>
              <w:rPr>
                <w:rFonts w:hint="eastAsia" w:hAnsi="宋体" w:cs="宋体"/>
                <w:bCs/>
                <w:color w:val="000000" w:themeColor="text1"/>
                <w:spacing w:val="0"/>
                <w:szCs w:val="21"/>
                <w:highlight w:val="none"/>
                <w14:textFill>
                  <w14:solidFill>
                    <w14:schemeClr w14:val="tx1"/>
                  </w14:solidFill>
                </w14:textFill>
              </w:rPr>
              <w:t xml:space="preserve"> ”的为实质性技术参数，必须满足，如存在负偏离将导致投标被否决，带“</w:t>
            </w:r>
            <w:r>
              <w:rPr>
                <w:rFonts w:hint="eastAsia" w:hAnsi="宋体" w:cs="宋体"/>
                <w:bCs/>
                <w:color w:val="000000" w:themeColor="text1"/>
                <w:szCs w:val="21"/>
                <w:highlight w:val="none"/>
                <w14:textFill>
                  <w14:solidFill>
                    <w14:schemeClr w14:val="tx1"/>
                  </w14:solidFill>
                </w14:textFill>
              </w:rPr>
              <w:t>★</w:t>
            </w:r>
            <w:r>
              <w:rPr>
                <w:rFonts w:hint="eastAsia" w:hAnsi="宋体" w:cs="宋体"/>
                <w:bCs/>
                <w:color w:val="000000" w:themeColor="text1"/>
                <w:spacing w:val="0"/>
                <w:szCs w:val="21"/>
                <w:highlight w:val="none"/>
                <w14:textFill>
                  <w14:solidFill>
                    <w14:schemeClr w14:val="tx1"/>
                  </w14:solidFill>
                </w14:textFill>
              </w:rPr>
              <w:t xml:space="preserve"> ”的参数</w:t>
            </w:r>
            <w:r>
              <w:rPr>
                <w:rFonts w:hint="eastAsia" w:hAnsi="宋体" w:cs="宋体"/>
                <w:b/>
                <w:bCs w:val="0"/>
                <w:color w:val="000000" w:themeColor="text1"/>
                <w:spacing w:val="0"/>
                <w:szCs w:val="21"/>
                <w:highlight w:val="none"/>
                <w14:textFill>
                  <w14:solidFill>
                    <w14:schemeClr w14:val="tx1"/>
                  </w14:solidFill>
                </w14:textFill>
              </w:rPr>
              <w:t>投标人必须于投标文件中提供相关有效证明材料</w:t>
            </w:r>
            <w:r>
              <w:rPr>
                <w:rFonts w:hint="eastAsia" w:hAnsi="宋体" w:cs="宋体"/>
                <w:b/>
                <w:bCs w:val="0"/>
                <w:color w:val="000000" w:themeColor="text1"/>
                <w:szCs w:val="21"/>
                <w:highlight w:val="none"/>
                <w14:textFill>
                  <w14:solidFill>
                    <w14:schemeClr w14:val="tx1"/>
                  </w14:solidFill>
                </w14:textFill>
              </w:rPr>
              <w:t xml:space="preserve"> 并加盖投标人公章进行佐证，</w:t>
            </w:r>
            <w:r>
              <w:rPr>
                <w:rFonts w:hint="eastAsia" w:hAnsi="宋体" w:cs="宋体"/>
                <w:b/>
                <w:bCs w:val="0"/>
                <w:color w:val="000000" w:themeColor="text1"/>
                <w:spacing w:val="0"/>
                <w:szCs w:val="21"/>
                <w:highlight w:val="none"/>
                <w14:textFill>
                  <w14:solidFill>
                    <w14:schemeClr w14:val="tx1"/>
                  </w14:solidFill>
                </w14:textFill>
              </w:rPr>
              <w:t xml:space="preserve"> </w:t>
            </w:r>
            <w:r>
              <w:rPr>
                <w:rFonts w:hint="eastAsia" w:hAnsi="宋体" w:cs="宋体"/>
                <w:b/>
                <w:bCs w:val="0"/>
                <w:color w:val="000000" w:themeColor="text1"/>
                <w:szCs w:val="21"/>
                <w:highlight w:val="none"/>
                <w14:textFill>
                  <w14:solidFill>
                    <w14:schemeClr w14:val="tx1"/>
                  </w14:solidFill>
                </w14:textFill>
              </w:rPr>
              <w:t>[资料可以是</w:t>
            </w:r>
            <w:r>
              <w:rPr>
                <w:rFonts w:hint="eastAsia" w:hAnsi="宋体" w:cs="宋体"/>
                <w:b/>
                <w:bCs w:val="0"/>
                <w:color w:val="000000" w:themeColor="text1"/>
                <w:spacing w:val="0"/>
                <w:szCs w:val="21"/>
                <w:highlight w:val="none"/>
                <w14:textFill>
                  <w14:solidFill>
                    <w14:schemeClr w14:val="tx1"/>
                  </w14:solidFill>
                </w14:textFill>
              </w:rPr>
              <w:t>国家认可的</w:t>
            </w:r>
            <w:r>
              <w:rPr>
                <w:rFonts w:hint="eastAsia" w:hAnsi="宋体" w:cs="宋体"/>
                <w:b/>
                <w:bCs w:val="0"/>
                <w:color w:val="000000" w:themeColor="text1"/>
                <w:szCs w:val="21"/>
                <w:highlight w:val="none"/>
                <w14:textFill>
                  <w14:solidFill>
                    <w14:schemeClr w14:val="tx1"/>
                  </w14:solidFill>
                </w14:textFill>
              </w:rPr>
              <w:t xml:space="preserve"> </w:t>
            </w:r>
            <w:r>
              <w:rPr>
                <w:rFonts w:hint="eastAsia" w:hAnsi="宋体" w:cs="宋体"/>
                <w:b/>
                <w:bCs w:val="0"/>
                <w:color w:val="000000" w:themeColor="text1"/>
                <w:spacing w:val="0"/>
                <w:szCs w:val="21"/>
                <w:highlight w:val="none"/>
                <w14:textFill>
                  <w14:solidFill>
                    <w14:schemeClr w14:val="tx1"/>
                  </w14:solidFill>
                </w14:textFill>
              </w:rPr>
              <w:t>第三方检测/检验机构出具的检测/检验报告或产品生</w:t>
            </w:r>
            <w:r>
              <w:rPr>
                <w:rFonts w:hint="eastAsia" w:hAnsi="宋体" w:cs="宋体"/>
                <w:b/>
                <w:bCs w:val="0"/>
                <w:color w:val="000000" w:themeColor="text1"/>
                <w:szCs w:val="21"/>
                <w:highlight w:val="none"/>
                <w14:textFill>
                  <w14:solidFill>
                    <w14:schemeClr w14:val="tx1"/>
                  </w14:solidFill>
                </w14:textFill>
              </w:rPr>
              <w:t xml:space="preserve"> </w:t>
            </w:r>
            <w:r>
              <w:rPr>
                <w:rFonts w:hint="eastAsia" w:hAnsi="宋体" w:cs="宋体"/>
                <w:b/>
                <w:bCs w:val="0"/>
                <w:color w:val="000000" w:themeColor="text1"/>
                <w:spacing w:val="0"/>
                <w:szCs w:val="21"/>
                <w:highlight w:val="none"/>
                <w14:textFill>
                  <w14:solidFill>
                    <w14:schemeClr w14:val="tx1"/>
                  </w14:solidFill>
                </w14:textFill>
              </w:rPr>
              <w:t>产厂家出具的技术参数说明(技术白皮书)</w:t>
            </w:r>
            <w:r>
              <w:rPr>
                <w:rFonts w:hint="eastAsia" w:hAnsi="宋体" w:cs="宋体"/>
                <w:bCs/>
                <w:color w:val="000000" w:themeColor="text1"/>
                <w:spacing w:val="0"/>
                <w:szCs w:val="21"/>
                <w:highlight w:val="none"/>
                <w14:textFill>
                  <w14:solidFill>
                    <w14:schemeClr w14:val="tx1"/>
                  </w14:solidFill>
                </w14:textFill>
              </w:rPr>
              <w:t>(</w:t>
            </w:r>
            <w:r>
              <w:rPr>
                <w:rFonts w:hint="eastAsia" w:ascii="宋体" w:hAnsi="宋体" w:eastAsia="宋体"/>
                <w:b/>
                <w:bCs/>
                <w:color w:val="000000" w:themeColor="text1"/>
                <w:sz w:val="21"/>
                <w:szCs w:val="21"/>
                <w:highlight w:val="none"/>
                <w:lang w:val="en-US" w:eastAsia="zh-CN"/>
                <w14:textFill>
                  <w14:solidFill>
                    <w14:schemeClr w14:val="tx1"/>
                  </w14:solidFill>
                </w14:textFill>
              </w:rPr>
              <w:t>加盖投标人公章)</w:t>
            </w:r>
            <w:r>
              <w:rPr>
                <w:rFonts w:hint="eastAsia" w:hAnsi="宋体" w:cs="宋体"/>
                <w:bCs/>
                <w:color w:val="000000" w:themeColor="text1"/>
                <w:spacing w:val="0"/>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04" w:type="dxa"/>
            <w:gridSpan w:val="2"/>
            <w:vMerge w:val="continue"/>
            <w:vAlign w:val="center"/>
          </w:tcPr>
          <w:p>
            <w:pPr>
              <w:pStyle w:val="20"/>
              <w:spacing w:line="360" w:lineRule="auto"/>
              <w:rPr>
                <w:rFonts w:hAnsi="宋体" w:cs="宋体"/>
                <w:b/>
                <w:bCs/>
                <w:color w:val="000000" w:themeColor="text1"/>
                <w:szCs w:val="21"/>
                <w:highlight w:val="none"/>
                <w14:textFill>
                  <w14:solidFill>
                    <w14:schemeClr w14:val="tx1"/>
                  </w14:solidFill>
                </w14:textFill>
              </w:rPr>
            </w:pPr>
          </w:p>
        </w:tc>
        <w:tc>
          <w:tcPr>
            <w:tcW w:w="3283" w:type="dxa"/>
            <w:gridSpan w:val="2"/>
            <w:vAlign w:val="center"/>
          </w:tcPr>
          <w:p>
            <w:pPr>
              <w:pStyle w:val="20"/>
              <w:spacing w:line="360" w:lineRule="auto"/>
              <w:rPr>
                <w:rFonts w:hAnsi="宋体" w:cs="宋体"/>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项目实施方案分（满分</w:t>
            </w:r>
            <w:r>
              <w:rPr>
                <w:rFonts w:hint="eastAsia" w:hAnsi="宋体" w:cs="宋体"/>
                <w:b/>
                <w:bCs/>
                <w:color w:val="000000" w:themeColor="text1"/>
                <w:szCs w:val="21"/>
                <w:highlight w:val="none"/>
                <w:lang w:val="en-US" w:eastAsia="zh-CN"/>
                <w14:textFill>
                  <w14:solidFill>
                    <w14:schemeClr w14:val="tx1"/>
                  </w14:solidFill>
                </w14:textFill>
              </w:rPr>
              <w:t>21</w:t>
            </w:r>
            <w:r>
              <w:rPr>
                <w:rFonts w:hint="eastAsia" w:hAnsi="宋体" w:cs="宋体"/>
                <w:b/>
                <w:bCs/>
                <w:color w:val="000000" w:themeColor="text1"/>
                <w:szCs w:val="21"/>
                <w:highlight w:val="none"/>
                <w14:textFill>
                  <w14:solidFill>
                    <w14:schemeClr w14:val="tx1"/>
                  </w14:solidFill>
                </w14:textFill>
              </w:rPr>
              <w:t>分）</w:t>
            </w:r>
          </w:p>
        </w:tc>
        <w:tc>
          <w:tcPr>
            <w:tcW w:w="5167" w:type="dxa"/>
            <w:gridSpan w:val="2"/>
            <w:vAlign w:val="center"/>
          </w:tcPr>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由评委在打分前根据招标文件要求，对比各投标人投标文件中“项目实施方案”内容包括项目实施部署、项目管理机构、供货保障、供货进度计划及控制措施（考察进度的影响实操因素）、安装现场平面布置、质量管理及保证措施、安装安全管理与保证措施、技术交底及培训、设备试运行及验收等，确定各投标人所属档次，然后评委在各档次内打分。</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一档（</w:t>
            </w:r>
            <w:r>
              <w:rPr>
                <w:rFonts w:hint="eastAsia" w:hAnsi="宋体" w:cs="宋体"/>
                <w:bCs/>
                <w:color w:val="000000" w:themeColor="text1"/>
                <w:szCs w:val="21"/>
                <w:highlight w:val="none"/>
                <w:lang w:val="en-US" w:eastAsia="zh-CN"/>
                <w14:textFill>
                  <w14:solidFill>
                    <w14:schemeClr w14:val="tx1"/>
                  </w14:solidFill>
                </w14:textFill>
              </w:rPr>
              <w:t>7</w:t>
            </w:r>
            <w:r>
              <w:rPr>
                <w:rFonts w:hint="eastAsia" w:hAnsi="宋体" w:cs="宋体"/>
                <w:bCs/>
                <w:color w:val="000000" w:themeColor="text1"/>
                <w:szCs w:val="21"/>
                <w:highlight w:val="none"/>
                <w14:textFill>
                  <w14:solidFill>
                    <w14:schemeClr w14:val="tx1"/>
                  </w14:solidFill>
                </w14:textFill>
              </w:rPr>
              <w:t>分）：针对本项目编写项目实施方案内容较简单或者缺项的，承诺保修期内原厂工程师培训次数少于2次。</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二档（1</w:t>
            </w:r>
            <w:r>
              <w:rPr>
                <w:rFonts w:hint="eastAsia" w:hAnsi="宋体" w:cs="宋体"/>
                <w:bCs/>
                <w:color w:val="000000" w:themeColor="text1"/>
                <w:szCs w:val="21"/>
                <w:highlight w:val="none"/>
                <w:lang w:val="en-US" w:eastAsia="zh-CN"/>
                <w14:textFill>
                  <w14:solidFill>
                    <w14:schemeClr w14:val="tx1"/>
                  </w14:solidFill>
                </w14:textFill>
              </w:rPr>
              <w:t>4</w:t>
            </w:r>
            <w:r>
              <w:rPr>
                <w:rFonts w:hint="eastAsia" w:hAnsi="宋体" w:cs="宋体"/>
                <w:bCs/>
                <w:color w:val="000000" w:themeColor="text1"/>
                <w:szCs w:val="21"/>
                <w:highlight w:val="none"/>
                <w14:textFill>
                  <w14:solidFill>
                    <w14:schemeClr w14:val="tx1"/>
                  </w14:solidFill>
                </w14:textFill>
              </w:rPr>
              <w:t>分）：针对本项目编写项目实施方案各项内容未够详尽的，承诺保修期内原厂工程师培训次数大于或等于2次。</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三档（</w:t>
            </w:r>
            <w:r>
              <w:rPr>
                <w:rFonts w:hint="eastAsia" w:hAnsi="宋体" w:cs="宋体"/>
                <w:bCs/>
                <w:color w:val="000000" w:themeColor="text1"/>
                <w:szCs w:val="21"/>
                <w:highlight w:val="none"/>
                <w:lang w:val="en-US" w:eastAsia="zh-CN"/>
                <w14:textFill>
                  <w14:solidFill>
                    <w14:schemeClr w14:val="tx1"/>
                  </w14:solidFill>
                </w14:textFill>
              </w:rPr>
              <w:t>21</w:t>
            </w:r>
            <w:r>
              <w:rPr>
                <w:rFonts w:hint="eastAsia" w:hAnsi="宋体" w:cs="宋体"/>
                <w:bCs/>
                <w:color w:val="000000" w:themeColor="text1"/>
                <w:szCs w:val="21"/>
                <w:highlight w:val="none"/>
                <w14:textFill>
                  <w14:solidFill>
                    <w14:schemeClr w14:val="tx1"/>
                  </w14:solidFill>
                </w14:textFill>
              </w:rPr>
              <w:t>分）：针对本项目编写项目实施方案各项内容比较详细，针对性强，承诺保修期内原厂工程师培训次数大于或等于2次，且派临床应用工程师进行技术指导。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9" w:hRule="atLeast"/>
        </w:trPr>
        <w:tc>
          <w:tcPr>
            <w:tcW w:w="1404" w:type="dxa"/>
            <w:gridSpan w:val="2"/>
            <w:vMerge w:val="continue"/>
            <w:vAlign w:val="center"/>
          </w:tcPr>
          <w:p>
            <w:pPr>
              <w:pStyle w:val="20"/>
              <w:spacing w:line="360" w:lineRule="auto"/>
              <w:rPr>
                <w:rFonts w:hAnsi="宋体" w:cs="宋体"/>
                <w:b/>
                <w:bCs/>
                <w:color w:val="000000" w:themeColor="text1"/>
                <w:szCs w:val="21"/>
                <w:highlight w:val="none"/>
                <w14:textFill>
                  <w14:solidFill>
                    <w14:schemeClr w14:val="tx1"/>
                  </w14:solidFill>
                </w14:textFill>
              </w:rPr>
            </w:pPr>
            <w:bookmarkStart w:id="170" w:name="_Toc18645"/>
            <w:bookmarkStart w:id="171" w:name="_Toc4441"/>
          </w:p>
        </w:tc>
        <w:tc>
          <w:tcPr>
            <w:tcW w:w="3283" w:type="dxa"/>
            <w:gridSpan w:val="2"/>
            <w:vAlign w:val="center"/>
          </w:tcPr>
          <w:p>
            <w:pPr>
              <w:pStyle w:val="20"/>
              <w:spacing w:line="360" w:lineRule="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售后服务分（满分1</w:t>
            </w:r>
            <w:r>
              <w:rPr>
                <w:rFonts w:hint="eastAsia" w:hAnsi="宋体" w:cs="宋体"/>
                <w:b/>
                <w:bCs/>
                <w:color w:val="000000" w:themeColor="text1"/>
                <w:szCs w:val="21"/>
                <w:highlight w:val="none"/>
                <w:lang w:val="en-US" w:eastAsia="zh-CN"/>
                <w14:textFill>
                  <w14:solidFill>
                    <w14:schemeClr w14:val="tx1"/>
                  </w14:solidFill>
                </w14:textFill>
              </w:rPr>
              <w:t>8</w:t>
            </w:r>
            <w:r>
              <w:rPr>
                <w:rFonts w:hint="eastAsia" w:hAnsi="宋体" w:cs="宋体"/>
                <w:b/>
                <w:bCs/>
                <w:color w:val="000000" w:themeColor="text1"/>
                <w:szCs w:val="21"/>
                <w:highlight w:val="none"/>
                <w14:textFill>
                  <w14:solidFill>
                    <w14:schemeClr w14:val="tx1"/>
                  </w14:solidFill>
                </w14:textFill>
              </w:rPr>
              <w:t>分）</w:t>
            </w:r>
          </w:p>
        </w:tc>
        <w:tc>
          <w:tcPr>
            <w:tcW w:w="5167" w:type="dxa"/>
            <w:gridSpan w:val="2"/>
            <w:vAlign w:val="center"/>
          </w:tcPr>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一档（</w:t>
            </w:r>
            <w:r>
              <w:rPr>
                <w:rFonts w:hint="eastAsia" w:hAnsi="宋体" w:cs="宋体"/>
                <w:bCs/>
                <w:color w:val="000000" w:themeColor="text1"/>
                <w:szCs w:val="21"/>
                <w:highlight w:val="none"/>
                <w:lang w:val="en-US" w:eastAsia="zh-CN"/>
                <w14:textFill>
                  <w14:solidFill>
                    <w14:schemeClr w14:val="tx1"/>
                  </w14:solidFill>
                </w14:textFill>
              </w:rPr>
              <w:t>6</w:t>
            </w:r>
            <w:r>
              <w:rPr>
                <w:rFonts w:hint="eastAsia" w:hAnsi="宋体" w:cs="宋体"/>
                <w:bCs/>
                <w:color w:val="000000" w:themeColor="text1"/>
                <w:szCs w:val="21"/>
                <w:highlight w:val="none"/>
                <w14:textFill>
                  <w14:solidFill>
                    <w14:schemeClr w14:val="tx1"/>
                  </w14:solidFill>
                </w14:textFill>
              </w:rPr>
              <w:t>分）：满足设备出现故障影响使用时，应2小时以内电话响应并远程处理，24小时或以内解决问题或人员到现场处理及满足招标文件其他售后服务要求的，进入一档；</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二档（</w:t>
            </w:r>
            <w:r>
              <w:rPr>
                <w:rFonts w:hint="eastAsia" w:hAnsi="宋体" w:cs="宋体"/>
                <w:bCs/>
                <w:color w:val="000000" w:themeColor="text1"/>
                <w:szCs w:val="21"/>
                <w:highlight w:val="none"/>
                <w:lang w:val="en-US" w:eastAsia="zh-CN"/>
                <w14:textFill>
                  <w14:solidFill>
                    <w14:schemeClr w14:val="tx1"/>
                  </w14:solidFill>
                </w14:textFill>
              </w:rPr>
              <w:t>12</w:t>
            </w:r>
            <w:r>
              <w:rPr>
                <w:rFonts w:hint="eastAsia" w:hAnsi="宋体" w:cs="宋体"/>
                <w:bCs/>
                <w:color w:val="000000" w:themeColor="text1"/>
                <w:szCs w:val="21"/>
                <w:highlight w:val="none"/>
                <w14:textFill>
                  <w14:solidFill>
                    <w14:schemeClr w14:val="tx1"/>
                  </w14:solidFill>
                </w14:textFill>
              </w:rPr>
              <w:t>分）：满足设备出现故障影响使用时，应2小时以内电话响应并远程处理，12小时或以内解决问题或人员到现场处理及满足招标文件其他售后服务要求，且售后服务方案较完整，有可靠的服务响应体系。质保期后，有偿维护方式、服务范围及费用等方案比较优惠的；</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三档（1</w:t>
            </w:r>
            <w:r>
              <w:rPr>
                <w:rFonts w:hint="eastAsia" w:hAnsi="宋体" w:cs="宋体"/>
                <w:bCs/>
                <w:color w:val="000000" w:themeColor="text1"/>
                <w:szCs w:val="21"/>
                <w:highlight w:val="none"/>
                <w:lang w:val="en-US" w:eastAsia="zh-CN"/>
                <w14:textFill>
                  <w14:solidFill>
                    <w14:schemeClr w14:val="tx1"/>
                  </w14:solidFill>
                </w14:textFill>
              </w:rPr>
              <w:t>8</w:t>
            </w:r>
            <w:r>
              <w:rPr>
                <w:rFonts w:hint="eastAsia" w:hAnsi="宋体" w:cs="宋体"/>
                <w:bCs/>
                <w:color w:val="000000" w:themeColor="text1"/>
                <w:szCs w:val="21"/>
                <w:highlight w:val="none"/>
                <w14:textFill>
                  <w14:solidFill>
                    <w14:schemeClr w14:val="tx1"/>
                  </w14:solidFill>
                </w14:textFill>
              </w:rPr>
              <w:t>分）：满足二档要求的基础上，售后服务方案完整、详细，有可靠的服务响应体系，优于招标文件售后服务要求的服务响应时间、服务响应方式。质保期后，备品备件及易耗品、耗材更换有优惠折扣率的，有偿维护方式、服务范围及费用等方案比较优惠的，有免费技术巡检方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04" w:type="dxa"/>
            <w:gridSpan w:val="2"/>
            <w:vMerge w:val="restart"/>
            <w:vAlign w:val="center"/>
          </w:tcPr>
          <w:p>
            <w:pPr>
              <w:pStyle w:val="20"/>
              <w:spacing w:line="360" w:lineRule="auto"/>
              <w:jc w:val="center"/>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商务分</w:t>
            </w:r>
          </w:p>
          <w:p>
            <w:pPr>
              <w:pStyle w:val="20"/>
              <w:spacing w:line="360" w:lineRule="auto"/>
              <w:rPr>
                <w:rFonts w:hAnsi="宋体" w:cs="宋体"/>
                <w:b/>
                <w:bCs/>
                <w:color w:val="000000" w:themeColor="text1"/>
                <w:szCs w:val="21"/>
                <w:highlight w:val="none"/>
                <w14:textFill>
                  <w14:solidFill>
                    <w14:schemeClr w14:val="tx1"/>
                  </w14:solidFill>
                </w14:textFill>
              </w:rPr>
            </w:pPr>
            <w:bookmarkStart w:id="172" w:name="_Toc31446"/>
            <w:bookmarkStart w:id="173" w:name="_Toc8592"/>
            <w:r>
              <w:rPr>
                <w:rFonts w:hint="eastAsia" w:hAnsi="宋体" w:cs="宋体"/>
                <w:b/>
                <w:bCs/>
                <w:color w:val="000000" w:themeColor="text1"/>
                <w:szCs w:val="21"/>
                <w:highlight w:val="none"/>
                <w14:textFill>
                  <w14:solidFill>
                    <w14:schemeClr w14:val="tx1"/>
                  </w14:solidFill>
                </w14:textFill>
              </w:rPr>
              <w:t>（满分</w:t>
            </w:r>
            <w:r>
              <w:rPr>
                <w:rFonts w:hint="eastAsia" w:hAnsi="宋体" w:cs="宋体"/>
                <w:b/>
                <w:bCs/>
                <w:color w:val="000000" w:themeColor="text1"/>
                <w:szCs w:val="21"/>
                <w:highlight w:val="none"/>
                <w:lang w:val="en-US" w:eastAsia="zh-CN"/>
                <w14:textFill>
                  <w14:solidFill>
                    <w14:schemeClr w14:val="tx1"/>
                  </w14:solidFill>
                </w14:textFill>
              </w:rPr>
              <w:t>7</w:t>
            </w:r>
            <w:r>
              <w:rPr>
                <w:rFonts w:hint="eastAsia" w:hAnsi="宋体" w:cs="宋体"/>
                <w:b/>
                <w:bCs/>
                <w:color w:val="000000" w:themeColor="text1"/>
                <w:szCs w:val="21"/>
                <w:highlight w:val="none"/>
                <w14:textFill>
                  <w14:solidFill>
                    <w14:schemeClr w14:val="tx1"/>
                  </w14:solidFill>
                </w14:textFill>
              </w:rPr>
              <w:t>分）</w:t>
            </w:r>
            <w:bookmarkEnd w:id="172"/>
            <w:bookmarkEnd w:id="173"/>
          </w:p>
        </w:tc>
        <w:tc>
          <w:tcPr>
            <w:tcW w:w="3283" w:type="dxa"/>
            <w:gridSpan w:val="2"/>
            <w:vAlign w:val="center"/>
          </w:tcPr>
          <w:p>
            <w:pPr>
              <w:pStyle w:val="20"/>
              <w:spacing w:line="360" w:lineRule="auto"/>
              <w:rPr>
                <w:rFonts w:hAnsi="宋体" w:cs="宋体"/>
                <w:b/>
                <w:bCs/>
                <w:color w:val="000000" w:themeColor="text1"/>
                <w:szCs w:val="21"/>
                <w:highlight w:val="none"/>
                <w14:textFill>
                  <w14:solidFill>
                    <w14:schemeClr w14:val="tx1"/>
                  </w14:solidFill>
                </w14:textFill>
              </w:rPr>
            </w:pPr>
            <w:bookmarkStart w:id="174" w:name="_Toc10327"/>
            <w:bookmarkStart w:id="175" w:name="_Toc5292"/>
            <w:r>
              <w:rPr>
                <w:rFonts w:hint="eastAsia" w:hAnsi="宋体" w:cs="宋体"/>
                <w:b/>
                <w:bCs/>
                <w:color w:val="000000" w:themeColor="text1"/>
                <w:szCs w:val="21"/>
                <w:highlight w:val="none"/>
                <w14:textFill>
                  <w14:solidFill>
                    <w14:schemeClr w14:val="tx1"/>
                  </w14:solidFill>
                </w14:textFill>
              </w:rPr>
              <w:t>业绩及信誉分（满分</w:t>
            </w:r>
            <w:r>
              <w:rPr>
                <w:rFonts w:hint="eastAsia" w:hAnsi="宋体" w:cs="宋体"/>
                <w:b/>
                <w:bCs/>
                <w:color w:val="000000" w:themeColor="text1"/>
                <w:szCs w:val="21"/>
                <w:highlight w:val="none"/>
                <w:lang w:val="en-US" w:eastAsia="zh-CN"/>
                <w14:textFill>
                  <w14:solidFill>
                    <w14:schemeClr w14:val="tx1"/>
                  </w14:solidFill>
                </w14:textFill>
              </w:rPr>
              <w:t>6</w:t>
            </w:r>
            <w:r>
              <w:rPr>
                <w:rFonts w:hint="eastAsia" w:hAnsi="宋体" w:cs="宋体"/>
                <w:b/>
                <w:bCs/>
                <w:color w:val="000000" w:themeColor="text1"/>
                <w:szCs w:val="21"/>
                <w:highlight w:val="none"/>
                <w14:textFill>
                  <w14:solidFill>
                    <w14:schemeClr w14:val="tx1"/>
                  </w14:solidFill>
                </w14:textFill>
              </w:rPr>
              <w:t>分）</w:t>
            </w:r>
            <w:bookmarkEnd w:id="174"/>
            <w:bookmarkEnd w:id="175"/>
          </w:p>
        </w:tc>
        <w:tc>
          <w:tcPr>
            <w:tcW w:w="5167" w:type="dxa"/>
            <w:gridSpan w:val="2"/>
            <w:vAlign w:val="center"/>
          </w:tcPr>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（1）投标人或投标产品生产企业通过ISO质量管理体系认证证书复印件得1分（满分1分）。</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（2）投标人或投标产品生产企业202</w:t>
            </w:r>
            <w:r>
              <w:rPr>
                <w:rFonts w:hint="eastAsia" w:hAnsi="宋体" w:cs="宋体"/>
                <w:bCs/>
                <w:color w:val="000000" w:themeColor="text1"/>
                <w:szCs w:val="21"/>
                <w:highlight w:val="none"/>
                <w:lang w:val="en-US" w:eastAsia="zh-CN"/>
                <w14:textFill>
                  <w14:solidFill>
                    <w14:schemeClr w14:val="tx1"/>
                  </w14:solidFill>
                </w14:textFill>
              </w:rPr>
              <w:t>1</w:t>
            </w:r>
            <w:r>
              <w:rPr>
                <w:rFonts w:hint="eastAsia" w:hAnsi="宋体" w:cs="宋体"/>
                <w:bCs/>
                <w:color w:val="000000" w:themeColor="text1"/>
                <w:szCs w:val="21"/>
                <w:highlight w:val="none"/>
                <w14:textFill>
                  <w14:solidFill>
                    <w14:schemeClr w14:val="tx1"/>
                  </w14:solidFill>
                </w14:textFill>
              </w:rPr>
              <w:t>年以来完成的同类项目的业绩，以签订的采购合同或中标通知书为准，每份得1分，（满分</w:t>
            </w:r>
            <w:r>
              <w:rPr>
                <w:rFonts w:hint="eastAsia" w:hAnsi="宋体" w:cs="宋体"/>
                <w:bCs/>
                <w:color w:val="000000" w:themeColor="text1"/>
                <w:szCs w:val="21"/>
                <w:highlight w:val="none"/>
                <w:lang w:val="en-US" w:eastAsia="zh-CN"/>
                <w14:textFill>
                  <w14:solidFill>
                    <w14:schemeClr w14:val="tx1"/>
                  </w14:solidFill>
                </w14:textFill>
              </w:rPr>
              <w:t>5</w:t>
            </w:r>
            <w:r>
              <w:rPr>
                <w:rFonts w:hint="eastAsia" w:hAnsi="宋体" w:cs="宋体"/>
                <w:bCs/>
                <w:color w:val="000000" w:themeColor="text1"/>
                <w:szCs w:val="21"/>
                <w:highlight w:val="none"/>
                <w14:textFill>
                  <w14:solidFill>
                    <w14:schemeClr w14:val="tx1"/>
                  </w14:solidFill>
                </w14:textFill>
              </w:rPr>
              <w:t>分）。[采购合同或中标通知书必须能清晰反映所销售的货物、类别及金额，同一个编号的招标项目有2个（含2个）以上的分标中标的只算一次]。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1404" w:type="dxa"/>
            <w:gridSpan w:val="2"/>
            <w:vMerge w:val="continue"/>
            <w:vAlign w:val="center"/>
          </w:tcPr>
          <w:p>
            <w:pPr>
              <w:pStyle w:val="20"/>
              <w:spacing w:line="360" w:lineRule="auto"/>
              <w:rPr>
                <w:rFonts w:hAnsi="宋体" w:cs="宋体"/>
                <w:b/>
                <w:bCs/>
                <w:color w:val="000000" w:themeColor="text1"/>
                <w:szCs w:val="21"/>
                <w:highlight w:val="none"/>
                <w14:textFill>
                  <w14:solidFill>
                    <w14:schemeClr w14:val="tx1"/>
                  </w14:solidFill>
                </w14:textFill>
              </w:rPr>
            </w:pPr>
          </w:p>
        </w:tc>
        <w:tc>
          <w:tcPr>
            <w:tcW w:w="3283" w:type="dxa"/>
            <w:gridSpan w:val="2"/>
            <w:vAlign w:val="center"/>
          </w:tcPr>
          <w:p>
            <w:pPr>
              <w:pStyle w:val="20"/>
              <w:spacing w:line="360" w:lineRule="auto"/>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政策分（满分</w:t>
            </w:r>
            <w:r>
              <w:rPr>
                <w:rFonts w:hint="eastAsia" w:hAnsi="宋体" w:cs="宋体"/>
                <w:b/>
                <w:bCs/>
                <w:color w:val="000000" w:themeColor="text1"/>
                <w:szCs w:val="21"/>
                <w:highlight w:val="none"/>
                <w:lang w:val="en-US" w:eastAsia="zh-CN"/>
                <w14:textFill>
                  <w14:solidFill>
                    <w14:schemeClr w14:val="tx1"/>
                  </w14:solidFill>
                </w14:textFill>
              </w:rPr>
              <w:t>1</w:t>
            </w:r>
            <w:r>
              <w:rPr>
                <w:rFonts w:hint="eastAsia" w:hAnsi="宋体" w:cs="宋体"/>
                <w:b/>
                <w:bCs/>
                <w:color w:val="000000" w:themeColor="text1"/>
                <w:szCs w:val="21"/>
                <w:highlight w:val="none"/>
                <w14:textFill>
                  <w14:solidFill>
                    <w14:schemeClr w14:val="tx1"/>
                  </w14:solidFill>
                </w14:textFill>
              </w:rPr>
              <w:t>分）</w:t>
            </w:r>
          </w:p>
        </w:tc>
        <w:tc>
          <w:tcPr>
            <w:tcW w:w="5167" w:type="dxa"/>
            <w:gridSpan w:val="2"/>
            <w:vAlign w:val="center"/>
          </w:tcPr>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（1）投标产品采用财政部现行节能产品，提供有效证明复印件并加盖</w:t>
            </w:r>
            <w:r>
              <w:rPr>
                <w:rFonts w:hint="eastAsia" w:hAnsi="宋体" w:cs="宋体"/>
                <w:bCs/>
                <w:color w:val="000000" w:themeColor="text1"/>
                <w:szCs w:val="21"/>
                <w:highlight w:val="none"/>
                <w:lang w:val="en-US" w:eastAsia="zh-CN"/>
                <w14:textFill>
                  <w14:solidFill>
                    <w14:schemeClr w14:val="tx1"/>
                  </w14:solidFill>
                </w14:textFill>
              </w:rPr>
              <w:t>投标人</w:t>
            </w:r>
            <w:r>
              <w:rPr>
                <w:rFonts w:hint="eastAsia" w:hAnsi="宋体" w:cs="宋体"/>
                <w:bCs/>
                <w:color w:val="000000" w:themeColor="text1"/>
                <w:szCs w:val="21"/>
                <w:highlight w:val="none"/>
                <w14:textFill>
                  <w14:solidFill>
                    <w14:schemeClr w14:val="tx1"/>
                  </w14:solidFill>
                </w14:textFill>
              </w:rPr>
              <w:t>公章的，</w:t>
            </w:r>
            <w:r>
              <w:rPr>
                <w:rFonts w:hint="eastAsia" w:hAnsi="宋体" w:cs="宋体"/>
                <w:bCs/>
                <w:color w:val="000000" w:themeColor="text1"/>
                <w:szCs w:val="21"/>
                <w:highlight w:val="none"/>
                <w:lang w:eastAsia="zh-CN"/>
                <w14:textFill>
                  <w14:solidFill>
                    <w14:schemeClr w14:val="tx1"/>
                  </w14:solidFill>
                </w14:textFill>
              </w:rPr>
              <w:t>每项</w:t>
            </w:r>
            <w:r>
              <w:rPr>
                <w:rFonts w:hint="eastAsia" w:hAnsi="宋体" w:cs="宋体"/>
                <w:bCs/>
                <w:color w:val="000000" w:themeColor="text1"/>
                <w:szCs w:val="21"/>
                <w:highlight w:val="none"/>
                <w14:textFill>
                  <w14:solidFill>
                    <w14:schemeClr w14:val="tx1"/>
                  </w14:solidFill>
                </w14:textFill>
              </w:rPr>
              <w:t>得</w:t>
            </w:r>
            <w:r>
              <w:rPr>
                <w:rFonts w:hint="eastAsia" w:hAnsi="宋体" w:cs="宋体"/>
                <w:bCs/>
                <w:color w:val="000000" w:themeColor="text1"/>
                <w:szCs w:val="21"/>
                <w:highlight w:val="none"/>
                <w:lang w:val="en-US" w:eastAsia="zh-CN"/>
                <w14:textFill>
                  <w14:solidFill>
                    <w14:schemeClr w14:val="tx1"/>
                  </w14:solidFill>
                </w14:textFill>
              </w:rPr>
              <w:t>0.5</w:t>
            </w:r>
            <w:r>
              <w:rPr>
                <w:rFonts w:hint="eastAsia" w:hAnsi="宋体" w:cs="宋体"/>
                <w:bCs/>
                <w:color w:val="000000" w:themeColor="text1"/>
                <w:szCs w:val="21"/>
                <w:highlight w:val="none"/>
                <w14:textFill>
                  <w14:solidFill>
                    <w14:schemeClr w14:val="tx1"/>
                  </w14:solidFill>
                </w14:textFill>
              </w:rPr>
              <w:t>分。</w:t>
            </w:r>
          </w:p>
          <w:p>
            <w:pPr>
              <w:pStyle w:val="20"/>
              <w:spacing w:line="288" w:lineRule="auto"/>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（2）投标产品采用财政部现行环保产品，并能提供环保认证证书并加盖</w:t>
            </w:r>
            <w:r>
              <w:rPr>
                <w:rFonts w:hint="eastAsia" w:hAnsi="宋体" w:cs="宋体"/>
                <w:bCs/>
                <w:color w:val="000000" w:themeColor="text1"/>
                <w:szCs w:val="21"/>
                <w:highlight w:val="none"/>
                <w:lang w:val="en-US" w:eastAsia="zh-CN"/>
                <w14:textFill>
                  <w14:solidFill>
                    <w14:schemeClr w14:val="tx1"/>
                  </w14:solidFill>
                </w14:textFill>
              </w:rPr>
              <w:t>投标人</w:t>
            </w:r>
            <w:r>
              <w:rPr>
                <w:rFonts w:hint="eastAsia" w:hAnsi="宋体" w:cs="宋体"/>
                <w:bCs/>
                <w:color w:val="000000" w:themeColor="text1"/>
                <w:szCs w:val="21"/>
                <w:highlight w:val="none"/>
                <w14:textFill>
                  <w14:solidFill>
                    <w14:schemeClr w14:val="tx1"/>
                  </w14:solidFill>
                </w14:textFill>
              </w:rPr>
              <w:t>公章的，</w:t>
            </w:r>
            <w:r>
              <w:rPr>
                <w:rFonts w:hint="eastAsia" w:hAnsi="宋体" w:cs="宋体"/>
                <w:bCs/>
                <w:color w:val="000000" w:themeColor="text1"/>
                <w:szCs w:val="21"/>
                <w:highlight w:val="none"/>
                <w:lang w:eastAsia="zh-CN"/>
                <w14:textFill>
                  <w14:solidFill>
                    <w14:schemeClr w14:val="tx1"/>
                  </w14:solidFill>
                </w14:textFill>
              </w:rPr>
              <w:t>每项</w:t>
            </w:r>
            <w:r>
              <w:rPr>
                <w:rFonts w:hint="eastAsia" w:hAnsi="宋体" w:cs="宋体"/>
                <w:bCs/>
                <w:color w:val="000000" w:themeColor="text1"/>
                <w:szCs w:val="21"/>
                <w:highlight w:val="none"/>
                <w14:textFill>
                  <w14:solidFill>
                    <w14:schemeClr w14:val="tx1"/>
                  </w14:solidFill>
                </w14:textFill>
              </w:rPr>
              <w:t>得</w:t>
            </w:r>
            <w:r>
              <w:rPr>
                <w:rFonts w:hint="eastAsia" w:hAnsi="宋体" w:cs="宋体"/>
                <w:bCs/>
                <w:color w:val="000000" w:themeColor="text1"/>
                <w:szCs w:val="21"/>
                <w:highlight w:val="none"/>
                <w:lang w:val="en-US" w:eastAsia="zh-CN"/>
                <w14:textFill>
                  <w14:solidFill>
                    <w14:schemeClr w14:val="tx1"/>
                  </w14:solidFill>
                </w14:textFill>
              </w:rPr>
              <w:t>0.5</w:t>
            </w:r>
            <w:r>
              <w:rPr>
                <w:rFonts w:hint="eastAsia" w:hAnsi="宋体" w:cs="宋体"/>
                <w:bCs/>
                <w:color w:val="000000" w:themeColor="text1"/>
                <w:szCs w:val="21"/>
                <w:highlight w:val="none"/>
                <w14:textFill>
                  <w14:solidFill>
                    <w14:schemeClr w14:val="tx1"/>
                  </w14:solidFill>
                </w14:textFill>
              </w:rPr>
              <w:t>分。</w:t>
            </w:r>
          </w:p>
        </w:tc>
      </w:tr>
      <w:bookmarkEnd w:id="170"/>
      <w:bookmarkEnd w:id="1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854" w:type="dxa"/>
            <w:gridSpan w:val="6"/>
            <w:vAlign w:val="center"/>
          </w:tcPr>
          <w:p>
            <w:pPr>
              <w:pStyle w:val="20"/>
              <w:spacing w:line="360" w:lineRule="auto"/>
              <w:rPr>
                <w:rFonts w:hAnsi="宋体" w:cs="宋体"/>
                <w:bCs/>
                <w:color w:val="000000" w:themeColor="text1"/>
                <w:szCs w:val="21"/>
                <w:highlight w:val="none"/>
                <w14:textFill>
                  <w14:solidFill>
                    <w14:schemeClr w14:val="tx1"/>
                  </w14:solidFill>
                </w14:textFill>
              </w:rPr>
            </w:pPr>
            <w:bookmarkStart w:id="176" w:name="_Toc3745"/>
            <w:bookmarkStart w:id="177" w:name="_Toc30242"/>
            <w:r>
              <w:rPr>
                <w:rFonts w:hint="eastAsia" w:hAnsi="宋体" w:cs="宋体"/>
                <w:bCs/>
                <w:color w:val="000000" w:themeColor="text1"/>
                <w:szCs w:val="21"/>
                <w:highlight w:val="none"/>
                <w14:textFill>
                  <w14:solidFill>
                    <w14:schemeClr w14:val="tx1"/>
                  </w14:solidFill>
                </w14:textFill>
              </w:rPr>
              <w:t>投标人最终得分=技术分+商务分+</w:t>
            </w:r>
            <w:bookmarkEnd w:id="176"/>
            <w:bookmarkEnd w:id="177"/>
            <w:r>
              <w:rPr>
                <w:rFonts w:hint="eastAsia" w:hAnsi="宋体" w:cs="宋体"/>
                <w:bCs/>
                <w:color w:val="000000" w:themeColor="text1"/>
                <w:szCs w:val="21"/>
                <w:highlight w:val="none"/>
                <w14:textFill>
                  <w14:solidFill>
                    <w14:schemeClr w14:val="tx1"/>
                  </w14:solidFill>
                </w14:textFill>
              </w:rPr>
              <w:t>报价分</w:t>
            </w:r>
          </w:p>
        </w:tc>
      </w:tr>
    </w:tbl>
    <w:p>
      <w:pPr>
        <w:pStyle w:val="20"/>
        <w:spacing w:line="500" w:lineRule="exact"/>
        <w:rPr>
          <w:rFonts w:hAnsi="宋体" w:cs="宋体"/>
          <w:b/>
          <w:bCs/>
          <w:color w:val="000000" w:themeColor="text1"/>
          <w:szCs w:val="21"/>
          <w:highlight w:val="none"/>
          <w14:textFill>
            <w14:solidFill>
              <w14:schemeClr w14:val="tx1"/>
            </w14:solidFill>
          </w14:textFill>
        </w:rPr>
      </w:pPr>
    </w:p>
    <w:p>
      <w:pPr>
        <w:pStyle w:val="20"/>
        <w:spacing w:line="500" w:lineRule="exact"/>
        <w:rPr>
          <w:rFonts w:hAnsi="宋体" w:cs="宋体"/>
          <w:b/>
          <w:bCs/>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四、中标标准</w:t>
      </w:r>
    </w:p>
    <w:p>
      <w:pPr>
        <w:pStyle w:val="20"/>
        <w:spacing w:line="500" w:lineRule="exact"/>
        <w:ind w:firstLine="420" w:firstLineChars="200"/>
        <w:rPr>
          <w:rFonts w:hAnsi="宋体" w:cs="Arial"/>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评标委员会将根据综合得分由高到低排列次序（得分相同时，以投标报价由低到高顺序排列；得分相同且投标报价相同的，按技术指标优劣顺序排列）并推荐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定第二的中标候选人为中标人。排名第二的中标候选人因前款规定的同样原因不能签订合同的，招标采购单位可以确定排名第三的中标候选人为中标人，以此类推</w:t>
      </w:r>
      <w:r>
        <w:rPr>
          <w:rFonts w:hint="eastAsia" w:hAnsi="宋体" w:cs="Arial"/>
          <w:bCs/>
          <w:color w:val="000000" w:themeColor="text1"/>
          <w:szCs w:val="21"/>
          <w:highlight w:val="none"/>
          <w14:textFill>
            <w14:solidFill>
              <w14:schemeClr w14:val="tx1"/>
            </w14:solidFill>
          </w14:textFill>
        </w:rPr>
        <w:t>，也可以重新开展政府采购活动。</w:t>
      </w:r>
    </w:p>
    <w:p>
      <w:pPr>
        <w:rPr>
          <w:rFonts w:hAnsi="宋体" w:cs="Arial"/>
          <w:bCs/>
          <w:color w:val="000000" w:themeColor="text1"/>
          <w:szCs w:val="21"/>
          <w:highlight w:val="none"/>
          <w:lang w:eastAsia="zh-CN"/>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55"/>
        <w:rPr>
          <w:rFonts w:hAnsi="宋体" w:cs="Arial"/>
          <w:bCs/>
          <w:color w:val="000000" w:themeColor="text1"/>
          <w:szCs w:val="21"/>
          <w:highlight w:val="none"/>
          <w14:textFill>
            <w14:solidFill>
              <w14:schemeClr w14:val="tx1"/>
            </w14:solidFill>
          </w14:textFill>
        </w:rPr>
      </w:pPr>
    </w:p>
    <w:p>
      <w:pPr>
        <w:pStyle w:val="20"/>
        <w:spacing w:line="360" w:lineRule="auto"/>
        <w:jc w:val="center"/>
        <w:outlineLvl w:val="0"/>
        <w:rPr>
          <w:rStyle w:val="61"/>
          <w:color w:val="000000" w:themeColor="text1"/>
          <w:sz w:val="32"/>
          <w:szCs w:val="32"/>
          <w:highlight w:val="none"/>
          <w14:textFill>
            <w14:solidFill>
              <w14:schemeClr w14:val="tx1"/>
            </w14:solidFill>
          </w14:textFill>
        </w:rPr>
      </w:pPr>
      <w:r>
        <w:rPr>
          <w:rStyle w:val="61"/>
          <w:rFonts w:hint="eastAsia"/>
          <w:color w:val="000000" w:themeColor="text1"/>
          <w:sz w:val="32"/>
          <w:szCs w:val="32"/>
          <w:highlight w:val="none"/>
          <w14:textFill>
            <w14:solidFill>
              <w14:schemeClr w14:val="tx1"/>
            </w14:solidFill>
          </w14:textFill>
        </w:rPr>
        <w:t>第六章 投标文件（格式）</w:t>
      </w:r>
    </w:p>
    <w:p>
      <w:pPr>
        <w:pStyle w:val="20"/>
        <w:spacing w:line="360" w:lineRule="auto"/>
        <w:jc w:val="center"/>
        <w:rPr>
          <w:rStyle w:val="61"/>
          <w:color w:val="000000" w:themeColor="text1"/>
          <w:sz w:val="32"/>
          <w:szCs w:val="32"/>
          <w:highlight w:val="none"/>
          <w14:textFill>
            <w14:solidFill>
              <w14:schemeClr w14:val="tx1"/>
            </w14:solidFill>
          </w14:textFill>
        </w:rPr>
      </w:pPr>
      <w:bookmarkStart w:id="178" w:name="_Toc254970556"/>
      <w:bookmarkStart w:id="179" w:name="_Toc254970697"/>
    </w:p>
    <w:p>
      <w:pPr>
        <w:snapToGrid w:val="0"/>
        <w:spacing w:before="120" w:beforeLines="50" w:after="50" w:line="360" w:lineRule="exact"/>
        <w:jc w:val="center"/>
        <w:outlineLvl w:val="1"/>
        <w:rPr>
          <w:rFonts w:ascii="宋体" w:hAnsi="宋体" w:eastAsia="宋体"/>
          <w:b/>
          <w:bCs/>
          <w:color w:val="000000" w:themeColor="text1"/>
          <w:sz w:val="32"/>
          <w:szCs w:val="32"/>
          <w:highlight w:val="none"/>
          <w:lang w:eastAsia="zh-CN"/>
          <w14:textFill>
            <w14:solidFill>
              <w14:schemeClr w14:val="tx1"/>
            </w14:solidFill>
          </w14:textFill>
        </w:rPr>
      </w:pPr>
      <w:r>
        <w:rPr>
          <w:rFonts w:hint="eastAsia" w:ascii="宋体" w:hAnsi="宋体" w:eastAsia="宋体"/>
          <w:b/>
          <w:bCs/>
          <w:color w:val="000000" w:themeColor="text1"/>
          <w:sz w:val="32"/>
          <w:szCs w:val="32"/>
          <w:highlight w:val="none"/>
          <w:lang w:eastAsia="zh-CN"/>
          <w14:textFill>
            <w14:solidFill>
              <w14:schemeClr w14:val="tx1"/>
            </w14:solidFill>
          </w14:textFill>
        </w:rPr>
        <w:t>一、投标文件外包装封面及</w:t>
      </w:r>
      <w:r>
        <w:rPr>
          <w:rFonts w:hint="eastAsia" w:ascii="宋体" w:hAnsi="宋体" w:eastAsia="宋体"/>
          <w:b/>
          <w:color w:val="000000" w:themeColor="text1"/>
          <w:sz w:val="32"/>
          <w:szCs w:val="32"/>
          <w:highlight w:val="none"/>
          <w:lang w:eastAsia="zh-CN"/>
          <w14:textFill>
            <w14:solidFill>
              <w14:schemeClr w14:val="tx1"/>
            </w14:solidFill>
          </w14:textFill>
        </w:rPr>
        <w:t>投标文件封面</w:t>
      </w:r>
      <w:r>
        <w:rPr>
          <w:rFonts w:hint="eastAsia" w:ascii="宋体" w:hAnsi="宋体" w:eastAsia="宋体"/>
          <w:b/>
          <w:bCs/>
          <w:color w:val="000000" w:themeColor="text1"/>
          <w:sz w:val="32"/>
          <w:szCs w:val="32"/>
          <w:highlight w:val="none"/>
          <w:lang w:eastAsia="zh-CN"/>
          <w14:textFill>
            <w14:solidFill>
              <w14:schemeClr w14:val="tx1"/>
            </w14:solidFill>
          </w14:textFill>
        </w:rPr>
        <w:t>格式</w:t>
      </w:r>
      <w:bookmarkEnd w:id="178"/>
      <w:bookmarkEnd w:id="179"/>
    </w:p>
    <w:p>
      <w:pPr>
        <w:snapToGrid w:val="0"/>
        <w:spacing w:after="50" w:line="360" w:lineRule="exact"/>
        <w:rPr>
          <w:rFonts w:ascii="宋体" w:hAnsi="宋体"/>
          <w:b/>
          <w:color w:val="000000" w:themeColor="text1"/>
          <w:szCs w:val="21"/>
          <w:highlight w:val="none"/>
          <w:lang w:eastAsia="zh-CN"/>
          <w14:textFill>
            <w14:solidFill>
              <w14:schemeClr w14:val="tx1"/>
            </w14:solidFill>
          </w14:textFill>
        </w:rPr>
      </w:pPr>
    </w:p>
    <w:p>
      <w:pPr>
        <w:pStyle w:val="20"/>
        <w:spacing w:line="440" w:lineRule="exact"/>
        <w:rPr>
          <w:rFonts w:hAnsi="宋体" w:cs="宋体"/>
          <w:b/>
          <w:bCs/>
          <w:color w:val="000000" w:themeColor="text1"/>
          <w:sz w:val="24"/>
          <w:szCs w:val="15"/>
          <w:highlight w:val="none"/>
          <w14:textFill>
            <w14:solidFill>
              <w14:schemeClr w14:val="tx1"/>
            </w14:solidFill>
          </w14:textFill>
        </w:rPr>
      </w:pPr>
      <w:r>
        <w:rPr>
          <w:rFonts w:hint="eastAsia" w:hAnsi="宋体" w:cs="宋体"/>
          <w:b/>
          <w:bCs/>
          <w:color w:val="000000" w:themeColor="text1"/>
          <w:sz w:val="24"/>
          <w:szCs w:val="15"/>
          <w:highlight w:val="none"/>
          <w14:textFill>
            <w14:solidFill>
              <w14:schemeClr w14:val="tx1"/>
            </w14:solidFill>
          </w14:textFill>
        </w:rPr>
        <w:t>（一）电子备份投标文件外包封格式：</w:t>
      </w:r>
    </w:p>
    <w:p>
      <w:pPr>
        <w:rPr>
          <w:rFonts w:hAnsi="宋体"/>
          <w:b/>
          <w:bCs/>
          <w:color w:val="000000" w:themeColor="text1"/>
          <w:sz w:val="24"/>
          <w:szCs w:val="15"/>
          <w:highlight w:val="none"/>
          <w:lang w:eastAsia="zh-CN"/>
          <w14:textFill>
            <w14:solidFill>
              <w14:schemeClr w14:val="tx1"/>
            </w14:solidFill>
          </w14:textFill>
        </w:rPr>
      </w:pPr>
    </w:p>
    <w:p>
      <w:pPr>
        <w:pStyle w:val="107"/>
        <w:rPr>
          <w:rFonts w:hAnsi="宋体"/>
          <w:b/>
          <w:bCs/>
          <w:color w:val="000000" w:themeColor="text1"/>
          <w:sz w:val="24"/>
          <w:szCs w:val="15"/>
          <w:highlight w:val="none"/>
          <w:lang w:eastAsia="zh-CN"/>
          <w14:textFill>
            <w14:solidFill>
              <w14:schemeClr w14:val="tx1"/>
            </w14:solidFill>
          </w14:textFill>
        </w:rPr>
      </w:pPr>
    </w:p>
    <w:p>
      <w:pPr>
        <w:pStyle w:val="107"/>
        <w:jc w:val="center"/>
        <w:rPr>
          <w:rFonts w:hAnsi="宋体"/>
          <w:b/>
          <w:bCs/>
          <w:color w:val="000000" w:themeColor="text1"/>
          <w:sz w:val="24"/>
          <w:szCs w:val="15"/>
          <w:highlight w:val="none"/>
          <w:lang w:eastAsia="zh-CN"/>
          <w14:textFill>
            <w14:solidFill>
              <w14:schemeClr w14:val="tx1"/>
            </w14:solidFill>
          </w14:textFill>
        </w:rPr>
      </w:pPr>
      <w:r>
        <w:rPr>
          <w:rFonts w:hint="eastAsia" w:hAnsi="宋体"/>
          <w:b/>
          <w:bCs/>
          <w:color w:val="000000" w:themeColor="text1"/>
          <w:sz w:val="32"/>
          <w:szCs w:val="18"/>
          <w:highlight w:val="none"/>
          <w:lang w:eastAsia="zh-CN"/>
          <w14:textFill>
            <w14:solidFill>
              <w14:schemeClr w14:val="tx1"/>
            </w14:solidFill>
          </w14:textFill>
        </w:rPr>
        <w:t>电子备份投标文件</w:t>
      </w:r>
    </w:p>
    <w:p>
      <w:pPr>
        <w:pStyle w:val="107"/>
        <w:rPr>
          <w:rFonts w:hAnsi="宋体"/>
          <w:b/>
          <w:bCs/>
          <w:color w:val="000000" w:themeColor="text1"/>
          <w:sz w:val="24"/>
          <w:szCs w:val="15"/>
          <w:highlight w:val="none"/>
          <w:lang w:eastAsia="zh-CN"/>
          <w14:textFill>
            <w14:solidFill>
              <w14:schemeClr w14:val="tx1"/>
            </w14:solidFill>
          </w14:textFill>
        </w:rPr>
      </w:pP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(1)招标代理机构：</w:t>
      </w:r>
      <w:r>
        <w:rPr>
          <w:rFonts w:hint="eastAsia" w:hAnsi="宋体" w:cs="宋体"/>
          <w:i/>
          <w:iCs/>
          <w:color w:val="000000" w:themeColor="text1"/>
          <w:highlight w:val="none"/>
          <w14:textFill>
            <w14:solidFill>
              <w14:schemeClr w14:val="tx1"/>
            </w14:solidFill>
          </w14:textFill>
        </w:rPr>
        <w:t xml:space="preserve">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(2)项目名称：</w:t>
      </w:r>
    </w:p>
    <w:p>
      <w:pPr>
        <w:pStyle w:val="20"/>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(3)项目编号：</w:t>
      </w:r>
    </w:p>
    <w:p>
      <w:pPr>
        <w:pStyle w:val="20"/>
        <w:spacing w:line="380" w:lineRule="atLeas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(4)分标号：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(5)投标人名称（加盖公章）： </w:t>
      </w:r>
    </w:p>
    <w:p>
      <w:pPr>
        <w:pStyle w:val="20"/>
        <w:spacing w:line="380" w:lineRule="atLeast"/>
        <w:ind w:firstLine="420"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(6)投标人地址：                  </w:t>
      </w:r>
    </w:p>
    <w:p>
      <w:pPr>
        <w:pStyle w:val="20"/>
        <w:spacing w:line="380" w:lineRule="atLeast"/>
        <w:ind w:firstLine="420" w:firstLineChars="200"/>
        <w:jc w:val="center"/>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截标前不得启封</w:t>
      </w:r>
    </w:p>
    <w:p>
      <w:pPr>
        <w:snapToGrid w:val="0"/>
        <w:spacing w:after="50" w:line="360" w:lineRule="exact"/>
        <w:rPr>
          <w:rFonts w:ascii="宋体" w:hAnsi="宋体" w:eastAsia="宋体"/>
          <w:color w:val="000000" w:themeColor="text1"/>
          <w:sz w:val="21"/>
          <w:szCs w:val="21"/>
          <w:highlight w:val="none"/>
          <w:lang w:eastAsia="zh-CN"/>
          <w14:textFill>
            <w14:solidFill>
              <w14:schemeClr w14:val="tx1"/>
            </w14:solidFill>
          </w14:textFill>
        </w:rPr>
      </w:pPr>
    </w:p>
    <w:p>
      <w:pPr>
        <w:snapToGrid w:val="0"/>
        <w:spacing w:after="50" w:line="36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（二）投标文件封面格式：</w:t>
      </w:r>
    </w:p>
    <w:p>
      <w:pPr>
        <w:snapToGrid w:val="0"/>
        <w:spacing w:after="50" w:line="360" w:lineRule="exac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120" w:beforeLines="50" w:after="50" w:line="360" w:lineRule="exact"/>
        <w:jc w:val="center"/>
        <w:outlineLvl w:val="1"/>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投 标 文 件</w:t>
      </w:r>
    </w:p>
    <w:p>
      <w:pPr>
        <w:rPr>
          <w:rFonts w:ascii="宋体" w:hAnsi="宋体"/>
          <w:color w:val="000000" w:themeColor="text1"/>
          <w:sz w:val="21"/>
          <w:szCs w:val="21"/>
          <w:highlight w:val="none"/>
          <w:lang w:eastAsia="zh-CN"/>
          <w14:textFill>
            <w14:solidFill>
              <w14:schemeClr w14:val="tx1"/>
            </w14:solidFill>
          </w14:textFill>
        </w:rPr>
      </w:pPr>
    </w:p>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（资格文件/报价文件/商务技术文件）</w:t>
      </w:r>
    </w:p>
    <w:p>
      <w:pPr>
        <w:snapToGrid w:val="0"/>
        <w:spacing w:after="50" w:line="360" w:lineRule="exact"/>
        <w:rPr>
          <w:rFonts w:ascii="宋体" w:hAnsi="宋体" w:eastAsia="宋体"/>
          <w:bCs/>
          <w:color w:val="000000" w:themeColor="text1"/>
          <w:sz w:val="21"/>
          <w:szCs w:val="21"/>
          <w:highlight w:val="none"/>
          <w:lang w:eastAsia="zh-CN"/>
          <w14:textFill>
            <w14:solidFill>
              <w14:schemeClr w14:val="tx1"/>
            </w14:solidFill>
          </w14:textFill>
        </w:rPr>
      </w:pPr>
    </w:p>
    <w:p>
      <w:pPr>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项目名称：</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p>
    <w:p>
      <w:pPr>
        <w:snapToGrid w:val="0"/>
        <w:spacing w:after="50" w:line="360" w:lineRule="exact"/>
        <w:ind w:firstLine="630" w:firstLineChars="300"/>
        <w:rPr>
          <w:rFonts w:ascii="宋体" w:hAnsi="宋体" w:eastAsia="宋体"/>
          <w:bCs/>
          <w:color w:val="000000" w:themeColor="text1"/>
          <w:sz w:val="21"/>
          <w:szCs w:val="21"/>
          <w:highlight w:val="none"/>
          <w:u w:val="singl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项目编号：</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p>
    <w:p>
      <w:pPr>
        <w:pStyle w:val="20"/>
        <w:spacing w:line="380" w:lineRule="atLeast"/>
        <w:ind w:firstLine="630" w:firstLineChars="3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分 标 号：</w:t>
      </w:r>
      <w:r>
        <w:rPr>
          <w:rFonts w:hint="eastAsia" w:hAnsi="宋体"/>
          <w:bCs/>
          <w:color w:val="000000" w:themeColor="text1"/>
          <w:szCs w:val="2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2"/>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投标人名称：</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（盖单位公章）</w:t>
      </w:r>
    </w:p>
    <w:p>
      <w:pPr>
        <w:snapToGrid w:val="0"/>
        <w:spacing w:after="50" w:line="360" w:lineRule="exact"/>
        <w:ind w:firstLine="630" w:firstLineChars="300"/>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投标人地址：</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14:textFill>
            <w14:solidFill>
              <w14:schemeClr w14:val="tx1"/>
            </w14:solidFill>
          </w14:textFill>
        </w:rPr>
        <w:t xml:space="preserve"> </w:t>
      </w:r>
    </w:p>
    <w:p>
      <w:pPr>
        <w:snapToGrid w:val="0"/>
        <w:spacing w:after="50" w:line="360" w:lineRule="exact"/>
        <w:jc w:val="center"/>
        <w:outlineLvl w:val="1"/>
        <w:rPr>
          <w:rFonts w:ascii="宋体" w:hAnsi="宋体" w:eastAsia="宋体"/>
          <w:bCs/>
          <w:color w:val="000000" w:themeColor="text1"/>
          <w:sz w:val="21"/>
          <w:szCs w:val="21"/>
          <w:highlight w:val="none"/>
          <w:lang w:eastAsia="zh-CN"/>
          <w14:textFill>
            <w14:solidFill>
              <w14:schemeClr w14:val="tx1"/>
            </w14:solidFill>
          </w14:textFill>
        </w:rPr>
      </w:pPr>
    </w:p>
    <w:p>
      <w:pPr>
        <w:snapToGrid w:val="0"/>
        <w:spacing w:after="50" w:line="360" w:lineRule="exact"/>
        <w:jc w:val="center"/>
        <w:outlineLvl w:val="1"/>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年    月    日</w:t>
      </w:r>
      <w:bookmarkStart w:id="180" w:name="_Toc254970698"/>
      <w:bookmarkStart w:id="181" w:name="_Toc254970557"/>
    </w:p>
    <w:p>
      <w:pPr>
        <w:snapToGrid w:val="0"/>
        <w:spacing w:after="50" w:line="360" w:lineRule="exact"/>
        <w:ind w:firstLine="420" w:firstLineChars="200"/>
        <w:jc w:val="left"/>
        <w:outlineLvl w:val="1"/>
        <w:rPr>
          <w:rFonts w:ascii="宋体" w:hAnsi="宋体" w:eastAsia="宋体"/>
          <w:bCs/>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snapToGrid w:val="0"/>
        <w:spacing w:before="120" w:beforeLines="50" w:after="50" w:line="360" w:lineRule="exact"/>
        <w:jc w:val="center"/>
        <w:outlineLvl w:val="1"/>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32"/>
          <w:szCs w:val="32"/>
          <w:highlight w:val="none"/>
          <w:lang w:eastAsia="zh-CN"/>
          <w14:textFill>
            <w14:solidFill>
              <w14:schemeClr w14:val="tx1"/>
            </w14:solidFill>
          </w14:textFill>
        </w:rPr>
        <w:t>二、投标文件</w:t>
      </w:r>
      <w:bookmarkEnd w:id="180"/>
      <w:bookmarkEnd w:id="181"/>
      <w:r>
        <w:rPr>
          <w:rFonts w:hint="eastAsia" w:ascii="宋体" w:hAnsi="宋体" w:eastAsia="宋体"/>
          <w:b/>
          <w:bCs/>
          <w:color w:val="000000" w:themeColor="text1"/>
          <w:sz w:val="32"/>
          <w:szCs w:val="32"/>
          <w:highlight w:val="none"/>
          <w:lang w:eastAsia="zh-CN"/>
          <w14:textFill>
            <w14:solidFill>
              <w14:schemeClr w14:val="tx1"/>
            </w14:solidFill>
          </w14:textFill>
        </w:rPr>
        <w:t>目录</w:t>
      </w:r>
    </w:p>
    <w:p>
      <w:pPr>
        <w:wordWrap w:val="0"/>
        <w:topLinePunct/>
        <w:adjustRightInd w:val="0"/>
        <w:snapToGrid w:val="0"/>
        <w:spacing w:line="340" w:lineRule="exact"/>
        <w:ind w:firstLine="240" w:firstLineChars="100"/>
        <w:jc w:val="center"/>
        <w:rPr>
          <w:rFonts w:ascii="宋体" w:hAnsi="宋体" w:eastAsia="宋体"/>
          <w:b/>
          <w:color w:val="000000" w:themeColor="text1"/>
          <w:sz w:val="21"/>
          <w:szCs w:val="21"/>
          <w:highlight w:val="none"/>
          <w:lang w:eastAsia="zh-CN"/>
          <w14:textFill>
            <w14:solidFill>
              <w14:schemeClr w14:val="tx1"/>
            </w14:solidFill>
          </w14:textFill>
        </w:rPr>
      </w:pPr>
      <w:r>
        <w:rPr>
          <w:rFonts w:hint="eastAsia" w:hAnsi="宋体"/>
          <w:color w:val="000000" w:themeColor="text1"/>
          <w:sz w:val="24"/>
          <w:szCs w:val="11"/>
          <w:highlight w:val="none"/>
          <w:lang w:eastAsia="zh-CN"/>
          <w14:textFill>
            <w14:solidFill>
              <w14:schemeClr w14:val="tx1"/>
            </w14:solidFill>
          </w14:textFill>
        </w:rPr>
        <w:t>（</w:t>
      </w:r>
      <w:r>
        <w:rPr>
          <w:rFonts w:hint="eastAsia" w:ascii="宋体" w:hAnsi="宋体" w:eastAsia="宋体"/>
          <w:color w:val="000000" w:themeColor="text1"/>
          <w:highlight w:val="none"/>
          <w:lang w:eastAsia="zh-CN"/>
          <w14:textFill>
            <w14:solidFill>
              <w14:schemeClr w14:val="tx1"/>
            </w14:solidFill>
          </w14:textFill>
        </w:rPr>
        <w:t>投标人应按下列顺序自编目录及页码</w:t>
      </w:r>
      <w:r>
        <w:rPr>
          <w:rFonts w:hint="eastAsia" w:hAnsi="宋体"/>
          <w:color w:val="000000" w:themeColor="text1"/>
          <w:sz w:val="24"/>
          <w:szCs w:val="11"/>
          <w:highlight w:val="none"/>
          <w:lang w:eastAsia="zh-CN"/>
          <w14:textFill>
            <w14:solidFill>
              <w14:schemeClr w14:val="tx1"/>
            </w14:solidFill>
          </w14:textFill>
        </w:rPr>
        <w:t>）</w:t>
      </w:r>
    </w:p>
    <w:p>
      <w:pPr>
        <w:pStyle w:val="20"/>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资格文件目录</w:t>
      </w:r>
    </w:p>
    <w:p>
      <w:pPr>
        <w:wordWrap w:val="0"/>
        <w:overflowPunct w:val="0"/>
        <w:topLinePunct/>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（1）投标人为法人或者其他组织的，提供营业执照等证明文件（如营业执照或者事业单位法人证书或者执业许可证等），投标人为自然人的，提供身份证复印件；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（2）投标人依法缴纳税收的相关材料（202</w:t>
      </w: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lang w:eastAsia="zh-CN"/>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（3）投标人依法缴纳社会保障资金的相关材料[202</w:t>
      </w:r>
      <w:r>
        <w:rPr>
          <w:rFonts w:hint="eastAsia" w:ascii="宋体" w:hAnsi="宋体" w:eastAsia="宋体"/>
          <w:color w:val="000000" w:themeColor="text1"/>
          <w:sz w:val="21"/>
          <w:szCs w:val="21"/>
          <w:highlight w:val="none"/>
          <w:lang w:val="en-US" w:eastAsia="zh-CN"/>
          <w14:textFill>
            <w14:solidFill>
              <w14:schemeClr w14:val="tx1"/>
            </w14:solidFill>
          </w14:textFill>
        </w:rPr>
        <w:t>5</w:t>
      </w:r>
      <w:r>
        <w:rPr>
          <w:rFonts w:hint="eastAsia" w:ascii="宋体" w:hAnsi="宋体" w:eastAsia="宋体"/>
          <w:color w:val="000000" w:themeColor="text1"/>
          <w:sz w:val="21"/>
          <w:szCs w:val="21"/>
          <w:highlight w:val="none"/>
          <w:lang w:eastAsia="zh-CN"/>
          <w14:textFill>
            <w14:solidFill>
              <w14:schemeClr w14:val="tx1"/>
            </w14:solidFill>
          </w14:textFill>
        </w:rPr>
        <w:t>年</w:t>
      </w:r>
      <w:r>
        <w:rPr>
          <w:rFonts w:hint="eastAsia" w:ascii="宋体" w:hAnsi="宋体" w:eastAsia="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lang w:eastAsia="zh-CN"/>
          <w14:textFill>
            <w14:solidFill>
              <w14:schemeClr w14:val="tx1"/>
            </w14:solidFill>
          </w14:textFill>
        </w:rPr>
        <w:t>月以来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（必须提供，否则作无效投标处理）   </w:t>
      </w:r>
    </w:p>
    <w:p>
      <w:pPr>
        <w:adjustRightInd w:val="0"/>
        <w:snapToGrid w:val="0"/>
        <w:spacing w:line="360" w:lineRule="exact"/>
        <w:ind w:firstLine="422"/>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（4）供应商财务状况报告[202</w:t>
      </w:r>
      <w:r>
        <w:rPr>
          <w:rFonts w:hint="eastAsia" w:ascii="宋体" w:hAnsi="宋体" w:eastAsia="宋体"/>
          <w:color w:val="000000" w:themeColor="text1"/>
          <w:sz w:val="21"/>
          <w:szCs w:val="21"/>
          <w:highlight w:val="none"/>
          <w:lang w:val="en-US" w:eastAsia="zh-CN"/>
          <w14:textFill>
            <w14:solidFill>
              <w14:schemeClr w14:val="tx1"/>
            </w14:solidFill>
          </w14:textFill>
        </w:rPr>
        <w:t>4</w:t>
      </w:r>
      <w:r>
        <w:rPr>
          <w:rFonts w:hint="eastAsia" w:ascii="宋体" w:hAnsi="宋体" w:eastAsia="宋体"/>
          <w:color w:val="000000" w:themeColor="text1"/>
          <w:sz w:val="21"/>
          <w:szCs w:val="21"/>
          <w:highlight w:val="none"/>
          <w:lang w:eastAsia="zh-CN"/>
          <w14:textFill>
            <w14:solidFill>
              <w14:schemeClr w14:val="tx1"/>
            </w14:solidFill>
          </w14:textFill>
        </w:rPr>
        <w:t>年财务状况报告复印件，供应商是法人的，应提供财务状况报告（包括资产负债表、利润表、现金流量表）或者其基本开户银行出具的资信证明（注明有效期的，应在有效期内；未注明有效期的，出具时间至投标截止时间不超过一年）；供应商是其他组织或者自然人的，应提供财务状况报告（包括资产负债表、利润表、现金流量表，)或者银行出具的资信证明（注明有效期的，应在有效期内；未注明有效期的，出具时间至投标截止时间不超过一年）]；</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（5）投标声明函（格式后附）；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adjustRightInd w:val="0"/>
        <w:snapToGrid w:val="0"/>
        <w:spacing w:line="360" w:lineRule="exact"/>
        <w:ind w:firstLine="422"/>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（6）投标人股东及出资信息表、管理关系信息表（格式后附）；</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（7）投标人有效的医疗器械生产许可证或有效的医疗器械经营备案凭证或许可证原件扫描件或复印件；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(必须提供，否则按无效投标处理）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（8）投标人所投设备有效医疗器械注册证原件扫描件或复印件；</w:t>
      </w:r>
      <w:r>
        <w:rPr>
          <w:rFonts w:hint="eastAsia" w:ascii="宋体" w:hAnsi="宋体" w:eastAsia="宋体"/>
          <w:b/>
          <w:bCs/>
          <w:color w:val="000000" w:themeColor="text1"/>
          <w:sz w:val="21"/>
          <w:szCs w:val="21"/>
          <w:highlight w:val="none"/>
          <w:lang w:eastAsia="zh-CN"/>
          <w14:textFill>
            <w14:solidFill>
              <w14:schemeClr w14:val="tx1"/>
            </w14:solidFill>
          </w14:textFill>
        </w:rPr>
        <w:t>(如涉及2类、3类医疗器械时必须提供，1类医疗器械如有请提供，不涉及医疗器械不提供，否则作无效投标处理)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投标保证金缴纳证明材料；</w:t>
      </w:r>
      <w:r>
        <w:rPr>
          <w:rFonts w:hint="eastAsia" w:ascii="宋体" w:hAnsi="宋体" w:eastAsia="宋体"/>
          <w:b/>
          <w:bCs/>
          <w:color w:val="000000" w:themeColor="text1"/>
          <w:sz w:val="21"/>
          <w:szCs w:val="21"/>
          <w:highlight w:val="none"/>
          <w:lang w:eastAsia="zh-CN"/>
          <w14:textFill>
            <w14:solidFill>
              <w14:schemeClr w14:val="tx1"/>
            </w14:solidFill>
          </w14:textFill>
        </w:rPr>
        <w:t>（必须提供，否则作无效投标处理）</w:t>
      </w:r>
    </w:p>
    <w:p>
      <w:pPr>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（10）除招标文件规定必须提供以外，投标人认为需要提供的其他证明材料。</w:t>
      </w: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26"/>
        <w:ind w:firstLine="420" w:firstLineChars="200"/>
        <w:rPr>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注：供应商在广西政府采购云平台新版客户端编制资格文件时，可在营业执照处同时上传资格文件封面及目录。</w:t>
      </w: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20"/>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报价文件目录</w:t>
      </w:r>
    </w:p>
    <w:p>
      <w:pPr>
        <w:pStyle w:val="26"/>
        <w:rPr>
          <w:rFonts w:ascii="宋体" w:hAnsi="宋体" w:eastAsia="宋体"/>
          <w:color w:val="000000" w:themeColor="text1"/>
          <w:sz w:val="21"/>
          <w:szCs w:val="21"/>
          <w:highlight w:val="none"/>
          <w:lang w:eastAsia="zh-CN"/>
          <w14:textFill>
            <w14:solidFill>
              <w14:schemeClr w14:val="tx1"/>
            </w14:solidFill>
          </w14:textFill>
        </w:rPr>
      </w:pPr>
    </w:p>
    <w:p>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（1）投标函</w:t>
      </w:r>
      <w:r>
        <w:rPr>
          <w:rFonts w:hint="eastAsia" w:ascii="宋体" w:hAnsi="宋体" w:eastAsia="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tabs>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（2）开标一览表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pPr>
        <w:tabs>
          <w:tab w:val="left" w:pos="3870"/>
          <w:tab w:val="left" w:pos="4085"/>
        </w:tabs>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（3）投标报价明细表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pStyle w:val="54"/>
        <w:wordWrap w:val="0"/>
        <w:overflowPunct w:val="0"/>
        <w:topLinePunct/>
        <w:ind w:firstLine="460" w:firstLineChars="200"/>
        <w:rPr>
          <w:color w:val="000000" w:themeColor="text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（4）投标人针对报价需要说明的其他文件和说明</w:t>
      </w:r>
      <w:r>
        <w:rPr>
          <w:rFonts w:hint="eastAsia" w:ascii="宋体" w:hAnsi="宋体" w:eastAsia="宋体"/>
          <w:b/>
          <w:bCs w:val="0"/>
          <w:color w:val="000000" w:themeColor="text1"/>
          <w:sz w:val="21"/>
          <w:szCs w:val="21"/>
          <w:highlight w:val="none"/>
          <w:lang w:eastAsia="zh-CN"/>
          <w14:textFill>
            <w14:solidFill>
              <w14:schemeClr w14:val="tx1"/>
            </w14:solidFill>
          </w14:textFill>
        </w:rPr>
        <w:t>（格式自拟）</w:t>
      </w:r>
      <w:r>
        <w:rPr>
          <w:rFonts w:hint="eastAsia" w:ascii="宋体" w:hAnsi="宋体" w:eastAsia="宋体"/>
          <w:color w:val="000000" w:themeColor="text1"/>
          <w:sz w:val="21"/>
          <w:szCs w:val="21"/>
          <w:highlight w:val="none"/>
          <w:lang w:eastAsia="zh-CN"/>
          <w14:textFill>
            <w14:solidFill>
              <w14:schemeClr w14:val="tx1"/>
            </w14:solidFill>
          </w14:textFill>
        </w:rPr>
        <w:t>；</w:t>
      </w:r>
    </w:p>
    <w:p>
      <w:pPr>
        <w:tabs>
          <w:tab w:val="left" w:pos="1276"/>
          <w:tab w:val="left" w:pos="3870"/>
          <w:tab w:val="left" w:pos="4085"/>
        </w:tabs>
        <w:wordWrap w:val="0"/>
        <w:overflowPunct w:val="0"/>
        <w:topLinePunct/>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55"/>
        <w:rPr>
          <w:rFonts w:hAnsi="宋体" w:eastAsia="宋体"/>
          <w:color w:val="000000" w:themeColor="text1"/>
          <w:sz w:val="21"/>
          <w:szCs w:val="21"/>
          <w:highlight w:val="none"/>
          <w14:textFill>
            <w14:solidFill>
              <w14:schemeClr w14:val="tx1"/>
            </w14:solidFill>
          </w14:textFill>
        </w:rPr>
      </w:pPr>
    </w:p>
    <w:p>
      <w:pPr>
        <w:pStyle w:val="20"/>
        <w:jc w:val="center"/>
        <w:rPr>
          <w:rFonts w:hAnsi="宋体" w:cs="宋体"/>
          <w:b/>
          <w:bCs/>
          <w:color w:val="000000" w:themeColor="text1"/>
          <w:sz w:val="24"/>
          <w:szCs w:val="11"/>
          <w:highlight w:val="none"/>
          <w14:textFill>
            <w14:solidFill>
              <w14:schemeClr w14:val="tx1"/>
            </w14:solidFill>
          </w14:textFill>
        </w:rPr>
      </w:pPr>
      <w:r>
        <w:rPr>
          <w:rFonts w:hint="eastAsia" w:hAnsi="宋体" w:cs="宋体"/>
          <w:b/>
          <w:bCs/>
          <w:color w:val="000000" w:themeColor="text1"/>
          <w:sz w:val="24"/>
          <w:szCs w:val="11"/>
          <w:highlight w:val="none"/>
          <w14:textFill>
            <w14:solidFill>
              <w14:schemeClr w14:val="tx1"/>
            </w14:solidFill>
          </w14:textFill>
        </w:rPr>
        <w:t>商务技术文件目录</w:t>
      </w:r>
    </w:p>
    <w:p>
      <w:pPr>
        <w:pStyle w:val="54"/>
        <w:wordWrap w:val="0"/>
        <w:overflowPunct w:val="0"/>
        <w:topLinePunct/>
        <w:ind w:firstLine="460" w:firstLineChars="200"/>
        <w:rPr>
          <w:rFonts w:ascii="宋体" w:hAnsi="宋体" w:eastAsia="宋体"/>
          <w:color w:val="000000" w:themeColor="text1"/>
          <w:sz w:val="21"/>
          <w:szCs w:val="21"/>
          <w:highlight w:val="none"/>
          <w:lang w:eastAsia="zh-CN"/>
          <w14:textFill>
            <w14:solidFill>
              <w14:schemeClr w14:val="tx1"/>
            </w14:solidFill>
          </w14:textFill>
        </w:rPr>
      </w:pPr>
    </w:p>
    <w:p>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（一）商务文件</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（1）无串通投标行为的承诺函 </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（2）法定代表人资格证明书及身份证复印件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（3）法定代表人授权委托书和委托代理人身份证复印件</w:t>
      </w:r>
      <w:r>
        <w:rPr>
          <w:rFonts w:hint="eastAsia" w:ascii="宋体" w:hAnsi="宋体" w:eastAsia="宋体"/>
          <w:b/>
          <w:bCs/>
          <w:color w:val="000000" w:themeColor="text1"/>
          <w:sz w:val="21"/>
          <w:szCs w:val="21"/>
          <w:highlight w:val="none"/>
          <w:lang w:eastAsia="zh-CN"/>
          <w14:textFill>
            <w14:solidFill>
              <w14:schemeClr w14:val="tx1"/>
            </w14:solidFill>
          </w14:textFill>
        </w:rPr>
        <w:t>（委托代理时必须提供）；</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（4）商务响应表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（5）产品代理资格证复印件或针对本项目的授权书证明文件</w:t>
      </w:r>
      <w:r>
        <w:rPr>
          <w:rFonts w:hint="eastAsia" w:ascii="宋体" w:hAnsi="宋体" w:eastAsia="宋体"/>
          <w:b/>
          <w:bCs/>
          <w:color w:val="000000" w:themeColor="text1"/>
          <w:sz w:val="21"/>
          <w:szCs w:val="21"/>
          <w:highlight w:val="none"/>
          <w:lang w:eastAsia="zh-CN"/>
          <w14:textFill>
            <w14:solidFill>
              <w14:schemeClr w14:val="tx1"/>
            </w14:solidFill>
          </w14:textFill>
        </w:rPr>
        <w:t>（投标产品为进口产品的必须提供）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（6）招标项目资格要求及采购需求中要求必须提供的材料等</w:t>
      </w:r>
      <w:r>
        <w:rPr>
          <w:rFonts w:hint="eastAsia" w:ascii="宋体" w:hAnsi="宋体" w:eastAsia="宋体"/>
          <w:b/>
          <w:bCs/>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（7）投标人认为可以证明其能力或业绩的其他材料</w:t>
      </w:r>
      <w:r>
        <w:rPr>
          <w:rFonts w:hint="eastAsia" w:ascii="宋体" w:hAnsi="宋体" w:eastAsia="宋体"/>
          <w:b/>
          <w:bCs/>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lang w:eastAsia="zh-CN"/>
          <w14:textFill>
            <w14:solidFill>
              <w14:schemeClr w14:val="tx1"/>
            </w14:solidFill>
          </w14:textFill>
        </w:rPr>
        <w:t>（二）技术文件</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（1）技术响应表</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（2）项目实施方案（供应商应根据评标办法及评分标准提供，格式自拟</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（3）售后服务承诺书（供应商应根据评标办法及评分标准提供，格式自拟</w:t>
      </w:r>
      <w:r>
        <w:rPr>
          <w:rFonts w:hint="eastAsia" w:ascii="宋体" w:hAnsi="宋体" w:eastAsia="宋体"/>
          <w:b/>
          <w:bCs/>
          <w:color w:val="000000" w:themeColor="text1"/>
          <w:sz w:val="21"/>
          <w:szCs w:val="21"/>
          <w:highlight w:val="none"/>
          <w:lang w:eastAsia="zh-CN"/>
          <w14:textFill>
            <w14:solidFill>
              <w14:schemeClr w14:val="tx1"/>
            </w14:solidFill>
          </w14:textFill>
        </w:rPr>
        <w:t>，必须提供</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b/>
          <w:color w:val="000000" w:themeColor="text1"/>
          <w:sz w:val="21"/>
          <w:szCs w:val="21"/>
          <w:highlight w:val="none"/>
          <w:lang w:eastAsia="zh-CN"/>
          <w14:textFill>
            <w14:solidFill>
              <w14:schemeClr w14:val="tx1"/>
            </w14:solidFill>
          </w14:textFill>
        </w:rPr>
        <w:t>；</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w:t>
      </w:r>
      <w:r>
        <w:rPr>
          <w:rFonts w:hint="eastAsia" w:ascii="宋体" w:hAnsi="宋体" w:eastAsia="宋体"/>
          <w:bCs/>
          <w:color w:val="000000" w:themeColor="text1"/>
          <w:sz w:val="21"/>
          <w:szCs w:val="21"/>
          <w:highlight w:val="none"/>
          <w:lang w:eastAsia="zh-CN"/>
          <w14:textFill>
            <w14:solidFill>
              <w14:schemeClr w14:val="tx1"/>
            </w14:solidFill>
          </w14:textFill>
        </w:rPr>
        <w:t>产品质量保证书</w:t>
      </w:r>
      <w:r>
        <w:rPr>
          <w:rFonts w:hint="eastAsia" w:ascii="宋体" w:hAnsi="宋体" w:eastAsia="宋体"/>
          <w:b/>
          <w:color w:val="000000" w:themeColor="text1"/>
          <w:sz w:val="21"/>
          <w:szCs w:val="21"/>
          <w:highlight w:val="none"/>
          <w:lang w:eastAsia="zh-CN"/>
          <w14:textFill>
            <w14:solidFill>
              <w14:schemeClr w14:val="tx1"/>
            </w14:solidFill>
          </w14:textFill>
        </w:rPr>
        <w:t>(必须提供)；</w:t>
      </w:r>
    </w:p>
    <w:p>
      <w:pPr>
        <w:wordWrap w:val="0"/>
        <w:topLinePunct/>
        <w:adjustRightInd w:val="0"/>
        <w:snapToGrid w:val="0"/>
        <w:spacing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（5）投标人拥有主要装备和检测设施的情况和现状</w:t>
      </w:r>
      <w:r>
        <w:rPr>
          <w:rFonts w:hint="eastAsia" w:ascii="宋体" w:hAnsi="宋体" w:eastAsia="宋体"/>
          <w:b/>
          <w:bCs/>
          <w:color w:val="000000" w:themeColor="text1"/>
          <w:sz w:val="21"/>
          <w:szCs w:val="21"/>
          <w:highlight w:val="none"/>
          <w:lang w:eastAsia="zh-CN"/>
          <w14:textFill>
            <w14:solidFill>
              <w14:schemeClr w14:val="tx1"/>
            </w14:solidFill>
          </w14:textFill>
        </w:rPr>
        <w:t xml:space="preserve">（格式自拟）； </w:t>
      </w:r>
    </w:p>
    <w:p>
      <w:pPr>
        <w:wordWrap w:val="0"/>
        <w:topLinePunct/>
        <w:adjustRightInd w:val="0"/>
        <w:snapToGrid w:val="0"/>
        <w:spacing w:line="360" w:lineRule="exact"/>
        <w:ind w:firstLine="420" w:firstLineChars="200"/>
        <w:jc w:val="lef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（6）招标项目采购需求中要求必须提供的材料。</w:t>
      </w:r>
    </w:p>
    <w:p>
      <w:pPr>
        <w:pStyle w:val="26"/>
        <w:rPr>
          <w:rFonts w:hAnsi="宋体"/>
          <w:b/>
          <w:bCs/>
          <w:color w:val="000000" w:themeColor="text1"/>
          <w:szCs w:val="11"/>
          <w:highlight w:val="none"/>
          <w:lang w:eastAsia="zh-CN"/>
          <w14:textFill>
            <w14:solidFill>
              <w14:schemeClr w14:val="tx1"/>
            </w14:solidFill>
          </w14:textFill>
        </w:rPr>
      </w:pPr>
    </w:p>
    <w:p>
      <w:pPr>
        <w:rPr>
          <w:rFonts w:hAnsi="宋体"/>
          <w:b/>
          <w:bCs/>
          <w:color w:val="000000" w:themeColor="text1"/>
          <w:szCs w:val="11"/>
          <w:highlight w:val="non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54"/>
        <w:rPr>
          <w:rFonts w:ascii="宋体" w:hAnsi="宋体" w:eastAsia="宋体"/>
          <w:b/>
          <w:color w:val="000000" w:themeColor="text1"/>
          <w:sz w:val="32"/>
          <w:szCs w:val="32"/>
          <w:highlight w:val="none"/>
          <w:lang w:eastAsia="zh-CN"/>
          <w14:textFill>
            <w14:solidFill>
              <w14:schemeClr w14:val="tx1"/>
            </w14:solidFill>
          </w14:textFill>
        </w:rPr>
      </w:pPr>
    </w:p>
    <w:p>
      <w:pPr>
        <w:pStyle w:val="17"/>
        <w:rPr>
          <w:rFonts w:ascii="宋体" w:hAnsi="宋体" w:eastAsia="宋体"/>
          <w:color w:val="000000" w:themeColor="text1"/>
          <w:sz w:val="32"/>
          <w:szCs w:val="32"/>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eastAsia="宋体"/>
          <w:b/>
          <w:color w:val="000000" w:themeColor="text1"/>
          <w:sz w:val="32"/>
          <w:szCs w:val="32"/>
          <w:highlight w:val="none"/>
          <w:lang w:eastAsia="zh-CN"/>
          <w14:textFill>
            <w14:solidFill>
              <w14:schemeClr w14:val="tx1"/>
            </w14:solidFill>
          </w14:textFill>
        </w:rPr>
        <w:t>三、投标文件格式</w:t>
      </w:r>
    </w:p>
    <w:p>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（一）</w:t>
      </w:r>
      <w:r>
        <w:rPr>
          <w:rFonts w:hint="eastAsia" w:ascii="宋体" w:hAnsi="宋体" w:eastAsia="宋体"/>
          <w:b/>
          <w:bCs/>
          <w:color w:val="000000" w:themeColor="text1"/>
          <w:sz w:val="21"/>
          <w:szCs w:val="21"/>
          <w:highlight w:val="none"/>
          <w:u w:val="double"/>
          <w:lang w:eastAsia="zh-CN"/>
          <w14:textFill>
            <w14:solidFill>
              <w14:schemeClr w14:val="tx1"/>
            </w14:solidFill>
          </w14:textFill>
        </w:rPr>
        <w:t>资格文件部分（格式）</w:t>
      </w:r>
    </w:p>
    <w:p>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pPr>
        <w:widowControl/>
        <w:jc w:val="center"/>
        <w:rPr>
          <w:color w:val="000000" w:themeColor="text1"/>
          <w:highlight w:val="none"/>
          <w:lang w:eastAsia="zh-CN"/>
          <w14:textFill>
            <w14:solidFill>
              <w14:schemeClr w14:val="tx1"/>
            </w14:solidFill>
          </w14:textFill>
        </w:rPr>
      </w:pPr>
      <w:r>
        <w:rPr>
          <w:rFonts w:hint="eastAsia" w:ascii="宋体" w:hAnsi="宋体" w:eastAsia="宋体"/>
          <w:b/>
          <w:bCs/>
          <w:color w:val="000000" w:themeColor="text1"/>
          <w:sz w:val="31"/>
          <w:szCs w:val="31"/>
          <w:highlight w:val="none"/>
          <w:lang w:eastAsia="zh-CN" w:bidi="ar"/>
          <w14:textFill>
            <w14:solidFill>
              <w14:schemeClr w14:val="tx1"/>
            </w14:solidFill>
          </w14:textFill>
        </w:rPr>
        <w:t>投标资格声明函</w:t>
      </w:r>
    </w:p>
    <w:p>
      <w:pPr>
        <w:snapToGrid w:val="0"/>
        <w:spacing w:line="360" w:lineRule="auto"/>
        <w:jc w:val="left"/>
        <w:rPr>
          <w:rFonts w:ascii="宋体" w:hAnsi="宋体" w:eastAsia="宋体"/>
          <w:bCs/>
          <w:color w:val="000000" w:themeColor="text1"/>
          <w:sz w:val="24"/>
          <w:szCs w:val="24"/>
          <w:highlight w:val="none"/>
          <w:lang w:eastAsia="zh-CN" w:bidi="ar"/>
          <w14:textFill>
            <w14:solidFill>
              <w14:schemeClr w14:val="tx1"/>
            </w14:solidFill>
          </w14:textFill>
        </w:rPr>
      </w:pPr>
    </w:p>
    <w:p>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致：</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（采购代理机构名称）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我方愿意参加贵方组织的</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(项目名称)      </w:t>
      </w:r>
      <w:r>
        <w:rPr>
          <w:rFonts w:hint="eastAsia" w:ascii="宋体" w:hAnsi="宋体" w:eastAsia="宋体"/>
          <w:bCs/>
          <w:color w:val="000000" w:themeColor="text1"/>
          <w:sz w:val="21"/>
          <w:szCs w:val="21"/>
          <w:highlight w:val="none"/>
          <w:lang w:eastAsia="zh-CN" w:bidi="ar"/>
          <w14:textFill>
            <w14:solidFill>
              <w14:schemeClr w14:val="tx1"/>
            </w14:solidFill>
          </w14:textFill>
        </w:rPr>
        <w:t>（项目编号：</w:t>
      </w:r>
      <w:r>
        <w:rPr>
          <w:rFonts w:hint="eastAsia" w:ascii="宋体" w:hAnsi="宋体" w:eastAsia="宋体"/>
          <w:bCs/>
          <w:color w:val="000000" w:themeColor="text1"/>
          <w:sz w:val="21"/>
          <w:szCs w:val="21"/>
          <w:highlight w:val="none"/>
          <w:u w:val="single"/>
          <w:lang w:eastAsia="zh-CN" w:bidi="ar"/>
          <w14:textFill>
            <w14:solidFill>
              <w14:schemeClr w14:val="tx1"/>
            </w14:solidFill>
          </w14:textFill>
        </w:rPr>
        <w:t xml:space="preserve">           </w:t>
      </w: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）项目的投标，为便于贵方公正、择优地确定中标人，我方就本次投标有关事项郑重声明如下：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1.我方承诺已经具备《中华人民共和国政府采购法》第二十二条中规定的参加政府采购活动的供应商应当具备的条件：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（1）具有独立承担民事责任的能力；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（2）具有良好的商业信誉和健全的财务会计制度；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（3）具有履行合同所必需的设备和专业技术能力；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（4）有依法缴纳税收和社会保障资金的良好记录；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（5）参加政府采购活动前三年内，在经营活动中没有重大违法记录；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（6）法律、行政法规规定的其他条件。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 我方不是采购人的附属机构；不是为本次采购项目提供整体设计、规范编制或者项目管理、监理、检测等货物的供应商；在获知本项目采购信息后，与采购人聘请的为此项目提供咨询服务的公司及其附属机构没有任何联系。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3.经查询，在“信用中国”和“中国政府采购网”网站我方未被列入失信被执行人、重大税收违法案件当事人名单、政府采购严重违法失信行为记录名单。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4.以上事项如有虚假或隐瞒，我方愿意承担一切后果，并不再寻求任何旨在减轻或免除法律责任的辩解。 </w:t>
      </w:r>
    </w:p>
    <w:p>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说明：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1.投标人应当通过 “信用中国”（www.creditchina.gov.cn）和“中国政府采购网”网站（www.ccgp.gov.cn）查询投标人相关主体的信用记录。查询时间为本项目投标截止时间前 10 日至 </w:t>
      </w:r>
    </w:p>
    <w:p>
      <w:pPr>
        <w:snapToGrid w:val="0"/>
        <w:spacing w:line="312" w:lineRule="auto"/>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投标截止时间中任意一天。对列入失信被执行人、重大税收违法案件当事人名单、政府采购严重违法失信行为记录名单的投标人，将被拒绝参与本项目政府采购活动。 </w:t>
      </w:r>
    </w:p>
    <w:p>
      <w:pPr>
        <w:snapToGrid w:val="0"/>
        <w:spacing w:line="312" w:lineRule="auto"/>
        <w:ind w:firstLine="420" w:firstLineChars="200"/>
        <w:jc w:val="lef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2.两个以上的自然人、法人或者其他组织组成一个联合体，以一个供应商的身份共同参加政府采购活动的，应当对所有联合体成员进行信用记录查询，联合体成员存在不良信用记录的，视同联合体存在不良信用记录。 </w:t>
      </w:r>
    </w:p>
    <w:p>
      <w:pPr>
        <w:snapToGrid w:val="0"/>
        <w:spacing w:line="312" w:lineRule="auto"/>
        <w:ind w:firstLine="420" w:firstLineChars="200"/>
        <w:jc w:val="left"/>
        <w:rPr>
          <w:rFonts w:ascii="宋体" w:hAnsi="宋体" w:eastAsia="宋体"/>
          <w:bCs/>
          <w:color w:val="000000" w:themeColor="text1"/>
          <w:sz w:val="21"/>
          <w:szCs w:val="21"/>
          <w:highlight w:val="none"/>
          <w:lang w:eastAsia="zh-CN" w:bidi="ar"/>
          <w14:textFill>
            <w14:solidFill>
              <w14:schemeClr w14:val="tx1"/>
            </w14:solidFill>
          </w14:textFill>
        </w:rPr>
      </w:pPr>
      <w:r>
        <w:rPr>
          <w:rFonts w:hint="eastAsia" w:ascii="宋体" w:hAnsi="宋体" w:eastAsia="宋体"/>
          <w:bCs/>
          <w:color w:val="000000" w:themeColor="text1"/>
          <w:sz w:val="21"/>
          <w:szCs w:val="21"/>
          <w:highlight w:val="none"/>
          <w:lang w:eastAsia="zh-CN" w:bidi="ar"/>
          <w14:textFill>
            <w14:solidFill>
              <w14:schemeClr w14:val="tx1"/>
            </w14:solidFill>
          </w14:textFill>
        </w:rPr>
        <w:t xml:space="preserve">3.如为联合体投标，盖章处须加盖联合体各方公章并由联合体各方法定代表人分别签署，否则投标无效。 </w:t>
      </w:r>
    </w:p>
    <w:p>
      <w:pPr>
        <w:snapToGrid w:val="0"/>
        <w:spacing w:line="360" w:lineRule="auto"/>
        <w:ind w:firstLine="420" w:firstLineChars="200"/>
        <w:jc w:val="left"/>
        <w:rPr>
          <w:rFonts w:ascii="宋体" w:hAnsi="宋体" w:eastAsia="宋体"/>
          <w:bCs/>
          <w:color w:val="000000" w:themeColor="text1"/>
          <w:sz w:val="21"/>
          <w:szCs w:val="21"/>
          <w:highlight w:val="none"/>
          <w:lang w:eastAsia="zh-CN" w:bidi="ar"/>
          <w14:textFill>
            <w14:solidFill>
              <w14:schemeClr w14:val="tx1"/>
            </w14:solidFill>
          </w14:textFill>
        </w:rPr>
      </w:pPr>
    </w:p>
    <w:p>
      <w:pPr>
        <w:autoSpaceDE w:val="0"/>
        <w:autoSpaceDN w:val="0"/>
        <w:spacing w:line="360" w:lineRule="auto"/>
        <w:ind w:firstLine="4410" w:firstLineChars="2100"/>
        <w:rPr>
          <w:rFonts w:ascii="宋体" w:hAnsi="宋体"/>
          <w:color w:val="000000" w:themeColor="text1"/>
          <w:sz w:val="21"/>
          <w:szCs w:val="22"/>
          <w:highlight w:val="none"/>
          <w:lang w:eastAsia="zh-CN"/>
          <w14:textFill>
            <w14:solidFill>
              <w14:schemeClr w14:val="tx1"/>
            </w14:solidFill>
          </w14:textFill>
        </w:rPr>
      </w:pPr>
      <w:r>
        <w:rPr>
          <w:rFonts w:hint="eastAsia" w:ascii="宋体" w:hAnsi="宋体" w:eastAsia="宋体"/>
          <w:color w:val="000000" w:themeColor="text1"/>
          <w:sz w:val="21"/>
          <w:szCs w:val="22"/>
          <w:highlight w:val="none"/>
          <w:lang w:eastAsia="zh-CN"/>
          <w14:textFill>
            <w14:solidFill>
              <w14:schemeClr w14:val="tx1"/>
            </w14:solidFill>
          </w14:textFill>
        </w:rPr>
        <w:t>投标人</w:t>
      </w:r>
      <w:r>
        <w:rPr>
          <w:rFonts w:hint="eastAsia" w:ascii="宋体" w:hAnsi="宋体"/>
          <w:color w:val="000000" w:themeColor="text1"/>
          <w:sz w:val="21"/>
          <w:szCs w:val="22"/>
          <w:highlight w:val="none"/>
          <w:lang w:eastAsia="zh-CN"/>
          <w14:textFill>
            <w14:solidFill>
              <w14:schemeClr w14:val="tx1"/>
            </w14:solidFill>
          </w14:textFill>
        </w:rPr>
        <w:t>名称（电子签章）：</w:t>
      </w:r>
    </w:p>
    <w:p>
      <w:pPr>
        <w:autoSpaceDE w:val="0"/>
        <w:autoSpaceDN w:val="0"/>
        <w:spacing w:line="360" w:lineRule="auto"/>
        <w:ind w:firstLine="5355" w:firstLineChars="2550"/>
        <w:rPr>
          <w:rFonts w:ascii="宋体" w:hAnsi="宋体"/>
          <w:color w:val="000000" w:themeColor="text1"/>
          <w:sz w:val="21"/>
          <w:szCs w:val="22"/>
          <w:highlight w:val="none"/>
          <w:lang w:eastAsia="zh-CN"/>
          <w14:textFill>
            <w14:solidFill>
              <w14:schemeClr w14:val="tx1"/>
            </w14:solidFill>
          </w14:textFill>
        </w:rPr>
      </w:pPr>
      <w:r>
        <w:rPr>
          <w:rFonts w:hint="eastAsia" w:ascii="宋体" w:hAnsi="宋体"/>
          <w:color w:val="000000" w:themeColor="text1"/>
          <w:sz w:val="21"/>
          <w:szCs w:val="22"/>
          <w:highlight w:val="none"/>
          <w:lang w:val="zh-CN" w:eastAsia="zh-CN"/>
          <w14:textFill>
            <w14:solidFill>
              <w14:schemeClr w14:val="tx1"/>
            </w14:solidFill>
          </w14:textFill>
        </w:rPr>
        <w:t>日期：  年  月   日</w:t>
      </w:r>
      <w:r>
        <w:rPr>
          <w:rFonts w:hint="eastAsia" w:ascii="宋体" w:hAnsi="宋体"/>
          <w:color w:val="000000" w:themeColor="text1"/>
          <w:sz w:val="21"/>
          <w:szCs w:val="22"/>
          <w:highlight w:val="none"/>
          <w:lang w:eastAsia="zh-CN"/>
          <w14:textFill>
            <w14:solidFill>
              <w14:schemeClr w14:val="tx1"/>
            </w14:solidFill>
          </w14:textFill>
        </w:rPr>
        <w:t xml:space="preserve">     </w:t>
      </w:r>
    </w:p>
    <w:p>
      <w:pPr>
        <w:pStyle w:val="20"/>
        <w:jc w:val="center"/>
        <w:outlineLvl w:val="1"/>
        <w:rPr>
          <w:rFonts w:hAnsi="宋体" w:cs="宋体"/>
          <w:b/>
          <w:bCs/>
          <w:color w:val="000000" w:themeColor="text1"/>
          <w:sz w:val="24"/>
          <w:szCs w:val="24"/>
          <w:highlight w:val="none"/>
          <w14:textFill>
            <w14:solidFill>
              <w14:schemeClr w14:val="tx1"/>
            </w14:solidFill>
          </w14:textFill>
        </w:rPr>
      </w:pPr>
    </w:p>
    <w:p>
      <w:pPr>
        <w:pStyle w:val="20"/>
        <w:jc w:val="center"/>
        <w:outlineLvl w:val="1"/>
        <w:rPr>
          <w:rFonts w:hAnsi="宋体" w:cs="宋体"/>
          <w:b/>
          <w:bCs/>
          <w:color w:val="000000" w:themeColor="text1"/>
          <w:sz w:val="24"/>
          <w:szCs w:val="24"/>
          <w:highlight w:val="none"/>
          <w14:textFill>
            <w14:solidFill>
              <w14:schemeClr w14:val="tx1"/>
            </w14:solidFill>
          </w14:textFill>
        </w:rPr>
      </w:pPr>
    </w:p>
    <w:p>
      <w:pPr>
        <w:pStyle w:val="20"/>
        <w:jc w:val="center"/>
        <w:outlineLvl w:val="1"/>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投标人股东及出资信息表</w:t>
      </w:r>
    </w:p>
    <w:p>
      <w:pPr>
        <w:rPr>
          <w:color w:val="000000" w:themeColor="text1"/>
          <w:highlight w:val="none"/>
          <w:lang w:eastAsia="zh-CN"/>
          <w14:textFill>
            <w14:solidFill>
              <w14:schemeClr w14:val="tx1"/>
            </w14:solidFill>
          </w14:textFill>
        </w:rPr>
      </w:pPr>
    </w:p>
    <w:p>
      <w:pPr>
        <w:pStyle w:val="54"/>
        <w:rPr>
          <w:rFonts w:ascii="宋体" w:hAnsi="宋体" w:eastAsia="宋体"/>
          <w:color w:val="000000" w:themeColor="text1"/>
          <w:highlight w:val="none"/>
          <w:lang w:eastAsia="zh-CN"/>
          <w14:textFill>
            <w14:solidFill>
              <w14:schemeClr w14:val="tx1"/>
            </w14:solidFill>
          </w14:textFill>
        </w:rPr>
      </w:pPr>
    </w:p>
    <w:tbl>
      <w:tblPr>
        <w:tblStyle w:val="3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83"/>
        <w:gridCol w:w="1750"/>
        <w:gridCol w:w="2701"/>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77" w:type="dxa"/>
            <w:vAlign w:val="center"/>
          </w:tcPr>
          <w:p>
            <w:pPr>
              <w:pStyle w:val="54"/>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序号</w:t>
            </w:r>
          </w:p>
        </w:tc>
        <w:tc>
          <w:tcPr>
            <w:tcW w:w="2083" w:type="dxa"/>
            <w:vAlign w:val="center"/>
          </w:tcPr>
          <w:p>
            <w:pPr>
              <w:pStyle w:val="54"/>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股东名称</w:t>
            </w:r>
          </w:p>
        </w:tc>
        <w:tc>
          <w:tcPr>
            <w:tcW w:w="1750" w:type="dxa"/>
            <w:vAlign w:val="center"/>
          </w:tcPr>
          <w:p>
            <w:pPr>
              <w:widowControl/>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出资比例</w:t>
            </w:r>
          </w:p>
        </w:tc>
        <w:tc>
          <w:tcPr>
            <w:tcW w:w="2701" w:type="dxa"/>
            <w:vAlign w:val="center"/>
          </w:tcPr>
          <w:p>
            <w:pPr>
              <w:pStyle w:val="54"/>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身份证号码              （或证照/证件号码）</w:t>
            </w:r>
          </w:p>
        </w:tc>
        <w:tc>
          <w:tcPr>
            <w:tcW w:w="1903" w:type="dxa"/>
            <w:vAlign w:val="center"/>
          </w:tcPr>
          <w:p>
            <w:pPr>
              <w:widowControl/>
              <w:jc w:val="center"/>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77" w:type="dxa"/>
          </w:tcPr>
          <w:p>
            <w:pPr>
              <w:pStyle w:val="54"/>
              <w:jc w:val="center"/>
              <w:rPr>
                <w:rFonts w:ascii="宋体" w:hAnsi="宋体" w:eastAsia="宋体"/>
                <w:color w:val="000000" w:themeColor="text1"/>
                <w:sz w:val="21"/>
                <w:szCs w:val="21"/>
                <w:highlight w:val="none"/>
                <w14:textFill>
                  <w14:solidFill>
                    <w14:schemeClr w14:val="tx1"/>
                  </w14:solidFill>
                </w14:textFill>
              </w:rPr>
            </w:pPr>
          </w:p>
        </w:tc>
        <w:tc>
          <w:tcPr>
            <w:tcW w:w="2083"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750"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701"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903" w:type="dxa"/>
          </w:tcPr>
          <w:p>
            <w:pPr>
              <w:pStyle w:val="54"/>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077" w:type="dxa"/>
          </w:tcPr>
          <w:p>
            <w:pPr>
              <w:pStyle w:val="54"/>
              <w:jc w:val="center"/>
              <w:rPr>
                <w:rFonts w:ascii="宋体" w:hAnsi="宋体" w:eastAsia="宋体"/>
                <w:color w:val="000000" w:themeColor="text1"/>
                <w:sz w:val="21"/>
                <w:szCs w:val="21"/>
                <w:highlight w:val="none"/>
                <w14:textFill>
                  <w14:solidFill>
                    <w14:schemeClr w14:val="tx1"/>
                  </w14:solidFill>
                </w14:textFill>
              </w:rPr>
            </w:pPr>
          </w:p>
        </w:tc>
        <w:tc>
          <w:tcPr>
            <w:tcW w:w="2083"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750"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701"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903" w:type="dxa"/>
          </w:tcPr>
          <w:p>
            <w:pPr>
              <w:pStyle w:val="54"/>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77"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083"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750"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701"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903" w:type="dxa"/>
          </w:tcPr>
          <w:p>
            <w:pPr>
              <w:pStyle w:val="54"/>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77"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083"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750"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2701" w:type="dxa"/>
          </w:tcPr>
          <w:p>
            <w:pPr>
              <w:pStyle w:val="54"/>
              <w:rPr>
                <w:rFonts w:ascii="宋体" w:hAnsi="宋体" w:eastAsia="宋体"/>
                <w:color w:val="000000" w:themeColor="text1"/>
                <w:sz w:val="21"/>
                <w:szCs w:val="21"/>
                <w:highlight w:val="none"/>
                <w14:textFill>
                  <w14:solidFill>
                    <w14:schemeClr w14:val="tx1"/>
                  </w14:solidFill>
                </w14:textFill>
              </w:rPr>
            </w:pPr>
          </w:p>
        </w:tc>
        <w:tc>
          <w:tcPr>
            <w:tcW w:w="1903" w:type="dxa"/>
          </w:tcPr>
          <w:p>
            <w:pPr>
              <w:pStyle w:val="54"/>
              <w:rPr>
                <w:rFonts w:ascii="宋体" w:hAnsi="宋体" w:eastAsia="宋体"/>
                <w:color w:val="000000" w:themeColor="text1"/>
                <w:sz w:val="21"/>
                <w:szCs w:val="21"/>
                <w:highlight w:val="none"/>
                <w14:textFill>
                  <w14:solidFill>
                    <w14:schemeClr w14:val="tx1"/>
                  </w14:solidFill>
                </w14:textFill>
              </w:rPr>
            </w:pPr>
          </w:p>
        </w:tc>
      </w:tr>
    </w:tbl>
    <w:p>
      <w:pPr>
        <w:snapToGrid w:val="0"/>
        <w:spacing w:before="120" w:beforeLines="50" w:after="50" w:line="420" w:lineRule="exact"/>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 xml:space="preserve">注： </w:t>
      </w:r>
    </w:p>
    <w:p>
      <w:pPr>
        <w:snapToGrid w:val="0"/>
        <w:spacing w:before="120" w:beforeLines="50" w:after="50" w:line="42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 xml:space="preserve">1、各股东名称必须与《国家企业信用信息公示系统》（网址：http://www.gsxt.gov.cn/index.html） “股东及出资信息”的信息相符，否则投标文件作无效处理。 </w:t>
      </w:r>
    </w:p>
    <w:p>
      <w:pPr>
        <w:snapToGrid w:val="0"/>
        <w:spacing w:before="120" w:beforeLines="50" w:after="50" w:line="420" w:lineRule="exact"/>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2、附</w:t>
      </w:r>
      <w:r>
        <w:rPr>
          <w:rFonts w:hint="eastAsia" w:ascii="宋体" w:hAnsi="宋体" w:eastAsia="宋体"/>
          <w:b/>
          <w:color w:val="000000" w:themeColor="text1"/>
          <w:sz w:val="21"/>
          <w:szCs w:val="21"/>
          <w:highlight w:val="none"/>
          <w:lang w:eastAsia="zh-CN"/>
          <w14:textFill>
            <w14:solidFill>
              <w14:schemeClr w14:val="tx1"/>
            </w14:solidFill>
          </w14:textFill>
        </w:rPr>
        <w:t>投</w:t>
      </w:r>
      <w:r>
        <w:rPr>
          <w:rFonts w:hint="eastAsia" w:ascii="宋体" w:hAnsi="宋体" w:eastAsia="宋体"/>
          <w:b/>
          <w:color w:val="000000" w:themeColor="text1"/>
          <w:sz w:val="21"/>
          <w:szCs w:val="21"/>
          <w:highlight w:val="none"/>
          <w14:textFill>
            <w14:solidFill>
              <w14:schemeClr w14:val="tx1"/>
            </w14:solidFill>
          </w14:textFill>
        </w:rPr>
        <w:t xml:space="preserve">标人在《国家企业信用信息公示系统》（网址：http://www.gsxt.gov.cn/index.html）中的“股东及出资信息”页面打印文件。 </w:t>
      </w:r>
    </w:p>
    <w:p>
      <w:pPr>
        <w:snapToGrid w:val="0"/>
        <w:spacing w:before="120" w:beforeLines="50" w:after="50" w:line="420" w:lineRule="exact"/>
        <w:rPr>
          <w:rFonts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3、投标人如为事业单位的，不需要提供本表。</w:t>
      </w:r>
    </w:p>
    <w:p>
      <w:pPr>
        <w:snapToGrid w:val="0"/>
        <w:spacing w:before="120" w:beforeLines="50" w:after="50" w:line="420" w:lineRule="exact"/>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4、提供“天眼查”里面投标人的公司信息及股东之间的关联图。</w:t>
      </w:r>
    </w:p>
    <w:p>
      <w:pPr>
        <w:pStyle w:val="54"/>
        <w:spacing w:line="420" w:lineRule="exact"/>
        <w:rPr>
          <w:rFonts w:ascii="宋体" w:hAnsi="宋体" w:eastAsia="宋体"/>
          <w:color w:val="000000" w:themeColor="text1"/>
          <w:spacing w:val="0"/>
          <w:kern w:val="2"/>
          <w:sz w:val="21"/>
          <w:szCs w:val="21"/>
          <w:highlight w:val="none"/>
          <w:lang w:eastAsia="zh-CN"/>
          <w14:textFill>
            <w14:solidFill>
              <w14:schemeClr w14:val="tx1"/>
            </w14:solidFill>
          </w14:textFill>
        </w:rPr>
      </w:pPr>
      <w:r>
        <w:rPr>
          <w:rFonts w:hint="eastAsia" w:ascii="宋体" w:hAnsi="宋体" w:eastAsia="宋体"/>
          <w:color w:val="000000" w:themeColor="text1"/>
          <w:spacing w:val="0"/>
          <w:kern w:val="2"/>
          <w:sz w:val="21"/>
          <w:szCs w:val="21"/>
          <w:highlight w:val="none"/>
          <w:lang w:eastAsia="zh-CN"/>
          <w14:textFill>
            <w14:solidFill>
              <w14:schemeClr w14:val="tx1"/>
            </w14:solidFill>
          </w14:textFill>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日期：  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17"/>
        <w:rPr>
          <w:rFonts w:ascii="宋体" w:hAnsi="宋体" w:eastAsia="宋体"/>
          <w:color w:val="000000" w:themeColor="text1"/>
          <w:sz w:val="21"/>
          <w:szCs w:val="21"/>
          <w:highlight w:val="none"/>
          <w:lang w:eastAsia="zh-CN"/>
          <w14:textFill>
            <w14:solidFill>
              <w14:schemeClr w14:val="tx1"/>
            </w14:solidFill>
          </w14:textFill>
        </w:rPr>
      </w:pPr>
    </w:p>
    <w:p>
      <w:pPr>
        <w:rPr>
          <w:rFonts w:ascii="宋体" w:hAnsi="宋体" w:eastAsia="宋体"/>
          <w:color w:val="000000" w:themeColor="text1"/>
          <w:sz w:val="21"/>
          <w:szCs w:val="21"/>
          <w:highlight w:val="non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107"/>
        <w:jc w:val="center"/>
        <w:rPr>
          <w:rFonts w:ascii="宋体" w:hAnsi="宋体" w:eastAsia="宋体"/>
          <w:b/>
          <w:bCs/>
          <w:color w:val="000000" w:themeColor="text1"/>
          <w:sz w:val="24"/>
          <w:szCs w:val="22"/>
          <w:highlight w:val="none"/>
          <w:lang w:eastAsia="zh-CN"/>
          <w14:textFill>
            <w14:solidFill>
              <w14:schemeClr w14:val="tx1"/>
            </w14:solidFill>
          </w14:textFill>
        </w:rPr>
      </w:pPr>
      <w:r>
        <w:rPr>
          <w:rFonts w:hint="eastAsia" w:ascii="宋体" w:hAnsi="宋体" w:eastAsia="宋体"/>
          <w:b/>
          <w:bCs/>
          <w:color w:val="000000" w:themeColor="text1"/>
          <w:sz w:val="24"/>
          <w:szCs w:val="22"/>
          <w:highlight w:val="none"/>
          <w:lang w:eastAsia="zh-CN"/>
          <w14:textFill>
            <w14:solidFill>
              <w14:schemeClr w14:val="tx1"/>
            </w14:solidFill>
          </w14:textFill>
        </w:rPr>
        <w:t>投标人直接管理关系信息表</w:t>
      </w:r>
    </w:p>
    <w:tbl>
      <w:tblPr>
        <w:tblStyle w:val="3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olor w:val="000000" w:themeColor="text1"/>
                <w:sz w:val="24"/>
                <w:highlight w:val="none"/>
                <w14:textFill>
                  <w14:solidFill>
                    <w14:schemeClr w14:val="tx1"/>
                  </w14:solidFill>
                </w14:textFill>
              </w:rPr>
            </w:pPr>
          </w:p>
        </w:tc>
      </w:tr>
    </w:tbl>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p>
    <w:p>
      <w:pPr>
        <w:spacing w:line="360" w:lineRule="auto"/>
        <w:ind w:firstLine="40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pPr>
        <w:spacing w:line="360" w:lineRule="auto"/>
        <w:ind w:firstLine="400" w:firstLineChars="200"/>
        <w:contextualSpacing/>
        <w:jc w:val="left"/>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00" w:firstLineChars="200"/>
        <w:contextualSpacing/>
        <w:jc w:val="left"/>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2.本表所指的管理关系仅限于直接管理关系，不包括间接的管理关系。</w:t>
      </w:r>
    </w:p>
    <w:p>
      <w:pPr>
        <w:spacing w:line="360" w:lineRule="auto"/>
        <w:ind w:firstLine="400" w:firstLineChars="200"/>
        <w:contextualSpacing/>
        <w:rPr>
          <w:rFonts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3.供应商不存在直接管理关系的，则填“无”。</w:t>
      </w:r>
    </w:p>
    <w:p>
      <w:pPr>
        <w:pStyle w:val="26"/>
        <w:rPr>
          <w:color w:val="000000" w:themeColor="text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snapToGrid w:val="0"/>
        <w:spacing w:before="120" w:beforeLines="50" w:after="50"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 xml:space="preserve">  （二）报价文件部分 （格式）</w:t>
      </w:r>
    </w:p>
    <w:p>
      <w:pPr>
        <w:snapToGrid w:val="0"/>
        <w:spacing w:before="120" w:beforeLines="50" w:after="50" w:line="340" w:lineRule="exact"/>
        <w:ind w:firstLine="4819" w:firstLineChars="2000"/>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投 标 函</w:t>
      </w:r>
    </w:p>
    <w:p>
      <w:pPr>
        <w:snapToGrid w:val="0"/>
        <w:spacing w:line="34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致：</w:t>
      </w:r>
      <w:r>
        <w:rPr>
          <w:rFonts w:hint="eastAsia" w:ascii="宋体" w:hAnsi="宋体" w:eastAsia="宋体"/>
          <w:color w:val="000000" w:themeColor="text1"/>
          <w:sz w:val="21"/>
          <w:szCs w:val="21"/>
          <w:highlight w:val="none"/>
          <w:u w:val="single"/>
          <w:lang w:eastAsia="zh-CN"/>
          <w14:textFill>
            <w14:solidFill>
              <w14:schemeClr w14:val="tx1"/>
            </w14:solidFill>
          </w14:textFill>
        </w:rPr>
        <w:t>（采购代理机构名称）</w:t>
      </w:r>
      <w:r>
        <w:rPr>
          <w:rFonts w:hint="eastAsia" w:ascii="宋体" w:hAnsi="宋体" w:eastAsia="宋体"/>
          <w:color w:val="000000" w:themeColor="text1"/>
          <w:sz w:val="21"/>
          <w:szCs w:val="21"/>
          <w:highlight w:val="none"/>
          <w:lang w:eastAsia="zh-CN"/>
          <w14:textFill>
            <w14:solidFill>
              <w14:schemeClr w14:val="tx1"/>
            </w14:solidFill>
          </w14:textFill>
        </w:rPr>
        <w:t>：</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根据贵方为</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项目的招标公告（项目编号：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），签字代表</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（姓名）经正式授权并代表投标人</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（投标人名称）提交投标文件(内含:资格文件、报价文件、商务技术文件)。</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据此函，签字代表宣布同意如下：</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1.我方同意在投标人须知规定的开标日期起遵循本投标文件，并在投标人须知第16条规定的投标有效期满之前均具有约束力。</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2、我方承诺已经具备《中华人民共和国政府采购法》中规定的参加政府采购活动的供应商应当具备的条件：</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（1）具有独立承担民事责任的能力；</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（2）具有良好的商业信誉和健全的财务会计制度；</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（3）具有履行合同所必需的设备和专业技术能力；</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（4）有依法缴纳税收和社会保障资金的良好记录；</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（5）参加此项采购活动前三年内，在经营活动中没有重大违法记录。</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3、我方根据招标文件的规定，承担完成合同的责任和义务。</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4、我方已详细审核招标文件，我方知道必须放弃提出含糊不清或误解问题的权利。</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5、如果在投标截止时间后的投标有效期内撤回投标或者有其他违约行为，我方的投标保证金可被贵方全部没收。</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6、同意向贵方提供贵方可能要求的与本投标有关的人和数据或资料。</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7、我方完全理解贵方不一定要接受最低报价的投标人为中标人。</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8、若贵方需要，我方愿意提供我方做出的一切承诺的证明材料。</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9、我方将严格遵守《中华人民共和国政府采购法》第七十七条规定，知悉以下之法律责任：供应商有下列情形之一的，处于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（1）提供虚假材料谋取中标、成交的；</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（2）采取不正当手段诋毁、排挤其他供应商的；</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（3）与采购人、其他供应商或者采购代理机构恶意串通的；</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（4）向采购人、采购代理机构行贿或者提供其他不正当利益的；</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（5）拒绝有关部门监督检查或提供虚假情况的。</w:t>
      </w:r>
    </w:p>
    <w:p>
      <w:pPr>
        <w:snapToGrid w:val="0"/>
        <w:spacing w:line="34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10.与本投标有关的一切正式往来信函请寄：</w:t>
      </w:r>
    </w:p>
    <w:p>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地址：</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邮编：__________            电话：______________</w:t>
      </w:r>
    </w:p>
    <w:p>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传真：</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投标人代表姓名 ___________  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开户银行：</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line="340" w:lineRule="exact"/>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银行账号：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snapToGrid w:val="0"/>
        <w:spacing w:before="50" w:after="50"/>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开标一览表</w:t>
      </w:r>
    </w:p>
    <w:p>
      <w:pPr>
        <w:snapToGrid w:val="0"/>
        <w:spacing w:before="50" w:after="50"/>
        <w:jc w:val="center"/>
        <w:rPr>
          <w:rFonts w:ascii="宋体" w:hAnsi="宋体" w:eastAsia="宋体"/>
          <w:b/>
          <w:color w:val="000000" w:themeColor="text1"/>
          <w:sz w:val="21"/>
          <w:szCs w:val="21"/>
          <w:highlight w:val="none"/>
          <w:lang w:eastAsia="zh-CN"/>
          <w14:textFill>
            <w14:solidFill>
              <w14:schemeClr w14:val="tx1"/>
            </w14:solidFill>
          </w14:textFill>
        </w:rPr>
      </w:pPr>
    </w:p>
    <w:p>
      <w:pPr>
        <w:snapToGrid w:val="0"/>
        <w:spacing w:before="50" w:after="50"/>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项目名称：</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分 标 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50" w:after="5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单位：元</w:t>
      </w:r>
    </w:p>
    <w:tbl>
      <w:tblPr>
        <w:tblStyle w:val="37"/>
        <w:tblW w:w="91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项号</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数量</w:t>
            </w:r>
          </w:p>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①</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产地</w:t>
            </w:r>
          </w:p>
        </w:tc>
        <w:tc>
          <w:tcPr>
            <w:tcW w:w="17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单价</w:t>
            </w:r>
          </w:p>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②</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投标报价</w:t>
            </w:r>
          </w:p>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③=①×②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w:t>
            </w:r>
          </w:p>
        </w:tc>
        <w:tc>
          <w:tcPr>
            <w:tcW w:w="147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w:t>
            </w:r>
          </w:p>
        </w:tc>
        <w:tc>
          <w:tcPr>
            <w:tcW w:w="7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79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b/>
                <w:color w:val="000000" w:themeColor="text1"/>
                <w:sz w:val="21"/>
                <w:szCs w:val="21"/>
                <w:highlight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eastAsia="宋体"/>
                <w:color w:val="000000" w:themeColor="text1"/>
                <w:sz w:val="21"/>
                <w:szCs w:val="21"/>
                <w:highlight w:val="none"/>
                <w14:textFill>
                  <w14:solidFill>
                    <w14:schemeClr w14:val="tx1"/>
                  </w14:solidFill>
                </w14:textFill>
              </w:rPr>
            </w:pPr>
          </w:p>
        </w:tc>
        <w:tc>
          <w:tcPr>
            <w:tcW w:w="13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7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合计金额大写：</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（小写      ）</w:t>
            </w:r>
          </w:p>
          <w:p>
            <w:pPr>
              <w:snapToGrid w:val="0"/>
              <w:spacing w:before="50" w:after="5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交货期：</w:t>
            </w:r>
          </w:p>
        </w:tc>
      </w:tr>
    </w:tbl>
    <w:p>
      <w:pPr>
        <w:snapToGrid w:val="0"/>
        <w:spacing w:before="50" w:after="5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 1、报价一经涂改，应在涂改处加盖单位公章或者由法定代表人或授权委托人签字或盖章，否则其投标作无效标处理。</w:t>
      </w:r>
    </w:p>
    <w:p>
      <w:pPr>
        <w:snapToGrid w:val="0"/>
        <w:spacing w:before="50" w:after="50"/>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2、凡需用专用耗材的专用设备类采购项目，应按招标文件规定的耗材量或按耗材的常规试用量提供报价。</w:t>
      </w:r>
    </w:p>
    <w:p>
      <w:pPr>
        <w:snapToGrid w:val="0"/>
        <w:spacing w:before="50" w:after="50"/>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3、投标费用包括项目实施所需的人工费、服务费、运输费、安装调试费、购买及制作标书费、税费及其他一切费用。</w:t>
      </w:r>
    </w:p>
    <w:p>
      <w:pPr>
        <w:snapToGrid w:val="0"/>
        <w:spacing w:before="50" w:after="50"/>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4、以上报价应与“投标报价明细表”中的“投标总价”相一致。</w:t>
      </w:r>
    </w:p>
    <w:p>
      <w:pPr>
        <w:snapToGrid w:val="0"/>
        <w:spacing w:before="50" w:after="50"/>
        <w:ind w:left="-2" w:leftChars="-1" w:right="-778" w:rightChars="-389"/>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50" w:after="50"/>
        <w:ind w:left="-14" w:leftChars="-72" w:right="-778" w:rightChars="-389" w:hanging="130" w:hangingChars="62"/>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kern w:val="0"/>
          <w:sz w:val="24"/>
          <w:szCs w:val="28"/>
          <w:highlight w:val="none"/>
          <w14:textFill>
            <w14:solidFill>
              <w14:schemeClr w14:val="tx1"/>
            </w14:solidFill>
          </w14:textFill>
        </w:rPr>
        <w:t xml:space="preserve">                              </w:t>
      </w:r>
      <w:r>
        <w:rPr>
          <w:rFonts w:hint="eastAsia" w:hAnsi="宋体" w:cs="宋体"/>
          <w:color w:val="000000" w:themeColor="text1"/>
          <w:kern w:val="0"/>
          <w:sz w:val="24"/>
          <w:szCs w:val="28"/>
          <w:highlight w:val="none"/>
          <w:lang w:val="zh-CN"/>
          <w14:textFill>
            <w14:solidFill>
              <w14:schemeClr w14:val="tx1"/>
            </w14:solidFill>
          </w14:textFill>
        </w:rPr>
        <w:t xml:space="preserve">日期：  </w:t>
      </w:r>
      <w:r>
        <w:rPr>
          <w:rFonts w:hint="eastAsia" w:hAnsi="宋体" w:cs="宋体"/>
          <w:color w:val="000000" w:themeColor="text1"/>
          <w:kern w:val="0"/>
          <w:sz w:val="24"/>
          <w:szCs w:val="28"/>
          <w:highlight w:val="none"/>
          <w14:textFill>
            <w14:solidFill>
              <w14:schemeClr w14:val="tx1"/>
            </w14:solidFill>
          </w14:textFill>
        </w:rPr>
        <w:t xml:space="preserve"> </w:t>
      </w:r>
      <w:r>
        <w:rPr>
          <w:rFonts w:hint="eastAsia" w:hAnsi="宋体" w:cs="宋体"/>
          <w:color w:val="000000" w:themeColor="text1"/>
          <w:kern w:val="0"/>
          <w:sz w:val="24"/>
          <w:szCs w:val="28"/>
          <w:highlight w:val="none"/>
          <w:lang w:val="zh-CN"/>
          <w14:textFill>
            <w14:solidFill>
              <w14:schemeClr w14:val="tx1"/>
            </w14:solidFill>
          </w14:textFill>
        </w:rPr>
        <w:t>年  月   日</w:t>
      </w:r>
      <w:r>
        <w:rPr>
          <w:rFonts w:hint="eastAsia" w:hAnsi="宋体" w:cs="宋体"/>
          <w:color w:val="000000" w:themeColor="text1"/>
          <w:sz w:val="24"/>
          <w:szCs w:val="28"/>
          <w:highlight w:val="none"/>
          <w14:textFill>
            <w14:solidFill>
              <w14:schemeClr w14:val="tx1"/>
            </w14:solidFill>
          </w14:textFill>
        </w:rPr>
        <w:t xml:space="preserve"> </w:t>
      </w: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0"/>
        <w:snapToGrid w:val="0"/>
        <w:spacing w:before="295" w:after="295" w:line="360" w:lineRule="exact"/>
        <w:jc w:val="center"/>
        <w:rPr>
          <w:rFonts w:hAnsi="宋体" w:cs="宋体"/>
          <w:b/>
          <w:bCs/>
          <w:color w:val="000000" w:themeColor="text1"/>
          <w:sz w:val="24"/>
          <w:szCs w:val="24"/>
          <w:highlight w:val="none"/>
          <w14:textFill>
            <w14:solidFill>
              <w14:schemeClr w14:val="tx1"/>
            </w14:solidFill>
          </w14:textFill>
        </w:rPr>
      </w:pPr>
    </w:p>
    <w:p>
      <w:pPr>
        <w:pStyle w:val="20"/>
        <w:snapToGrid w:val="0"/>
        <w:spacing w:before="295" w:after="295" w:line="360" w:lineRule="exact"/>
        <w:jc w:val="center"/>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投标报价明细表</w:t>
      </w:r>
    </w:p>
    <w:p>
      <w:pPr>
        <w:pStyle w:val="20"/>
        <w:snapToGrid w:val="0"/>
        <w:spacing w:before="295" w:after="295" w:line="360" w:lineRule="exact"/>
        <w:ind w:firstLine="6720" w:firstLineChars="3200"/>
        <w:rPr>
          <w:rFonts w:hAnsi="宋体" w:cs="宋体"/>
          <w:b/>
          <w:bCs/>
          <w:color w:val="000000" w:themeColor="text1"/>
          <w:sz w:val="24"/>
          <w:szCs w:val="24"/>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金额单位：人民币（元）</w:t>
      </w:r>
    </w:p>
    <w:p>
      <w:pPr>
        <w:snapToGrid w:val="0"/>
        <w:spacing w:before="50" w:after="50"/>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项目名称：</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before="50" w:after="50"/>
        <w:ind w:firstLine="420" w:firstLineChars="200"/>
        <w:rPr>
          <w:rFonts w:ascii="宋体" w:hAnsi="宋体" w:eastAsia="宋体"/>
          <w:color w:val="000000" w:themeColor="text1"/>
          <w:sz w:val="21"/>
          <w:szCs w:val="21"/>
          <w:highlight w:val="none"/>
          <w:u w:val="singl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分 标 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tbl>
      <w:tblPr>
        <w:tblStyle w:val="3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04"/>
        <w:gridCol w:w="658"/>
        <w:gridCol w:w="1271"/>
        <w:gridCol w:w="1854"/>
        <w:gridCol w:w="927"/>
        <w:gridCol w:w="1270"/>
        <w:gridCol w:w="1095"/>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515" w:type="dxa"/>
            <w:vAlign w:val="center"/>
          </w:tcPr>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项号</w:t>
            </w:r>
          </w:p>
        </w:tc>
        <w:tc>
          <w:tcPr>
            <w:tcW w:w="1104" w:type="dxa"/>
            <w:vAlign w:val="center"/>
          </w:tcPr>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货物名称</w:t>
            </w:r>
          </w:p>
        </w:tc>
        <w:tc>
          <w:tcPr>
            <w:tcW w:w="658" w:type="dxa"/>
            <w:vAlign w:val="center"/>
          </w:tcPr>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数量</w:t>
            </w:r>
          </w:p>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①</w:t>
            </w:r>
          </w:p>
        </w:tc>
        <w:tc>
          <w:tcPr>
            <w:tcW w:w="1271" w:type="dxa"/>
            <w:vAlign w:val="center"/>
          </w:tcPr>
          <w:p>
            <w:pPr>
              <w:jc w:val="center"/>
              <w:rPr>
                <w:rFonts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规格型号</w:t>
            </w:r>
            <w:r>
              <w:rPr>
                <w:rFonts w:hint="eastAsia" w:ascii="宋体" w:hAnsi="宋体" w:eastAsia="宋体"/>
                <w:color w:val="000000" w:themeColor="text1"/>
                <w:highlight w:val="none"/>
                <w:lang w:eastAsia="zh-CN"/>
                <w14:textFill>
                  <w14:solidFill>
                    <w14:schemeClr w14:val="tx1"/>
                  </w14:solidFill>
                </w14:textFill>
              </w:rPr>
              <w:t>及生产厂家、国别</w:t>
            </w:r>
          </w:p>
        </w:tc>
        <w:tc>
          <w:tcPr>
            <w:tcW w:w="1854" w:type="dxa"/>
            <w:vAlign w:val="center"/>
          </w:tcPr>
          <w:p>
            <w:pPr>
              <w:jc w:val="center"/>
              <w:rPr>
                <w:rFonts w:hAnsi="宋体"/>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技术参数、性能（配置）及其他要求</w:t>
            </w:r>
          </w:p>
        </w:tc>
        <w:tc>
          <w:tcPr>
            <w:tcW w:w="927" w:type="dxa"/>
            <w:vAlign w:val="center"/>
          </w:tcPr>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单价</w:t>
            </w:r>
          </w:p>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(元)</w:t>
            </w:r>
          </w:p>
          <w:p>
            <w:pPr>
              <w:spacing w:line="288"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②</w:t>
            </w:r>
          </w:p>
        </w:tc>
        <w:tc>
          <w:tcPr>
            <w:tcW w:w="1270" w:type="dxa"/>
            <w:vAlign w:val="center"/>
          </w:tcPr>
          <w:p>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单项合价</w:t>
            </w:r>
          </w:p>
          <w:p>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（元）</w:t>
            </w:r>
          </w:p>
          <w:p>
            <w:pPr>
              <w:spacing w:line="288" w:lineRule="auto"/>
              <w:jc w:val="center"/>
              <w:rPr>
                <w:rFonts w:hAnsi="宋体"/>
                <w:color w:val="000000" w:themeColor="text1"/>
                <w:szCs w:val="21"/>
                <w:highlight w:val="none"/>
                <w:lang w:eastAsia="zh-CN"/>
                <w14:textFill>
                  <w14:solidFill>
                    <w14:schemeClr w14:val="tx1"/>
                  </w14:solidFill>
                </w14:textFill>
              </w:rPr>
            </w:pPr>
            <w:r>
              <w:rPr>
                <w:rFonts w:hint="eastAsia" w:hAnsi="宋体"/>
                <w:color w:val="000000" w:themeColor="text1"/>
                <w:szCs w:val="21"/>
                <w:highlight w:val="none"/>
                <w:lang w:eastAsia="zh-CN"/>
                <w14:textFill>
                  <w14:solidFill>
                    <w14:schemeClr w14:val="tx1"/>
                  </w14:solidFill>
                </w14:textFill>
              </w:rPr>
              <w:t>③=①×②</w:t>
            </w:r>
          </w:p>
        </w:tc>
        <w:tc>
          <w:tcPr>
            <w:tcW w:w="1095" w:type="dxa"/>
            <w:vAlign w:val="center"/>
          </w:tcPr>
          <w:p>
            <w:pPr>
              <w:spacing w:line="288" w:lineRule="auto"/>
              <w:jc w:val="center"/>
              <w:rPr>
                <w:rFonts w:hint="eastAsia" w:hAnsi="宋体" w:eastAsia="宋体"/>
                <w:color w:val="000000" w:themeColor="text1"/>
                <w:szCs w:val="21"/>
                <w:highlight w:val="none"/>
                <w:lang w:eastAsia="zh-CN"/>
                <w14:textFill>
                  <w14:solidFill>
                    <w14:schemeClr w14:val="tx1"/>
                  </w14:solidFill>
                </w14:textFill>
              </w:rPr>
            </w:pPr>
            <w:r>
              <w:rPr>
                <w:rFonts w:hint="eastAsia" w:hAnsi="宋体" w:eastAsia="宋体"/>
                <w:color w:val="000000" w:themeColor="text1"/>
                <w:szCs w:val="21"/>
                <w:highlight w:val="none"/>
                <w:lang w:eastAsia="zh-CN"/>
                <w14:textFill>
                  <w14:solidFill>
                    <w14:schemeClr w14:val="tx1"/>
                  </w14:solidFill>
                </w14:textFill>
              </w:rPr>
              <w:t>产品医疗器械注册证号</w:t>
            </w:r>
          </w:p>
        </w:tc>
        <w:tc>
          <w:tcPr>
            <w:tcW w:w="560" w:type="dxa"/>
            <w:vAlign w:val="center"/>
          </w:tcPr>
          <w:p>
            <w:pPr>
              <w:spacing w:line="288" w:lineRule="auto"/>
              <w:jc w:val="center"/>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w:t>
            </w:r>
          </w:p>
        </w:tc>
        <w:tc>
          <w:tcPr>
            <w:tcW w:w="1104"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w:t>
            </w:r>
          </w:p>
        </w:tc>
        <w:tc>
          <w:tcPr>
            <w:tcW w:w="1104"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w:t>
            </w:r>
          </w:p>
        </w:tc>
        <w:tc>
          <w:tcPr>
            <w:tcW w:w="1104"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658" w:type="dxa"/>
            <w:vAlign w:val="center"/>
          </w:tcPr>
          <w:p>
            <w:pPr>
              <w:spacing w:line="288" w:lineRule="auto"/>
              <w:jc w:val="center"/>
              <w:rPr>
                <w:rFonts w:ascii="宋体" w:hAnsi="宋体" w:eastAsia="宋体"/>
                <w:color w:val="000000" w:themeColor="text1"/>
                <w:sz w:val="21"/>
                <w:szCs w:val="21"/>
                <w:highlight w:val="none"/>
                <w14:textFill>
                  <w14:solidFill>
                    <w14:schemeClr w14:val="tx1"/>
                  </w14:solidFill>
                </w14:textFill>
              </w:rPr>
            </w:pPr>
          </w:p>
        </w:tc>
        <w:tc>
          <w:tcPr>
            <w:tcW w:w="1271"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854"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927" w:type="dxa"/>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270" w:type="dxa"/>
            <w:vAlign w:val="center"/>
          </w:tcPr>
          <w:p>
            <w:pPr>
              <w:pStyle w:val="20"/>
              <w:spacing w:line="288" w:lineRule="auto"/>
              <w:rPr>
                <w:rFonts w:hAnsi="宋体" w:cs="宋体"/>
                <w:color w:val="000000" w:themeColor="text1"/>
                <w:kern w:val="0"/>
                <w:szCs w:val="21"/>
                <w:highlight w:val="none"/>
                <w:lang w:eastAsia="en-US"/>
                <w14:textFill>
                  <w14:solidFill>
                    <w14:schemeClr w14:val="tx1"/>
                  </w14:solidFill>
                </w14:textFill>
              </w:rPr>
            </w:pPr>
          </w:p>
        </w:tc>
        <w:tc>
          <w:tcPr>
            <w:tcW w:w="1095"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c>
          <w:tcPr>
            <w:tcW w:w="560" w:type="dxa"/>
            <w:vAlign w:val="center"/>
          </w:tcPr>
          <w:p>
            <w:pPr>
              <w:pStyle w:val="20"/>
              <w:spacing w:line="288" w:lineRule="auto"/>
              <w:rPr>
                <w:rFonts w:hAnsi="宋体" w:cs="宋体"/>
                <w:color w:val="000000" w:themeColor="text1"/>
                <w:spacing w:val="-6"/>
                <w:kern w:val="0"/>
                <w:szCs w:val="21"/>
                <w:highlight w:val="none"/>
                <w:lang w:eastAsia="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9"/>
            <w:vAlign w:val="center"/>
          </w:tcPr>
          <w:p>
            <w:pPr>
              <w:pStyle w:val="20"/>
              <w:spacing w:line="288" w:lineRule="auto"/>
              <w:rPr>
                <w:rFonts w:hint="eastAsia" w:hAnsi="宋体" w:cs="宋体"/>
                <w:color w:val="000000" w:themeColor="text1"/>
                <w:spacing w:val="-6"/>
                <w:kern w:val="0"/>
                <w:szCs w:val="21"/>
                <w:highlight w:val="none"/>
                <w14:textFill>
                  <w14:solidFill>
                    <w14:schemeClr w14:val="tx1"/>
                  </w14:solidFill>
                </w14:textFill>
              </w:rPr>
            </w:pPr>
            <w:r>
              <w:rPr>
                <w:rFonts w:hint="eastAsia" w:hAnsi="宋体" w:cs="宋体"/>
                <w:color w:val="000000" w:themeColor="text1"/>
                <w:spacing w:val="-6"/>
                <w:kern w:val="0"/>
                <w:szCs w:val="21"/>
                <w:highlight w:val="none"/>
                <w14:textFill>
                  <w14:solidFill>
                    <w14:schemeClr w14:val="tx1"/>
                  </w14:solidFill>
                </w14:textFill>
              </w:rPr>
              <w:t>总报价：人民币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54" w:type="dxa"/>
            <w:gridSpan w:val="9"/>
            <w:vAlign w:val="center"/>
          </w:tcPr>
          <w:p>
            <w:pPr>
              <w:pStyle w:val="20"/>
              <w:spacing w:line="288" w:lineRule="auto"/>
              <w:rPr>
                <w:rFonts w:hint="eastAsia" w:hAnsi="宋体" w:cs="宋体"/>
                <w:color w:val="000000" w:themeColor="text1"/>
                <w:spacing w:val="-6"/>
                <w:kern w:val="0"/>
                <w:szCs w:val="21"/>
                <w:highlight w:val="none"/>
                <w:lang w:eastAsia="en-US"/>
                <w14:textFill>
                  <w14:solidFill>
                    <w14:schemeClr w14:val="tx1"/>
                  </w14:solidFill>
                </w14:textFill>
              </w:rPr>
            </w:pPr>
            <w:r>
              <w:rPr>
                <w:rFonts w:hint="eastAsia" w:hAnsi="宋体" w:cs="宋体"/>
                <w:color w:val="000000" w:themeColor="text1"/>
                <w:spacing w:val="-6"/>
                <w:kern w:val="0"/>
                <w:szCs w:val="21"/>
                <w:highlight w:val="none"/>
                <w:lang w:eastAsia="en-US"/>
                <w14:textFill>
                  <w14:solidFill>
                    <w14:schemeClr w14:val="tx1"/>
                  </w14:solidFill>
                </w14:textFill>
              </w:rPr>
              <w:t>交货期：</w:t>
            </w:r>
          </w:p>
        </w:tc>
      </w:tr>
    </w:tbl>
    <w:p>
      <w:pPr>
        <w:snapToGrid w:val="0"/>
        <w:spacing w:before="50" w:after="50"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2.投标费用包括项目实施所需的人工费、货款、标准附件、备品备件、专用工具、包装、运输、装卸、保险、税金、货到就位以及安装、调试、培训、保修、售后服务等一切税金和费用。</w:t>
      </w:r>
    </w:p>
    <w:p>
      <w:pPr>
        <w:tabs>
          <w:tab w:val="left" w:pos="1418"/>
        </w:tabs>
        <w:snapToGrid w:val="0"/>
        <w:spacing w:before="50" w:after="50" w:line="360" w:lineRule="exact"/>
        <w:ind w:left="1418" w:hanging="567"/>
        <w:jc w:val="center"/>
        <w:rPr>
          <w:rFonts w:ascii="宋体" w:hAnsi="宋体" w:eastAsia="宋体"/>
          <w:color w:val="000000" w:themeColor="text1"/>
          <w:spacing w:val="20"/>
          <w:sz w:val="21"/>
          <w:szCs w:val="21"/>
          <w:highlight w:val="none"/>
          <w:u w:val="singl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snapToGrid w:val="0"/>
        <w:spacing w:before="50" w:after="50" w:line="36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before="50" w:after="50" w:line="360" w:lineRule="exact"/>
        <w:rPr>
          <w:rFonts w:ascii="宋体" w:hAnsi="宋体" w:eastAsia="宋体"/>
          <w:color w:val="000000" w:themeColor="text1"/>
          <w:sz w:val="21"/>
          <w:szCs w:val="21"/>
          <w:highlight w:val="none"/>
          <w:lang w:eastAsia="zh-CN"/>
          <w14:textFill>
            <w14:solidFill>
              <w14:schemeClr w14:val="tx1"/>
            </w14:solidFill>
          </w14:textFill>
        </w:rPr>
      </w:pPr>
    </w:p>
    <w:p>
      <w:pPr>
        <w:snapToGrid w:val="0"/>
        <w:spacing w:before="50" w:after="50" w:line="360" w:lineRule="exact"/>
        <w:rPr>
          <w:rFonts w:ascii="宋体" w:hAnsi="宋体" w:eastAsia="宋体"/>
          <w:color w:val="000000" w:themeColor="text1"/>
          <w:sz w:val="21"/>
          <w:szCs w:val="21"/>
          <w:highlight w:val="none"/>
          <w:u w:val="single"/>
          <w:lang w:eastAsia="zh-CN"/>
          <w14:textFill>
            <w14:solidFill>
              <w14:schemeClr w14:val="tx1"/>
            </w14:solidFill>
          </w14:textFill>
        </w:rPr>
      </w:pPr>
    </w:p>
    <w:p>
      <w:pPr>
        <w:pStyle w:val="54"/>
        <w:rPr>
          <w:rFonts w:ascii="宋体" w:hAnsi="宋体" w:eastAsia="宋体"/>
          <w:color w:val="000000" w:themeColor="text1"/>
          <w:sz w:val="21"/>
          <w:szCs w:val="21"/>
          <w:highlight w:val="none"/>
          <w:u w:val="single"/>
          <w:lang w:eastAsia="zh-CN"/>
          <w14:textFill>
            <w14:solidFill>
              <w14:schemeClr w14:val="tx1"/>
            </w14:solidFill>
          </w14:textFill>
        </w:rPr>
      </w:pPr>
    </w:p>
    <w:p>
      <w:pPr>
        <w:pStyle w:val="17"/>
        <w:rPr>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6"/>
        <w:rPr>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pStyle w:val="26"/>
        <w:rPr>
          <w:color w:val="000000" w:themeColor="text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widowControl/>
        <w:spacing w:after="262" w:line="380" w:lineRule="exact"/>
        <w:ind w:firstLine="562" w:firstLineChars="200"/>
        <w:jc w:val="center"/>
        <w:rPr>
          <w:rFonts w:ascii="宋体" w:hAnsi="宋体" w:eastAsia="宋体"/>
          <w:b/>
          <w:color w:val="000000" w:themeColor="text1"/>
          <w:sz w:val="28"/>
          <w:szCs w:val="28"/>
          <w:highlight w:val="none"/>
          <w:lang w:eastAsia="zh-CN"/>
          <w14:textFill>
            <w14:solidFill>
              <w14:schemeClr w14:val="tx1"/>
            </w14:solidFill>
          </w14:textFill>
        </w:rPr>
      </w:pPr>
      <w:r>
        <w:rPr>
          <w:rFonts w:hint="eastAsia" w:ascii="宋体" w:hAnsi="宋体" w:eastAsia="宋体"/>
          <w:b/>
          <w:color w:val="000000" w:themeColor="text1"/>
          <w:sz w:val="28"/>
          <w:szCs w:val="28"/>
          <w:highlight w:val="none"/>
          <w:lang w:eastAsia="zh-CN"/>
          <w14:textFill>
            <w14:solidFill>
              <w14:schemeClr w14:val="tx1"/>
            </w14:solidFill>
          </w14:textFill>
        </w:rPr>
        <w:t>中小企业声明函（格式）</w:t>
      </w:r>
    </w:p>
    <w:p>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本公司（联合体）郑重声明，根据《政府采购促进中小企业发展管理办法》（财库﹝2020﹞46 号）的规定，本公司（联合体）参加</w:t>
      </w:r>
      <w:r>
        <w:rPr>
          <w:rFonts w:hint="eastAsia" w:ascii="宋体" w:hAnsi="宋体"/>
          <w:color w:val="000000" w:themeColor="text1"/>
          <w:sz w:val="22"/>
          <w:szCs w:val="22"/>
          <w:highlight w:val="none"/>
          <w:u w:val="single"/>
          <w:lang w:eastAsia="zh-CN"/>
          <w14:textFill>
            <w14:solidFill>
              <w14:schemeClr w14:val="tx1"/>
            </w14:solidFill>
          </w14:textFill>
        </w:rPr>
        <w:t>     （单位名称）</w:t>
      </w:r>
      <w:r>
        <w:rPr>
          <w:rFonts w:hint="eastAsia" w:ascii="宋体" w:hAnsi="宋体"/>
          <w:color w:val="000000" w:themeColor="text1"/>
          <w:sz w:val="22"/>
          <w:szCs w:val="22"/>
          <w:highlight w:val="none"/>
          <w:lang w:eastAsia="zh-CN"/>
          <w14:textFill>
            <w14:solidFill>
              <w14:schemeClr w14:val="tx1"/>
            </w14:solidFill>
          </w14:textFill>
        </w:rPr>
        <w:t>的</w:t>
      </w:r>
      <w:r>
        <w:rPr>
          <w:rFonts w:hint="eastAsia" w:ascii="宋体" w:hAnsi="宋体"/>
          <w:color w:val="000000" w:themeColor="text1"/>
          <w:sz w:val="22"/>
          <w:szCs w:val="22"/>
          <w:highlight w:val="none"/>
          <w:u w:val="single"/>
          <w:lang w:eastAsia="zh-CN"/>
          <w14:textFill>
            <w14:solidFill>
              <w14:schemeClr w14:val="tx1"/>
            </w14:solidFill>
          </w14:textFill>
        </w:rPr>
        <w:t>    （项目名称）</w:t>
      </w:r>
      <w:r>
        <w:rPr>
          <w:rFonts w:hint="eastAsia" w:ascii="宋体" w:hAnsi="宋体"/>
          <w:color w:val="000000" w:themeColor="text1"/>
          <w:sz w:val="22"/>
          <w:szCs w:val="22"/>
          <w:highlight w:val="none"/>
          <w:lang w:eastAsia="zh-CN"/>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60" w:lineRule="exact"/>
        <w:ind w:firstLine="480"/>
        <w:jc w:val="left"/>
        <w:rPr>
          <w:rFonts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1.</w:t>
      </w:r>
      <w:r>
        <w:rPr>
          <w:rFonts w:hint="eastAsia" w:ascii="宋体" w:hAnsi="宋体"/>
          <w:color w:val="000000" w:themeColor="text1"/>
          <w:sz w:val="22"/>
          <w:szCs w:val="22"/>
          <w:highlight w:val="none"/>
          <w:u w:val="single"/>
          <w:lang w:eastAsia="zh-CN"/>
          <w14:textFill>
            <w14:solidFill>
              <w14:schemeClr w14:val="tx1"/>
            </w14:solidFill>
          </w14:textFill>
        </w:rPr>
        <w:t>     （标的名称）</w:t>
      </w:r>
      <w:r>
        <w:rPr>
          <w:rFonts w:hint="eastAsia" w:ascii="宋体" w:hAnsi="宋体"/>
          <w:color w:val="000000" w:themeColor="text1"/>
          <w:sz w:val="22"/>
          <w:szCs w:val="22"/>
          <w:highlight w:val="none"/>
          <w:lang w:eastAsia="zh-CN"/>
          <w14:textFill>
            <w14:solidFill>
              <w14:schemeClr w14:val="tx1"/>
            </w14:solidFill>
          </w14:textFill>
        </w:rPr>
        <w:t>，属于</w:t>
      </w:r>
      <w:r>
        <w:rPr>
          <w:rFonts w:hint="eastAsia" w:ascii="宋体" w:hAnsi="宋体"/>
          <w:color w:val="000000" w:themeColor="text1"/>
          <w:sz w:val="22"/>
          <w:szCs w:val="22"/>
          <w:highlight w:val="none"/>
          <w:u w:val="single"/>
          <w:lang w:eastAsia="zh-CN"/>
          <w14:textFill>
            <w14:solidFill>
              <w14:schemeClr w14:val="tx1"/>
            </w14:solidFill>
          </w14:textFill>
        </w:rPr>
        <w:t>     （采购文件中明确的所属行业）</w:t>
      </w:r>
      <w:r>
        <w:rPr>
          <w:rFonts w:hint="eastAsia" w:ascii="宋体" w:hAnsi="宋体"/>
          <w:color w:val="000000" w:themeColor="text1"/>
          <w:sz w:val="22"/>
          <w:szCs w:val="22"/>
          <w:highlight w:val="none"/>
          <w:lang w:eastAsia="zh-CN"/>
          <w14:textFill>
            <w14:solidFill>
              <w14:schemeClr w14:val="tx1"/>
            </w14:solidFill>
          </w14:textFill>
        </w:rPr>
        <w:t>行业；制造商为</w:t>
      </w:r>
      <w:r>
        <w:rPr>
          <w:rFonts w:hint="eastAsia" w:ascii="宋体" w:hAnsi="宋体"/>
          <w:color w:val="000000" w:themeColor="text1"/>
          <w:sz w:val="22"/>
          <w:szCs w:val="22"/>
          <w:highlight w:val="none"/>
          <w:u w:val="single"/>
          <w:lang w:eastAsia="zh-CN"/>
          <w14:textFill>
            <w14:solidFill>
              <w14:schemeClr w14:val="tx1"/>
            </w14:solidFill>
          </w14:textFill>
        </w:rPr>
        <w:t>       （企业名称）</w:t>
      </w:r>
      <w:r>
        <w:rPr>
          <w:rFonts w:hint="eastAsia" w:ascii="宋体" w:hAnsi="宋体"/>
          <w:color w:val="000000" w:themeColor="text1"/>
          <w:sz w:val="22"/>
          <w:szCs w:val="22"/>
          <w:highlight w:val="none"/>
          <w:lang w:eastAsia="zh-CN"/>
          <w14:textFill>
            <w14:solidFill>
              <w14:schemeClr w14:val="tx1"/>
            </w14:solidFill>
          </w14:textFill>
        </w:rPr>
        <w:t>，从业人员</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人，营业收入为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万元，资产总额为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万元，属于</w:t>
      </w:r>
      <w:r>
        <w:rPr>
          <w:rFonts w:hint="eastAsia" w:ascii="宋体" w:hAnsi="宋体"/>
          <w:color w:val="000000" w:themeColor="text1"/>
          <w:sz w:val="22"/>
          <w:szCs w:val="22"/>
          <w:highlight w:val="none"/>
          <w:u w:val="single"/>
          <w:lang w:eastAsia="zh-CN"/>
          <w14:textFill>
            <w14:solidFill>
              <w14:schemeClr w14:val="tx1"/>
            </w14:solidFill>
          </w14:textFill>
        </w:rPr>
        <w:t>     （中型企业、小型企业、微型企业）</w:t>
      </w:r>
      <w:r>
        <w:rPr>
          <w:rFonts w:hint="eastAsia" w:ascii="宋体" w:hAnsi="宋体"/>
          <w:color w:val="000000" w:themeColor="text1"/>
          <w:sz w:val="22"/>
          <w:szCs w:val="22"/>
          <w:highlight w:val="none"/>
          <w:lang w:eastAsia="zh-CN"/>
          <w14:textFill>
            <w14:solidFill>
              <w14:schemeClr w14:val="tx1"/>
            </w14:solidFill>
          </w14:textFill>
        </w:rPr>
        <w:t>；</w:t>
      </w:r>
    </w:p>
    <w:p>
      <w:pPr>
        <w:widowControl/>
        <w:spacing w:before="100" w:beforeAutospacing="1" w:after="100" w:afterAutospacing="1" w:line="360" w:lineRule="exact"/>
        <w:ind w:firstLine="480"/>
        <w:jc w:val="left"/>
        <w:rPr>
          <w:rFonts w:ascii="宋体" w:hAnsi="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eastAsia="zh-CN"/>
          <w14:textFill>
            <w14:solidFill>
              <w14:schemeClr w14:val="tx1"/>
            </w14:solidFill>
          </w14:textFill>
        </w:rPr>
        <w:t>2.</w:t>
      </w:r>
      <w:r>
        <w:rPr>
          <w:rFonts w:hint="eastAsia" w:ascii="宋体" w:hAnsi="宋体"/>
          <w:color w:val="000000" w:themeColor="text1"/>
          <w:sz w:val="22"/>
          <w:szCs w:val="22"/>
          <w:highlight w:val="none"/>
          <w:u w:val="single"/>
          <w:lang w:eastAsia="zh-CN"/>
          <w14:textFill>
            <w14:solidFill>
              <w14:schemeClr w14:val="tx1"/>
            </w14:solidFill>
          </w14:textFill>
        </w:rPr>
        <w:t>     （标的名称）</w:t>
      </w:r>
      <w:r>
        <w:rPr>
          <w:rFonts w:hint="eastAsia" w:ascii="宋体" w:hAnsi="宋体"/>
          <w:color w:val="000000" w:themeColor="text1"/>
          <w:sz w:val="22"/>
          <w:szCs w:val="22"/>
          <w:highlight w:val="none"/>
          <w:lang w:eastAsia="zh-CN"/>
          <w14:textFill>
            <w14:solidFill>
              <w14:schemeClr w14:val="tx1"/>
            </w14:solidFill>
          </w14:textFill>
        </w:rPr>
        <w:t>，属于</w:t>
      </w:r>
      <w:r>
        <w:rPr>
          <w:rFonts w:hint="eastAsia" w:ascii="宋体" w:hAnsi="宋体"/>
          <w:color w:val="000000" w:themeColor="text1"/>
          <w:sz w:val="22"/>
          <w:szCs w:val="22"/>
          <w:highlight w:val="none"/>
          <w:u w:val="single"/>
          <w:lang w:eastAsia="zh-CN"/>
          <w14:textFill>
            <w14:solidFill>
              <w14:schemeClr w14:val="tx1"/>
            </w14:solidFill>
          </w14:textFill>
        </w:rPr>
        <w:t>     （采购文件中明确的所属行业）</w:t>
      </w:r>
      <w:r>
        <w:rPr>
          <w:rFonts w:hint="eastAsia" w:ascii="宋体" w:hAnsi="宋体"/>
          <w:color w:val="000000" w:themeColor="text1"/>
          <w:sz w:val="22"/>
          <w:szCs w:val="22"/>
          <w:highlight w:val="none"/>
          <w:lang w:eastAsia="zh-CN"/>
          <w14:textFill>
            <w14:solidFill>
              <w14:schemeClr w14:val="tx1"/>
            </w14:solidFill>
          </w14:textFill>
        </w:rPr>
        <w:t>行业；制造商为</w:t>
      </w:r>
      <w:r>
        <w:rPr>
          <w:rFonts w:hint="eastAsia" w:ascii="宋体" w:hAnsi="宋体"/>
          <w:color w:val="000000" w:themeColor="text1"/>
          <w:sz w:val="22"/>
          <w:szCs w:val="22"/>
          <w:highlight w:val="none"/>
          <w:u w:val="single"/>
          <w:lang w:eastAsia="zh-CN"/>
          <w14:textFill>
            <w14:solidFill>
              <w14:schemeClr w14:val="tx1"/>
            </w14:solidFill>
          </w14:textFill>
        </w:rPr>
        <w:t>       （企业名称）</w:t>
      </w:r>
      <w:r>
        <w:rPr>
          <w:rFonts w:hint="eastAsia" w:ascii="宋体" w:hAnsi="宋体"/>
          <w:color w:val="000000" w:themeColor="text1"/>
          <w:sz w:val="22"/>
          <w:szCs w:val="22"/>
          <w:highlight w:val="none"/>
          <w:lang w:eastAsia="zh-CN"/>
          <w14:textFill>
            <w14:solidFill>
              <w14:schemeClr w14:val="tx1"/>
            </w14:solidFill>
          </w14:textFill>
        </w:rPr>
        <w:t>，从业人员</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人，营业收入为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万元，资产总额为</w:t>
      </w:r>
      <w:r>
        <w:rPr>
          <w:rFonts w:hint="eastAsia" w:ascii="宋体" w:hAnsi="宋体"/>
          <w:color w:val="000000" w:themeColor="text1"/>
          <w:sz w:val="22"/>
          <w:szCs w:val="22"/>
          <w:highlight w:val="none"/>
          <w:u w:val="single"/>
          <w:lang w:eastAsia="zh-CN"/>
          <w14:textFill>
            <w14:solidFill>
              <w14:schemeClr w14:val="tx1"/>
            </w14:solidFill>
          </w14:textFill>
        </w:rPr>
        <w:t>   </w:t>
      </w:r>
      <w:r>
        <w:rPr>
          <w:rFonts w:hint="eastAsia" w:ascii="宋体" w:hAnsi="宋体"/>
          <w:color w:val="000000" w:themeColor="text1"/>
          <w:sz w:val="22"/>
          <w:szCs w:val="22"/>
          <w:highlight w:val="none"/>
          <w:lang w:eastAsia="zh-CN"/>
          <w14:textFill>
            <w14:solidFill>
              <w14:schemeClr w14:val="tx1"/>
            </w14:solidFill>
          </w14:textFill>
        </w:rPr>
        <w:t>万元，属于</w:t>
      </w:r>
      <w:r>
        <w:rPr>
          <w:rFonts w:hint="eastAsia" w:ascii="宋体" w:hAnsi="宋体"/>
          <w:color w:val="000000" w:themeColor="text1"/>
          <w:sz w:val="22"/>
          <w:szCs w:val="22"/>
          <w:highlight w:val="none"/>
          <w:u w:val="single"/>
          <w:lang w:eastAsia="zh-CN"/>
          <w14:textFill>
            <w14:solidFill>
              <w14:schemeClr w14:val="tx1"/>
            </w14:solidFill>
          </w14:textFill>
        </w:rPr>
        <w:t>     （中型企业、小型企业、微型企业）</w:t>
      </w:r>
      <w:r>
        <w:rPr>
          <w:rFonts w:hint="eastAsia" w:ascii="宋体" w:hAnsi="宋体"/>
          <w:color w:val="000000" w:themeColor="text1"/>
          <w:sz w:val="22"/>
          <w:szCs w:val="22"/>
          <w:highlight w:val="none"/>
          <w:lang w:eastAsia="zh-CN"/>
          <w14:textFill>
            <w14:solidFill>
              <w14:schemeClr w14:val="tx1"/>
            </w14:solidFill>
          </w14:textFill>
        </w:rPr>
        <w:t>；</w:t>
      </w:r>
    </w:p>
    <w:p>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w:t>
      </w:r>
    </w:p>
    <w:p>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以上企业，不属于大企业的分支机构，不存在控股股东为大企业的情形，也不存在与大企业的负责人为同一人的情形。</w:t>
      </w:r>
    </w:p>
    <w:p>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本企业对上述声明内容的真实性负责。如有虚假，将依法承担相应责任。</w:t>
      </w:r>
    </w:p>
    <w:p>
      <w:pPr>
        <w:pStyle w:val="55"/>
        <w:rPr>
          <w:color w:val="000000" w:themeColor="text1"/>
          <w:highlight w:val="none"/>
          <w14:textFill>
            <w14:solidFill>
              <w14:schemeClr w14:val="tx1"/>
            </w14:solidFill>
          </w14:textFill>
        </w:rPr>
      </w:pPr>
    </w:p>
    <w:p>
      <w:pPr>
        <w:widowControl/>
        <w:spacing w:line="360" w:lineRule="auto"/>
        <w:ind w:firstLine="440" w:firstLineChars="200"/>
        <w:rPr>
          <w:rFonts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 xml:space="preserve">                                            企业名称（盖章）：</w:t>
      </w:r>
    </w:p>
    <w:p>
      <w:pPr>
        <w:pStyle w:val="17"/>
        <w:rPr>
          <w:rFonts w:ascii="宋体" w:hAnsi="宋体" w:eastAsia="宋体"/>
          <w:b w:val="0"/>
          <w:color w:val="000000" w:themeColor="text1"/>
          <w:spacing w:val="0"/>
          <w:sz w:val="22"/>
          <w:szCs w:val="22"/>
          <w:highlight w:val="none"/>
          <w:lang w:eastAsia="zh-CN"/>
          <w14:textFill>
            <w14:solidFill>
              <w14:schemeClr w14:val="tx1"/>
            </w14:solidFill>
          </w14:textFill>
        </w:rPr>
      </w:pPr>
      <w:r>
        <w:rPr>
          <w:rFonts w:hint="eastAsia" w:ascii="宋体" w:hAnsi="宋体" w:eastAsia="宋体"/>
          <w:color w:val="000000" w:themeColor="text1"/>
          <w:sz w:val="22"/>
          <w:szCs w:val="22"/>
          <w:highlight w:val="none"/>
          <w:lang w:eastAsia="zh-CN"/>
          <w14:textFill>
            <w14:solidFill>
              <w14:schemeClr w14:val="tx1"/>
            </w14:solidFill>
          </w14:textFill>
        </w:rPr>
        <w:t xml:space="preserve">                                                      </w:t>
      </w:r>
      <w:r>
        <w:rPr>
          <w:rFonts w:hint="eastAsia" w:ascii="宋体" w:hAnsi="宋体" w:eastAsia="宋体"/>
          <w:b w:val="0"/>
          <w:color w:val="000000" w:themeColor="text1"/>
          <w:spacing w:val="0"/>
          <w:sz w:val="22"/>
          <w:szCs w:val="22"/>
          <w:highlight w:val="none"/>
          <w:lang w:eastAsia="zh-CN"/>
          <w14:textFill>
            <w14:solidFill>
              <w14:schemeClr w14:val="tx1"/>
            </w14:solidFill>
          </w14:textFill>
        </w:rPr>
        <w:t xml:space="preserve">    日    期：</w:t>
      </w:r>
    </w:p>
    <w:p>
      <w:pPr>
        <w:rPr>
          <w:rFonts w:ascii="宋体" w:hAnsi="宋体" w:eastAsia="宋体"/>
          <w:color w:val="000000" w:themeColor="text1"/>
          <w:sz w:val="22"/>
          <w:szCs w:val="22"/>
          <w:highlight w:val="none"/>
          <w:lang w:eastAsia="zh-CN"/>
          <w14:textFill>
            <w14:solidFill>
              <w14:schemeClr w14:val="tx1"/>
            </w14:solidFill>
          </w14:textFill>
        </w:rPr>
      </w:pPr>
    </w:p>
    <w:p>
      <w:pPr>
        <w:pStyle w:val="55"/>
        <w:rPr>
          <w:color w:val="000000" w:themeColor="text1"/>
          <w:highlight w:val="none"/>
          <w14:textFill>
            <w14:solidFill>
              <w14:schemeClr w14:val="tx1"/>
            </w14:solidFill>
          </w14:textFill>
        </w:rPr>
      </w:pPr>
    </w:p>
    <w:p>
      <w:pPr>
        <w:spacing w:line="460" w:lineRule="exact"/>
        <w:rPr>
          <w:rFonts w:ascii="宋体" w:hAnsi="宋体" w:eastAsia="宋体" w:cs="Times New Roman"/>
          <w:b/>
          <w:color w:val="000000" w:themeColor="text1"/>
          <w:spacing w:val="6"/>
          <w:sz w:val="24"/>
          <w:szCs w:val="24"/>
          <w:highlight w:val="none"/>
          <w:lang w:eastAsia="zh-CN"/>
          <w14:textFill>
            <w14:solidFill>
              <w14:schemeClr w14:val="tx1"/>
            </w14:solidFill>
          </w14:textFill>
        </w:rPr>
      </w:pPr>
      <w:r>
        <w:rPr>
          <w:rFonts w:hint="eastAsia" w:ascii="宋体" w:hAnsi="宋体" w:eastAsia="宋体" w:cs="Times New Roman"/>
          <w:b/>
          <w:color w:val="000000" w:themeColor="text1"/>
          <w:spacing w:val="6"/>
          <w:sz w:val="24"/>
          <w:szCs w:val="24"/>
          <w:highlight w:val="none"/>
          <w:lang w:eastAsia="zh-CN"/>
          <w14:textFill>
            <w14:solidFill>
              <w14:schemeClr w14:val="tx1"/>
            </w14:solidFill>
          </w14:textFill>
        </w:rPr>
        <w:t>注：1、中小企业在政府采购活动过程中，请根据自己的真实情况出具本声明函。依法享受中小企业优惠政策的，采购人或采购代理机构在公告中标结果时，同时公告其《中小企业声明函》，接受社会监督。</w:t>
      </w:r>
    </w:p>
    <w:p>
      <w:pPr>
        <w:autoSpaceDE w:val="0"/>
        <w:spacing w:line="360" w:lineRule="auto"/>
        <w:ind w:firstLine="506" w:firstLineChars="200"/>
        <w:outlineLvl w:val="0"/>
        <w:rPr>
          <w:b/>
          <w:color w:val="000000" w:themeColor="text1"/>
          <w:kern w:val="2"/>
          <w:sz w:val="21"/>
          <w:szCs w:val="21"/>
          <w:highlight w:val="none"/>
          <w:lang w:eastAsia="zh-CN"/>
          <w14:textFill>
            <w14:solidFill>
              <w14:schemeClr w14:val="tx1"/>
            </w14:solidFill>
          </w14:textFill>
        </w:rPr>
      </w:pPr>
      <w:r>
        <w:rPr>
          <w:rFonts w:hint="eastAsia" w:ascii="宋体" w:hAnsi="宋体" w:eastAsia="宋体" w:cs="Times New Roman"/>
          <w:b/>
          <w:color w:val="000000" w:themeColor="text1"/>
          <w:spacing w:val="6"/>
          <w:sz w:val="24"/>
          <w:szCs w:val="24"/>
          <w:highlight w:val="none"/>
          <w:lang w:eastAsia="zh-CN"/>
          <w14:textFill>
            <w14:solidFill>
              <w14:schemeClr w14:val="tx1"/>
            </w14:solidFill>
          </w14:textFill>
        </w:rPr>
        <w:t>2、从业人员、营业收入、资产总额填报上一年度数据，无上一年度数据的新成立企业可不填报。</w:t>
      </w:r>
    </w:p>
    <w:p>
      <w:pPr>
        <w:autoSpaceDE w:val="0"/>
        <w:spacing w:line="360" w:lineRule="auto"/>
        <w:ind w:firstLine="400" w:firstLineChars="200"/>
        <w:jc w:val="center"/>
        <w:outlineLvl w:val="0"/>
        <w:rPr>
          <w:rFonts w:ascii="黑体" w:eastAsia="黑体"/>
          <w:color w:val="000000" w:themeColor="text1"/>
          <w:sz w:val="21"/>
          <w:szCs w:val="21"/>
          <w:highlight w:val="none"/>
          <w:lang w:eastAsia="zh-CN"/>
          <w14:textFill>
            <w14:solidFill>
              <w14:schemeClr w14:val="tx1"/>
            </w14:solidFill>
          </w14:textFill>
        </w:rPr>
      </w:pPr>
      <w:r>
        <w:rPr>
          <w:rFonts w:ascii="宋体" w:hAnsi="宋体"/>
          <w:b/>
          <w:bCs/>
          <w:color w:val="000000" w:themeColor="text1"/>
          <w:szCs w:val="21"/>
          <w:highlight w:val="none"/>
          <w:lang w:eastAsia="zh-CN"/>
          <w14:textFill>
            <w14:solidFill>
              <w14:schemeClr w14:val="tx1"/>
            </w14:solidFill>
          </w14:textFill>
        </w:rPr>
        <w:br w:type="page"/>
      </w:r>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 xml:space="preserve"> </w:t>
      </w:r>
      <w:bookmarkStart w:id="182" w:name="_Toc28309"/>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残疾人福利性单位声明函（格式）</w:t>
      </w:r>
      <w:bookmarkEnd w:id="182"/>
    </w:p>
    <w:p>
      <w:pPr>
        <w:pStyle w:val="17"/>
        <w:tabs>
          <w:tab w:val="left" w:pos="3382"/>
          <w:tab w:val="left" w:pos="4832"/>
        </w:tabs>
        <w:autoSpaceDE w:val="0"/>
        <w:spacing w:line="360" w:lineRule="auto"/>
        <w:ind w:firstLine="48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本单位郑重声明，根据《财政部</w:t>
      </w:r>
      <w:r>
        <w:rPr>
          <w:color w:val="000000" w:themeColor="text1"/>
          <w:spacing w:val="28"/>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民政部</w:t>
      </w:r>
      <w:r>
        <w:rPr>
          <w:color w:val="000000" w:themeColor="text1"/>
          <w:spacing w:val="25"/>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中国残疾人联合会关于促进残疾人就业</w:t>
      </w:r>
      <w:r>
        <w:rPr>
          <w:color w:val="000000" w:themeColor="text1"/>
          <w:spacing w:val="-12"/>
          <w:sz w:val="21"/>
          <w:szCs w:val="21"/>
          <w:highlight w:val="none"/>
          <w:lang w:eastAsia="zh-CN"/>
          <w14:textFill>
            <w14:solidFill>
              <w14:schemeClr w14:val="tx1"/>
            </w14:solidFill>
          </w14:textFill>
        </w:rPr>
        <w:t>政</w:t>
      </w:r>
      <w:r>
        <w:rPr>
          <w:color w:val="000000" w:themeColor="text1"/>
          <w:sz w:val="21"/>
          <w:szCs w:val="21"/>
          <w:highlight w:val="none"/>
          <w:lang w:eastAsia="zh-CN"/>
          <w14:textFill>
            <w14:solidFill>
              <w14:schemeClr w14:val="tx1"/>
            </w14:solidFill>
          </w14:textFill>
        </w:rPr>
        <w:t>府采购政策的通知》（财库〔2017〕 141</w:t>
      </w:r>
      <w:r>
        <w:rPr>
          <w:color w:val="000000" w:themeColor="text1"/>
          <w:spacing w:val="-60"/>
          <w:sz w:val="21"/>
          <w:szCs w:val="21"/>
          <w:highlight w:val="none"/>
          <w:lang w:eastAsia="zh-CN"/>
          <w14:textFill>
            <w14:solidFill>
              <w14:schemeClr w14:val="tx1"/>
            </w14:solidFill>
          </w14:textFill>
        </w:rPr>
        <w:t xml:space="preserve"> </w:t>
      </w:r>
      <w:r>
        <w:rPr>
          <w:color w:val="000000" w:themeColor="text1"/>
          <w:sz w:val="21"/>
          <w:szCs w:val="21"/>
          <w:highlight w:val="none"/>
          <w:lang w:eastAsia="zh-CN"/>
          <w14:textFill>
            <w14:solidFill>
              <w14:schemeClr w14:val="tx1"/>
            </w14:solidFill>
          </w14:textFill>
        </w:rPr>
        <w:t>号）的规定，本单位为符合条件的残疾人福</w:t>
      </w:r>
      <w:r>
        <w:rPr>
          <w:color w:val="000000" w:themeColor="text1"/>
          <w:spacing w:val="-15"/>
          <w:sz w:val="21"/>
          <w:szCs w:val="21"/>
          <w:highlight w:val="none"/>
          <w:lang w:eastAsia="zh-CN"/>
          <w14:textFill>
            <w14:solidFill>
              <w14:schemeClr w14:val="tx1"/>
            </w14:solidFill>
          </w14:textFill>
        </w:rPr>
        <w:t>利</w:t>
      </w:r>
      <w:r>
        <w:rPr>
          <w:color w:val="000000" w:themeColor="text1"/>
          <w:sz w:val="21"/>
          <w:szCs w:val="21"/>
          <w:highlight w:val="none"/>
          <w:lang w:eastAsia="zh-CN"/>
          <w14:textFill>
            <w14:solidFill>
              <w14:schemeClr w14:val="tx1"/>
            </w14:solidFill>
          </w14:textFill>
        </w:rPr>
        <w:t>性单位，且本单位参加</w:t>
      </w:r>
      <w:r>
        <w:rPr>
          <w:color w:val="000000" w:themeColor="text1"/>
          <w:sz w:val="21"/>
          <w:szCs w:val="21"/>
          <w:highlight w:val="none"/>
          <w:u w:val="single"/>
          <w:lang w:eastAsia="zh-CN"/>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 xml:space="preserve">  </w:t>
      </w:r>
      <w:r>
        <w:rPr>
          <w:color w:val="000000" w:themeColor="text1"/>
          <w:sz w:val="21"/>
          <w:szCs w:val="21"/>
          <w:highlight w:val="none"/>
          <w:u w:val="single"/>
          <w:lang w:eastAsia="zh-CN"/>
          <w14:textFill>
            <w14:solidFill>
              <w14:schemeClr w14:val="tx1"/>
            </w14:solidFill>
          </w14:textFill>
        </w:rPr>
        <w:tab/>
      </w:r>
      <w:r>
        <w:rPr>
          <w:color w:val="000000" w:themeColor="text1"/>
          <w:sz w:val="21"/>
          <w:szCs w:val="21"/>
          <w:highlight w:val="none"/>
          <w:lang w:eastAsia="zh-CN"/>
          <w14:textFill>
            <w14:solidFill>
              <w14:schemeClr w14:val="tx1"/>
            </w14:solidFill>
          </w14:textFill>
        </w:rPr>
        <w:t>单位的</w:t>
      </w:r>
      <w:r>
        <w:rPr>
          <w:color w:val="000000" w:themeColor="text1"/>
          <w:sz w:val="21"/>
          <w:szCs w:val="21"/>
          <w:highlight w:val="none"/>
          <w:u w:val="single"/>
          <w:lang w:eastAsia="zh-CN"/>
          <w14:textFill>
            <w14:solidFill>
              <w14:schemeClr w14:val="tx1"/>
            </w14:solidFill>
          </w14:textFill>
        </w:rPr>
        <w:t xml:space="preserve"> </w:t>
      </w:r>
      <w:r>
        <w:rPr>
          <w:rFonts w:hint="eastAsia"/>
          <w:color w:val="000000" w:themeColor="text1"/>
          <w:sz w:val="21"/>
          <w:szCs w:val="21"/>
          <w:highlight w:val="none"/>
          <w:u w:val="single"/>
          <w:lang w:eastAsia="zh-CN"/>
          <w14:textFill>
            <w14:solidFill>
              <w14:schemeClr w14:val="tx1"/>
            </w14:solidFill>
          </w14:textFill>
        </w:rPr>
        <w:t xml:space="preserve">  </w:t>
      </w:r>
      <w:r>
        <w:rPr>
          <w:color w:val="000000" w:themeColor="text1"/>
          <w:sz w:val="21"/>
          <w:szCs w:val="21"/>
          <w:highlight w:val="none"/>
          <w:u w:val="single"/>
          <w:lang w:eastAsia="zh-CN"/>
          <w14:textFill>
            <w14:solidFill>
              <w14:schemeClr w14:val="tx1"/>
            </w14:solidFill>
          </w14:textFill>
        </w:rPr>
        <w:tab/>
      </w:r>
      <w:r>
        <w:rPr>
          <w:color w:val="000000" w:themeColor="text1"/>
          <w:sz w:val="21"/>
          <w:szCs w:val="21"/>
          <w:highlight w:val="none"/>
          <w:lang w:eastAsia="zh-CN"/>
          <w14:textFill>
            <w14:solidFill>
              <w14:schemeClr w14:val="tx1"/>
            </w14:solidFill>
          </w14:textFill>
        </w:rPr>
        <w:t>项目采购活动提供本单位制造的货物（由</w:t>
      </w:r>
      <w:r>
        <w:rPr>
          <w:color w:val="000000" w:themeColor="text1"/>
          <w:spacing w:val="-15"/>
          <w:sz w:val="21"/>
          <w:szCs w:val="21"/>
          <w:highlight w:val="none"/>
          <w:lang w:eastAsia="zh-CN"/>
          <w14:textFill>
            <w14:solidFill>
              <w14:schemeClr w14:val="tx1"/>
            </w14:solidFill>
          </w14:textFill>
        </w:rPr>
        <w:t>本</w:t>
      </w:r>
      <w:r>
        <w:rPr>
          <w:color w:val="000000" w:themeColor="text1"/>
          <w:sz w:val="21"/>
          <w:szCs w:val="21"/>
          <w:highlight w:val="none"/>
          <w:lang w:eastAsia="zh-CN"/>
          <w14:textFill>
            <w14:solidFill>
              <w14:schemeClr w14:val="tx1"/>
            </w14:solidFill>
          </w14:textFill>
        </w:rPr>
        <w:t>单位承担工程/提供服务</w:t>
      </w:r>
      <w:r>
        <w:rPr>
          <w:color w:val="000000" w:themeColor="text1"/>
          <w:spacing w:val="-20"/>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或者提供其他</w:t>
      </w:r>
      <w:r>
        <w:rPr>
          <w:color w:val="000000" w:themeColor="text1"/>
          <w:spacing w:val="-3"/>
          <w:sz w:val="21"/>
          <w:szCs w:val="21"/>
          <w:highlight w:val="none"/>
          <w:lang w:eastAsia="zh-CN"/>
          <w14:textFill>
            <w14:solidFill>
              <w14:schemeClr w14:val="tx1"/>
            </w14:solidFill>
          </w14:textFill>
        </w:rPr>
        <w:t>残</w:t>
      </w:r>
      <w:r>
        <w:rPr>
          <w:color w:val="000000" w:themeColor="text1"/>
          <w:sz w:val="21"/>
          <w:szCs w:val="21"/>
          <w:highlight w:val="none"/>
          <w:lang w:eastAsia="zh-CN"/>
          <w14:textFill>
            <w14:solidFill>
              <w14:schemeClr w14:val="tx1"/>
            </w14:solidFill>
          </w14:textFill>
        </w:rPr>
        <w:t>疾人福利性单位制造的货</w:t>
      </w:r>
      <w:r>
        <w:rPr>
          <w:color w:val="000000" w:themeColor="text1"/>
          <w:spacing w:val="-20"/>
          <w:sz w:val="21"/>
          <w:szCs w:val="21"/>
          <w:highlight w:val="none"/>
          <w:lang w:eastAsia="zh-CN"/>
          <w14:textFill>
            <w14:solidFill>
              <w14:schemeClr w14:val="tx1"/>
            </w14:solidFill>
          </w14:textFill>
        </w:rPr>
        <w:t>物</w:t>
      </w:r>
      <w:r>
        <w:rPr>
          <w:color w:val="000000" w:themeColor="text1"/>
          <w:sz w:val="21"/>
          <w:szCs w:val="21"/>
          <w:highlight w:val="none"/>
          <w:lang w:eastAsia="zh-CN"/>
          <w14:textFill>
            <w14:solidFill>
              <w14:schemeClr w14:val="tx1"/>
            </w14:solidFill>
          </w14:textFill>
        </w:rPr>
        <w:t>（不包括使用</w:t>
      </w:r>
      <w:r>
        <w:rPr>
          <w:color w:val="000000" w:themeColor="text1"/>
          <w:spacing w:val="-12"/>
          <w:sz w:val="21"/>
          <w:szCs w:val="21"/>
          <w:highlight w:val="none"/>
          <w:lang w:eastAsia="zh-CN"/>
          <w14:textFill>
            <w14:solidFill>
              <w14:schemeClr w14:val="tx1"/>
            </w14:solidFill>
          </w14:textFill>
        </w:rPr>
        <w:t>非</w:t>
      </w:r>
      <w:r>
        <w:rPr>
          <w:color w:val="000000" w:themeColor="text1"/>
          <w:sz w:val="21"/>
          <w:szCs w:val="21"/>
          <w:highlight w:val="none"/>
          <w:lang w:eastAsia="zh-CN"/>
          <w14:textFill>
            <w14:solidFill>
              <w14:schemeClr w14:val="tx1"/>
            </w14:solidFill>
          </w14:textFill>
        </w:rPr>
        <w:t>残疾人福利性单位注册商标的货物）。</w:t>
      </w:r>
    </w:p>
    <w:p>
      <w:pPr>
        <w:pStyle w:val="17"/>
        <w:autoSpaceDE w:val="0"/>
        <w:spacing w:line="360" w:lineRule="auto"/>
        <w:ind w:firstLine="390" w:firstLineChars="20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本单位对上述声明的真实性负责。如有虚假，将依法承担相应责任。</w:t>
      </w:r>
    </w:p>
    <w:p>
      <w:pPr>
        <w:pStyle w:val="17"/>
        <w:autoSpaceDE w:val="0"/>
        <w:spacing w:line="360" w:lineRule="auto"/>
        <w:rPr>
          <w:color w:val="000000" w:themeColor="text1"/>
          <w:sz w:val="21"/>
          <w:szCs w:val="21"/>
          <w:highlight w:val="none"/>
          <w:lang w:eastAsia="zh-CN"/>
          <w14:textFill>
            <w14:solidFill>
              <w14:schemeClr w14:val="tx1"/>
            </w14:solidFill>
          </w14:textFill>
        </w:rPr>
      </w:pPr>
    </w:p>
    <w:p>
      <w:pPr>
        <w:pStyle w:val="32"/>
        <w:widowControl w:val="0"/>
        <w:adjustRightInd w:val="0"/>
        <w:snapToGrid w:val="0"/>
        <w:spacing w:before="0" w:beforeAutospacing="0" w:after="0" w:afterAutospacing="0" w:line="360" w:lineRule="exact"/>
        <w:ind w:right="420" w:firstLine="4962"/>
        <w:rPr>
          <w:color w:val="000000" w:themeColor="text1"/>
          <w:kern w:val="2"/>
          <w:sz w:val="21"/>
          <w:szCs w:val="21"/>
          <w:highlight w:val="none"/>
          <w:lang w:eastAsia="zh-CN"/>
          <w14:textFill>
            <w14:solidFill>
              <w14:schemeClr w14:val="tx1"/>
            </w14:solidFill>
          </w14:textFill>
        </w:rPr>
      </w:pPr>
      <w:r>
        <w:rPr>
          <w:rFonts w:hint="eastAsia"/>
          <w:color w:val="000000" w:themeColor="text1"/>
          <w:kern w:val="2"/>
          <w:sz w:val="21"/>
          <w:szCs w:val="21"/>
          <w:highlight w:val="none"/>
          <w:lang w:eastAsia="zh-CN"/>
          <w14:textFill>
            <w14:solidFill>
              <w14:schemeClr w14:val="tx1"/>
            </w14:solidFill>
          </w14:textFill>
        </w:rPr>
        <w:t xml:space="preserve">企业名称（盖章）： </w:t>
      </w:r>
    </w:p>
    <w:p>
      <w:pPr>
        <w:pStyle w:val="12"/>
        <w:adjustRightInd w:val="0"/>
        <w:snapToGrid w:val="0"/>
        <w:spacing w:line="360" w:lineRule="exact"/>
        <w:ind w:left="1414" w:firstLine="5130" w:firstLineChars="2565"/>
        <w:rPr>
          <w:rFonts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年    月    日</w:t>
      </w:r>
    </w:p>
    <w:p>
      <w:pPr>
        <w:pStyle w:val="12"/>
        <w:adjustRightInd w:val="0"/>
        <w:snapToGrid w:val="0"/>
        <w:spacing w:line="360" w:lineRule="exact"/>
        <w:ind w:left="1414" w:firstLine="5130" w:firstLineChars="2565"/>
        <w:rPr>
          <w:rFonts w:ascii="宋体" w:hAnsi="宋体"/>
          <w:bCs/>
          <w:color w:val="000000" w:themeColor="text1"/>
          <w:szCs w:val="21"/>
          <w:highlight w:val="none"/>
          <w:lang w:eastAsia="zh-CN"/>
          <w14:textFill>
            <w14:solidFill>
              <w14:schemeClr w14:val="tx1"/>
            </w14:solidFill>
          </w14:textFill>
        </w:rPr>
      </w:pPr>
    </w:p>
    <w:p>
      <w:pPr>
        <w:pStyle w:val="17"/>
        <w:autoSpaceDE w:val="0"/>
        <w:spacing w:line="360" w:lineRule="auto"/>
        <w:rPr>
          <w:color w:val="000000" w:themeColor="text1"/>
          <w:sz w:val="21"/>
          <w:szCs w:val="21"/>
          <w:highlight w:val="none"/>
          <w:lang w:eastAsia="zh-CN"/>
          <w14:textFill>
            <w14:solidFill>
              <w14:schemeClr w14:val="tx1"/>
            </w14:solidFill>
          </w14:textFill>
        </w:rPr>
      </w:pPr>
    </w:p>
    <w:p>
      <w:pPr>
        <w:pStyle w:val="17"/>
        <w:autoSpaceDE w:val="0"/>
        <w:spacing w:line="360" w:lineRule="auto"/>
        <w:rPr>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pacing w:val="6"/>
          <w:sz w:val="24"/>
          <w:szCs w:val="24"/>
          <w:highlight w:val="none"/>
          <w:lang w:eastAsia="zh-CN"/>
          <w14:textFill>
            <w14:solidFill>
              <w14:schemeClr w14:val="tx1"/>
            </w14:solidFill>
          </w14:textFill>
        </w:rPr>
        <w:t>注：1、投标人如为残疾人福利性单位并提供本《残疾人福利性单位声明函》的，必须对声明的真实性负责。采购人或采购代理机构在公告中标结果时，同时公告其《残疾人福利性单位声明函》，接受社会监督。</w:t>
      </w:r>
    </w:p>
    <w:p>
      <w:pPr>
        <w:pStyle w:val="17"/>
        <w:autoSpaceDE w:val="0"/>
        <w:spacing w:line="360" w:lineRule="auto"/>
        <w:rPr>
          <w:color w:val="000000" w:themeColor="text1"/>
          <w:sz w:val="21"/>
          <w:szCs w:val="21"/>
          <w:highlight w:val="none"/>
          <w:lang w:eastAsia="zh-CN"/>
          <w14:textFill>
            <w14:solidFill>
              <w14:schemeClr w14:val="tx1"/>
            </w14:solidFill>
          </w14:textFill>
        </w:rPr>
      </w:pPr>
    </w:p>
    <w:p>
      <w:pPr>
        <w:rPr>
          <w:color w:val="000000" w:themeColor="text1"/>
          <w:sz w:val="21"/>
          <w:szCs w:val="21"/>
          <w:highlight w:val="none"/>
          <w:lang w:eastAsia="zh-CN"/>
          <w14:textFill>
            <w14:solidFill>
              <w14:schemeClr w14:val="tx1"/>
            </w14:solidFill>
          </w14:textFill>
        </w:rPr>
      </w:pPr>
    </w:p>
    <w:p>
      <w:pPr>
        <w:pStyle w:val="17"/>
        <w:rPr>
          <w:color w:val="000000" w:themeColor="text1"/>
          <w:sz w:val="21"/>
          <w:szCs w:val="21"/>
          <w:highlight w:val="none"/>
          <w:lang w:eastAsia="zh-CN"/>
          <w14:textFill>
            <w14:solidFill>
              <w14:schemeClr w14:val="tx1"/>
            </w14:solidFill>
          </w14:textFill>
        </w:rPr>
      </w:pPr>
    </w:p>
    <w:p>
      <w:pPr>
        <w:rPr>
          <w:color w:val="000000" w:themeColor="text1"/>
          <w:sz w:val="21"/>
          <w:szCs w:val="21"/>
          <w:highlight w:val="none"/>
          <w:lang w:eastAsia="zh-CN"/>
          <w14:textFill>
            <w14:solidFill>
              <w14:schemeClr w14:val="tx1"/>
            </w14:solidFill>
          </w14:textFill>
        </w:rPr>
      </w:pPr>
    </w:p>
    <w:p>
      <w:pPr>
        <w:pStyle w:val="17"/>
        <w:rPr>
          <w:color w:val="000000" w:themeColor="text1"/>
          <w:sz w:val="21"/>
          <w:szCs w:val="2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autoSpaceDE w:val="0"/>
        <w:spacing w:line="360" w:lineRule="auto"/>
        <w:ind w:firstLine="723" w:firstLineChars="200"/>
        <w:jc w:val="center"/>
        <w:outlineLvl w:val="0"/>
        <w:rPr>
          <w:rFonts w:ascii="方正小标宋简体" w:hAnsi="宋体" w:eastAsia="方正小标宋简体"/>
          <w:b/>
          <w:bCs/>
          <w:color w:val="000000" w:themeColor="text1"/>
          <w:kern w:val="2"/>
          <w:sz w:val="36"/>
          <w:szCs w:val="36"/>
          <w:highlight w:val="none"/>
          <w:lang w:eastAsia="zh-CN"/>
          <w14:textFill>
            <w14:solidFill>
              <w14:schemeClr w14:val="tx1"/>
            </w14:solidFill>
          </w14:textFill>
        </w:rPr>
      </w:pPr>
      <w:bookmarkStart w:id="183" w:name="_Toc21852"/>
      <w:r>
        <w:rPr>
          <w:rFonts w:hint="eastAsia" w:ascii="方正小标宋简体" w:hAnsi="宋体" w:eastAsia="方正小标宋简体"/>
          <w:b/>
          <w:bCs/>
          <w:color w:val="000000" w:themeColor="text1"/>
          <w:kern w:val="2"/>
          <w:sz w:val="36"/>
          <w:szCs w:val="36"/>
          <w:highlight w:val="none"/>
          <w:lang w:eastAsia="zh-CN"/>
          <w14:textFill>
            <w14:solidFill>
              <w14:schemeClr w14:val="tx1"/>
            </w14:solidFill>
          </w14:textFill>
        </w:rPr>
        <w:t>监狱企业的证明文件</w:t>
      </w:r>
      <w:bookmarkEnd w:id="183"/>
    </w:p>
    <w:p>
      <w:pPr>
        <w:spacing w:line="350" w:lineRule="exact"/>
        <w:ind w:firstLine="420" w:firstLineChars="200"/>
        <w:rPr>
          <w:rFonts w:ascii="宋体" w:hAnsi="宋体" w:cs="Courier New"/>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说明：监狱企业参加政府采购活动时，应当提供由</w:t>
      </w:r>
      <w:r>
        <w:rPr>
          <w:b/>
          <w:color w:val="000000" w:themeColor="text1"/>
          <w:sz w:val="21"/>
          <w:szCs w:val="21"/>
          <w:highlight w:val="none"/>
          <w:lang w:eastAsia="zh-CN"/>
          <w14:textFill>
            <w14:solidFill>
              <w14:schemeClr w14:val="tx1"/>
            </w14:solidFill>
          </w14:textFill>
        </w:rPr>
        <w:t>省级以上监狱管理局、戒毒管理局（含新疆生产建设兵团）出具的属于监狱企业的证明文件，</w:t>
      </w:r>
      <w:r>
        <w:rPr>
          <w:color w:val="000000" w:themeColor="text1"/>
          <w:sz w:val="21"/>
          <w:szCs w:val="21"/>
          <w:highlight w:val="none"/>
          <w:lang w:eastAsia="zh-CN"/>
          <w14:textFill>
            <w14:solidFill>
              <w14:schemeClr w14:val="tx1"/>
            </w14:solidFill>
          </w14:textFill>
        </w:rPr>
        <w:t>并加盖投标单位公章。</w:t>
      </w: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26"/>
        <w:rPr>
          <w:rFonts w:ascii="宋体" w:hAnsi="宋体" w:eastAsia="宋体"/>
          <w:b/>
          <w:color w:val="000000" w:themeColor="text1"/>
          <w:sz w:val="21"/>
          <w:szCs w:val="21"/>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21"/>
          <w:szCs w:val="21"/>
          <w:highlight w:val="none"/>
          <w:u w:val="double"/>
          <w:lang w:eastAsia="zh-CN"/>
          <w14:textFill>
            <w14:solidFill>
              <w14:schemeClr w14:val="tx1"/>
            </w14:solidFill>
          </w14:textFill>
        </w:rPr>
      </w:pPr>
      <w:r>
        <w:rPr>
          <w:rFonts w:hint="eastAsia" w:ascii="宋体" w:hAnsi="宋体" w:eastAsia="宋体"/>
          <w:b/>
          <w:color w:val="000000" w:themeColor="text1"/>
          <w:sz w:val="21"/>
          <w:szCs w:val="21"/>
          <w:highlight w:val="none"/>
          <w:u w:val="double"/>
          <w:lang w:eastAsia="zh-CN"/>
          <w14:textFill>
            <w14:solidFill>
              <w14:schemeClr w14:val="tx1"/>
            </w14:solidFill>
          </w14:textFill>
        </w:rPr>
        <w:t>（三）商务技术文件部分（格式）</w:t>
      </w:r>
    </w:p>
    <w:p>
      <w:pPr>
        <w:rPr>
          <w:color w:val="000000" w:themeColor="text1"/>
          <w:highlight w:val="none"/>
          <w:lang w:eastAsia="zh-CN"/>
          <w14:textFill>
            <w14:solidFill>
              <w14:schemeClr w14:val="tx1"/>
            </w14:solidFill>
          </w14:textFill>
        </w:rPr>
      </w:pPr>
    </w:p>
    <w:p>
      <w:pPr>
        <w:pStyle w:val="26"/>
        <w:rPr>
          <w:color w:val="000000" w:themeColor="text1"/>
          <w:highlight w:val="none"/>
          <w:lang w:eastAsia="zh-CN"/>
          <w14:textFill>
            <w14:solidFill>
              <w14:schemeClr w14:val="tx1"/>
            </w14:solidFill>
          </w14:textFill>
        </w:rPr>
      </w:pPr>
    </w:p>
    <w:p>
      <w:pPr>
        <w:spacing w:line="520" w:lineRule="exact"/>
        <w:jc w:val="center"/>
        <w:outlineLvl w:val="1"/>
        <w:rPr>
          <w:rFonts w:ascii="Arial" w:hAnsi="Arial" w:cs="Arial"/>
          <w:b/>
          <w:bCs/>
          <w:color w:val="000000" w:themeColor="text1"/>
          <w:sz w:val="24"/>
          <w:szCs w:val="24"/>
          <w:highlight w:val="none"/>
          <w:lang w:eastAsia="zh-CN"/>
          <w14:textFill>
            <w14:solidFill>
              <w14:schemeClr w14:val="tx1"/>
            </w14:solidFill>
          </w14:textFill>
        </w:rPr>
      </w:pPr>
      <w:bookmarkStart w:id="184" w:name="_Toc5952"/>
      <w:bookmarkStart w:id="185" w:name="_Toc32315"/>
      <w:r>
        <w:rPr>
          <w:rFonts w:ascii="Arial" w:hAnsi="Arial" w:cs="Arial"/>
          <w:b/>
          <w:bCs/>
          <w:color w:val="000000" w:themeColor="text1"/>
          <w:sz w:val="32"/>
          <w:szCs w:val="32"/>
          <w:highlight w:val="none"/>
          <w:lang w:eastAsia="zh-CN"/>
          <w14:textFill>
            <w14:solidFill>
              <w14:schemeClr w14:val="tx1"/>
            </w14:solidFill>
          </w14:textFill>
        </w:rPr>
        <w:t>无串通</w:t>
      </w:r>
      <w:r>
        <w:rPr>
          <w:rFonts w:hint="eastAsia" w:ascii="Arial" w:hAnsi="Arial" w:cs="Arial"/>
          <w:b/>
          <w:bCs/>
          <w:color w:val="000000" w:themeColor="text1"/>
          <w:sz w:val="32"/>
          <w:szCs w:val="32"/>
          <w:highlight w:val="none"/>
          <w:lang w:eastAsia="zh-CN"/>
          <w14:textFill>
            <w14:solidFill>
              <w14:schemeClr w14:val="tx1"/>
            </w14:solidFill>
          </w14:textFill>
        </w:rPr>
        <w:t>投标</w:t>
      </w:r>
      <w:r>
        <w:rPr>
          <w:rFonts w:ascii="Arial" w:hAnsi="Arial" w:cs="Arial"/>
          <w:b/>
          <w:bCs/>
          <w:color w:val="000000" w:themeColor="text1"/>
          <w:sz w:val="32"/>
          <w:szCs w:val="32"/>
          <w:highlight w:val="none"/>
          <w:lang w:eastAsia="zh-CN"/>
          <w14:textFill>
            <w14:solidFill>
              <w14:schemeClr w14:val="tx1"/>
            </w14:solidFill>
          </w14:textFill>
        </w:rPr>
        <w:t>行为的承诺函</w:t>
      </w:r>
      <w:bookmarkEnd w:id="184"/>
      <w:bookmarkEnd w:id="185"/>
    </w:p>
    <w:p>
      <w:pPr>
        <w:spacing w:line="520" w:lineRule="exact"/>
        <w:ind w:firstLine="640" w:firstLineChars="200"/>
        <w:rPr>
          <w:rFonts w:ascii="Arial" w:hAnsi="Arial" w:cs="Arial"/>
          <w:color w:val="000000" w:themeColor="text1"/>
          <w:sz w:val="32"/>
          <w:szCs w:val="32"/>
          <w:highlight w:val="none"/>
          <w:lang w:eastAsia="zh-CN"/>
          <w14:textFill>
            <w14:solidFill>
              <w14:schemeClr w14:val="tx1"/>
            </w14:solidFill>
          </w14:textFill>
        </w:rPr>
      </w:pPr>
    </w:p>
    <w:p>
      <w:pPr>
        <w:spacing w:line="360" w:lineRule="auto"/>
        <w:ind w:firstLine="480" w:firstLineChars="200"/>
        <w:contextualSpacing/>
        <w:outlineLvl w:val="0"/>
        <w:rPr>
          <w:rFonts w:ascii="Arial" w:hAnsi="Arial" w:cs="Arial"/>
          <w:b/>
          <w:bCs/>
          <w:color w:val="000000" w:themeColor="text1"/>
          <w:sz w:val="24"/>
          <w:highlight w:val="none"/>
          <w:lang w:eastAsia="zh-CN"/>
          <w14:textFill>
            <w14:solidFill>
              <w14:schemeClr w14:val="tx1"/>
            </w14:solidFill>
          </w14:textFill>
        </w:rPr>
      </w:pPr>
      <w:bookmarkStart w:id="186" w:name="_Toc6713"/>
      <w:bookmarkStart w:id="187" w:name="_Toc1121"/>
      <w:r>
        <w:rPr>
          <w:rFonts w:ascii="Arial" w:hAnsi="Arial" w:cs="Arial"/>
          <w:b/>
          <w:bCs/>
          <w:color w:val="000000" w:themeColor="text1"/>
          <w:sz w:val="24"/>
          <w:highlight w:val="none"/>
          <w:lang w:eastAsia="zh-CN"/>
          <w14:textFill>
            <w14:solidFill>
              <w14:schemeClr w14:val="tx1"/>
            </w14:solidFill>
          </w14:textFill>
        </w:rPr>
        <w:t>一、我方承诺无下列相互串通</w:t>
      </w:r>
      <w:r>
        <w:rPr>
          <w:rFonts w:hint="eastAsia" w:ascii="Arial" w:hAnsi="Arial" w:cs="Arial"/>
          <w:b/>
          <w:bCs/>
          <w:color w:val="000000" w:themeColor="text1"/>
          <w:sz w:val="24"/>
          <w:highlight w:val="none"/>
          <w:lang w:eastAsia="zh-CN"/>
          <w14:textFill>
            <w14:solidFill>
              <w14:schemeClr w14:val="tx1"/>
            </w14:solidFill>
          </w14:textFill>
        </w:rPr>
        <w:t>投标</w:t>
      </w:r>
      <w:r>
        <w:rPr>
          <w:rFonts w:ascii="Arial" w:hAnsi="Arial" w:cs="Arial"/>
          <w:b/>
          <w:bCs/>
          <w:color w:val="000000" w:themeColor="text1"/>
          <w:sz w:val="24"/>
          <w:highlight w:val="none"/>
          <w:lang w:eastAsia="zh-CN"/>
          <w14:textFill>
            <w14:solidFill>
              <w14:schemeClr w14:val="tx1"/>
            </w14:solidFill>
          </w14:textFill>
        </w:rPr>
        <w:t>的情形：</w:t>
      </w:r>
      <w:bookmarkEnd w:id="186"/>
      <w:bookmarkEnd w:id="187"/>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 xml:space="preserve">1.不同供应商的响应文件由同一单位或者个人编制； </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2.不同供应商委托同一单位或者个人办理</w:t>
      </w:r>
      <w:r>
        <w:rPr>
          <w:rFonts w:hint="eastAsia" w:ascii="Arial" w:hAnsi="Arial" w:cs="Arial"/>
          <w:color w:val="000000" w:themeColor="text1"/>
          <w:sz w:val="24"/>
          <w:highlight w:val="none"/>
          <w:lang w:eastAsia="zh-CN"/>
          <w14:textFill>
            <w14:solidFill>
              <w14:schemeClr w14:val="tx1"/>
            </w14:solidFill>
          </w14:textFill>
        </w:rPr>
        <w:t>投标</w:t>
      </w:r>
      <w:r>
        <w:rPr>
          <w:rFonts w:ascii="Arial" w:hAnsi="Arial" w:cs="Arial"/>
          <w:color w:val="000000" w:themeColor="text1"/>
          <w:sz w:val="24"/>
          <w:highlight w:val="none"/>
          <w:lang w:eastAsia="zh-CN"/>
          <w14:textFill>
            <w14:solidFill>
              <w14:schemeClr w14:val="tx1"/>
            </w14:solidFill>
          </w14:textFill>
        </w:rPr>
        <w:t>事宜；</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3.不同供应商的响应文件载明的项目管理员为同一个人；</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4.不</w:t>
      </w:r>
      <w:r>
        <w:rPr>
          <w:rFonts w:ascii="Arial" w:hAnsi="Arial" w:cs="Arial"/>
          <w:color w:val="000000" w:themeColor="text1"/>
          <w:spacing w:val="-6"/>
          <w:sz w:val="24"/>
          <w:highlight w:val="none"/>
          <w:lang w:eastAsia="zh-CN"/>
          <w14:textFill>
            <w14:solidFill>
              <w14:schemeClr w14:val="tx1"/>
            </w14:solidFill>
          </w14:textFill>
        </w:rPr>
        <w:t>同供应商的响应文件异常一致或者响应报价呈规律性差异；</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5.不同供应商的响应文件相互混装；</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6.不同供应商的磋商保证金从同一单位或者个人账户转出。</w:t>
      </w:r>
    </w:p>
    <w:p>
      <w:pPr>
        <w:spacing w:line="360" w:lineRule="auto"/>
        <w:ind w:firstLine="480" w:firstLineChars="200"/>
        <w:contextualSpacing/>
        <w:outlineLvl w:val="0"/>
        <w:rPr>
          <w:rFonts w:ascii="Arial" w:hAnsi="Arial" w:cs="Arial"/>
          <w:b/>
          <w:bCs/>
          <w:color w:val="000000" w:themeColor="text1"/>
          <w:sz w:val="24"/>
          <w:highlight w:val="none"/>
          <w:lang w:eastAsia="zh-CN"/>
          <w14:textFill>
            <w14:solidFill>
              <w14:schemeClr w14:val="tx1"/>
            </w14:solidFill>
          </w14:textFill>
        </w:rPr>
      </w:pPr>
      <w:bookmarkStart w:id="188" w:name="_Toc1264"/>
      <w:bookmarkStart w:id="189" w:name="_Toc21794"/>
      <w:r>
        <w:rPr>
          <w:rFonts w:ascii="Arial" w:hAnsi="Arial" w:cs="Arial"/>
          <w:b/>
          <w:bCs/>
          <w:color w:val="000000" w:themeColor="text1"/>
          <w:sz w:val="24"/>
          <w:highlight w:val="none"/>
          <w:lang w:eastAsia="zh-CN"/>
          <w14:textFill>
            <w14:solidFill>
              <w14:schemeClr w14:val="tx1"/>
            </w14:solidFill>
          </w14:textFill>
        </w:rPr>
        <w:t>二、我方承诺无下列恶意串通的情形：</w:t>
      </w:r>
      <w:bookmarkEnd w:id="188"/>
      <w:bookmarkEnd w:id="189"/>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1.供应商直接或者间接从采购人或者采购代理机构处获得其他供应商的相关信息并修改其响应文件；</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2.供应商按照采购人或者采购代理机构的授意撤换、修改响应文件；</w:t>
      </w:r>
    </w:p>
    <w:p>
      <w:pPr>
        <w:spacing w:line="360" w:lineRule="auto"/>
        <w:ind w:firstLine="480" w:firstLineChars="200"/>
        <w:contextualSpacing/>
        <w:outlineLvl w:val="1"/>
        <w:rPr>
          <w:rFonts w:ascii="Arial" w:hAnsi="Arial" w:cs="Arial"/>
          <w:color w:val="000000" w:themeColor="text1"/>
          <w:sz w:val="24"/>
          <w:highlight w:val="none"/>
          <w:lang w:eastAsia="zh-CN"/>
          <w14:textFill>
            <w14:solidFill>
              <w14:schemeClr w14:val="tx1"/>
            </w14:solidFill>
          </w14:textFill>
        </w:rPr>
      </w:pPr>
      <w:bookmarkStart w:id="190" w:name="_Toc26021"/>
      <w:bookmarkStart w:id="191" w:name="_Toc32289"/>
      <w:r>
        <w:rPr>
          <w:rFonts w:ascii="Arial" w:hAnsi="Arial" w:cs="Arial"/>
          <w:color w:val="000000" w:themeColor="text1"/>
          <w:sz w:val="24"/>
          <w:highlight w:val="none"/>
          <w:lang w:eastAsia="zh-CN"/>
          <w14:textFill>
            <w14:solidFill>
              <w14:schemeClr w14:val="tx1"/>
            </w14:solidFill>
          </w14:textFill>
        </w:rPr>
        <w:t>3.供</w:t>
      </w:r>
      <w:r>
        <w:rPr>
          <w:rFonts w:ascii="Arial" w:hAnsi="Arial" w:cs="Arial"/>
          <w:color w:val="000000" w:themeColor="text1"/>
          <w:spacing w:val="-6"/>
          <w:sz w:val="24"/>
          <w:highlight w:val="none"/>
          <w:lang w:eastAsia="zh-CN"/>
          <w14:textFill>
            <w14:solidFill>
              <w14:schemeClr w14:val="tx1"/>
            </w14:solidFill>
          </w14:textFill>
        </w:rPr>
        <w:t>应商之间协商报价、技术方案等响应文件的实质性内容；</w:t>
      </w:r>
      <w:bookmarkEnd w:id="190"/>
      <w:bookmarkEnd w:id="191"/>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4.属于同一集团、协会、商会等组织成员的供应商按照该组织要求协同参加政府采购活动；</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5.供应商之间事先约定一致抬高或者压低响应报价，或者在</w:t>
      </w:r>
      <w:r>
        <w:rPr>
          <w:rFonts w:hint="eastAsia" w:ascii="Arial" w:hAnsi="Arial" w:cs="Arial"/>
          <w:color w:val="000000" w:themeColor="text1"/>
          <w:sz w:val="24"/>
          <w:highlight w:val="none"/>
          <w:lang w:eastAsia="zh-CN"/>
          <w14:textFill>
            <w14:solidFill>
              <w14:schemeClr w14:val="tx1"/>
            </w14:solidFill>
          </w14:textFill>
        </w:rPr>
        <w:t>采购</w:t>
      </w:r>
      <w:r>
        <w:rPr>
          <w:rFonts w:ascii="Arial" w:hAnsi="Arial" w:cs="Arial"/>
          <w:color w:val="000000" w:themeColor="text1"/>
          <w:sz w:val="24"/>
          <w:highlight w:val="none"/>
          <w:lang w:eastAsia="zh-CN"/>
          <w14:textFill>
            <w14:solidFill>
              <w14:schemeClr w14:val="tx1"/>
            </w14:solidFill>
          </w14:textFill>
        </w:rPr>
        <w:t>项目中事先约定轮流以高价位或者低价位</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，或者事先约定由某一特定供应商</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，然后再参加</w:t>
      </w:r>
      <w:r>
        <w:rPr>
          <w:rFonts w:hint="eastAsia" w:ascii="Arial" w:hAnsi="Arial" w:cs="Arial"/>
          <w:color w:val="000000" w:themeColor="text1"/>
          <w:sz w:val="24"/>
          <w:highlight w:val="none"/>
          <w:lang w:eastAsia="zh-CN"/>
          <w14:textFill>
            <w14:solidFill>
              <w14:schemeClr w14:val="tx1"/>
            </w14:solidFill>
          </w14:textFill>
        </w:rPr>
        <w:t>投标</w:t>
      </w:r>
      <w:r>
        <w:rPr>
          <w:rFonts w:ascii="Arial" w:hAnsi="Arial" w:cs="Arial"/>
          <w:color w:val="000000" w:themeColor="text1"/>
          <w:sz w:val="24"/>
          <w:highlight w:val="none"/>
          <w:lang w:eastAsia="zh-CN"/>
          <w14:textFill>
            <w14:solidFill>
              <w14:schemeClr w14:val="tx1"/>
            </w14:solidFill>
          </w14:textFill>
        </w:rPr>
        <w:t>；</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6.供应商之间商定部分供应商放弃参加政府采购活动或者放弃</w:t>
      </w:r>
      <w:r>
        <w:rPr>
          <w:rFonts w:hint="eastAsia" w:ascii="Arial" w:hAnsi="Arial" w:cs="Arial"/>
          <w:color w:val="000000" w:themeColor="text1"/>
          <w:sz w:val="24"/>
          <w:highlight w:val="none"/>
          <w:lang w:eastAsia="zh-CN"/>
          <w14:textFill>
            <w14:solidFill>
              <w14:schemeClr w14:val="tx1"/>
            </w14:solidFill>
          </w14:textFill>
        </w:rPr>
        <w:t>中标</w:t>
      </w:r>
      <w:r>
        <w:rPr>
          <w:rFonts w:ascii="Arial" w:hAnsi="Arial" w:cs="Arial"/>
          <w:color w:val="000000" w:themeColor="text1"/>
          <w:sz w:val="24"/>
          <w:highlight w:val="none"/>
          <w:lang w:eastAsia="zh-CN"/>
          <w14:textFill>
            <w14:solidFill>
              <w14:schemeClr w14:val="tx1"/>
            </w14:solidFill>
          </w14:textFill>
        </w:rPr>
        <w:t>；</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r>
        <w:rPr>
          <w:rFonts w:ascii="Arial" w:hAnsi="Arial" w:cs="Arial"/>
          <w:color w:val="000000" w:themeColor="text1"/>
          <w:sz w:val="24"/>
          <w:highlight w:val="none"/>
          <w:lang w:eastAsia="zh-CN"/>
          <w14:textFill>
            <w14:solidFill>
              <w14:schemeClr w14:val="tx1"/>
            </w14:solidFill>
          </w14:textFill>
        </w:rPr>
        <w:t>7.供应商与采购人或者采购代理机构之间、供应商相互之间，为</w:t>
      </w:r>
      <w:r>
        <w:rPr>
          <w:rFonts w:ascii="Arial" w:hAnsi="Arial" w:cs="Arial"/>
          <w:color w:val="000000" w:themeColor="text1"/>
          <w:spacing w:val="-6"/>
          <w:sz w:val="24"/>
          <w:highlight w:val="none"/>
          <w:lang w:eastAsia="zh-CN"/>
          <w14:textFill>
            <w14:solidFill>
              <w14:schemeClr w14:val="tx1"/>
            </w14:solidFill>
          </w14:textFill>
        </w:rPr>
        <w:t>谋求特定供应商</w:t>
      </w:r>
      <w:r>
        <w:rPr>
          <w:rFonts w:hint="eastAsia" w:ascii="Arial" w:hAnsi="Arial" w:cs="Arial"/>
          <w:color w:val="000000" w:themeColor="text1"/>
          <w:spacing w:val="-6"/>
          <w:sz w:val="24"/>
          <w:highlight w:val="none"/>
          <w:lang w:eastAsia="zh-CN"/>
          <w14:textFill>
            <w14:solidFill>
              <w14:schemeClr w14:val="tx1"/>
            </w14:solidFill>
          </w14:textFill>
        </w:rPr>
        <w:t>中标</w:t>
      </w:r>
      <w:r>
        <w:rPr>
          <w:rFonts w:ascii="Arial" w:hAnsi="Arial" w:cs="Arial"/>
          <w:color w:val="000000" w:themeColor="text1"/>
          <w:spacing w:val="-6"/>
          <w:sz w:val="24"/>
          <w:highlight w:val="none"/>
          <w:lang w:eastAsia="zh-CN"/>
          <w14:textFill>
            <w14:solidFill>
              <w14:schemeClr w14:val="tx1"/>
            </w14:solidFill>
          </w14:textFill>
        </w:rPr>
        <w:t>或者排斥其他供应商的其他串通行为。</w:t>
      </w:r>
    </w:p>
    <w:p>
      <w:pPr>
        <w:spacing w:line="360" w:lineRule="auto"/>
        <w:ind w:firstLine="480" w:firstLineChars="200"/>
        <w:contextualSpacing/>
        <w:rPr>
          <w:rFonts w:ascii="Arial" w:hAnsi="Arial" w:cs="Arial"/>
          <w:color w:val="000000" w:themeColor="text1"/>
          <w:sz w:val="24"/>
          <w:highlight w:val="none"/>
          <w:lang w:eastAsia="zh-CN"/>
          <w14:textFill>
            <w14:solidFill>
              <w14:schemeClr w14:val="tx1"/>
            </w14:solidFill>
          </w14:textFill>
        </w:rPr>
      </w:pPr>
    </w:p>
    <w:p>
      <w:pPr>
        <w:spacing w:line="360" w:lineRule="auto"/>
        <w:ind w:firstLine="480" w:firstLineChars="200"/>
        <w:contextualSpacing/>
        <w:rPr>
          <w:rFonts w:ascii="Arial" w:hAnsi="Arial" w:cs="Arial"/>
          <w:b/>
          <w:bCs/>
          <w:color w:val="000000" w:themeColor="text1"/>
          <w:sz w:val="24"/>
          <w:highlight w:val="none"/>
          <w:lang w:eastAsia="zh-CN"/>
          <w14:textFill>
            <w14:solidFill>
              <w14:schemeClr w14:val="tx1"/>
            </w14:solidFill>
          </w14:textFill>
        </w:rPr>
      </w:pPr>
      <w:r>
        <w:rPr>
          <w:rFonts w:ascii="Arial" w:hAnsi="Arial" w:cs="Arial"/>
          <w:b/>
          <w:bCs/>
          <w:color w:val="000000" w:themeColor="text1"/>
          <w:sz w:val="24"/>
          <w:highlight w:val="none"/>
          <w:lang w:eastAsia="zh-CN"/>
          <w14:textFill>
            <w14:solidFill>
              <w14:schemeClr w14:val="tx1"/>
            </w14:solidFill>
          </w14:textFill>
        </w:rPr>
        <w:t>以上情形一经核查属实，我方愿意承担一切后果，并不再寻求任何旨在减轻或者免除法律责任的辩解。</w:t>
      </w:r>
    </w:p>
    <w:p>
      <w:pPr>
        <w:rPr>
          <w:color w:val="000000" w:themeColor="text1"/>
          <w:highlight w:val="none"/>
          <w:lang w:eastAsia="zh-CN"/>
          <w14:textFill>
            <w14:solidFill>
              <w14:schemeClr w14:val="tx1"/>
            </w14:solidFill>
          </w14:textFill>
        </w:rPr>
      </w:pPr>
    </w:p>
    <w:p>
      <w:pPr>
        <w:snapToGrid w:val="0"/>
        <w:spacing w:line="360" w:lineRule="exact"/>
        <w:jc w:val="left"/>
        <w:rPr>
          <w:rFonts w:ascii="宋体" w:hAnsi="宋体" w:eastAsia="宋体"/>
          <w:color w:val="000000" w:themeColor="text1"/>
          <w:sz w:val="21"/>
          <w:szCs w:val="2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pPr>
        <w:pStyle w:val="3"/>
        <w:spacing w:line="288" w:lineRule="auto"/>
        <w:jc w:val="center"/>
        <w:rPr>
          <w:rFonts w:eastAsia="宋体"/>
          <w:color w:val="000000" w:themeColor="text1"/>
          <w:sz w:val="24"/>
          <w:highlight w:val="none"/>
          <w:lang w:eastAsia="zh-CN"/>
          <w14:textFill>
            <w14:solidFill>
              <w14:schemeClr w14:val="tx1"/>
            </w14:solidFill>
          </w14:textFill>
        </w:rPr>
      </w:pPr>
      <w:bookmarkStart w:id="192" w:name="_Toc370414849"/>
      <w:r>
        <w:rPr>
          <w:rFonts w:hint="eastAsia" w:ascii="宋体" w:hAnsi="宋体" w:eastAsia="宋体"/>
          <w:color w:val="000000" w:themeColor="text1"/>
          <w:sz w:val="24"/>
          <w:szCs w:val="24"/>
          <w:highlight w:val="none"/>
          <w:lang w:eastAsia="zh-CN"/>
          <w14:textFill>
            <w14:solidFill>
              <w14:schemeClr w14:val="tx1"/>
            </w14:solidFill>
          </w14:textFill>
        </w:rPr>
        <w:t>法定代表人资格证明书</w:t>
      </w:r>
      <w:bookmarkEnd w:id="192"/>
      <w:r>
        <w:rPr>
          <w:rFonts w:hint="eastAsia" w:ascii="宋体" w:hAnsi="宋体" w:eastAsia="宋体"/>
          <w:color w:val="000000" w:themeColor="text1"/>
          <w:sz w:val="24"/>
          <w:szCs w:val="24"/>
          <w:highlight w:val="none"/>
          <w:lang w:eastAsia="zh-CN"/>
          <w14:textFill>
            <w14:solidFill>
              <w14:schemeClr w14:val="tx1"/>
            </w14:solidFill>
          </w14:textFill>
        </w:rPr>
        <w:t>及身份证复印件</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单位名称：</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jc w:val="left"/>
        <w:rPr>
          <w:rFonts w:ascii="宋体" w:hAnsi="宋体"/>
          <w:color w:val="000000" w:themeColor="text1"/>
          <w:sz w:val="21"/>
          <w:szCs w:val="21"/>
          <w:highlight w:val="none"/>
          <w:u w:val="single"/>
          <w:lang w:eastAsia="zh-CN"/>
          <w14:textFill>
            <w14:solidFill>
              <w14:schemeClr w14:val="tx1"/>
            </w14:solidFill>
          </w14:textFill>
        </w:rPr>
      </w:pP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单位性质：</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地</w:t>
      </w: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址：</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成立时间：</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经营期限：</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u w:val="singl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姓</w:t>
      </w:r>
      <w:r>
        <w:rPr>
          <w:rFonts w:ascii="宋体" w:hAnsi="宋体"/>
          <w:color w:val="000000" w:themeColor="text1"/>
          <w:sz w:val="21"/>
          <w:szCs w:val="21"/>
          <w:highlight w:val="non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名：</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性别：</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 xml:space="preserve"> 年龄：</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 xml:space="preserve"> 职务：</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jc w:val="left"/>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身份证号码：</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p>
    <w:p>
      <w:pPr>
        <w:autoSpaceDE w:val="0"/>
        <w:autoSpaceDN w:val="0"/>
        <w:adjustRightInd w:val="0"/>
        <w:spacing w:line="400" w:lineRule="exact"/>
        <w:ind w:firstLine="420" w:firstLineChars="200"/>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系</w:t>
      </w:r>
      <w:r>
        <w:rPr>
          <w:rFonts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u w:val="single"/>
          <w:lang w:eastAsia="zh-CN"/>
          <w14:textFill>
            <w14:solidFill>
              <w14:schemeClr w14:val="tx1"/>
            </w14:solidFill>
          </w14:textFill>
        </w:rPr>
        <w:t xml:space="preserve">                         </w:t>
      </w:r>
      <w:r>
        <w:rPr>
          <w:rFonts w:ascii="宋体" w:hAnsi="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color w:val="000000" w:themeColor="text1"/>
          <w:sz w:val="21"/>
          <w:szCs w:val="21"/>
          <w:highlight w:val="none"/>
          <w:lang w:eastAsia="zh-CN"/>
          <w14:textFill>
            <w14:solidFill>
              <w14:schemeClr w14:val="tx1"/>
            </w14:solidFill>
          </w14:textFill>
        </w:rPr>
        <w:t>的法定代表人。</w:t>
      </w:r>
    </w:p>
    <w:p>
      <w:pPr>
        <w:autoSpaceDE w:val="0"/>
        <w:autoSpaceDN w:val="0"/>
        <w:adjustRightInd w:val="0"/>
        <w:spacing w:line="400" w:lineRule="exact"/>
        <w:rPr>
          <w:rFonts w:ascii="宋体" w:hAnsi="宋体"/>
          <w:color w:val="000000" w:themeColor="text1"/>
          <w:sz w:val="21"/>
          <w:szCs w:val="21"/>
          <w:highlight w:val="none"/>
          <w:lang w:eastAsia="zh-CN"/>
          <w14:textFill>
            <w14:solidFill>
              <w14:schemeClr w14:val="tx1"/>
            </w14:solidFill>
          </w14:textFill>
        </w:rPr>
      </w:pPr>
      <w:r>
        <w:rPr>
          <w:rFonts w:ascii="宋体" w:hAnsi="宋体"/>
          <w:color w:val="000000" w:themeColor="text1"/>
          <w:sz w:val="21"/>
          <w:szCs w:val="21"/>
          <w:highlight w:val="none"/>
          <w:lang w:eastAsia="zh-CN"/>
          <w14:textFill>
            <w14:solidFill>
              <w14:schemeClr w14:val="tx1"/>
            </w14:solidFill>
          </w14:textFill>
        </w:rPr>
        <w:t xml:space="preserve">    </w:t>
      </w:r>
    </w:p>
    <w:p>
      <w:pPr>
        <w:autoSpaceDE w:val="0"/>
        <w:autoSpaceDN w:val="0"/>
        <w:adjustRightInd w:val="0"/>
        <w:spacing w:line="400" w:lineRule="exact"/>
        <w:ind w:right="-660" w:rightChars="-330" w:firstLine="420" w:firstLineChars="200"/>
        <w:rPr>
          <w:rFonts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特此证明。</w:t>
      </w:r>
    </w:p>
    <w:p>
      <w:pPr>
        <w:autoSpaceDE w:val="0"/>
        <w:autoSpaceDN w:val="0"/>
        <w:adjustRightInd w:val="0"/>
        <w:spacing w:line="400" w:lineRule="exact"/>
        <w:jc w:val="left"/>
        <w:rPr>
          <w:rFonts w:ascii="宋体" w:hAnsi="宋体"/>
          <w:color w:val="000000" w:themeColor="text1"/>
          <w:sz w:val="21"/>
          <w:szCs w:val="2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14:textFill>
            <w14:solidFill>
              <w14:schemeClr w14:val="tx1"/>
            </w14:solidFill>
          </w14:textFill>
        </w:rPr>
        <w:t>年  月   日</w:t>
      </w:r>
      <w:r>
        <w:rPr>
          <w:rFonts w:hint="eastAsia" w:ascii="宋体" w:hAnsi="宋体"/>
          <w:color w:val="000000" w:themeColor="text1"/>
          <w:sz w:val="24"/>
          <w:szCs w:val="28"/>
          <w:highlight w:val="none"/>
          <w14:textFill>
            <w14:solidFill>
              <w14:schemeClr w14:val="tx1"/>
            </w14:solidFill>
          </w14:textFill>
        </w:rPr>
        <w:t xml:space="preserve">     </w:t>
      </w:r>
    </w:p>
    <w:p>
      <w:pPr>
        <w:pStyle w:val="54"/>
        <w:rPr>
          <w:color w:val="000000" w:themeColor="text1"/>
          <w:highlight w:val="none"/>
          <w:lang w:eastAsia="zh-CN"/>
          <w14:textFill>
            <w14:solidFill>
              <w14:schemeClr w14:val="tx1"/>
            </w14:solidFill>
          </w14:textFill>
        </w:rPr>
      </w:pPr>
    </w:p>
    <w:tbl>
      <w:tblPr>
        <w:tblStyle w:val="3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jc w:val="center"/>
        </w:trPr>
        <w:tc>
          <w:tcPr>
            <w:tcW w:w="8720" w:type="dxa"/>
          </w:tcPr>
          <w:p>
            <w:pPr>
              <w:pStyle w:val="54"/>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贴附“法定代表人身份证复印件”</w:t>
            </w:r>
          </w:p>
        </w:tc>
      </w:tr>
    </w:tbl>
    <w:p>
      <w:pPr>
        <w:snapToGrid w:val="0"/>
        <w:spacing w:line="360" w:lineRule="exact"/>
        <w:jc w:val="left"/>
        <w:rPr>
          <w:rFonts w:ascii="宋体" w:hAnsi="宋体" w:eastAsia="宋体"/>
          <w:b/>
          <w:bCs/>
          <w:color w:val="000000" w:themeColor="text1"/>
          <w:sz w:val="24"/>
          <w:szCs w:val="24"/>
          <w:highlight w:val="none"/>
          <w:lang w:eastAsia="zh-CN"/>
          <w14:textFill>
            <w14:solidFill>
              <w14:schemeClr w14:val="tx1"/>
            </w14:solidFill>
          </w14:textFill>
        </w:rPr>
      </w:pPr>
    </w:p>
    <w:p>
      <w:pPr>
        <w:snapToGrid w:val="0"/>
        <w:spacing w:line="360" w:lineRule="exact"/>
        <w:ind w:firstLine="3855" w:firstLineChars="1600"/>
        <w:jc w:val="left"/>
        <w:rPr>
          <w:rFonts w:ascii="宋体" w:hAnsi="宋体" w:eastAsia="宋体"/>
          <w:b/>
          <w:bCs/>
          <w:color w:val="000000" w:themeColor="text1"/>
          <w:sz w:val="24"/>
          <w:szCs w:val="24"/>
          <w:highlight w:val="none"/>
          <w:lang w:eastAsia="zh-CN"/>
          <w14:textFill>
            <w14:solidFill>
              <w14:schemeClr w14:val="tx1"/>
            </w14:solidFill>
          </w14:textFill>
        </w:rPr>
      </w:pPr>
    </w:p>
    <w:p>
      <w:pPr>
        <w:pStyle w:val="26"/>
        <w:rPr>
          <w:rFonts w:ascii="宋体" w:hAnsi="宋体" w:eastAsia="宋体"/>
          <w:b/>
          <w:bCs/>
          <w:color w:val="000000" w:themeColor="text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snapToGrid w:val="0"/>
        <w:spacing w:line="360" w:lineRule="exact"/>
        <w:ind w:firstLine="3855" w:firstLineChars="1600"/>
        <w:jc w:val="left"/>
        <w:rPr>
          <w:rFonts w:ascii="宋体" w:hAnsi="宋体" w:eastAsia="宋体"/>
          <w:b/>
          <w:bCs/>
          <w:color w:val="000000" w:themeColor="text1"/>
          <w:sz w:val="24"/>
          <w:szCs w:val="24"/>
          <w:highlight w:val="none"/>
          <w:lang w:eastAsia="zh-CN"/>
          <w14:textFill>
            <w14:solidFill>
              <w14:schemeClr w14:val="tx1"/>
            </w14:solidFill>
          </w14:textFill>
        </w:rPr>
      </w:pPr>
    </w:p>
    <w:p>
      <w:pPr>
        <w:snapToGrid w:val="0"/>
        <w:spacing w:line="360" w:lineRule="exact"/>
        <w:jc w:val="left"/>
        <w:rPr>
          <w:rFonts w:ascii="宋体" w:hAnsi="宋体" w:eastAsia="宋体"/>
          <w:b/>
          <w:bCs/>
          <w:color w:val="000000" w:themeColor="text1"/>
          <w:sz w:val="24"/>
          <w:szCs w:val="24"/>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法定代表人授权委托书和委托代理人身份证复印件</w:t>
      </w:r>
    </w:p>
    <w:p>
      <w:pPr>
        <w:snapToGrid w:val="0"/>
        <w:spacing w:line="360" w:lineRule="exact"/>
        <w:rPr>
          <w:rFonts w:ascii="宋体" w:hAnsi="宋体" w:eastAsia="宋体"/>
          <w:bCs/>
          <w:color w:val="000000" w:themeColor="text1"/>
          <w:sz w:val="21"/>
          <w:szCs w:val="21"/>
          <w:highlight w:val="none"/>
          <w:lang w:eastAsia="zh-CN"/>
          <w14:textFill>
            <w14:solidFill>
              <w14:schemeClr w14:val="tx1"/>
            </w14:solidFill>
          </w14:textFill>
        </w:rPr>
      </w:pPr>
    </w:p>
    <w:p>
      <w:pPr>
        <w:snapToGrid w:val="0"/>
        <w:spacing w:line="360" w:lineRule="exact"/>
        <w:rPr>
          <w:rFonts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eastAsia="zh-CN"/>
          <w14:textFill>
            <w14:solidFill>
              <w14:schemeClr w14:val="tx1"/>
            </w14:solidFill>
          </w14:textFill>
        </w:rPr>
        <w:t>致：</w:t>
      </w:r>
      <w:r>
        <w:rPr>
          <w:rFonts w:hint="eastAsia" w:ascii="宋体" w:hAnsi="宋体" w:eastAsia="宋体"/>
          <w:bCs/>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u w:val="single"/>
          <w:lang w:eastAsia="zh-CN"/>
          <w14:textFill>
            <w14:solidFill>
              <w14:schemeClr w14:val="tx1"/>
            </w14:solidFill>
          </w14:textFill>
        </w:rPr>
        <w:t>（采购代理机构名称）</w:t>
      </w:r>
      <w:r>
        <w:rPr>
          <w:rFonts w:hint="eastAsia" w:ascii="宋体" w:hAnsi="宋体" w:eastAsia="宋体"/>
          <w:color w:val="000000" w:themeColor="text1"/>
          <w:sz w:val="21"/>
          <w:szCs w:val="21"/>
          <w:highlight w:val="none"/>
          <w:lang w:eastAsia="zh-CN"/>
          <w14:textFill>
            <w14:solidFill>
              <w14:schemeClr w14:val="tx1"/>
            </w14:solidFill>
          </w14:textFill>
        </w:rPr>
        <w:t>：</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（姓名）系</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（投标人名称）的法定代表人，现授权委托本单位在职职工 </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（姓名）以我方的名义参加</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（项目名称、项目编号、分标号）的投标活动，并代表我方全权办理针对上述项目的投标、开标、评标、签约等具体事务和签署相关文件。</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我方对被授权人的签名事项负全部责任。</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在撤销授权的书面通知以前，本授权书一直有效。被授权人在授权书有效期内签署的所有文件不因授权的撤销而失效。</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被授权人无转委托权，特此委托。</w:t>
      </w:r>
    </w:p>
    <w:p>
      <w:pPr>
        <w:snapToGrid w:val="0"/>
        <w:spacing w:line="360" w:lineRule="exact"/>
        <w:ind w:firstLine="420" w:firstLineChars="200"/>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被授权人签名：</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法定代表人签名：</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所在部门职务：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职务：</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line="36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被授权人身份证号码：</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line="360" w:lineRule="exact"/>
        <w:ind w:firstLine="420" w:firstLineChars="200"/>
        <w:rPr>
          <w:rFonts w:ascii="宋体" w:hAnsi="宋体" w:eastAsia="宋体"/>
          <w:color w:val="000000" w:themeColor="text1"/>
          <w:sz w:val="21"/>
          <w:szCs w:val="21"/>
          <w:highlight w:val="none"/>
          <w:u w:val="singl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联系电话：</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手机号： </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p>
    <w:p>
      <w:pPr>
        <w:snapToGrid w:val="0"/>
        <w:spacing w:line="360" w:lineRule="exac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w:t>
      </w:r>
    </w:p>
    <w:p>
      <w:pPr>
        <w:pStyle w:val="54"/>
        <w:rPr>
          <w:rFonts w:ascii="宋体" w:hAnsi="宋体" w:eastAsia="宋体"/>
          <w:color w:val="000000" w:themeColor="text1"/>
          <w:sz w:val="21"/>
          <w:szCs w:val="21"/>
          <w:highlight w:val="none"/>
          <w14:textFill>
            <w14:solidFill>
              <w14:schemeClr w14:val="tx1"/>
            </w14:solidFill>
          </w14:textFill>
        </w:rPr>
      </w:pPr>
    </w:p>
    <w:tbl>
      <w:tblPr>
        <w:tblStyle w:val="37"/>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8720" w:type="dxa"/>
          </w:tcPr>
          <w:p>
            <w:pPr>
              <w:pStyle w:val="54"/>
              <w:jc w:val="center"/>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贴附“委托代理人身份证复印件”</w:t>
            </w:r>
          </w:p>
        </w:tc>
      </w:tr>
    </w:tbl>
    <w:p>
      <w:pPr>
        <w:pStyle w:val="54"/>
        <w:jc w:val="center"/>
        <w:rPr>
          <w:rFonts w:ascii="宋体" w:hAnsi="宋体" w:eastAsia="宋体"/>
          <w:color w:val="000000" w:themeColor="text1"/>
          <w:sz w:val="21"/>
          <w:szCs w:val="21"/>
          <w:highlight w:val="none"/>
          <w:lang w:eastAsia="zh-CN"/>
          <w14:textFill>
            <w14:solidFill>
              <w14:schemeClr w14:val="tx1"/>
            </w14:solidFill>
          </w14:textFill>
        </w:rPr>
      </w:pPr>
    </w:p>
    <w:p>
      <w:pPr>
        <w:snapToGrid w:val="0"/>
        <w:spacing w:line="360" w:lineRule="exact"/>
        <w:ind w:firstLine="4620" w:firstLineChars="2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 xml:space="preserve">  </w:t>
      </w:r>
    </w:p>
    <w:p>
      <w:pPr>
        <w:snapToGrid w:val="0"/>
        <w:spacing w:line="360" w:lineRule="exact"/>
        <w:rPr>
          <w:rFonts w:ascii="宋体" w:hAnsi="宋体" w:eastAsia="宋体"/>
          <w:color w:val="000000" w:themeColor="text1"/>
          <w:sz w:val="21"/>
          <w:szCs w:val="2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pStyle w:val="54"/>
        <w:spacing w:line="360" w:lineRule="exact"/>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pStyle w:val="54"/>
        <w:rPr>
          <w:rFonts w:ascii="宋体" w:hAnsi="宋体" w:eastAsia="宋体"/>
          <w:color w:val="000000" w:themeColor="text1"/>
          <w:sz w:val="21"/>
          <w:szCs w:val="21"/>
          <w:highlight w:val="none"/>
          <w:lang w:eastAsia="zh-CN"/>
          <w14:textFill>
            <w14:solidFill>
              <w14:schemeClr w14:val="tx1"/>
            </w14:solidFill>
          </w14:textFill>
        </w:rPr>
      </w:pPr>
    </w:p>
    <w:p>
      <w:pPr>
        <w:keepNext/>
        <w:snapToGrid w:val="0"/>
        <w:spacing w:line="360" w:lineRule="exact"/>
        <w:rPr>
          <w:rFonts w:ascii="宋体" w:hAnsi="宋体" w:eastAsia="宋体"/>
          <w:b/>
          <w:bCs/>
          <w:color w:val="000000" w:themeColor="text1"/>
          <w:sz w:val="24"/>
          <w:szCs w:val="24"/>
          <w:highlight w:val="none"/>
          <w:lang w:eastAsia="zh-CN"/>
          <w14:textFill>
            <w14:solidFill>
              <w14:schemeClr w14:val="tx1"/>
            </w14:solidFill>
          </w14:textFill>
        </w:rPr>
      </w:pPr>
    </w:p>
    <w:p>
      <w:pPr>
        <w:keepNext/>
        <w:snapToGrid w:val="0"/>
        <w:spacing w:line="360" w:lineRule="exact"/>
        <w:rPr>
          <w:rFonts w:ascii="宋体" w:hAnsi="宋体" w:eastAsia="宋体"/>
          <w:b/>
          <w:bCs/>
          <w:color w:val="000000" w:themeColor="text1"/>
          <w:sz w:val="24"/>
          <w:szCs w:val="24"/>
          <w:highlight w:val="none"/>
          <w:lang w:eastAsia="zh-CN"/>
          <w14:textFill>
            <w14:solidFill>
              <w14:schemeClr w14:val="tx1"/>
            </w14:solidFill>
          </w14:textFill>
        </w:rPr>
      </w:pPr>
    </w:p>
    <w:p>
      <w:pPr>
        <w:pStyle w:val="54"/>
        <w:rPr>
          <w:color w:val="000000" w:themeColor="text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adjustRightInd w:val="0"/>
        <w:snapToGrid w:val="0"/>
        <w:spacing w:line="34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商务响应表</w:t>
      </w:r>
    </w:p>
    <w:p>
      <w:pPr>
        <w:pStyle w:val="54"/>
        <w:rPr>
          <w:color w:val="000000" w:themeColor="text1"/>
          <w:highlight w:val="none"/>
          <w:lang w:eastAsia="zh-CN"/>
          <w14:textFill>
            <w14:solidFill>
              <w14:schemeClr w14:val="tx1"/>
            </w14:solidFill>
          </w14:textFill>
        </w:rPr>
      </w:pPr>
    </w:p>
    <w:tbl>
      <w:tblPr>
        <w:tblStyle w:val="37"/>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9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是否响应</w:t>
            </w: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jc w:val="center"/>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ascii="宋体" w:hAnsi="宋体" w:eastAsia="宋体"/>
                <w:color w:val="000000" w:themeColor="text1"/>
                <w:sz w:val="21"/>
                <w:szCs w:val="21"/>
                <w:highlight w:val="none"/>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ascii="宋体" w:hAnsi="宋体" w:eastAsia="宋体"/>
                <w:color w:val="000000" w:themeColor="text1"/>
                <w:sz w:val="21"/>
                <w:szCs w:val="21"/>
                <w:highlight w:val="none"/>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ascii="宋体" w:hAnsi="宋体" w:eastAsia="宋体"/>
                <w:color w:val="000000" w:themeColor="text1"/>
                <w:sz w:val="21"/>
                <w:szCs w:val="21"/>
                <w:highlight w:val="none"/>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43"/>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43"/>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1548" w:type="dxa"/>
            <w:tcBorders>
              <w:top w:val="single" w:color="auto" w:sz="4" w:space="0"/>
              <w:left w:val="single" w:color="auto" w:sz="4" w:space="0"/>
              <w:bottom w:val="single" w:color="auto" w:sz="4" w:space="0"/>
              <w:right w:val="single" w:color="auto" w:sz="4" w:space="0"/>
            </w:tcBorders>
          </w:tcPr>
          <w:p>
            <w:pPr>
              <w:snapToGrid w:val="0"/>
              <w:spacing w:before="120" w:beforeLines="50" w:line="240" w:lineRule="exact"/>
              <w:rPr>
                <w:rFonts w:ascii="宋体" w:hAnsi="宋体" w:eastAsia="宋体"/>
                <w:color w:val="000000" w:themeColor="text1"/>
                <w:sz w:val="21"/>
                <w:szCs w:val="21"/>
                <w:highlight w:val="none"/>
                <w14:textFill>
                  <w14:solidFill>
                    <w14:schemeClr w14:val="tx1"/>
                  </w14:solidFill>
                </w14:textFill>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ind w:left="105" w:hanging="105" w:hangingChars="50"/>
              <w:rPr>
                <w:rFonts w:ascii="宋体" w:hAnsi="宋体" w:eastAsia="宋体"/>
                <w:color w:val="000000" w:themeColor="text1"/>
                <w:sz w:val="2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c>
          <w:tcPr>
            <w:tcW w:w="2931" w:type="dxa"/>
            <w:tcBorders>
              <w:top w:val="single" w:color="auto" w:sz="4" w:space="0"/>
              <w:left w:val="single" w:color="auto" w:sz="4" w:space="0"/>
              <w:bottom w:val="single" w:color="auto" w:sz="4" w:space="0"/>
              <w:right w:val="single" w:color="auto" w:sz="4" w:space="0"/>
            </w:tcBorders>
          </w:tcPr>
          <w:p>
            <w:pPr>
              <w:snapToGrid w:val="0"/>
              <w:spacing w:before="120" w:beforeLines="50" w:line="360" w:lineRule="exact"/>
              <w:rPr>
                <w:rFonts w:ascii="宋体" w:hAnsi="宋体" w:eastAsia="宋体"/>
                <w:color w:val="000000" w:themeColor="text1"/>
                <w:sz w:val="21"/>
                <w:szCs w:val="21"/>
                <w:highlight w:val="none"/>
                <w14:textFill>
                  <w14:solidFill>
                    <w14:schemeClr w14:val="tx1"/>
                  </w14:solidFill>
                </w14:textFill>
              </w:rPr>
            </w:pPr>
          </w:p>
        </w:tc>
      </w:tr>
    </w:tbl>
    <w:p>
      <w:pPr>
        <w:snapToGrid w:val="0"/>
        <w:spacing w:before="120" w:beforeLines="50" w:after="120" w:afterLines="50" w:line="360" w:lineRule="exac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说明：按照“第三章 货物需求一览表 商务要求”部分逐一填写。</w:t>
      </w:r>
    </w:p>
    <w:p>
      <w:pPr>
        <w:snapToGrid w:val="0"/>
        <w:spacing w:before="120" w:beforeLines="50" w:after="120" w:afterLines="50" w:line="360" w:lineRule="exact"/>
        <w:rPr>
          <w:rFonts w:ascii="宋体" w:hAnsi="宋体" w:eastAsia="宋体"/>
          <w:color w:val="000000" w:themeColor="text1"/>
          <w:sz w:val="21"/>
          <w:szCs w:val="21"/>
          <w:highlight w:val="none"/>
          <w:lang w:eastAsia="zh-CN"/>
          <w14:textFill>
            <w14:solidFill>
              <w14:schemeClr w14:val="tx1"/>
            </w14:solidFill>
          </w14:textFill>
        </w:rPr>
      </w:pPr>
    </w:p>
    <w:p>
      <w:pPr>
        <w:pStyle w:val="26"/>
        <w:rPr>
          <w:color w:val="000000" w:themeColor="text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pStyle w:val="54"/>
        <w:rPr>
          <w:rFonts w:ascii="宋体" w:hAnsi="宋体" w:eastAsia="宋体"/>
          <w:b/>
          <w:color w:val="000000" w:themeColor="text1"/>
          <w:sz w:val="21"/>
          <w:szCs w:val="21"/>
          <w:highlight w:val="none"/>
          <w:lang w:eastAsia="zh-CN"/>
          <w14:textFill>
            <w14:solidFill>
              <w14:schemeClr w14:val="tx1"/>
            </w14:solidFill>
          </w14:textFill>
        </w:rPr>
      </w:pPr>
    </w:p>
    <w:p>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pPr>
        <w:wordWrap w:val="0"/>
        <w:topLinePunct/>
        <w:adjustRightInd w:val="0"/>
        <w:snapToGrid w:val="0"/>
        <w:spacing w:line="400" w:lineRule="exact"/>
        <w:ind w:firstLine="422" w:firstLineChars="200"/>
        <w:jc w:val="left"/>
        <w:rPr>
          <w:rFonts w:ascii="宋体" w:hAnsi="宋体" w:eastAsia="宋体"/>
          <w:b/>
          <w:bCs/>
          <w:color w:val="000000" w:themeColor="text1"/>
          <w:sz w:val="21"/>
          <w:szCs w:val="21"/>
          <w:highlight w:val="none"/>
          <w:lang w:eastAsia="zh-CN"/>
          <w14:textFill>
            <w14:solidFill>
              <w14:schemeClr w14:val="tx1"/>
            </w14:solidFill>
          </w14:textFill>
        </w:rPr>
      </w:pPr>
    </w:p>
    <w:p>
      <w:pPr>
        <w:snapToGrid w:val="0"/>
        <w:spacing w:line="360" w:lineRule="exact"/>
        <w:rPr>
          <w:rFonts w:ascii="宋体" w:hAnsi="宋体" w:eastAsia="宋体"/>
          <w:b/>
          <w:color w:val="000000" w:themeColor="text1"/>
          <w:sz w:val="21"/>
          <w:szCs w:val="21"/>
          <w:highlight w:val="none"/>
          <w:u w:val="double"/>
          <w:lang w:eastAsia="zh-CN"/>
          <w14:textFill>
            <w14:solidFill>
              <w14:schemeClr w14:val="tx1"/>
            </w14:solidFill>
          </w14:textFill>
        </w:rPr>
      </w:pPr>
    </w:p>
    <w:p>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p>
      <w:pPr>
        <w:snapToGrid w:val="0"/>
        <w:spacing w:line="360" w:lineRule="exact"/>
        <w:jc w:val="center"/>
        <w:rPr>
          <w:rFonts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技术响应表</w:t>
      </w:r>
    </w:p>
    <w:p>
      <w:pPr>
        <w:snapToGrid w:val="0"/>
        <w:spacing w:line="360" w:lineRule="exact"/>
        <w:jc w:val="left"/>
        <w:rPr>
          <w:rFonts w:ascii="宋体" w:hAnsi="宋体" w:eastAsia="宋体"/>
          <w:b/>
          <w:color w:val="000000" w:themeColor="text1"/>
          <w:sz w:val="21"/>
          <w:szCs w:val="21"/>
          <w:highlight w:val="none"/>
          <w:lang w:eastAsia="zh-CN"/>
          <w14:textFill>
            <w14:solidFill>
              <w14:schemeClr w14:val="tx1"/>
            </w14:solidFill>
          </w14:textFill>
        </w:rPr>
      </w:pPr>
    </w:p>
    <w:tbl>
      <w:tblPr>
        <w:tblStyle w:val="37"/>
        <w:tblW w:w="100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1516"/>
        <w:gridCol w:w="2743"/>
        <w:gridCol w:w="1725"/>
        <w:gridCol w:w="1665"/>
        <w:gridCol w:w="900"/>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6" w:type="dxa"/>
            <w:vMerge w:val="restart"/>
            <w:tcBorders>
              <w:top w:val="single" w:color="auto" w:sz="4" w:space="0"/>
              <w:left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193" w:name="_Toc28819"/>
            <w:bookmarkStart w:id="194" w:name="_Toc11258"/>
            <w:r>
              <w:rPr>
                <w:rFonts w:hint="eastAsia" w:hAnsi="宋体" w:cs="宋体"/>
                <w:color w:val="000000" w:themeColor="text1"/>
                <w:szCs w:val="21"/>
                <w:highlight w:val="none"/>
                <w14:textFill>
                  <w14:solidFill>
                    <w14:schemeClr w14:val="tx1"/>
                  </w14:solidFill>
                </w14:textFill>
              </w:rPr>
              <w:t>序号</w:t>
            </w:r>
            <w:bookmarkEnd w:id="193"/>
            <w:bookmarkEnd w:id="194"/>
          </w:p>
        </w:tc>
        <w:tc>
          <w:tcPr>
            <w:tcW w:w="4259"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195" w:name="_Toc8845"/>
            <w:bookmarkStart w:id="196" w:name="_Toc254970558"/>
            <w:bookmarkStart w:id="197" w:name="_Toc254970699"/>
            <w:bookmarkStart w:id="198" w:name="_Toc8742"/>
            <w:r>
              <w:rPr>
                <w:rFonts w:hint="eastAsia" w:hAnsi="宋体" w:cs="宋体"/>
                <w:color w:val="000000" w:themeColor="text1"/>
                <w:szCs w:val="21"/>
                <w:highlight w:val="none"/>
                <w14:textFill>
                  <w14:solidFill>
                    <w14:schemeClr w14:val="tx1"/>
                  </w14:solidFill>
                </w14:textFill>
              </w:rPr>
              <w:t>招标文件要求</w:t>
            </w:r>
            <w:bookmarkEnd w:id="195"/>
            <w:bookmarkEnd w:id="196"/>
            <w:bookmarkEnd w:id="197"/>
            <w:bookmarkEnd w:id="198"/>
          </w:p>
        </w:tc>
        <w:tc>
          <w:tcPr>
            <w:tcW w:w="3390" w:type="dxa"/>
            <w:gridSpan w:val="2"/>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199" w:name="_Toc254970700"/>
            <w:bookmarkStart w:id="200" w:name="_Toc254970559"/>
            <w:bookmarkStart w:id="201" w:name="_Toc20342"/>
            <w:bookmarkStart w:id="202" w:name="_Toc2466"/>
            <w:r>
              <w:rPr>
                <w:rFonts w:hint="eastAsia" w:hAnsi="宋体" w:cs="宋体"/>
                <w:color w:val="000000" w:themeColor="text1"/>
                <w:szCs w:val="21"/>
                <w:highlight w:val="none"/>
                <w14:textFill>
                  <w14:solidFill>
                    <w14:schemeClr w14:val="tx1"/>
                  </w14:solidFill>
                </w14:textFill>
              </w:rPr>
              <w:t>投标文件响应</w:t>
            </w:r>
            <w:bookmarkEnd w:id="199"/>
            <w:bookmarkEnd w:id="200"/>
            <w:bookmarkEnd w:id="201"/>
            <w:bookmarkEnd w:id="202"/>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03" w:name="_Toc8600"/>
            <w:bookmarkStart w:id="204" w:name="_Toc1895"/>
            <w:bookmarkStart w:id="205" w:name="_Toc254970560"/>
            <w:bookmarkStart w:id="206" w:name="_Toc254970701"/>
            <w:r>
              <w:rPr>
                <w:rFonts w:hint="eastAsia" w:hAnsi="宋体" w:cs="宋体"/>
                <w:color w:val="000000" w:themeColor="text1"/>
                <w:szCs w:val="21"/>
                <w:highlight w:val="none"/>
                <w14:textFill>
                  <w14:solidFill>
                    <w14:schemeClr w14:val="tx1"/>
                  </w14:solidFill>
                </w14:textFill>
              </w:rPr>
              <w:t>偏离</w:t>
            </w:r>
            <w:bookmarkEnd w:id="203"/>
            <w:bookmarkEnd w:id="204"/>
          </w:p>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07" w:name="_Toc31855"/>
            <w:bookmarkStart w:id="208" w:name="_Toc31417"/>
            <w:r>
              <w:rPr>
                <w:rFonts w:hint="eastAsia" w:hAnsi="宋体" w:cs="宋体"/>
                <w:color w:val="000000" w:themeColor="text1"/>
                <w:szCs w:val="21"/>
                <w:highlight w:val="none"/>
                <w14:textFill>
                  <w14:solidFill>
                    <w14:schemeClr w14:val="tx1"/>
                  </w14:solidFill>
                </w14:textFill>
              </w:rPr>
              <w:t>情况</w:t>
            </w:r>
            <w:bookmarkEnd w:id="205"/>
            <w:bookmarkEnd w:id="206"/>
            <w:bookmarkEnd w:id="207"/>
            <w:bookmarkEnd w:id="208"/>
          </w:p>
        </w:tc>
        <w:tc>
          <w:tcPr>
            <w:tcW w:w="900" w:type="dxa"/>
            <w:vMerge w:val="restart"/>
            <w:tcBorders>
              <w:top w:val="single" w:color="auto" w:sz="4" w:space="0"/>
              <w:left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证明材料所在页码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exact"/>
          <w:jc w:val="center"/>
        </w:trPr>
        <w:tc>
          <w:tcPr>
            <w:tcW w:w="636" w:type="dxa"/>
            <w:vMerge w:val="continue"/>
            <w:tcBorders>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09" w:name="_Toc6628"/>
            <w:bookmarkStart w:id="210" w:name="_Toc2517"/>
            <w:r>
              <w:rPr>
                <w:rFonts w:hint="eastAsia" w:hAnsi="宋体" w:cs="宋体"/>
                <w:color w:val="000000" w:themeColor="text1"/>
                <w:szCs w:val="21"/>
                <w:highlight w:val="none"/>
                <w14:textFill>
                  <w14:solidFill>
                    <w14:schemeClr w14:val="tx1"/>
                  </w14:solidFill>
                </w14:textFill>
              </w:rPr>
              <w:t>设备名称</w:t>
            </w:r>
            <w:bookmarkEnd w:id="209"/>
            <w:bookmarkEnd w:id="210"/>
          </w:p>
        </w:tc>
        <w:tc>
          <w:tcPr>
            <w:tcW w:w="2743"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11" w:name="_Toc25802"/>
            <w:bookmarkStart w:id="212" w:name="_Toc21623"/>
            <w:r>
              <w:rPr>
                <w:rFonts w:hint="eastAsia" w:hAnsi="宋体" w:cs="宋体"/>
                <w:color w:val="000000" w:themeColor="text1"/>
                <w:szCs w:val="21"/>
                <w:highlight w:val="none"/>
                <w14:textFill>
                  <w14:solidFill>
                    <w14:schemeClr w14:val="tx1"/>
                  </w14:solidFill>
                </w14:textFill>
              </w:rPr>
              <w:t>性能及指标</w:t>
            </w:r>
            <w:bookmarkEnd w:id="211"/>
            <w:bookmarkEnd w:id="212"/>
          </w:p>
        </w:tc>
        <w:tc>
          <w:tcPr>
            <w:tcW w:w="172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13" w:name="_Toc254970704"/>
            <w:bookmarkStart w:id="214" w:name="_Toc13086"/>
            <w:bookmarkStart w:id="215" w:name="_Toc27632"/>
            <w:bookmarkStart w:id="216" w:name="_Toc254970563"/>
            <w:r>
              <w:rPr>
                <w:rFonts w:hint="eastAsia" w:hAnsi="宋体" w:cs="宋体"/>
                <w:color w:val="000000" w:themeColor="text1"/>
                <w:szCs w:val="21"/>
                <w:highlight w:val="none"/>
                <w14:textFill>
                  <w14:solidFill>
                    <w14:schemeClr w14:val="tx1"/>
                  </w14:solidFill>
                </w14:textFill>
              </w:rPr>
              <w:t>设备名称</w:t>
            </w:r>
            <w:bookmarkEnd w:id="213"/>
            <w:bookmarkEnd w:id="214"/>
            <w:bookmarkEnd w:id="215"/>
            <w:bookmarkEnd w:id="216"/>
          </w:p>
        </w:tc>
        <w:tc>
          <w:tcPr>
            <w:tcW w:w="166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bookmarkStart w:id="217" w:name="_Toc1367"/>
            <w:bookmarkStart w:id="218" w:name="_Toc10294"/>
            <w:bookmarkStart w:id="219" w:name="_Toc254970564"/>
            <w:bookmarkStart w:id="220" w:name="_Toc254970705"/>
            <w:r>
              <w:rPr>
                <w:rFonts w:hint="eastAsia" w:hAnsi="宋体" w:cs="宋体"/>
                <w:color w:val="000000" w:themeColor="text1"/>
                <w:szCs w:val="21"/>
                <w:highlight w:val="none"/>
                <w14:textFill>
                  <w14:solidFill>
                    <w14:schemeClr w14:val="tx1"/>
                  </w14:solidFill>
                </w14:textFill>
              </w:rPr>
              <w:t>性能及指标</w:t>
            </w:r>
            <w:bookmarkEnd w:id="217"/>
            <w:bookmarkEnd w:id="218"/>
            <w:bookmarkEnd w:id="219"/>
            <w:bookmarkEnd w:id="220"/>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bookmarkStart w:id="221" w:name="_Toc29321"/>
            <w:bookmarkStart w:id="222" w:name="_Toc28596"/>
            <w:r>
              <w:rPr>
                <w:rFonts w:hint="eastAsia" w:hAnsi="宋体" w:cs="宋体"/>
                <w:color w:val="000000" w:themeColor="text1"/>
                <w:szCs w:val="21"/>
                <w:highlight w:val="none"/>
                <w14:textFill>
                  <w14:solidFill>
                    <w14:schemeClr w14:val="tx1"/>
                  </w14:solidFill>
                </w14:textFill>
              </w:rPr>
              <w:t>1</w:t>
            </w:r>
            <w:bookmarkEnd w:id="221"/>
            <w:bookmarkEnd w:id="222"/>
          </w:p>
        </w:tc>
        <w:tc>
          <w:tcPr>
            <w:tcW w:w="151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2"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bookmarkStart w:id="223" w:name="_Toc22296"/>
            <w:bookmarkStart w:id="224" w:name="_Toc27890"/>
            <w:r>
              <w:rPr>
                <w:rFonts w:hint="eastAsia" w:hAnsi="宋体" w:cs="宋体"/>
                <w:color w:val="000000" w:themeColor="text1"/>
                <w:szCs w:val="21"/>
                <w:highlight w:val="none"/>
                <w14:textFill>
                  <w14:solidFill>
                    <w14:schemeClr w14:val="tx1"/>
                  </w14:solidFill>
                </w14:textFill>
              </w:rPr>
              <w:t>2</w:t>
            </w:r>
            <w:bookmarkEnd w:id="223"/>
            <w:bookmarkEnd w:id="224"/>
          </w:p>
        </w:tc>
        <w:tc>
          <w:tcPr>
            <w:tcW w:w="1516"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2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636" w:type="dxa"/>
            <w:tcBorders>
              <w:top w:val="single" w:color="auto" w:sz="4" w:space="0"/>
              <w:left w:val="single" w:color="auto" w:sz="4" w:space="0"/>
              <w:bottom w:val="single" w:color="auto" w:sz="4" w:space="0"/>
              <w:right w:val="single" w:color="auto" w:sz="4" w:space="0"/>
            </w:tcBorders>
            <w:vAlign w:val="center"/>
          </w:tcPr>
          <w:p>
            <w:pPr>
              <w:pStyle w:val="20"/>
              <w:snapToGrid w:val="0"/>
              <w:spacing w:before="295" w:after="295" w:line="360" w:lineRule="exact"/>
              <w:jc w:val="center"/>
              <w:outlineLvl w:val="0"/>
              <w:rPr>
                <w:rFonts w:hAnsi="宋体" w:cs="宋体"/>
                <w:color w:val="000000" w:themeColor="text1"/>
                <w:szCs w:val="21"/>
                <w:highlight w:val="none"/>
                <w14:textFill>
                  <w14:solidFill>
                    <w14:schemeClr w14:val="tx1"/>
                  </w14:solidFill>
                </w14:textFill>
              </w:rPr>
            </w:pPr>
            <w:bookmarkStart w:id="225" w:name="_Toc11563"/>
            <w:bookmarkStart w:id="226" w:name="_Toc4297"/>
            <w:r>
              <w:rPr>
                <w:rFonts w:hint="eastAsia" w:hAnsi="宋体" w:cs="宋体"/>
                <w:color w:val="000000" w:themeColor="text1"/>
                <w:szCs w:val="21"/>
                <w:highlight w:val="none"/>
                <w14:textFill>
                  <w14:solidFill>
                    <w14:schemeClr w14:val="tx1"/>
                  </w14:solidFill>
                </w14:textFill>
              </w:rPr>
              <w:t>……</w:t>
            </w:r>
            <w:bookmarkEnd w:id="225"/>
            <w:bookmarkEnd w:id="226"/>
          </w:p>
        </w:tc>
        <w:tc>
          <w:tcPr>
            <w:tcW w:w="1516" w:type="dxa"/>
            <w:tcBorders>
              <w:top w:val="single" w:color="auto" w:sz="4" w:space="0"/>
              <w:left w:val="single" w:color="auto" w:sz="4" w:space="0"/>
              <w:bottom w:val="single" w:color="auto" w:sz="4" w:space="0"/>
              <w:right w:val="single" w:color="auto" w:sz="4" w:space="0"/>
            </w:tcBorders>
            <w:vAlign w:val="center"/>
          </w:tcPr>
          <w:p>
            <w:pPr>
              <w:pStyle w:val="20"/>
              <w:snapToGrid w:val="0"/>
              <w:spacing w:before="295" w:after="295" w:line="360" w:lineRule="exact"/>
              <w:outlineLvl w:val="0"/>
              <w:rPr>
                <w:rFonts w:hAnsi="宋体" w:cs="宋体"/>
                <w:color w:val="000000" w:themeColor="text1"/>
                <w:szCs w:val="21"/>
                <w:highlight w:val="none"/>
                <w14:textFill>
                  <w14:solidFill>
                    <w14:schemeClr w14:val="tx1"/>
                  </w14:solidFill>
                </w14:textFill>
              </w:rPr>
            </w:pPr>
          </w:p>
        </w:tc>
        <w:tc>
          <w:tcPr>
            <w:tcW w:w="2743"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0"/>
              <w:snapToGrid w:val="0"/>
              <w:spacing w:line="360" w:lineRule="exact"/>
              <w:jc w:val="center"/>
              <w:outlineLvl w:val="0"/>
              <w:rPr>
                <w:rFonts w:hAnsi="宋体" w:cs="宋体"/>
                <w:color w:val="000000" w:themeColor="text1"/>
                <w:szCs w:val="21"/>
                <w:highlight w:val="none"/>
                <w14:textFill>
                  <w14:solidFill>
                    <w14:schemeClr w14:val="tx1"/>
                  </w14:solidFill>
                </w14:textFill>
              </w:rPr>
            </w:pPr>
          </w:p>
        </w:tc>
      </w:tr>
    </w:tbl>
    <w:p>
      <w:pPr>
        <w:pStyle w:val="16"/>
        <w:spacing w:line="360" w:lineRule="exact"/>
        <w:ind w:firstLine="420" w:firstLineChars="200"/>
        <w:jc w:val="left"/>
        <w:rPr>
          <w:rFonts w:hAnsi="宋体" w:eastAsia="宋体"/>
          <w:color w:val="000000" w:themeColor="text1"/>
          <w:sz w:val="21"/>
          <w:szCs w:val="21"/>
          <w:highlight w:val="none"/>
          <w:lang w:eastAsia="zh-CN"/>
          <w14:textFill>
            <w14:solidFill>
              <w14:schemeClr w14:val="tx1"/>
            </w14:solidFill>
          </w14:textFill>
        </w:rPr>
      </w:pPr>
      <w:r>
        <w:rPr>
          <w:rFonts w:hint="eastAsia" w:hAnsi="宋体" w:eastAsia="宋体"/>
          <w:color w:val="000000" w:themeColor="text1"/>
          <w:sz w:val="21"/>
          <w:szCs w:val="21"/>
          <w:highlight w:val="none"/>
          <w:lang w:eastAsia="zh-CN"/>
          <w14:textFill>
            <w14:solidFill>
              <w14:schemeClr w14:val="tx1"/>
            </w14:solidFill>
          </w14:textFill>
        </w:rPr>
        <w:t>注：1、投标人应根据投标设备的性能指标、对照招标文件要求在“偏离情况”栏注明“正偏离”、“负偏离”或“无偏离”。投标技术规格与招标要求相同的为无偏离，投标技术规格高于招标要求的为正偏离，低于招标要求的为负偏离。投标技术指标或者规格有“正偏离”或者“负偏离”的，请在偏离的指标处加划下横线标注。</w:t>
      </w:r>
    </w:p>
    <w:p>
      <w:pPr>
        <w:pStyle w:val="16"/>
        <w:ind w:firstLine="420" w:firstLineChars="200"/>
        <w:jc w:val="left"/>
        <w:rPr>
          <w:rFonts w:hAnsi="宋体" w:eastAsia="宋体"/>
          <w:color w:val="000000" w:themeColor="text1"/>
          <w:sz w:val="21"/>
          <w:szCs w:val="21"/>
          <w:highlight w:val="none"/>
          <w:lang w:eastAsia="zh-CN"/>
          <w14:textFill>
            <w14:solidFill>
              <w14:schemeClr w14:val="tx1"/>
            </w14:solidFill>
          </w14:textFill>
        </w:rPr>
      </w:pPr>
      <w:r>
        <w:rPr>
          <w:rFonts w:hint="eastAsia" w:hAnsi="宋体" w:eastAsia="宋体"/>
          <w:color w:val="000000" w:themeColor="text1"/>
          <w:sz w:val="21"/>
          <w:szCs w:val="21"/>
          <w:highlight w:val="none"/>
          <w:lang w:eastAsia="zh-CN"/>
          <w14:textFill>
            <w14:solidFill>
              <w14:schemeClr w14:val="tx1"/>
            </w14:solidFill>
          </w14:textFill>
        </w:rPr>
        <w:t>2、如有提供证明材料的请在本表中应答证明材料具体位置。</w:t>
      </w:r>
    </w:p>
    <w:p>
      <w:pPr>
        <w:pStyle w:val="26"/>
        <w:rPr>
          <w:rFonts w:ascii="宋体" w:hAnsi="宋体" w:eastAsia="宋体"/>
          <w:color w:val="000000" w:themeColor="text1"/>
          <w:spacing w:val="20"/>
          <w:sz w:val="21"/>
          <w:szCs w:val="21"/>
          <w:highlight w:val="none"/>
          <w:lang w:eastAsia="zh-CN"/>
          <w14:textFill>
            <w14:solidFill>
              <w14:schemeClr w14:val="tx1"/>
            </w14:solidFill>
          </w14:textFill>
        </w:rPr>
      </w:pPr>
    </w:p>
    <w:p>
      <w:pPr>
        <w:rPr>
          <w:color w:val="000000" w:themeColor="text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spacing w:line="600" w:lineRule="exact"/>
        <w:ind w:firstLine="3373" w:firstLineChars="1400"/>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rFonts w:ascii="宋体" w:hAnsi="宋体" w:eastAsia="宋体"/>
          <w:bCs/>
          <w:color w:val="000000" w:themeColor="text1"/>
          <w:sz w:val="24"/>
          <w:szCs w:val="24"/>
          <w:highlight w:val="none"/>
          <w:lang w:eastAsia="zh-CN"/>
          <w14:textFill>
            <w14:solidFill>
              <w14:schemeClr w14:val="tx1"/>
            </w14:solidFill>
          </w14:textFill>
        </w:rPr>
      </w:pPr>
    </w:p>
    <w:p>
      <w:pPr>
        <w:rPr>
          <w:rFonts w:ascii="宋体" w:hAnsi="宋体" w:eastAsia="宋体"/>
          <w:b/>
          <w:bCs/>
          <w:color w:val="000000" w:themeColor="text1"/>
          <w:sz w:val="24"/>
          <w:szCs w:val="24"/>
          <w:highlight w:val="none"/>
          <w:lang w:eastAsia="zh-CN"/>
          <w14:textFill>
            <w14:solidFill>
              <w14:schemeClr w14:val="tx1"/>
            </w14:solidFill>
          </w14:textFill>
        </w:rPr>
      </w:pPr>
    </w:p>
    <w:p>
      <w:pPr>
        <w:pStyle w:val="17"/>
        <w:rPr>
          <w:color w:val="000000" w:themeColor="text1"/>
          <w:highlight w:val="none"/>
          <w:lang w:eastAsia="zh-CN"/>
          <w14:textFill>
            <w14:solidFill>
              <w14:schemeClr w14:val="tx1"/>
            </w14:solidFill>
          </w14:textFill>
        </w:rPr>
      </w:pPr>
    </w:p>
    <w:p>
      <w:pPr>
        <w:spacing w:line="600" w:lineRule="exact"/>
        <w:ind w:firstLine="3855" w:firstLineChars="1600"/>
        <w:rPr>
          <w:rFonts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b/>
          <w:bCs/>
          <w:color w:val="000000" w:themeColor="text1"/>
          <w:sz w:val="24"/>
          <w:szCs w:val="24"/>
          <w:highlight w:val="none"/>
          <w:lang w:eastAsia="zh-CN"/>
          <w14:textFill>
            <w14:solidFill>
              <w14:schemeClr w14:val="tx1"/>
            </w14:solidFill>
          </w14:textFill>
        </w:rPr>
        <w:t>产品质量保证书</w:t>
      </w:r>
    </w:p>
    <w:p>
      <w:pPr>
        <w:spacing w:line="500" w:lineRule="exact"/>
        <w:ind w:left="420" w:hanging="42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致</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（采购人）：</w:t>
      </w:r>
    </w:p>
    <w:p>
      <w:pPr>
        <w:spacing w:line="5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我公司在此向贵方承诺：</w:t>
      </w:r>
    </w:p>
    <w:p>
      <w:pPr>
        <w:spacing w:line="500" w:lineRule="exact"/>
        <w:ind w:firstLine="420" w:firstLineChars="200"/>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我方参与投标的</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项目（编号</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u w:val="single"/>
          <w:lang w:eastAsia="zh-CN"/>
          <w14:textFill>
            <w14:solidFill>
              <w14:schemeClr w14:val="tx1"/>
            </w14:solidFill>
          </w14:textFill>
        </w:rPr>
        <w:t xml:space="preserve">    </w:t>
      </w:r>
      <w:r>
        <w:rPr>
          <w:rFonts w:hint="eastAsia" w:ascii="宋体" w:hAnsi="宋体" w:eastAsia="宋体"/>
          <w:color w:val="000000" w:themeColor="text1"/>
          <w:sz w:val="21"/>
          <w:szCs w:val="21"/>
          <w:highlight w:val="none"/>
          <w:lang w:eastAsia="zh-CN"/>
          <w14:textFill>
            <w14:solidFill>
              <w14:schemeClr w14:val="tx1"/>
            </w14:solidFill>
          </w14:textFill>
        </w:rPr>
        <w:t>分标，一旦中标，我方保证按照招标文件文件和投标文件的要求提供合格的产品，如出现弄虚作假，包括掺杂、掺假、以假充真、以次充好、以不合格产品冒充合格产品的，我方愿按《政府采购法》、《民法典》、《产品质量法》、《消费者权益保护法》等法律法规规定，承担相应的经济责任和法律责任。</w:t>
      </w:r>
    </w:p>
    <w:p>
      <w:pPr>
        <w:spacing w:line="300" w:lineRule="auto"/>
        <w:rPr>
          <w:rFonts w:ascii="宋体" w:hAnsi="宋体" w:eastAsia="宋体"/>
          <w:b/>
          <w:color w:val="000000" w:themeColor="text1"/>
          <w:sz w:val="21"/>
          <w:szCs w:val="21"/>
          <w:highlight w:val="none"/>
          <w:lang w:eastAsia="zh-CN"/>
          <w14:textFill>
            <w14:solidFill>
              <w14:schemeClr w14:val="tx1"/>
            </w14:solidFill>
          </w14:textFill>
        </w:rPr>
      </w:pPr>
    </w:p>
    <w:p>
      <w:pPr>
        <w:spacing w:line="300" w:lineRule="auto"/>
        <w:ind w:left="420" w:hanging="420"/>
        <w:jc w:val="center"/>
        <w:rPr>
          <w:rFonts w:ascii="宋体" w:hAnsi="宋体" w:eastAsia="宋体"/>
          <w:b/>
          <w:color w:val="000000" w:themeColor="text1"/>
          <w:sz w:val="21"/>
          <w:szCs w:val="21"/>
          <w:highlight w:val="none"/>
          <w:lang w:eastAsia="zh-CN"/>
          <w14:textFill>
            <w14:solidFill>
              <w14:schemeClr w14:val="tx1"/>
            </w14:solidFill>
          </w14:textFill>
        </w:rPr>
      </w:pPr>
    </w:p>
    <w:p>
      <w:pPr>
        <w:autoSpaceDE w:val="0"/>
        <w:autoSpaceDN w:val="0"/>
        <w:spacing w:line="360" w:lineRule="auto"/>
        <w:ind w:firstLine="5040" w:firstLineChars="210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eastAsia="宋体"/>
          <w:color w:val="000000" w:themeColor="text1"/>
          <w:sz w:val="24"/>
          <w:szCs w:val="28"/>
          <w:highlight w:val="none"/>
          <w:lang w:eastAsia="zh-CN"/>
          <w14:textFill>
            <w14:solidFill>
              <w14:schemeClr w14:val="tx1"/>
            </w14:solidFill>
          </w14:textFill>
        </w:rPr>
        <w:t>投标人</w:t>
      </w:r>
      <w:r>
        <w:rPr>
          <w:rFonts w:hint="eastAsia" w:ascii="宋体" w:hAnsi="宋体"/>
          <w:color w:val="000000" w:themeColor="text1"/>
          <w:sz w:val="24"/>
          <w:szCs w:val="28"/>
          <w:highlight w:val="none"/>
          <w:lang w:eastAsia="zh-CN"/>
          <w14:textFill>
            <w14:solidFill>
              <w14:schemeClr w14:val="tx1"/>
            </w14:solidFill>
          </w14:textFill>
        </w:rPr>
        <w:t>名称（电子签章）：</w:t>
      </w:r>
    </w:p>
    <w:p>
      <w:pPr>
        <w:autoSpaceDE w:val="0"/>
        <w:autoSpaceDN w:val="0"/>
        <w:spacing w:line="360" w:lineRule="auto"/>
        <w:ind w:firstLine="6120" w:firstLineChars="2550"/>
        <w:rPr>
          <w:rFonts w:ascii="宋体" w:hAnsi="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lang w:val="zh-CN" w:eastAsia="zh-CN"/>
          <w14:textFill>
            <w14:solidFill>
              <w14:schemeClr w14:val="tx1"/>
            </w14:solidFill>
          </w14:textFill>
        </w:rPr>
        <w:t xml:space="preserve">日期：  </w:t>
      </w:r>
      <w:r>
        <w:rPr>
          <w:rFonts w:hint="eastAsia" w:ascii="宋体" w:hAnsi="宋体" w:eastAsia="宋体"/>
          <w:color w:val="000000" w:themeColor="text1"/>
          <w:sz w:val="24"/>
          <w:szCs w:val="28"/>
          <w:highlight w:val="none"/>
          <w:lang w:eastAsia="zh-CN"/>
          <w14:textFill>
            <w14:solidFill>
              <w14:schemeClr w14:val="tx1"/>
            </w14:solidFill>
          </w14:textFill>
        </w:rPr>
        <w:t xml:space="preserve"> </w:t>
      </w:r>
      <w:r>
        <w:rPr>
          <w:rFonts w:hint="eastAsia" w:ascii="宋体" w:hAnsi="宋体"/>
          <w:color w:val="000000" w:themeColor="text1"/>
          <w:sz w:val="24"/>
          <w:szCs w:val="28"/>
          <w:highlight w:val="none"/>
          <w:lang w:val="zh-CN" w:eastAsia="zh-CN"/>
          <w14:textFill>
            <w14:solidFill>
              <w14:schemeClr w14:val="tx1"/>
            </w14:solidFill>
          </w14:textFill>
        </w:rPr>
        <w:t>年  月   日</w:t>
      </w:r>
      <w:r>
        <w:rPr>
          <w:rFonts w:hint="eastAsia" w:ascii="宋体" w:hAnsi="宋体"/>
          <w:color w:val="000000" w:themeColor="text1"/>
          <w:sz w:val="24"/>
          <w:szCs w:val="28"/>
          <w:highlight w:val="none"/>
          <w:lang w:eastAsia="zh-CN"/>
          <w14:textFill>
            <w14:solidFill>
              <w14:schemeClr w14:val="tx1"/>
            </w14:solidFill>
          </w14:textFill>
        </w:rPr>
        <w:t xml:space="preserve">     </w:t>
      </w:r>
    </w:p>
    <w:p>
      <w:pPr>
        <w:pStyle w:val="20"/>
        <w:spacing w:line="288" w:lineRule="auto"/>
        <w:jc w:val="center"/>
        <w:rPr>
          <w:rFonts w:hAnsi="宋体" w:cs="宋体"/>
          <w:b/>
          <w:color w:val="000000" w:themeColor="text1"/>
          <w:szCs w:val="21"/>
          <w:highlight w:val="none"/>
          <w14:textFill>
            <w14:solidFill>
              <w14:schemeClr w14:val="tx1"/>
            </w14:solidFill>
          </w14:textFill>
        </w:rPr>
      </w:pPr>
    </w:p>
    <w:p>
      <w:pPr>
        <w:pStyle w:val="54"/>
        <w:rPr>
          <w:rFonts w:ascii="宋体" w:hAnsi="宋体" w:eastAsia="宋体"/>
          <w:b/>
          <w:color w:val="000000" w:themeColor="text1"/>
          <w:sz w:val="21"/>
          <w:szCs w:val="21"/>
          <w:highlight w:val="none"/>
          <w:u w:val="doubl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pStyle w:val="95"/>
        <w:jc w:val="both"/>
        <w:rPr>
          <w:rFonts w:eastAsia="宋体"/>
          <w:color w:val="000000" w:themeColor="text1"/>
          <w:sz w:val="21"/>
          <w:szCs w:val="21"/>
          <w:highlight w:val="none"/>
          <w:lang w:eastAsia="zh-CN"/>
          <w14:textFill>
            <w14:solidFill>
              <w14:schemeClr w14:val="tx1"/>
            </w14:solidFill>
          </w14:textFill>
        </w:rPr>
      </w:pPr>
    </w:p>
    <w:p>
      <w:pPr>
        <w:widowControl/>
        <w:spacing w:line="600" w:lineRule="exact"/>
        <w:jc w:val="left"/>
        <w:rPr>
          <w:rFonts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附表</w:t>
      </w:r>
    </w:p>
    <w:p>
      <w:pPr>
        <w:widowControl/>
        <w:spacing w:line="330" w:lineRule="atLeast"/>
        <w:jc w:val="center"/>
        <w:rPr>
          <w:rFonts w:ascii="方正小标宋_GBK" w:hAnsi="宋体" w:eastAsia="方正小标宋_GBK"/>
          <w:color w:val="000000" w:themeColor="text1"/>
          <w:sz w:val="36"/>
          <w:szCs w:val="32"/>
          <w:highlight w:val="none"/>
          <w:lang w:eastAsia="zh-CN"/>
          <w14:textFill>
            <w14:solidFill>
              <w14:schemeClr w14:val="tx1"/>
            </w14:solidFill>
          </w14:textFill>
        </w:rPr>
      </w:pPr>
      <w:r>
        <w:rPr>
          <w:rFonts w:hint="eastAsia" w:ascii="方正小标宋_GBK" w:hAnsi="宋体" w:eastAsia="方正小标宋_GBK"/>
          <w:color w:val="000000" w:themeColor="text1"/>
          <w:sz w:val="36"/>
          <w:szCs w:val="32"/>
          <w:highlight w:val="none"/>
          <w:lang w:eastAsia="zh-CN"/>
          <w14:textFill>
            <w14:solidFill>
              <w14:schemeClr w14:val="tx1"/>
            </w14:solidFill>
          </w14:textFill>
        </w:rPr>
        <w:t>统计上大中小微型企业划分标准</w:t>
      </w:r>
    </w:p>
    <w:tbl>
      <w:tblPr>
        <w:tblStyle w:val="3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pPr>
              <w:widowControl/>
              <w:spacing w:line="240" w:lineRule="exact"/>
              <w:jc w:val="center"/>
              <w:rPr>
                <w:rFonts w:ascii="宋体" w:hAnsi="宋体"/>
                <w:b/>
                <w:bCs/>
                <w:color w:val="000000" w:themeColor="text1"/>
                <w:sz w:val="18"/>
                <w:szCs w:val="21"/>
                <w:highlight w:val="none"/>
                <w14:textFill>
                  <w14:solidFill>
                    <w14:schemeClr w14:val="tx1"/>
                  </w14:solidFill>
                </w14:textFill>
              </w:rPr>
            </w:pPr>
            <w:r>
              <w:rPr>
                <w:rFonts w:hint="eastAsia" w:ascii="宋体" w:hAnsi="宋体"/>
                <w:b/>
                <w:bCs/>
                <w:color w:val="000000" w:themeColor="text1"/>
                <w:sz w:val="18"/>
                <w:szCs w:val="21"/>
                <w:highlight w:val="none"/>
                <w14:textFill>
                  <w14:solidFill>
                    <w14:schemeClr w14:val="tx1"/>
                  </w14:solidFill>
                </w14:textFill>
              </w:rPr>
              <w:t>行业名称</w:t>
            </w:r>
          </w:p>
        </w:tc>
        <w:tc>
          <w:tcPr>
            <w:tcW w:w="1369" w:type="dxa"/>
            <w:shd w:val="clear" w:color="auto" w:fill="auto"/>
            <w:vAlign w:val="center"/>
          </w:tcPr>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指标名称</w:t>
            </w:r>
          </w:p>
        </w:tc>
        <w:tc>
          <w:tcPr>
            <w:tcW w:w="709" w:type="dxa"/>
            <w:shd w:val="clear" w:color="auto" w:fill="auto"/>
            <w:vAlign w:val="center"/>
          </w:tcPr>
          <w:p>
            <w:pPr>
              <w:widowControl/>
              <w:jc w:val="center"/>
              <w:rPr>
                <w:rFonts w:ascii="宋体" w:hAnsi="宋体" w:eastAsia="宋体"/>
                <w:b/>
                <w:bCs/>
                <w:color w:val="000000" w:themeColor="text1"/>
                <w:sz w:val="18"/>
                <w:szCs w:val="18"/>
                <w:highlight w:val="none"/>
                <w:lang w:eastAsia="zh-CN"/>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计量</w:t>
            </w:r>
          </w:p>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单位</w:t>
            </w:r>
          </w:p>
        </w:tc>
        <w:tc>
          <w:tcPr>
            <w:tcW w:w="1125" w:type="dxa"/>
            <w:shd w:val="clear" w:color="auto" w:fill="auto"/>
            <w:vAlign w:val="center"/>
          </w:tcPr>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大型</w:t>
            </w:r>
          </w:p>
        </w:tc>
        <w:tc>
          <w:tcPr>
            <w:tcW w:w="1701" w:type="dxa"/>
            <w:shd w:val="clear" w:color="auto" w:fill="auto"/>
            <w:vAlign w:val="center"/>
          </w:tcPr>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中型</w:t>
            </w:r>
          </w:p>
        </w:tc>
        <w:tc>
          <w:tcPr>
            <w:tcW w:w="1426" w:type="dxa"/>
            <w:shd w:val="clear" w:color="auto" w:fill="auto"/>
            <w:vAlign w:val="center"/>
          </w:tcPr>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小型</w:t>
            </w:r>
          </w:p>
        </w:tc>
        <w:tc>
          <w:tcPr>
            <w:tcW w:w="992" w:type="dxa"/>
            <w:shd w:val="clear" w:color="auto" w:fill="auto"/>
            <w:vAlign w:val="center"/>
          </w:tcPr>
          <w:p>
            <w:pPr>
              <w:widowControl/>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color w:val="000000" w:themeColor="text1"/>
                <w:sz w:val="18"/>
                <w:szCs w:val="18"/>
                <w:highlight w:val="none"/>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农、林、牧、渔业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500≤Y＜20000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50≤Y＜500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工业 *</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20≤X＜300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Y≥40000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2000≤Y＜40000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300≤Y＜2000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建筑业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Y≥80000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6000≤Y＜80000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300≤Y＜6000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Z≥80000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5000≤Z＜80000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300≤Z＜5000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批发业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20≤X＜200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5≤X＜20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Y≥40000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5000≤Y＜40000</w:t>
            </w:r>
          </w:p>
        </w:tc>
        <w:tc>
          <w:tcPr>
            <w:tcW w:w="1426" w:type="dxa"/>
            <w:shd w:val="clear" w:color="auto" w:fill="auto"/>
            <w:vAlign w:val="center"/>
          </w:tcPr>
          <w:p>
            <w:pPr>
              <w:widowControl/>
              <w:ind w:left="-1" w:leftChars="-1" w:hanging="1"/>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1000≤Y＜5000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零售业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50≤X＜300</w:t>
            </w:r>
          </w:p>
        </w:tc>
        <w:tc>
          <w:tcPr>
            <w:tcW w:w="1426" w:type="dxa"/>
            <w:shd w:val="clear" w:color="auto" w:fill="auto"/>
            <w:vAlign w:val="center"/>
          </w:tcPr>
          <w:p>
            <w:pPr>
              <w:widowControl/>
              <w:ind w:left="-1" w:leftChars="-1" w:hanging="1"/>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10≤X＜50 </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500≤Y＜20000</w:t>
            </w:r>
          </w:p>
        </w:tc>
        <w:tc>
          <w:tcPr>
            <w:tcW w:w="1426" w:type="dxa"/>
            <w:shd w:val="clear" w:color="auto" w:fill="auto"/>
            <w:vAlign w:val="center"/>
          </w:tcPr>
          <w:p>
            <w:pPr>
              <w:widowControl/>
              <w:ind w:left="-1" w:leftChars="-1" w:hanging="1"/>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100≤Y＜500 </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交通运输业 *</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20≤X＜300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3000≤Y＜30000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200≤Y＜3000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仓储业*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100≤X＜200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20≤X＜100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1000≤Y＜30000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100≤Y＜1000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邮政业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20≤X＜300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Y≥30000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2000≤Y＜30000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100≤Y＜2000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住宿业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2000≤Y＜10000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100≤Y＜2000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餐饮业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2000≤Y＜10000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100≤Y＜2000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信息传输业 *</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X≥2000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100≤X＜2000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1000≤Y＜100000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100≤Y＜1000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pacing w:val="-12"/>
                <w:sz w:val="18"/>
                <w:szCs w:val="18"/>
                <w:highlight w:val="none"/>
                <w:lang w:eastAsia="zh-CN"/>
                <w14:textFill>
                  <w14:solidFill>
                    <w14:schemeClr w14:val="tx1"/>
                  </w14:solidFill>
                </w14:textFill>
              </w:rPr>
            </w:pPr>
            <w:r>
              <w:rPr>
                <w:rFonts w:hint="eastAsia" w:ascii="宋体" w:hAnsi="宋体"/>
                <w:color w:val="000000" w:themeColor="text1"/>
                <w:spacing w:val="-12"/>
                <w:sz w:val="18"/>
                <w:szCs w:val="18"/>
                <w:highlight w:val="none"/>
                <w:lang w:eastAsia="zh-CN"/>
                <w14:textFill>
                  <w14:solidFill>
                    <w14:schemeClr w14:val="tx1"/>
                  </w14:solidFill>
                </w14:textFill>
              </w:rPr>
              <w:t>软件和信息技术服</w:t>
            </w:r>
            <w:r>
              <w:rPr>
                <w:rFonts w:hint="eastAsia" w:ascii="宋体" w:hAnsi="宋体"/>
                <w:color w:val="000000" w:themeColor="text1"/>
                <w:sz w:val="18"/>
                <w:szCs w:val="18"/>
                <w:highlight w:val="none"/>
                <w:lang w:eastAsia="zh-CN"/>
                <w14:textFill>
                  <w14:solidFill>
                    <w14:schemeClr w14:val="tx1"/>
                  </w14:solidFill>
                </w14:textFill>
              </w:rPr>
              <w:t>务业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olor w:val="000000" w:themeColor="text1"/>
                <w:spacing w:val="-12"/>
                <w:sz w:val="18"/>
                <w:szCs w:val="18"/>
                <w:highlight w:val="none"/>
                <w14:textFill>
                  <w14:solidFill>
                    <w14:schemeClr w14:val="tx1"/>
                  </w14:solidFill>
                </w14:textFill>
              </w:rPr>
            </w:pP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1000≤Y＜10000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50≤Y＜1000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房地产开发经营</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Y≥200000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1000≤Y＜200000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100≤Y＜1000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Z≥10000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5000≤Z＜10000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2000≤Z＜5000   </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物业管理</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300≤X＜1000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营业收入(Y)</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1000≤Y＜5000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500≤Y＜1000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租赁和商务服务业</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jc w:val="left"/>
              <w:rPr>
                <w:rFonts w:ascii="宋体" w:hAnsi="宋体"/>
                <w:color w:val="000000" w:themeColor="text1"/>
                <w:sz w:val="18"/>
                <w:szCs w:val="18"/>
                <w:highlight w:val="none"/>
                <w14:textFill>
                  <w14:solidFill>
                    <w14:schemeClr w14:val="tx1"/>
                  </w14:solidFill>
                </w14:textFill>
              </w:rPr>
            </w:pPr>
          </w:p>
        </w:tc>
        <w:tc>
          <w:tcPr>
            <w:tcW w:w="1369" w:type="dxa"/>
            <w:shd w:val="clear" w:color="auto" w:fill="auto"/>
            <w:vAlign w:val="center"/>
          </w:tcPr>
          <w:p>
            <w:pPr>
              <w:widowControl/>
              <w:spacing w:line="24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资产总额(Z)</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万元</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Z≥120000</w:t>
            </w:r>
          </w:p>
        </w:tc>
        <w:tc>
          <w:tcPr>
            <w:tcW w:w="1701"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8000≤Z＜120000</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100≤Z＜8000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pPr>
              <w:widowControl/>
              <w:spacing w:line="240" w:lineRule="exac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其他未列明行业 *</w:t>
            </w:r>
          </w:p>
        </w:tc>
        <w:tc>
          <w:tcPr>
            <w:tcW w:w="136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从业人员(X)</w:t>
            </w:r>
          </w:p>
        </w:tc>
        <w:tc>
          <w:tcPr>
            <w:tcW w:w="709"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人</w:t>
            </w:r>
          </w:p>
        </w:tc>
        <w:tc>
          <w:tcPr>
            <w:tcW w:w="1125"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X≥300</w:t>
            </w:r>
          </w:p>
        </w:tc>
        <w:tc>
          <w:tcPr>
            <w:tcW w:w="1701" w:type="dxa"/>
            <w:shd w:val="clear" w:color="auto" w:fill="auto"/>
            <w:vAlign w:val="center"/>
          </w:tcPr>
          <w:p>
            <w:pPr>
              <w:widowControl/>
              <w:ind w:left="6" w:leftChars="-51" w:hanging="108" w:hangingChars="60"/>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100≤X＜300 </w:t>
            </w:r>
          </w:p>
        </w:tc>
        <w:tc>
          <w:tcPr>
            <w:tcW w:w="1426"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 10≤X＜100</w:t>
            </w:r>
          </w:p>
        </w:tc>
        <w:tc>
          <w:tcPr>
            <w:tcW w:w="992" w:type="dxa"/>
            <w:shd w:val="clear" w:color="auto" w:fill="auto"/>
            <w:vAlign w:val="center"/>
          </w:tcPr>
          <w:p>
            <w:pPr>
              <w:widowControl/>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X＜10</w:t>
            </w:r>
          </w:p>
        </w:tc>
      </w:tr>
    </w:tbl>
    <w:p>
      <w:pPr>
        <w:widowControl/>
        <w:adjustRightInd w:val="0"/>
        <w:snapToGrid w:val="0"/>
        <w:spacing w:line="288" w:lineRule="auto"/>
        <w:ind w:left="420" w:hanging="420" w:hanging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说明：</w:t>
      </w:r>
    </w:p>
    <w:p>
      <w:pPr>
        <w:widowControl/>
        <w:adjustRightInd w:val="0"/>
        <w:snapToGrid w:val="0"/>
        <w:spacing w:line="288" w:lineRule="auto"/>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1.大型、中型和小型企业须同时满足所列指标的下限，否则下划一档；微型企业只须满足所列指标中的一项即可。</w:t>
      </w:r>
    </w:p>
    <w:p>
      <w:pPr>
        <w:widowControl/>
        <w:adjustRightInd w:val="0"/>
        <w:snapToGrid w:val="0"/>
        <w:spacing w:line="288" w:lineRule="auto"/>
        <w:ind w:firstLine="420" w:firstLineChars="200"/>
        <w:jc w:val="left"/>
        <w:rPr>
          <w:rFonts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eastAsia="宋体"/>
          <w:color w:val="000000" w:themeColor="text1"/>
          <w:sz w:val="21"/>
          <w:szCs w:val="21"/>
          <w:highlight w:val="none"/>
          <w14:textFill>
            <w14:solidFill>
              <w14:schemeClr w14:val="tx1"/>
            </w14:solidFill>
          </w14:textFill>
        </w:rPr>
        <w:t>（3）资产总额，采用资产总计代替。</w:t>
      </w: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eastAsia" w:eastAsia="宋体"/>
          <w:color w:val="000000" w:themeColor="text1"/>
          <w:sz w:val="21"/>
          <w:szCs w:val="21"/>
          <w:highlight w:val="none"/>
          <w14:textFill>
            <w14:solidFill>
              <w14:schemeClr w14:val="tx1"/>
            </w14:solidFill>
          </w14:textFill>
        </w:rPr>
      </w:pPr>
    </w:p>
    <w:p>
      <w:pPr>
        <w:pStyle w:val="95"/>
        <w:ind w:firstLine="422" w:firstLineChars="200"/>
        <w:jc w:val="both"/>
        <w:rPr>
          <w:rFonts w:hint="default" w:eastAsia="宋体"/>
          <w:color w:val="000000" w:themeColor="text1"/>
          <w:sz w:val="21"/>
          <w:szCs w:val="21"/>
          <w:highlight w:val="none"/>
          <w:lang w:val="en-US" w:eastAsia="zh-CN"/>
          <w14:textFill>
            <w14:solidFill>
              <w14:schemeClr w14:val="tx1"/>
            </w14:solidFill>
          </w14:textFill>
        </w:rPr>
      </w:pPr>
    </w:p>
    <w:sectPr>
      <w:headerReference r:id="rId10" w:type="first"/>
      <w:footerReference r:id="rId12" w:type="first"/>
      <w:footerReference r:id="rId11" w:type="default"/>
      <w:pgSz w:w="11906" w:h="16838"/>
      <w:pgMar w:top="1440" w:right="1080" w:bottom="1440" w:left="1080" w:header="680" w:footer="680" w:gutter="0"/>
      <w:pgNumType w:start="1"/>
      <w:cols w:space="720" w:num="1"/>
      <w:titlePg/>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GE Inspira">
    <w:altName w:val="Calibri"/>
    <w:panose1 w:val="00000000000000000000"/>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440" w:h="285" w:hRule="exact" w:wrap="around" w:vAnchor="text" w:hAnchor="margin" w:xAlign="center" w:y="10"/>
      <w:rPr>
        <w:rStyle w:val="41"/>
        <w:sz w:val="21"/>
      </w:rPr>
    </w:pP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0</w: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Style w:val="41"/>
        <w:sz w:val="21"/>
      </w:rPr>
    </w:pPr>
    <w:r>
      <w:rPr>
        <w:sz w:val="21"/>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fTUkXUAQAApgMAAA4AAABkcnMvZTJvRG9jLnhtbK1TzY7TMBC+&#10;I/EOlu80aVe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29ocQygwO//Ph++fn7&#10;8usbWS9XN0mh3kONifceU+Pwzg24N/M94GUiPshg0hcpEYyjvuervmKIhKdH1aqqSgxxjM0O4heP&#10;z32A+F44Q5LR0IADzLqy00eIY+qckqpZd6e0zkPUlvSIuq7erPOLawjRtcUiicXYbbLisB8manvX&#10;npFZj1vQUItLT4n+YFHktDCzEWZjPxtHH9ShwyaXuR74t8eI7eQuU4URdiqM48s8p1VL+/G3n7Me&#10;f6/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X01JF1AEAAKYDAAAOAAAAAAAAAAEAIAAA&#10;ACIBAABkcnMvZTJvRG9jLnhtbFBLBQYAAAAABgAGAFkBAABoBQAAAAA=&#10;">
              <v:fill on="f" focussize="0,0"/>
              <v:stroke on="f" weight="1.25pt"/>
              <v:imagedata o:title=""/>
              <o:lock v:ext="edit" aspectratio="f"/>
              <v:textbox inset="0mm,0mm,0mm,0mm" style="mso-fit-shape-to-text:t;">
                <w:txbxContent>
                  <w:p>
                    <w:pPr>
                      <w:pStyle w:val="2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v:textbox>
            </v:shape>
          </w:pict>
        </mc:Fallback>
      </mc:AlternateContent>
    </w:r>
  </w:p>
  <w:p>
    <w:pPr>
      <w:pStyle w:val="2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color w:val="FFFFFF"/>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uOYL3UAQAApgMAAA4AAABkcnMvZTJvRG9jLnhtbK1TzY7TMBC+&#10;I/EOlu80abW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29ocQygwO//Ph++fn7&#10;8usbWS9XN0mh3kONifceU+Pwzg24N/M94GUiPshg0hcpEYyjvuervmKIhKdH1aqqSgxxjM0O4heP&#10;z32A+F44Q5LR0IADzLqy00eIY+qckqpZd6e0zkPUlvSIuq7erPOLawjRtcUiicXYbbLisB8manvX&#10;npFZj1vQUItLT4n+YFHktDCzEWZjPxtHH9ShwyaXuR74t8eI7eQuU4URdiqM48s8p1VL+/G3n7Me&#10;f6/t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bjmC91AEAAKYDAAAOAAAAAAAAAAEAIAAA&#10;ACIBAABkcnMvZTJvRG9jLnhtbFBLBQYAAAAABgAGAFkBAABoBQAAAAA=&#10;">
              <v:fill on="f" focussize="0,0"/>
              <v:stroke on="f" weight="1.25pt"/>
              <v:imagedata o:title=""/>
              <o:lock v:ext="edit" aspectratio="f"/>
              <v:textbox inset="0mm,0mm,0mm,0mm" style="mso-fit-shape-to-text:t;">
                <w:txbxContent>
                  <w:p>
                    <w:pPr>
                      <w:pStyle w:val="2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r>
      <w:rPr>
        <w:rFonts w:hint="eastAsia" w:eastAsia="宋体"/>
        <w:color w:val="FFFFFF"/>
        <w:lang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right="360"/>
      <w:jc w:val="left"/>
    </w:pPr>
    <w:r>
      <w:rPr>
        <w:rFonts w:hint="eastAsia"/>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color w:val="000000"/>
      </w:rPr>
      <w:t>医疗器械采购</w:t>
    </w:r>
    <w:r>
      <w:rPr>
        <w:rFonts w:hint="eastAsia"/>
      </w:rPr>
      <w:t>（GXRHHG2010H031）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topLinePunct/>
    </w:pPr>
    <w:r>
      <w:rPr>
        <w:rFonts w:hint="eastAsia"/>
      </w:rPr>
      <w:t xml:space="preserve"> </w:t>
    </w:r>
    <w:r>
      <w:rPr>
        <w:rFonts w:hint="eastAsia" w:ascii="宋体" w:hAnsi="宋体" w:eastAsia="宋体"/>
      </w:rPr>
      <w:t xml:space="preserve">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topLinePunct/>
    </w:pPr>
    <w:r>
      <w:rPr>
        <w:rFonts w:hint="eastAsia" w:ascii="宋体" w:hAnsi="宋体" w:eastAsia="宋体"/>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0B690"/>
    <w:multiLevelType w:val="singleLevel"/>
    <w:tmpl w:val="0AF0B690"/>
    <w:lvl w:ilvl="0" w:tentative="0">
      <w:start w:val="5"/>
      <w:numFmt w:val="chineseCounting"/>
      <w:suff w:val="space"/>
      <w:lvlText w:val="第%1章"/>
      <w:lvlJc w:val="left"/>
      <w:rPr>
        <w:rFonts w:hint="eastAsia"/>
      </w:rPr>
    </w:lvl>
  </w:abstractNum>
  <w:abstractNum w:abstractNumId="1">
    <w:nsid w:val="0B043AC3"/>
    <w:multiLevelType w:val="singleLevel"/>
    <w:tmpl w:val="0B043AC3"/>
    <w:lvl w:ilvl="0" w:tentative="0">
      <w:start w:val="1"/>
      <w:numFmt w:val="decimal"/>
      <w:lvlText w:val="%1."/>
      <w:lvlJc w:val="left"/>
      <w:pPr>
        <w:tabs>
          <w:tab w:val="left" w:pos="312"/>
        </w:tabs>
      </w:pPr>
    </w:lvl>
  </w:abstractNum>
  <w:abstractNum w:abstractNumId="2">
    <w:nsid w:val="4EE4595A"/>
    <w:multiLevelType w:val="singleLevel"/>
    <w:tmpl w:val="4EE4595A"/>
    <w:lvl w:ilvl="0" w:tentative="0">
      <w:start w:val="3"/>
      <w:numFmt w:val="chineseCounting"/>
      <w:suff w:val="space"/>
      <w:lvlText w:val="第%1章"/>
      <w:lvlJc w:val="left"/>
      <w:rPr>
        <w:rFonts w:hint="eastAsia"/>
      </w:rPr>
    </w:lvl>
  </w:abstractNum>
  <w:abstractNum w:abstractNumId="3">
    <w:nsid w:val="520B657B"/>
    <w:multiLevelType w:val="singleLevel"/>
    <w:tmpl w:val="520B657B"/>
    <w:lvl w:ilvl="0" w:tentative="0">
      <w:start w:val="6"/>
      <w:numFmt w:val="decimal"/>
      <w:suff w:val="nothing"/>
      <w:lvlText w:val="%1、"/>
      <w:lvlJc w:val="left"/>
      <w:pPr>
        <w:ind w:left="178"/>
      </w:pPr>
    </w:lvl>
  </w:abstractNum>
  <w:abstractNum w:abstractNumId="4">
    <w:nsid w:val="59278A8F"/>
    <w:multiLevelType w:val="singleLevel"/>
    <w:tmpl w:val="59278A8F"/>
    <w:lvl w:ilvl="0" w:tentative="0">
      <w:start w:val="1"/>
      <w:numFmt w:val="decimal"/>
      <w:pStyle w:val="11"/>
      <w:lvlText w:val="%1."/>
      <w:lvlJc w:val="left"/>
      <w:pPr>
        <w:tabs>
          <w:tab w:val="left" w:pos="360"/>
        </w:tabs>
        <w:ind w:left="360" w:hanging="360"/>
      </w:pPr>
    </w:lvl>
  </w:abstractNum>
  <w:abstractNum w:abstractNumId="5">
    <w:nsid w:val="59F97582"/>
    <w:multiLevelType w:val="singleLevel"/>
    <w:tmpl w:val="59F97582"/>
    <w:lvl w:ilvl="0" w:tentative="0">
      <w:start w:val="4"/>
      <w:numFmt w:val="chineseCounting"/>
      <w:suff w:val="nothing"/>
      <w:lvlText w:val="%1 "/>
      <w:lvlJc w:val="left"/>
    </w:lvl>
  </w:abstractNum>
  <w:abstractNum w:abstractNumId="6">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EB270F"/>
    <w:multiLevelType w:val="singleLevel"/>
    <w:tmpl w:val="7FEB270F"/>
    <w:lvl w:ilvl="0" w:tentative="0">
      <w:start w:val="5"/>
      <w:numFmt w:val="chineseCounting"/>
      <w:suff w:val="nothing"/>
      <w:lvlText w:val="%1、"/>
      <w:lvlJc w:val="left"/>
      <w:rPr>
        <w:rFonts w:hint="eastAsia"/>
      </w:rPr>
    </w:lvl>
  </w:abstractNum>
  <w:num w:numId="1">
    <w:abstractNumId w:val="4"/>
  </w:num>
  <w:num w:numId="2">
    <w:abstractNumId w:val="1"/>
  </w:num>
  <w:num w:numId="3">
    <w:abstractNumId w:val="5"/>
  </w:num>
  <w:num w:numId="4">
    <w:abstractNumId w:val="2"/>
  </w:num>
  <w:num w:numId="5">
    <w:abstractNumId w:val="3"/>
  </w:num>
  <w:num w:numId="6">
    <w:abstractNumId w:val="7"/>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腐罩">
    <w15:presenceInfo w15:providerId="WPS Office" w15:userId="548306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5"/>
  <w:drawingGridHorizontalSpacing w:val="200"/>
  <w:drawingGridVerticalSpacing w:val="16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DZmYzFhZWExOGVjMTg0ZjZhMGYxYzcwYTcxMmQifQ=="/>
  </w:docVars>
  <w:rsids>
    <w:rsidRoot w:val="00172A27"/>
    <w:rsid w:val="00003FDE"/>
    <w:rsid w:val="000244A2"/>
    <w:rsid w:val="00061ADE"/>
    <w:rsid w:val="00063AE1"/>
    <w:rsid w:val="00067B0B"/>
    <w:rsid w:val="00087545"/>
    <w:rsid w:val="0009593A"/>
    <w:rsid w:val="000A392E"/>
    <w:rsid w:val="000A6BB8"/>
    <w:rsid w:val="000F7884"/>
    <w:rsid w:val="00102742"/>
    <w:rsid w:val="00103670"/>
    <w:rsid w:val="00116377"/>
    <w:rsid w:val="00123ED7"/>
    <w:rsid w:val="001361E3"/>
    <w:rsid w:val="001375D9"/>
    <w:rsid w:val="00172A27"/>
    <w:rsid w:val="00182BDE"/>
    <w:rsid w:val="001843AE"/>
    <w:rsid w:val="0019085F"/>
    <w:rsid w:val="0019322C"/>
    <w:rsid w:val="001C66D8"/>
    <w:rsid w:val="001F4DCF"/>
    <w:rsid w:val="00200690"/>
    <w:rsid w:val="00210BC6"/>
    <w:rsid w:val="00230886"/>
    <w:rsid w:val="002426B1"/>
    <w:rsid w:val="0024331A"/>
    <w:rsid w:val="0026422A"/>
    <w:rsid w:val="00271774"/>
    <w:rsid w:val="0029049C"/>
    <w:rsid w:val="002B24B5"/>
    <w:rsid w:val="002B53A8"/>
    <w:rsid w:val="002F05BA"/>
    <w:rsid w:val="003004FF"/>
    <w:rsid w:val="00300F28"/>
    <w:rsid w:val="003035C1"/>
    <w:rsid w:val="00316F31"/>
    <w:rsid w:val="00326DB3"/>
    <w:rsid w:val="003427A0"/>
    <w:rsid w:val="003503CA"/>
    <w:rsid w:val="00352BD3"/>
    <w:rsid w:val="00361D50"/>
    <w:rsid w:val="003743BB"/>
    <w:rsid w:val="00382E92"/>
    <w:rsid w:val="003864D0"/>
    <w:rsid w:val="00387AD6"/>
    <w:rsid w:val="003916EC"/>
    <w:rsid w:val="003B7FF0"/>
    <w:rsid w:val="003C2B42"/>
    <w:rsid w:val="003C776D"/>
    <w:rsid w:val="003D4CDC"/>
    <w:rsid w:val="003E5119"/>
    <w:rsid w:val="00411E6A"/>
    <w:rsid w:val="0042086F"/>
    <w:rsid w:val="0042382A"/>
    <w:rsid w:val="00426FBA"/>
    <w:rsid w:val="00430B90"/>
    <w:rsid w:val="004317B8"/>
    <w:rsid w:val="00437E88"/>
    <w:rsid w:val="00450E35"/>
    <w:rsid w:val="00461815"/>
    <w:rsid w:val="004700E4"/>
    <w:rsid w:val="00475221"/>
    <w:rsid w:val="004849A3"/>
    <w:rsid w:val="00486F9A"/>
    <w:rsid w:val="00492A05"/>
    <w:rsid w:val="004B130C"/>
    <w:rsid w:val="004B323C"/>
    <w:rsid w:val="004B57EC"/>
    <w:rsid w:val="004E266A"/>
    <w:rsid w:val="0050023C"/>
    <w:rsid w:val="00501912"/>
    <w:rsid w:val="005105E8"/>
    <w:rsid w:val="0052795F"/>
    <w:rsid w:val="00541E21"/>
    <w:rsid w:val="00542793"/>
    <w:rsid w:val="005560E3"/>
    <w:rsid w:val="00562038"/>
    <w:rsid w:val="005844DB"/>
    <w:rsid w:val="00593830"/>
    <w:rsid w:val="005B2860"/>
    <w:rsid w:val="005B3673"/>
    <w:rsid w:val="005B4523"/>
    <w:rsid w:val="005B6EBD"/>
    <w:rsid w:val="005D5E05"/>
    <w:rsid w:val="005D68F0"/>
    <w:rsid w:val="005F21AE"/>
    <w:rsid w:val="005F650D"/>
    <w:rsid w:val="00605905"/>
    <w:rsid w:val="00615A54"/>
    <w:rsid w:val="0061617B"/>
    <w:rsid w:val="00635713"/>
    <w:rsid w:val="00640273"/>
    <w:rsid w:val="00640A87"/>
    <w:rsid w:val="00651725"/>
    <w:rsid w:val="00652C23"/>
    <w:rsid w:val="00655B80"/>
    <w:rsid w:val="00663308"/>
    <w:rsid w:val="00694D08"/>
    <w:rsid w:val="006A7321"/>
    <w:rsid w:val="006B1A1E"/>
    <w:rsid w:val="006B3189"/>
    <w:rsid w:val="006B3894"/>
    <w:rsid w:val="006B49B2"/>
    <w:rsid w:val="006D1C2D"/>
    <w:rsid w:val="006F39B9"/>
    <w:rsid w:val="006F4B3F"/>
    <w:rsid w:val="006F6A84"/>
    <w:rsid w:val="00700DFE"/>
    <w:rsid w:val="00714121"/>
    <w:rsid w:val="007236D8"/>
    <w:rsid w:val="00735E2B"/>
    <w:rsid w:val="00756E73"/>
    <w:rsid w:val="00784DBF"/>
    <w:rsid w:val="007A4215"/>
    <w:rsid w:val="007B39F9"/>
    <w:rsid w:val="007E64AF"/>
    <w:rsid w:val="007F16C2"/>
    <w:rsid w:val="007F5CDD"/>
    <w:rsid w:val="007F70C3"/>
    <w:rsid w:val="00801D0B"/>
    <w:rsid w:val="00812976"/>
    <w:rsid w:val="0081544A"/>
    <w:rsid w:val="00815729"/>
    <w:rsid w:val="0082596F"/>
    <w:rsid w:val="008318AD"/>
    <w:rsid w:val="008347E1"/>
    <w:rsid w:val="00834AED"/>
    <w:rsid w:val="00835509"/>
    <w:rsid w:val="008415E9"/>
    <w:rsid w:val="00844C39"/>
    <w:rsid w:val="00855737"/>
    <w:rsid w:val="0087005E"/>
    <w:rsid w:val="008810C1"/>
    <w:rsid w:val="00882622"/>
    <w:rsid w:val="00896D04"/>
    <w:rsid w:val="008A2874"/>
    <w:rsid w:val="008C3525"/>
    <w:rsid w:val="008D1058"/>
    <w:rsid w:val="008E6B82"/>
    <w:rsid w:val="008F255B"/>
    <w:rsid w:val="00901864"/>
    <w:rsid w:val="00912167"/>
    <w:rsid w:val="009132A3"/>
    <w:rsid w:val="00937463"/>
    <w:rsid w:val="00961DB0"/>
    <w:rsid w:val="00976985"/>
    <w:rsid w:val="00985BE8"/>
    <w:rsid w:val="009A73DE"/>
    <w:rsid w:val="009A7FD3"/>
    <w:rsid w:val="009C31C8"/>
    <w:rsid w:val="009D5B1A"/>
    <w:rsid w:val="009E4769"/>
    <w:rsid w:val="00A14340"/>
    <w:rsid w:val="00A24DA6"/>
    <w:rsid w:val="00A327E4"/>
    <w:rsid w:val="00A36641"/>
    <w:rsid w:val="00A36ED3"/>
    <w:rsid w:val="00A410E6"/>
    <w:rsid w:val="00A41296"/>
    <w:rsid w:val="00A54EF3"/>
    <w:rsid w:val="00A57866"/>
    <w:rsid w:val="00A65182"/>
    <w:rsid w:val="00A71700"/>
    <w:rsid w:val="00A71D78"/>
    <w:rsid w:val="00A74169"/>
    <w:rsid w:val="00AA114A"/>
    <w:rsid w:val="00AA1507"/>
    <w:rsid w:val="00AA47E9"/>
    <w:rsid w:val="00AB789D"/>
    <w:rsid w:val="00AD4F2D"/>
    <w:rsid w:val="00B00D54"/>
    <w:rsid w:val="00B15E47"/>
    <w:rsid w:val="00B15EA4"/>
    <w:rsid w:val="00B20E1D"/>
    <w:rsid w:val="00B34ADF"/>
    <w:rsid w:val="00B44C43"/>
    <w:rsid w:val="00B563CC"/>
    <w:rsid w:val="00B7723D"/>
    <w:rsid w:val="00BA2EF3"/>
    <w:rsid w:val="00BF454E"/>
    <w:rsid w:val="00BF6E67"/>
    <w:rsid w:val="00C03B64"/>
    <w:rsid w:val="00C23079"/>
    <w:rsid w:val="00C53E9A"/>
    <w:rsid w:val="00C65F53"/>
    <w:rsid w:val="00C72A74"/>
    <w:rsid w:val="00C90F02"/>
    <w:rsid w:val="00CA4434"/>
    <w:rsid w:val="00CB607F"/>
    <w:rsid w:val="00CE6E82"/>
    <w:rsid w:val="00D02A60"/>
    <w:rsid w:val="00D14C1E"/>
    <w:rsid w:val="00D20350"/>
    <w:rsid w:val="00D23234"/>
    <w:rsid w:val="00D53A0F"/>
    <w:rsid w:val="00D54EC9"/>
    <w:rsid w:val="00D60B1D"/>
    <w:rsid w:val="00D73235"/>
    <w:rsid w:val="00D74425"/>
    <w:rsid w:val="00D77138"/>
    <w:rsid w:val="00D8018A"/>
    <w:rsid w:val="00D816AC"/>
    <w:rsid w:val="00D81CCB"/>
    <w:rsid w:val="00D868BF"/>
    <w:rsid w:val="00DB4D48"/>
    <w:rsid w:val="00DC2A2B"/>
    <w:rsid w:val="00DD47B2"/>
    <w:rsid w:val="00DE03F6"/>
    <w:rsid w:val="00DE689A"/>
    <w:rsid w:val="00DF07EA"/>
    <w:rsid w:val="00DF7C31"/>
    <w:rsid w:val="00E0367B"/>
    <w:rsid w:val="00E21DD6"/>
    <w:rsid w:val="00E23F36"/>
    <w:rsid w:val="00E267F5"/>
    <w:rsid w:val="00E2772F"/>
    <w:rsid w:val="00E27B1A"/>
    <w:rsid w:val="00E311FF"/>
    <w:rsid w:val="00E51599"/>
    <w:rsid w:val="00E76182"/>
    <w:rsid w:val="00E769DC"/>
    <w:rsid w:val="00E77649"/>
    <w:rsid w:val="00E80F83"/>
    <w:rsid w:val="00E966CB"/>
    <w:rsid w:val="00EA1528"/>
    <w:rsid w:val="00EA3062"/>
    <w:rsid w:val="00EB2293"/>
    <w:rsid w:val="00EB53CD"/>
    <w:rsid w:val="00EC6682"/>
    <w:rsid w:val="00F043D6"/>
    <w:rsid w:val="00F171E1"/>
    <w:rsid w:val="00F50CDF"/>
    <w:rsid w:val="00F50CED"/>
    <w:rsid w:val="00F53835"/>
    <w:rsid w:val="00F5747A"/>
    <w:rsid w:val="00F74E05"/>
    <w:rsid w:val="00F86D9B"/>
    <w:rsid w:val="00F90070"/>
    <w:rsid w:val="00FA6860"/>
    <w:rsid w:val="00FB425F"/>
    <w:rsid w:val="00FD0C65"/>
    <w:rsid w:val="00FD1DE6"/>
    <w:rsid w:val="00FD1DF0"/>
    <w:rsid w:val="00FD3889"/>
    <w:rsid w:val="00FD7633"/>
    <w:rsid w:val="00FE4EB5"/>
    <w:rsid w:val="00FE5231"/>
    <w:rsid w:val="012030A2"/>
    <w:rsid w:val="01286382"/>
    <w:rsid w:val="012F16F7"/>
    <w:rsid w:val="01310FDC"/>
    <w:rsid w:val="01332CA2"/>
    <w:rsid w:val="01541EA9"/>
    <w:rsid w:val="01543FC0"/>
    <w:rsid w:val="01657089"/>
    <w:rsid w:val="01713F44"/>
    <w:rsid w:val="017B5FFC"/>
    <w:rsid w:val="0183728A"/>
    <w:rsid w:val="01A116FC"/>
    <w:rsid w:val="01B4561C"/>
    <w:rsid w:val="01C47228"/>
    <w:rsid w:val="01C50530"/>
    <w:rsid w:val="01F036D4"/>
    <w:rsid w:val="021772B1"/>
    <w:rsid w:val="02400174"/>
    <w:rsid w:val="02434EA2"/>
    <w:rsid w:val="0252665D"/>
    <w:rsid w:val="02553F5F"/>
    <w:rsid w:val="026259A2"/>
    <w:rsid w:val="027A3F9F"/>
    <w:rsid w:val="028441F5"/>
    <w:rsid w:val="028C4EDD"/>
    <w:rsid w:val="02A62807"/>
    <w:rsid w:val="02A9706C"/>
    <w:rsid w:val="02BD3EC5"/>
    <w:rsid w:val="02E04C89"/>
    <w:rsid w:val="02E56FC6"/>
    <w:rsid w:val="02F516EA"/>
    <w:rsid w:val="02FF4E46"/>
    <w:rsid w:val="033F771B"/>
    <w:rsid w:val="0361681B"/>
    <w:rsid w:val="038A6F6C"/>
    <w:rsid w:val="038D3DD0"/>
    <w:rsid w:val="03A643B4"/>
    <w:rsid w:val="03BF48F7"/>
    <w:rsid w:val="03C4523A"/>
    <w:rsid w:val="03C644AD"/>
    <w:rsid w:val="03EF2A28"/>
    <w:rsid w:val="03F0790E"/>
    <w:rsid w:val="03F73119"/>
    <w:rsid w:val="04000A5C"/>
    <w:rsid w:val="04477AD3"/>
    <w:rsid w:val="044F06A2"/>
    <w:rsid w:val="04501A74"/>
    <w:rsid w:val="046F6001"/>
    <w:rsid w:val="047675DD"/>
    <w:rsid w:val="04814856"/>
    <w:rsid w:val="04CF7C00"/>
    <w:rsid w:val="04D2626E"/>
    <w:rsid w:val="04E81B1A"/>
    <w:rsid w:val="04FB4623"/>
    <w:rsid w:val="050256FE"/>
    <w:rsid w:val="050504DC"/>
    <w:rsid w:val="05071319"/>
    <w:rsid w:val="05096E54"/>
    <w:rsid w:val="05453FE3"/>
    <w:rsid w:val="05464685"/>
    <w:rsid w:val="054664A5"/>
    <w:rsid w:val="05574E62"/>
    <w:rsid w:val="058977D9"/>
    <w:rsid w:val="058A4BA6"/>
    <w:rsid w:val="059336B1"/>
    <w:rsid w:val="05C30D0D"/>
    <w:rsid w:val="05CF2CB8"/>
    <w:rsid w:val="05DA5D0F"/>
    <w:rsid w:val="05E33A02"/>
    <w:rsid w:val="05E855AB"/>
    <w:rsid w:val="05F10C6A"/>
    <w:rsid w:val="05F936EA"/>
    <w:rsid w:val="06016B42"/>
    <w:rsid w:val="060C3799"/>
    <w:rsid w:val="06342967"/>
    <w:rsid w:val="063F38E3"/>
    <w:rsid w:val="064640DB"/>
    <w:rsid w:val="064E014A"/>
    <w:rsid w:val="065906F6"/>
    <w:rsid w:val="06716F1B"/>
    <w:rsid w:val="067667CE"/>
    <w:rsid w:val="06811DB9"/>
    <w:rsid w:val="06840641"/>
    <w:rsid w:val="068C5CA4"/>
    <w:rsid w:val="06964591"/>
    <w:rsid w:val="06996569"/>
    <w:rsid w:val="06B93618"/>
    <w:rsid w:val="06D0743C"/>
    <w:rsid w:val="06F05772"/>
    <w:rsid w:val="06FF7D4E"/>
    <w:rsid w:val="0700783C"/>
    <w:rsid w:val="071C1AB9"/>
    <w:rsid w:val="0725090D"/>
    <w:rsid w:val="07361B2C"/>
    <w:rsid w:val="074C35B5"/>
    <w:rsid w:val="07534192"/>
    <w:rsid w:val="076C662E"/>
    <w:rsid w:val="0775017A"/>
    <w:rsid w:val="07774745"/>
    <w:rsid w:val="07784B70"/>
    <w:rsid w:val="077C521D"/>
    <w:rsid w:val="0789433D"/>
    <w:rsid w:val="07AA1094"/>
    <w:rsid w:val="07D53F12"/>
    <w:rsid w:val="07DF19DD"/>
    <w:rsid w:val="07E23849"/>
    <w:rsid w:val="07ED3379"/>
    <w:rsid w:val="07F630C2"/>
    <w:rsid w:val="07FB3367"/>
    <w:rsid w:val="08124A9A"/>
    <w:rsid w:val="08151011"/>
    <w:rsid w:val="08360B30"/>
    <w:rsid w:val="08575FBE"/>
    <w:rsid w:val="085D1723"/>
    <w:rsid w:val="085D3E09"/>
    <w:rsid w:val="08604909"/>
    <w:rsid w:val="08862C99"/>
    <w:rsid w:val="08937255"/>
    <w:rsid w:val="089A3C31"/>
    <w:rsid w:val="08C463E4"/>
    <w:rsid w:val="08C52D6F"/>
    <w:rsid w:val="08D13DDE"/>
    <w:rsid w:val="08E9605B"/>
    <w:rsid w:val="08F02AC4"/>
    <w:rsid w:val="08F21FDF"/>
    <w:rsid w:val="092766EA"/>
    <w:rsid w:val="09423BD8"/>
    <w:rsid w:val="09556D02"/>
    <w:rsid w:val="09561FC3"/>
    <w:rsid w:val="095B6D6F"/>
    <w:rsid w:val="096F69C3"/>
    <w:rsid w:val="097218F7"/>
    <w:rsid w:val="0972418C"/>
    <w:rsid w:val="09800821"/>
    <w:rsid w:val="09D73B28"/>
    <w:rsid w:val="09DD14F7"/>
    <w:rsid w:val="09E0252C"/>
    <w:rsid w:val="09E10026"/>
    <w:rsid w:val="09EC6903"/>
    <w:rsid w:val="0A994DDC"/>
    <w:rsid w:val="0AAE4AE2"/>
    <w:rsid w:val="0ACD7131"/>
    <w:rsid w:val="0AD84D58"/>
    <w:rsid w:val="0ADE1535"/>
    <w:rsid w:val="0AE230E9"/>
    <w:rsid w:val="0AED602E"/>
    <w:rsid w:val="0B0D77B0"/>
    <w:rsid w:val="0B171B31"/>
    <w:rsid w:val="0B381634"/>
    <w:rsid w:val="0B393FE0"/>
    <w:rsid w:val="0B44435A"/>
    <w:rsid w:val="0B5A014A"/>
    <w:rsid w:val="0B5B22EB"/>
    <w:rsid w:val="0B6B7BF9"/>
    <w:rsid w:val="0B6F3DCE"/>
    <w:rsid w:val="0B7B175C"/>
    <w:rsid w:val="0BA576BF"/>
    <w:rsid w:val="0BAA7144"/>
    <w:rsid w:val="0BB86230"/>
    <w:rsid w:val="0BBC084E"/>
    <w:rsid w:val="0BBE75D4"/>
    <w:rsid w:val="0BC13A3D"/>
    <w:rsid w:val="0BE96EBF"/>
    <w:rsid w:val="0BEF4A34"/>
    <w:rsid w:val="0BF32F26"/>
    <w:rsid w:val="0C0444C5"/>
    <w:rsid w:val="0C0B3E50"/>
    <w:rsid w:val="0C27300E"/>
    <w:rsid w:val="0C4E54DD"/>
    <w:rsid w:val="0C691C6B"/>
    <w:rsid w:val="0C747FFC"/>
    <w:rsid w:val="0C7868D3"/>
    <w:rsid w:val="0C7A7140"/>
    <w:rsid w:val="0C844A23"/>
    <w:rsid w:val="0C946333"/>
    <w:rsid w:val="0C965FB3"/>
    <w:rsid w:val="0CB6451E"/>
    <w:rsid w:val="0CCC4B0B"/>
    <w:rsid w:val="0CEA3875"/>
    <w:rsid w:val="0CF9035B"/>
    <w:rsid w:val="0D0C1474"/>
    <w:rsid w:val="0D173089"/>
    <w:rsid w:val="0D2E6D19"/>
    <w:rsid w:val="0D2E70F4"/>
    <w:rsid w:val="0D3D0BDC"/>
    <w:rsid w:val="0D555D1A"/>
    <w:rsid w:val="0D582312"/>
    <w:rsid w:val="0D8C2B0E"/>
    <w:rsid w:val="0D8D06B0"/>
    <w:rsid w:val="0DB7190D"/>
    <w:rsid w:val="0DBA2892"/>
    <w:rsid w:val="0DC23A0E"/>
    <w:rsid w:val="0DC94D0A"/>
    <w:rsid w:val="0DD128E2"/>
    <w:rsid w:val="0DDF4A84"/>
    <w:rsid w:val="0DE320AC"/>
    <w:rsid w:val="0DED5D9B"/>
    <w:rsid w:val="0E263246"/>
    <w:rsid w:val="0E2F7356"/>
    <w:rsid w:val="0E43798B"/>
    <w:rsid w:val="0E602036"/>
    <w:rsid w:val="0E633750"/>
    <w:rsid w:val="0E705B37"/>
    <w:rsid w:val="0E8F3927"/>
    <w:rsid w:val="0E937FF7"/>
    <w:rsid w:val="0EA02AFE"/>
    <w:rsid w:val="0EB76628"/>
    <w:rsid w:val="0EC66F49"/>
    <w:rsid w:val="0EC73D3C"/>
    <w:rsid w:val="0EED6FE6"/>
    <w:rsid w:val="0F027D69"/>
    <w:rsid w:val="0F271CA8"/>
    <w:rsid w:val="0F426830"/>
    <w:rsid w:val="0F4B2FF3"/>
    <w:rsid w:val="0F4F093D"/>
    <w:rsid w:val="0F5D6F49"/>
    <w:rsid w:val="0F7B5526"/>
    <w:rsid w:val="0F7D7C0A"/>
    <w:rsid w:val="0F9F6A2F"/>
    <w:rsid w:val="0FA838C2"/>
    <w:rsid w:val="0FB35ED0"/>
    <w:rsid w:val="0FB748D6"/>
    <w:rsid w:val="0FD66E50"/>
    <w:rsid w:val="0FD90911"/>
    <w:rsid w:val="0FF15012"/>
    <w:rsid w:val="1023528A"/>
    <w:rsid w:val="1047115D"/>
    <w:rsid w:val="10487021"/>
    <w:rsid w:val="1057184E"/>
    <w:rsid w:val="10743E95"/>
    <w:rsid w:val="1078664F"/>
    <w:rsid w:val="107D0C51"/>
    <w:rsid w:val="10847299"/>
    <w:rsid w:val="10932CD1"/>
    <w:rsid w:val="10D63C7B"/>
    <w:rsid w:val="10F178FB"/>
    <w:rsid w:val="110527BD"/>
    <w:rsid w:val="110C54D5"/>
    <w:rsid w:val="11137369"/>
    <w:rsid w:val="112514D8"/>
    <w:rsid w:val="1128589D"/>
    <w:rsid w:val="112A3B00"/>
    <w:rsid w:val="113128F4"/>
    <w:rsid w:val="113F225A"/>
    <w:rsid w:val="11525C8F"/>
    <w:rsid w:val="11726BC2"/>
    <w:rsid w:val="117719CC"/>
    <w:rsid w:val="118B5AD6"/>
    <w:rsid w:val="119D1305"/>
    <w:rsid w:val="11A01843"/>
    <w:rsid w:val="11AB7203"/>
    <w:rsid w:val="11D17DFA"/>
    <w:rsid w:val="12156074"/>
    <w:rsid w:val="121B15B2"/>
    <w:rsid w:val="12314CD0"/>
    <w:rsid w:val="123F3465"/>
    <w:rsid w:val="12435284"/>
    <w:rsid w:val="124F597E"/>
    <w:rsid w:val="12576C18"/>
    <w:rsid w:val="12764995"/>
    <w:rsid w:val="12C703A3"/>
    <w:rsid w:val="12CF1C08"/>
    <w:rsid w:val="12D26E5A"/>
    <w:rsid w:val="12DD1185"/>
    <w:rsid w:val="12E91563"/>
    <w:rsid w:val="12F23C89"/>
    <w:rsid w:val="13185D0D"/>
    <w:rsid w:val="132528C6"/>
    <w:rsid w:val="13464504"/>
    <w:rsid w:val="13485299"/>
    <w:rsid w:val="135350C1"/>
    <w:rsid w:val="13862905"/>
    <w:rsid w:val="138F7BFA"/>
    <w:rsid w:val="13974C62"/>
    <w:rsid w:val="13A45004"/>
    <w:rsid w:val="13AC11AF"/>
    <w:rsid w:val="13CC0B78"/>
    <w:rsid w:val="13CF5D64"/>
    <w:rsid w:val="13D279D0"/>
    <w:rsid w:val="13D46B8F"/>
    <w:rsid w:val="13D6307A"/>
    <w:rsid w:val="140569B8"/>
    <w:rsid w:val="14162C01"/>
    <w:rsid w:val="141E0B8E"/>
    <w:rsid w:val="142A526B"/>
    <w:rsid w:val="14426F48"/>
    <w:rsid w:val="144512B9"/>
    <w:rsid w:val="14553873"/>
    <w:rsid w:val="14576EEE"/>
    <w:rsid w:val="145964AF"/>
    <w:rsid w:val="145D489D"/>
    <w:rsid w:val="146D2ABC"/>
    <w:rsid w:val="1479286A"/>
    <w:rsid w:val="147F38F9"/>
    <w:rsid w:val="148B6962"/>
    <w:rsid w:val="148E171F"/>
    <w:rsid w:val="14A35CE8"/>
    <w:rsid w:val="14A47052"/>
    <w:rsid w:val="14B46A8F"/>
    <w:rsid w:val="14B8240A"/>
    <w:rsid w:val="14C13E08"/>
    <w:rsid w:val="14D55ACD"/>
    <w:rsid w:val="14DB1E19"/>
    <w:rsid w:val="14EA708B"/>
    <w:rsid w:val="14FB6FF2"/>
    <w:rsid w:val="150E4C22"/>
    <w:rsid w:val="15164F69"/>
    <w:rsid w:val="151B3C61"/>
    <w:rsid w:val="152E6A46"/>
    <w:rsid w:val="154410F5"/>
    <w:rsid w:val="15475D78"/>
    <w:rsid w:val="15477966"/>
    <w:rsid w:val="15506043"/>
    <w:rsid w:val="15553E32"/>
    <w:rsid w:val="155B362D"/>
    <w:rsid w:val="156670AB"/>
    <w:rsid w:val="15697DE7"/>
    <w:rsid w:val="157A3AA2"/>
    <w:rsid w:val="158937AA"/>
    <w:rsid w:val="158C476E"/>
    <w:rsid w:val="158E6621"/>
    <w:rsid w:val="15961970"/>
    <w:rsid w:val="159A0182"/>
    <w:rsid w:val="15A34E55"/>
    <w:rsid w:val="15A7507E"/>
    <w:rsid w:val="15AE2D22"/>
    <w:rsid w:val="15C4624B"/>
    <w:rsid w:val="15E027E9"/>
    <w:rsid w:val="15F117A8"/>
    <w:rsid w:val="160429FB"/>
    <w:rsid w:val="162717AD"/>
    <w:rsid w:val="16797F2D"/>
    <w:rsid w:val="167F55F9"/>
    <w:rsid w:val="16987C99"/>
    <w:rsid w:val="16BA7CC3"/>
    <w:rsid w:val="16CB486A"/>
    <w:rsid w:val="16CE3909"/>
    <w:rsid w:val="16D3218C"/>
    <w:rsid w:val="16D85C88"/>
    <w:rsid w:val="170A70D7"/>
    <w:rsid w:val="170D06E0"/>
    <w:rsid w:val="171A5877"/>
    <w:rsid w:val="171C69AA"/>
    <w:rsid w:val="171F284E"/>
    <w:rsid w:val="17566556"/>
    <w:rsid w:val="177278E9"/>
    <w:rsid w:val="17924332"/>
    <w:rsid w:val="17A6366F"/>
    <w:rsid w:val="17BF65DC"/>
    <w:rsid w:val="17C359BA"/>
    <w:rsid w:val="17CC658F"/>
    <w:rsid w:val="17D05A1A"/>
    <w:rsid w:val="17ED79FC"/>
    <w:rsid w:val="17FA400C"/>
    <w:rsid w:val="17FC2567"/>
    <w:rsid w:val="18006155"/>
    <w:rsid w:val="182868AE"/>
    <w:rsid w:val="18522F76"/>
    <w:rsid w:val="18624A54"/>
    <w:rsid w:val="18705885"/>
    <w:rsid w:val="18A2644E"/>
    <w:rsid w:val="18A93985"/>
    <w:rsid w:val="18AB3604"/>
    <w:rsid w:val="18C00DA1"/>
    <w:rsid w:val="18C747A0"/>
    <w:rsid w:val="18CC16D5"/>
    <w:rsid w:val="19066B26"/>
    <w:rsid w:val="191434C4"/>
    <w:rsid w:val="192C277A"/>
    <w:rsid w:val="1953606A"/>
    <w:rsid w:val="195A4F69"/>
    <w:rsid w:val="1967588A"/>
    <w:rsid w:val="19831D50"/>
    <w:rsid w:val="198B5CB7"/>
    <w:rsid w:val="198E4D6D"/>
    <w:rsid w:val="19974F7D"/>
    <w:rsid w:val="1998580B"/>
    <w:rsid w:val="19AF5431"/>
    <w:rsid w:val="19B8346B"/>
    <w:rsid w:val="19C96EF3"/>
    <w:rsid w:val="19E47E89"/>
    <w:rsid w:val="1A02441E"/>
    <w:rsid w:val="1A0A6191"/>
    <w:rsid w:val="1A5B3AC3"/>
    <w:rsid w:val="1A7D44B8"/>
    <w:rsid w:val="1AA700C1"/>
    <w:rsid w:val="1AA85649"/>
    <w:rsid w:val="1B0803C8"/>
    <w:rsid w:val="1B162E30"/>
    <w:rsid w:val="1B290F15"/>
    <w:rsid w:val="1B2E2CD8"/>
    <w:rsid w:val="1B30771C"/>
    <w:rsid w:val="1B321E29"/>
    <w:rsid w:val="1B490032"/>
    <w:rsid w:val="1B6B3188"/>
    <w:rsid w:val="1B80312D"/>
    <w:rsid w:val="1B854D22"/>
    <w:rsid w:val="1BA40CA7"/>
    <w:rsid w:val="1BA50B8A"/>
    <w:rsid w:val="1BA92D7C"/>
    <w:rsid w:val="1BB6200A"/>
    <w:rsid w:val="1C046B5F"/>
    <w:rsid w:val="1C0E1A98"/>
    <w:rsid w:val="1C167B36"/>
    <w:rsid w:val="1C1945A6"/>
    <w:rsid w:val="1C3C1EE0"/>
    <w:rsid w:val="1C3F3EDC"/>
    <w:rsid w:val="1C4567F4"/>
    <w:rsid w:val="1C70018C"/>
    <w:rsid w:val="1C7A6502"/>
    <w:rsid w:val="1C8837E7"/>
    <w:rsid w:val="1CB64C9B"/>
    <w:rsid w:val="1CC659C3"/>
    <w:rsid w:val="1CCB786F"/>
    <w:rsid w:val="1CD80254"/>
    <w:rsid w:val="1CDB5968"/>
    <w:rsid w:val="1CE17609"/>
    <w:rsid w:val="1CEF625F"/>
    <w:rsid w:val="1CF40ED1"/>
    <w:rsid w:val="1CF72AFE"/>
    <w:rsid w:val="1CF72BCE"/>
    <w:rsid w:val="1D0023BC"/>
    <w:rsid w:val="1D057F8C"/>
    <w:rsid w:val="1D065424"/>
    <w:rsid w:val="1D120041"/>
    <w:rsid w:val="1D25067D"/>
    <w:rsid w:val="1D345FF7"/>
    <w:rsid w:val="1D3A0B63"/>
    <w:rsid w:val="1D532B00"/>
    <w:rsid w:val="1D601C12"/>
    <w:rsid w:val="1D793EB5"/>
    <w:rsid w:val="1D87271C"/>
    <w:rsid w:val="1D911DA9"/>
    <w:rsid w:val="1D941973"/>
    <w:rsid w:val="1DA055B9"/>
    <w:rsid w:val="1DAB4540"/>
    <w:rsid w:val="1DBC4A7C"/>
    <w:rsid w:val="1DC77417"/>
    <w:rsid w:val="1DCA77EF"/>
    <w:rsid w:val="1DD545C7"/>
    <w:rsid w:val="1DFD6C01"/>
    <w:rsid w:val="1E0217A7"/>
    <w:rsid w:val="1E0C009A"/>
    <w:rsid w:val="1E1D26E8"/>
    <w:rsid w:val="1E595A00"/>
    <w:rsid w:val="1E6A4AC7"/>
    <w:rsid w:val="1E864C59"/>
    <w:rsid w:val="1E912E3F"/>
    <w:rsid w:val="1E9A3EFE"/>
    <w:rsid w:val="1EAF32E5"/>
    <w:rsid w:val="1EF42F16"/>
    <w:rsid w:val="1EF84610"/>
    <w:rsid w:val="1F0802E2"/>
    <w:rsid w:val="1F2E7F16"/>
    <w:rsid w:val="1F47475D"/>
    <w:rsid w:val="1F5A0625"/>
    <w:rsid w:val="1F5C446C"/>
    <w:rsid w:val="1F5E4382"/>
    <w:rsid w:val="1F717558"/>
    <w:rsid w:val="1F7C2888"/>
    <w:rsid w:val="1F7D2DEE"/>
    <w:rsid w:val="1F7D6E36"/>
    <w:rsid w:val="1F996695"/>
    <w:rsid w:val="1F9D34DF"/>
    <w:rsid w:val="1FA31B5D"/>
    <w:rsid w:val="1FA52578"/>
    <w:rsid w:val="1FBD354A"/>
    <w:rsid w:val="1FBD4FCB"/>
    <w:rsid w:val="1FC00D66"/>
    <w:rsid w:val="1FCE7E42"/>
    <w:rsid w:val="1FD3713E"/>
    <w:rsid w:val="1FE402F7"/>
    <w:rsid w:val="1FEF72E1"/>
    <w:rsid w:val="20060E41"/>
    <w:rsid w:val="20541BF9"/>
    <w:rsid w:val="206B2CF7"/>
    <w:rsid w:val="206D2076"/>
    <w:rsid w:val="2081109B"/>
    <w:rsid w:val="20871035"/>
    <w:rsid w:val="20893ECB"/>
    <w:rsid w:val="20923496"/>
    <w:rsid w:val="20F62651"/>
    <w:rsid w:val="20FC27C6"/>
    <w:rsid w:val="210A5BB6"/>
    <w:rsid w:val="21274C73"/>
    <w:rsid w:val="213A3C94"/>
    <w:rsid w:val="214F15B9"/>
    <w:rsid w:val="216B32E8"/>
    <w:rsid w:val="217A344A"/>
    <w:rsid w:val="217F7A57"/>
    <w:rsid w:val="21967733"/>
    <w:rsid w:val="21C2676E"/>
    <w:rsid w:val="21EE4DDC"/>
    <w:rsid w:val="220A2903"/>
    <w:rsid w:val="22193425"/>
    <w:rsid w:val="221C07CF"/>
    <w:rsid w:val="22353B2B"/>
    <w:rsid w:val="22385F5F"/>
    <w:rsid w:val="22441096"/>
    <w:rsid w:val="224A024D"/>
    <w:rsid w:val="224C3750"/>
    <w:rsid w:val="22551E62"/>
    <w:rsid w:val="226267E7"/>
    <w:rsid w:val="226A72A2"/>
    <w:rsid w:val="227B65E3"/>
    <w:rsid w:val="2280269A"/>
    <w:rsid w:val="22953D02"/>
    <w:rsid w:val="22D35E62"/>
    <w:rsid w:val="22D52136"/>
    <w:rsid w:val="22D6367D"/>
    <w:rsid w:val="22DB51A6"/>
    <w:rsid w:val="22ED32DA"/>
    <w:rsid w:val="22FE1B6F"/>
    <w:rsid w:val="230D6356"/>
    <w:rsid w:val="231E1F9F"/>
    <w:rsid w:val="23443A43"/>
    <w:rsid w:val="23564902"/>
    <w:rsid w:val="23906366"/>
    <w:rsid w:val="23961850"/>
    <w:rsid w:val="23B0014D"/>
    <w:rsid w:val="23C74DC1"/>
    <w:rsid w:val="23D33BDE"/>
    <w:rsid w:val="23E34059"/>
    <w:rsid w:val="23E45AB2"/>
    <w:rsid w:val="23E45E74"/>
    <w:rsid w:val="23EA6ABB"/>
    <w:rsid w:val="23FA3B82"/>
    <w:rsid w:val="23FA3F18"/>
    <w:rsid w:val="23FB3B3B"/>
    <w:rsid w:val="23FC3497"/>
    <w:rsid w:val="242A340E"/>
    <w:rsid w:val="242C5A4F"/>
    <w:rsid w:val="24391C2B"/>
    <w:rsid w:val="243A7A24"/>
    <w:rsid w:val="243D7784"/>
    <w:rsid w:val="243F5C4A"/>
    <w:rsid w:val="24443260"/>
    <w:rsid w:val="24596D0B"/>
    <w:rsid w:val="24766921"/>
    <w:rsid w:val="247E08B3"/>
    <w:rsid w:val="24812BBA"/>
    <w:rsid w:val="248E50C8"/>
    <w:rsid w:val="2494490F"/>
    <w:rsid w:val="24982AE4"/>
    <w:rsid w:val="24AD7D7F"/>
    <w:rsid w:val="24BD1999"/>
    <w:rsid w:val="24CA788F"/>
    <w:rsid w:val="24CD465D"/>
    <w:rsid w:val="24EB08AB"/>
    <w:rsid w:val="24F22898"/>
    <w:rsid w:val="24F41B79"/>
    <w:rsid w:val="250052C3"/>
    <w:rsid w:val="250222CC"/>
    <w:rsid w:val="251132B8"/>
    <w:rsid w:val="251D2038"/>
    <w:rsid w:val="253674C7"/>
    <w:rsid w:val="25371EEC"/>
    <w:rsid w:val="253B7081"/>
    <w:rsid w:val="254017AF"/>
    <w:rsid w:val="254C40BE"/>
    <w:rsid w:val="25501E0E"/>
    <w:rsid w:val="25800B12"/>
    <w:rsid w:val="25924832"/>
    <w:rsid w:val="25A75EFF"/>
    <w:rsid w:val="25AE66E1"/>
    <w:rsid w:val="25B06D46"/>
    <w:rsid w:val="25CE52F9"/>
    <w:rsid w:val="25DA2A28"/>
    <w:rsid w:val="25FC3C24"/>
    <w:rsid w:val="26152681"/>
    <w:rsid w:val="261A6E2C"/>
    <w:rsid w:val="26303437"/>
    <w:rsid w:val="263504CF"/>
    <w:rsid w:val="264E2DAF"/>
    <w:rsid w:val="2650100D"/>
    <w:rsid w:val="26543C2E"/>
    <w:rsid w:val="265B18F9"/>
    <w:rsid w:val="26614B35"/>
    <w:rsid w:val="266369EF"/>
    <w:rsid w:val="267122DE"/>
    <w:rsid w:val="268C1DC5"/>
    <w:rsid w:val="269624CD"/>
    <w:rsid w:val="269C1F0B"/>
    <w:rsid w:val="26A17D3C"/>
    <w:rsid w:val="26AB6A95"/>
    <w:rsid w:val="26AE4916"/>
    <w:rsid w:val="26BD7452"/>
    <w:rsid w:val="26C72ED7"/>
    <w:rsid w:val="26CF1A0F"/>
    <w:rsid w:val="26DA186B"/>
    <w:rsid w:val="26E22E55"/>
    <w:rsid w:val="26F500DB"/>
    <w:rsid w:val="27052A6F"/>
    <w:rsid w:val="270D6149"/>
    <w:rsid w:val="273F35F4"/>
    <w:rsid w:val="274B0951"/>
    <w:rsid w:val="274E3909"/>
    <w:rsid w:val="274F111B"/>
    <w:rsid w:val="277508FF"/>
    <w:rsid w:val="278F7F7A"/>
    <w:rsid w:val="279738A0"/>
    <w:rsid w:val="27AD6AEB"/>
    <w:rsid w:val="27AF36B1"/>
    <w:rsid w:val="27B60980"/>
    <w:rsid w:val="27BA1991"/>
    <w:rsid w:val="27CA0655"/>
    <w:rsid w:val="27F519A4"/>
    <w:rsid w:val="2814454E"/>
    <w:rsid w:val="281954D5"/>
    <w:rsid w:val="281E3593"/>
    <w:rsid w:val="28233866"/>
    <w:rsid w:val="2826784C"/>
    <w:rsid w:val="282F1F8D"/>
    <w:rsid w:val="28463A4A"/>
    <w:rsid w:val="284D31E1"/>
    <w:rsid w:val="28601A8B"/>
    <w:rsid w:val="28656627"/>
    <w:rsid w:val="287518AD"/>
    <w:rsid w:val="288E3E57"/>
    <w:rsid w:val="289055F8"/>
    <w:rsid w:val="28C94B72"/>
    <w:rsid w:val="28CA2360"/>
    <w:rsid w:val="29057815"/>
    <w:rsid w:val="290B2129"/>
    <w:rsid w:val="291259A7"/>
    <w:rsid w:val="2923241B"/>
    <w:rsid w:val="293F234E"/>
    <w:rsid w:val="295419DA"/>
    <w:rsid w:val="29577FC4"/>
    <w:rsid w:val="29591E39"/>
    <w:rsid w:val="29693571"/>
    <w:rsid w:val="296F57EF"/>
    <w:rsid w:val="299F760C"/>
    <w:rsid w:val="29BA777C"/>
    <w:rsid w:val="29BD28CD"/>
    <w:rsid w:val="29BE05F2"/>
    <w:rsid w:val="29CB1608"/>
    <w:rsid w:val="29D01C9F"/>
    <w:rsid w:val="2A0C4A0C"/>
    <w:rsid w:val="2A4D4366"/>
    <w:rsid w:val="2A65641F"/>
    <w:rsid w:val="2AA56849"/>
    <w:rsid w:val="2AAC79F9"/>
    <w:rsid w:val="2AE666DB"/>
    <w:rsid w:val="2AE93D1E"/>
    <w:rsid w:val="2AFC0D01"/>
    <w:rsid w:val="2B03016F"/>
    <w:rsid w:val="2B0538F2"/>
    <w:rsid w:val="2B102FB5"/>
    <w:rsid w:val="2B223FCE"/>
    <w:rsid w:val="2B236DE7"/>
    <w:rsid w:val="2B295CAA"/>
    <w:rsid w:val="2B4C38A9"/>
    <w:rsid w:val="2B6E79D3"/>
    <w:rsid w:val="2B883392"/>
    <w:rsid w:val="2BA76CD7"/>
    <w:rsid w:val="2BEB2DF4"/>
    <w:rsid w:val="2BEF39FC"/>
    <w:rsid w:val="2BF27BBC"/>
    <w:rsid w:val="2C0C011A"/>
    <w:rsid w:val="2C0D6CFD"/>
    <w:rsid w:val="2C1600FD"/>
    <w:rsid w:val="2C1D2053"/>
    <w:rsid w:val="2C385C17"/>
    <w:rsid w:val="2C4A6645"/>
    <w:rsid w:val="2C50709A"/>
    <w:rsid w:val="2C541C45"/>
    <w:rsid w:val="2C6512CA"/>
    <w:rsid w:val="2C6B108B"/>
    <w:rsid w:val="2C6C546F"/>
    <w:rsid w:val="2C70220F"/>
    <w:rsid w:val="2C9E492E"/>
    <w:rsid w:val="2CAB4598"/>
    <w:rsid w:val="2CBD7124"/>
    <w:rsid w:val="2CC35E7E"/>
    <w:rsid w:val="2CC70BAB"/>
    <w:rsid w:val="2D0568E8"/>
    <w:rsid w:val="2D1F13EC"/>
    <w:rsid w:val="2D281F31"/>
    <w:rsid w:val="2D4A2EAC"/>
    <w:rsid w:val="2D53167B"/>
    <w:rsid w:val="2D570467"/>
    <w:rsid w:val="2D5B72F6"/>
    <w:rsid w:val="2D716F5D"/>
    <w:rsid w:val="2D901D4F"/>
    <w:rsid w:val="2D92250C"/>
    <w:rsid w:val="2D9F77BD"/>
    <w:rsid w:val="2DA95170"/>
    <w:rsid w:val="2DA96B01"/>
    <w:rsid w:val="2DDD43CD"/>
    <w:rsid w:val="2DE64B73"/>
    <w:rsid w:val="2DED4CD8"/>
    <w:rsid w:val="2DF44035"/>
    <w:rsid w:val="2E082C92"/>
    <w:rsid w:val="2E087C0E"/>
    <w:rsid w:val="2E111EF6"/>
    <w:rsid w:val="2E260937"/>
    <w:rsid w:val="2E390ACF"/>
    <w:rsid w:val="2E454E68"/>
    <w:rsid w:val="2E4B4B9C"/>
    <w:rsid w:val="2E533769"/>
    <w:rsid w:val="2E5B05AA"/>
    <w:rsid w:val="2E601123"/>
    <w:rsid w:val="2E6658F7"/>
    <w:rsid w:val="2E691866"/>
    <w:rsid w:val="2E8A5ECE"/>
    <w:rsid w:val="2E8D157A"/>
    <w:rsid w:val="2E95361B"/>
    <w:rsid w:val="2E9637FB"/>
    <w:rsid w:val="2E9B20E7"/>
    <w:rsid w:val="2EAC6AB3"/>
    <w:rsid w:val="2EAF4EAF"/>
    <w:rsid w:val="2EE47706"/>
    <w:rsid w:val="2F000DF7"/>
    <w:rsid w:val="2F0D7107"/>
    <w:rsid w:val="2F1A30A4"/>
    <w:rsid w:val="2F4171A8"/>
    <w:rsid w:val="2F62362F"/>
    <w:rsid w:val="2F766D04"/>
    <w:rsid w:val="2F895A6F"/>
    <w:rsid w:val="2FA743A8"/>
    <w:rsid w:val="2FB33A7D"/>
    <w:rsid w:val="2FB93180"/>
    <w:rsid w:val="2FBA6BB1"/>
    <w:rsid w:val="2FC6259F"/>
    <w:rsid w:val="2FCB5391"/>
    <w:rsid w:val="300660E1"/>
    <w:rsid w:val="30336A9F"/>
    <w:rsid w:val="30383BBC"/>
    <w:rsid w:val="303D27F3"/>
    <w:rsid w:val="305C5978"/>
    <w:rsid w:val="30673FA3"/>
    <w:rsid w:val="30964AD1"/>
    <w:rsid w:val="30A91F61"/>
    <w:rsid w:val="30A9554F"/>
    <w:rsid w:val="30AD7F61"/>
    <w:rsid w:val="30C12BF7"/>
    <w:rsid w:val="30CA5838"/>
    <w:rsid w:val="30DE023D"/>
    <w:rsid w:val="30E16A06"/>
    <w:rsid w:val="30E7681F"/>
    <w:rsid w:val="30F56008"/>
    <w:rsid w:val="310038BD"/>
    <w:rsid w:val="31364E15"/>
    <w:rsid w:val="3146347B"/>
    <w:rsid w:val="31520222"/>
    <w:rsid w:val="31564940"/>
    <w:rsid w:val="316840FC"/>
    <w:rsid w:val="316E2FA4"/>
    <w:rsid w:val="318E12DA"/>
    <w:rsid w:val="319375DC"/>
    <w:rsid w:val="31966CB2"/>
    <w:rsid w:val="31977ED8"/>
    <w:rsid w:val="319815A7"/>
    <w:rsid w:val="31AE7611"/>
    <w:rsid w:val="31D2335F"/>
    <w:rsid w:val="31D55206"/>
    <w:rsid w:val="31DF3243"/>
    <w:rsid w:val="31E41CE9"/>
    <w:rsid w:val="31F93347"/>
    <w:rsid w:val="323B26F8"/>
    <w:rsid w:val="32447AA5"/>
    <w:rsid w:val="32705150"/>
    <w:rsid w:val="327F66B9"/>
    <w:rsid w:val="328714F2"/>
    <w:rsid w:val="32917078"/>
    <w:rsid w:val="329D0C8D"/>
    <w:rsid w:val="32AE4A9F"/>
    <w:rsid w:val="32B00F88"/>
    <w:rsid w:val="32B25BB9"/>
    <w:rsid w:val="32BC65E7"/>
    <w:rsid w:val="32BD61DB"/>
    <w:rsid w:val="32BE5EBF"/>
    <w:rsid w:val="32BF4B25"/>
    <w:rsid w:val="32CF5169"/>
    <w:rsid w:val="32EB24C0"/>
    <w:rsid w:val="331D2CEA"/>
    <w:rsid w:val="33367B5E"/>
    <w:rsid w:val="33430D33"/>
    <w:rsid w:val="33453DE1"/>
    <w:rsid w:val="33540C46"/>
    <w:rsid w:val="33694846"/>
    <w:rsid w:val="336B72E1"/>
    <w:rsid w:val="338101D3"/>
    <w:rsid w:val="3387347E"/>
    <w:rsid w:val="33904534"/>
    <w:rsid w:val="33A17B5A"/>
    <w:rsid w:val="33A61CB9"/>
    <w:rsid w:val="33BD1A8A"/>
    <w:rsid w:val="33C95567"/>
    <w:rsid w:val="33CC5722"/>
    <w:rsid w:val="33D60037"/>
    <w:rsid w:val="33DC4DF9"/>
    <w:rsid w:val="34022063"/>
    <w:rsid w:val="34204F76"/>
    <w:rsid w:val="343524B2"/>
    <w:rsid w:val="34473878"/>
    <w:rsid w:val="34773DE0"/>
    <w:rsid w:val="34872F9D"/>
    <w:rsid w:val="34896756"/>
    <w:rsid w:val="349C315B"/>
    <w:rsid w:val="349D121D"/>
    <w:rsid w:val="34B34F64"/>
    <w:rsid w:val="34BC1492"/>
    <w:rsid w:val="34C27B9B"/>
    <w:rsid w:val="34C67823"/>
    <w:rsid w:val="34DF61CE"/>
    <w:rsid w:val="34E95754"/>
    <w:rsid w:val="3539091B"/>
    <w:rsid w:val="353F0CC9"/>
    <w:rsid w:val="354719F1"/>
    <w:rsid w:val="354D7D49"/>
    <w:rsid w:val="355A7737"/>
    <w:rsid w:val="356A4C2D"/>
    <w:rsid w:val="35740C40"/>
    <w:rsid w:val="359676ED"/>
    <w:rsid w:val="35B05C49"/>
    <w:rsid w:val="35B13ECA"/>
    <w:rsid w:val="35C032BE"/>
    <w:rsid w:val="35E05D71"/>
    <w:rsid w:val="35F70081"/>
    <w:rsid w:val="362570C0"/>
    <w:rsid w:val="362C03EF"/>
    <w:rsid w:val="36300CFB"/>
    <w:rsid w:val="36334E4D"/>
    <w:rsid w:val="36486F8B"/>
    <w:rsid w:val="366D0E58"/>
    <w:rsid w:val="36724B65"/>
    <w:rsid w:val="369F7374"/>
    <w:rsid w:val="36A22AC0"/>
    <w:rsid w:val="36C04E1D"/>
    <w:rsid w:val="36E67606"/>
    <w:rsid w:val="370F7848"/>
    <w:rsid w:val="37102FB7"/>
    <w:rsid w:val="3743238D"/>
    <w:rsid w:val="37656A1F"/>
    <w:rsid w:val="377D0F3F"/>
    <w:rsid w:val="37852741"/>
    <w:rsid w:val="378E6E2A"/>
    <w:rsid w:val="378F513D"/>
    <w:rsid w:val="37A80BE0"/>
    <w:rsid w:val="37B336EE"/>
    <w:rsid w:val="37B855F7"/>
    <w:rsid w:val="37C628B3"/>
    <w:rsid w:val="37D17C49"/>
    <w:rsid w:val="37E40AC1"/>
    <w:rsid w:val="380421F3"/>
    <w:rsid w:val="3805337F"/>
    <w:rsid w:val="38070185"/>
    <w:rsid w:val="3808394E"/>
    <w:rsid w:val="38145D11"/>
    <w:rsid w:val="38366DA9"/>
    <w:rsid w:val="38493D4D"/>
    <w:rsid w:val="384A0770"/>
    <w:rsid w:val="384D6BB0"/>
    <w:rsid w:val="38607EC9"/>
    <w:rsid w:val="386C3837"/>
    <w:rsid w:val="38774730"/>
    <w:rsid w:val="387A34EE"/>
    <w:rsid w:val="388C0E52"/>
    <w:rsid w:val="38A65F39"/>
    <w:rsid w:val="38A95D05"/>
    <w:rsid w:val="38B21DB1"/>
    <w:rsid w:val="38B35383"/>
    <w:rsid w:val="38BC6BE9"/>
    <w:rsid w:val="38C90965"/>
    <w:rsid w:val="38F26560"/>
    <w:rsid w:val="38F37ADC"/>
    <w:rsid w:val="38FE4529"/>
    <w:rsid w:val="390356DE"/>
    <w:rsid w:val="390610F4"/>
    <w:rsid w:val="390B40FD"/>
    <w:rsid w:val="39233BC9"/>
    <w:rsid w:val="3929128D"/>
    <w:rsid w:val="39435DA4"/>
    <w:rsid w:val="395F47E1"/>
    <w:rsid w:val="39744E6B"/>
    <w:rsid w:val="39753E71"/>
    <w:rsid w:val="397F62E3"/>
    <w:rsid w:val="398354CF"/>
    <w:rsid w:val="398648EE"/>
    <w:rsid w:val="398C5DC5"/>
    <w:rsid w:val="398C66E0"/>
    <w:rsid w:val="3993794D"/>
    <w:rsid w:val="399A1B61"/>
    <w:rsid w:val="39C2142E"/>
    <w:rsid w:val="39D26F6B"/>
    <w:rsid w:val="39D33D81"/>
    <w:rsid w:val="39DD52FC"/>
    <w:rsid w:val="39E123FD"/>
    <w:rsid w:val="3A1C2D7C"/>
    <w:rsid w:val="3A204156"/>
    <w:rsid w:val="3A593EA2"/>
    <w:rsid w:val="3A6374E1"/>
    <w:rsid w:val="3A691F6B"/>
    <w:rsid w:val="3A850402"/>
    <w:rsid w:val="3A962984"/>
    <w:rsid w:val="3AA466A4"/>
    <w:rsid w:val="3AC66028"/>
    <w:rsid w:val="3ACE2178"/>
    <w:rsid w:val="3AEB54BA"/>
    <w:rsid w:val="3AF05602"/>
    <w:rsid w:val="3B181335"/>
    <w:rsid w:val="3B182285"/>
    <w:rsid w:val="3B281DC7"/>
    <w:rsid w:val="3B2D17A6"/>
    <w:rsid w:val="3B40411F"/>
    <w:rsid w:val="3B487138"/>
    <w:rsid w:val="3B5612B9"/>
    <w:rsid w:val="3B600243"/>
    <w:rsid w:val="3B6405FB"/>
    <w:rsid w:val="3B642F93"/>
    <w:rsid w:val="3B89083B"/>
    <w:rsid w:val="3B985F13"/>
    <w:rsid w:val="3B9B6100"/>
    <w:rsid w:val="3BEA58B1"/>
    <w:rsid w:val="3BF40042"/>
    <w:rsid w:val="3C0C47F5"/>
    <w:rsid w:val="3C1A3083"/>
    <w:rsid w:val="3C2A03C4"/>
    <w:rsid w:val="3C391845"/>
    <w:rsid w:val="3C563ECF"/>
    <w:rsid w:val="3C577297"/>
    <w:rsid w:val="3C5D4096"/>
    <w:rsid w:val="3C7D0AD3"/>
    <w:rsid w:val="3C847C5D"/>
    <w:rsid w:val="3CA01D51"/>
    <w:rsid w:val="3CA21593"/>
    <w:rsid w:val="3CBA41AC"/>
    <w:rsid w:val="3CC911C7"/>
    <w:rsid w:val="3CC95D96"/>
    <w:rsid w:val="3CD42DDC"/>
    <w:rsid w:val="3CDE3B27"/>
    <w:rsid w:val="3CE430FC"/>
    <w:rsid w:val="3CF1188A"/>
    <w:rsid w:val="3CF45BF2"/>
    <w:rsid w:val="3D104F68"/>
    <w:rsid w:val="3D137E8E"/>
    <w:rsid w:val="3D367EEF"/>
    <w:rsid w:val="3D383580"/>
    <w:rsid w:val="3D3E0382"/>
    <w:rsid w:val="3D4F6A85"/>
    <w:rsid w:val="3D7B6C52"/>
    <w:rsid w:val="3D98370B"/>
    <w:rsid w:val="3D98426A"/>
    <w:rsid w:val="3DB568F8"/>
    <w:rsid w:val="3DBD0913"/>
    <w:rsid w:val="3DD17650"/>
    <w:rsid w:val="3DDB2309"/>
    <w:rsid w:val="3DDD78D6"/>
    <w:rsid w:val="3DFB0CF9"/>
    <w:rsid w:val="3DFC2539"/>
    <w:rsid w:val="3E0F7983"/>
    <w:rsid w:val="3E1047AD"/>
    <w:rsid w:val="3E105517"/>
    <w:rsid w:val="3E1E49D9"/>
    <w:rsid w:val="3E1F3122"/>
    <w:rsid w:val="3E2A38DE"/>
    <w:rsid w:val="3E491AE8"/>
    <w:rsid w:val="3E5E471A"/>
    <w:rsid w:val="3E8B5DDF"/>
    <w:rsid w:val="3E9C24D7"/>
    <w:rsid w:val="3EC447DC"/>
    <w:rsid w:val="3ECB572B"/>
    <w:rsid w:val="3ECE641A"/>
    <w:rsid w:val="3EDB4A95"/>
    <w:rsid w:val="3EFD4DD3"/>
    <w:rsid w:val="3EFE2981"/>
    <w:rsid w:val="3F086D61"/>
    <w:rsid w:val="3F2B54D2"/>
    <w:rsid w:val="3F2D32C4"/>
    <w:rsid w:val="3F2F5111"/>
    <w:rsid w:val="3F3831B5"/>
    <w:rsid w:val="3F5A01FC"/>
    <w:rsid w:val="3F6324B6"/>
    <w:rsid w:val="3F747922"/>
    <w:rsid w:val="3F753D18"/>
    <w:rsid w:val="3F761A63"/>
    <w:rsid w:val="3F9410E8"/>
    <w:rsid w:val="3FAB2584"/>
    <w:rsid w:val="3FB314FC"/>
    <w:rsid w:val="3FBA4E07"/>
    <w:rsid w:val="3FD768CC"/>
    <w:rsid w:val="3FDE1666"/>
    <w:rsid w:val="3FE67D2C"/>
    <w:rsid w:val="40025EBC"/>
    <w:rsid w:val="4021252A"/>
    <w:rsid w:val="402356C6"/>
    <w:rsid w:val="40302CFA"/>
    <w:rsid w:val="4039566C"/>
    <w:rsid w:val="403B7598"/>
    <w:rsid w:val="40427B4E"/>
    <w:rsid w:val="404339FD"/>
    <w:rsid w:val="409A440B"/>
    <w:rsid w:val="409F5428"/>
    <w:rsid w:val="40BD2208"/>
    <w:rsid w:val="40F819A8"/>
    <w:rsid w:val="40F9201A"/>
    <w:rsid w:val="41036F50"/>
    <w:rsid w:val="410D1E87"/>
    <w:rsid w:val="41103D0A"/>
    <w:rsid w:val="41107AB3"/>
    <w:rsid w:val="41177EF9"/>
    <w:rsid w:val="412C5CB1"/>
    <w:rsid w:val="41384CFB"/>
    <w:rsid w:val="413C605E"/>
    <w:rsid w:val="413E1CEA"/>
    <w:rsid w:val="413F24AF"/>
    <w:rsid w:val="4172666D"/>
    <w:rsid w:val="419A1160"/>
    <w:rsid w:val="41A1500D"/>
    <w:rsid w:val="41D50910"/>
    <w:rsid w:val="41EA08B5"/>
    <w:rsid w:val="42004FD7"/>
    <w:rsid w:val="4203190A"/>
    <w:rsid w:val="42440991"/>
    <w:rsid w:val="42912178"/>
    <w:rsid w:val="429C6A1E"/>
    <w:rsid w:val="42A66CE4"/>
    <w:rsid w:val="42D32DB1"/>
    <w:rsid w:val="42DE4A7F"/>
    <w:rsid w:val="42E966C5"/>
    <w:rsid w:val="431B31A5"/>
    <w:rsid w:val="432324B9"/>
    <w:rsid w:val="433E6B55"/>
    <w:rsid w:val="436157EC"/>
    <w:rsid w:val="43A7379F"/>
    <w:rsid w:val="43AF2718"/>
    <w:rsid w:val="43B23B58"/>
    <w:rsid w:val="43D2650A"/>
    <w:rsid w:val="43D47D05"/>
    <w:rsid w:val="43E1499C"/>
    <w:rsid w:val="43E72BBB"/>
    <w:rsid w:val="43E86E0D"/>
    <w:rsid w:val="43F82293"/>
    <w:rsid w:val="44094A19"/>
    <w:rsid w:val="4412373D"/>
    <w:rsid w:val="444B1319"/>
    <w:rsid w:val="444C144A"/>
    <w:rsid w:val="445A19CB"/>
    <w:rsid w:val="44675168"/>
    <w:rsid w:val="4485335D"/>
    <w:rsid w:val="44C147DB"/>
    <w:rsid w:val="44CA5BBB"/>
    <w:rsid w:val="44D437F2"/>
    <w:rsid w:val="44D84400"/>
    <w:rsid w:val="44DB0B3E"/>
    <w:rsid w:val="44DF77BD"/>
    <w:rsid w:val="44E87CFE"/>
    <w:rsid w:val="44F52199"/>
    <w:rsid w:val="44FD0DFE"/>
    <w:rsid w:val="4513292F"/>
    <w:rsid w:val="452428B8"/>
    <w:rsid w:val="45347B3E"/>
    <w:rsid w:val="45441531"/>
    <w:rsid w:val="454F78C2"/>
    <w:rsid w:val="4559518C"/>
    <w:rsid w:val="456C1E61"/>
    <w:rsid w:val="459031BE"/>
    <w:rsid w:val="45C46E6C"/>
    <w:rsid w:val="45DA7928"/>
    <w:rsid w:val="45E53674"/>
    <w:rsid w:val="45F71F2D"/>
    <w:rsid w:val="460042E3"/>
    <w:rsid w:val="46196C74"/>
    <w:rsid w:val="462D24FB"/>
    <w:rsid w:val="46334947"/>
    <w:rsid w:val="463F2C33"/>
    <w:rsid w:val="465316EE"/>
    <w:rsid w:val="465E3302"/>
    <w:rsid w:val="46737A24"/>
    <w:rsid w:val="467B54C7"/>
    <w:rsid w:val="46914B8F"/>
    <w:rsid w:val="46965F46"/>
    <w:rsid w:val="469A5FB6"/>
    <w:rsid w:val="46B20EE7"/>
    <w:rsid w:val="46C164E6"/>
    <w:rsid w:val="46C46241"/>
    <w:rsid w:val="46CA7A60"/>
    <w:rsid w:val="46CB7C7E"/>
    <w:rsid w:val="46DD66CA"/>
    <w:rsid w:val="46E10058"/>
    <w:rsid w:val="46E147D5"/>
    <w:rsid w:val="46E926FE"/>
    <w:rsid w:val="46F5150D"/>
    <w:rsid w:val="46F6477A"/>
    <w:rsid w:val="46FA70CD"/>
    <w:rsid w:val="46FC65DE"/>
    <w:rsid w:val="47351EC7"/>
    <w:rsid w:val="473B636C"/>
    <w:rsid w:val="47426DF8"/>
    <w:rsid w:val="47533CD5"/>
    <w:rsid w:val="4759319A"/>
    <w:rsid w:val="476A6CB8"/>
    <w:rsid w:val="477479A1"/>
    <w:rsid w:val="4781136B"/>
    <w:rsid w:val="47882866"/>
    <w:rsid w:val="478D3D1C"/>
    <w:rsid w:val="479033A0"/>
    <w:rsid w:val="47A45B98"/>
    <w:rsid w:val="47B0417D"/>
    <w:rsid w:val="47B86C1D"/>
    <w:rsid w:val="47BE22B7"/>
    <w:rsid w:val="47C27EAB"/>
    <w:rsid w:val="47D1167F"/>
    <w:rsid w:val="47D602EB"/>
    <w:rsid w:val="47D9633E"/>
    <w:rsid w:val="47E549F6"/>
    <w:rsid w:val="47F27BA8"/>
    <w:rsid w:val="4801641E"/>
    <w:rsid w:val="480745B8"/>
    <w:rsid w:val="48084003"/>
    <w:rsid w:val="482D29B3"/>
    <w:rsid w:val="48310C7F"/>
    <w:rsid w:val="483E07EF"/>
    <w:rsid w:val="485508A7"/>
    <w:rsid w:val="485649FC"/>
    <w:rsid w:val="485C5346"/>
    <w:rsid w:val="487D32FD"/>
    <w:rsid w:val="48895321"/>
    <w:rsid w:val="48A0294C"/>
    <w:rsid w:val="48A436E9"/>
    <w:rsid w:val="48BA069A"/>
    <w:rsid w:val="48BF3D66"/>
    <w:rsid w:val="48BF4BDF"/>
    <w:rsid w:val="48C062EE"/>
    <w:rsid w:val="48C920F7"/>
    <w:rsid w:val="48F5643E"/>
    <w:rsid w:val="490B63E4"/>
    <w:rsid w:val="49441B46"/>
    <w:rsid w:val="494C6E4D"/>
    <w:rsid w:val="494D6D8E"/>
    <w:rsid w:val="497927E1"/>
    <w:rsid w:val="49810E5E"/>
    <w:rsid w:val="49825129"/>
    <w:rsid w:val="499264A7"/>
    <w:rsid w:val="49936277"/>
    <w:rsid w:val="4996509B"/>
    <w:rsid w:val="49A0390D"/>
    <w:rsid w:val="49A17BDC"/>
    <w:rsid w:val="49A67337"/>
    <w:rsid w:val="49A737AF"/>
    <w:rsid w:val="49A96804"/>
    <w:rsid w:val="49B83F7E"/>
    <w:rsid w:val="49C04C0E"/>
    <w:rsid w:val="49C35B92"/>
    <w:rsid w:val="49C6090C"/>
    <w:rsid w:val="49C8459E"/>
    <w:rsid w:val="49CE58A0"/>
    <w:rsid w:val="49D81149"/>
    <w:rsid w:val="49EA40A6"/>
    <w:rsid w:val="49EF34DC"/>
    <w:rsid w:val="49FF506D"/>
    <w:rsid w:val="4A2A3112"/>
    <w:rsid w:val="4A37430E"/>
    <w:rsid w:val="4A504658"/>
    <w:rsid w:val="4A5B3045"/>
    <w:rsid w:val="4A5B30D4"/>
    <w:rsid w:val="4A70372C"/>
    <w:rsid w:val="4A7F334D"/>
    <w:rsid w:val="4A940729"/>
    <w:rsid w:val="4AAB757B"/>
    <w:rsid w:val="4AC40C78"/>
    <w:rsid w:val="4AC655AC"/>
    <w:rsid w:val="4AC724FA"/>
    <w:rsid w:val="4AD25D50"/>
    <w:rsid w:val="4ADC40E1"/>
    <w:rsid w:val="4ADF42C5"/>
    <w:rsid w:val="4AF04194"/>
    <w:rsid w:val="4B3D106F"/>
    <w:rsid w:val="4B4A789D"/>
    <w:rsid w:val="4B5A748F"/>
    <w:rsid w:val="4B706B2D"/>
    <w:rsid w:val="4B8A54FE"/>
    <w:rsid w:val="4BA3693A"/>
    <w:rsid w:val="4BEB73A8"/>
    <w:rsid w:val="4C226310"/>
    <w:rsid w:val="4C293183"/>
    <w:rsid w:val="4C336FBA"/>
    <w:rsid w:val="4C396E36"/>
    <w:rsid w:val="4C3F3A11"/>
    <w:rsid w:val="4C4E2CBD"/>
    <w:rsid w:val="4C57494D"/>
    <w:rsid w:val="4C5B0FC3"/>
    <w:rsid w:val="4C6378EA"/>
    <w:rsid w:val="4C787385"/>
    <w:rsid w:val="4C855396"/>
    <w:rsid w:val="4C945674"/>
    <w:rsid w:val="4CA76A05"/>
    <w:rsid w:val="4CAF6C9F"/>
    <w:rsid w:val="4CB224A6"/>
    <w:rsid w:val="4CC11D7A"/>
    <w:rsid w:val="4CD012C4"/>
    <w:rsid w:val="4CD40D99"/>
    <w:rsid w:val="4CEF423E"/>
    <w:rsid w:val="4CF936AF"/>
    <w:rsid w:val="4D0E0E67"/>
    <w:rsid w:val="4D260FA0"/>
    <w:rsid w:val="4D29525C"/>
    <w:rsid w:val="4D3177B3"/>
    <w:rsid w:val="4D5D2E7B"/>
    <w:rsid w:val="4D7D4DFB"/>
    <w:rsid w:val="4D815B38"/>
    <w:rsid w:val="4D935553"/>
    <w:rsid w:val="4D9A1043"/>
    <w:rsid w:val="4DB832FD"/>
    <w:rsid w:val="4DD51840"/>
    <w:rsid w:val="4DD66D36"/>
    <w:rsid w:val="4DE11507"/>
    <w:rsid w:val="4DE20EE7"/>
    <w:rsid w:val="4DE367DE"/>
    <w:rsid w:val="4DEA5F62"/>
    <w:rsid w:val="4DF542F3"/>
    <w:rsid w:val="4E0E741B"/>
    <w:rsid w:val="4E2A34C8"/>
    <w:rsid w:val="4E34731C"/>
    <w:rsid w:val="4E3B7854"/>
    <w:rsid w:val="4E4826DC"/>
    <w:rsid w:val="4E532CC9"/>
    <w:rsid w:val="4E8B1976"/>
    <w:rsid w:val="4E8F0CC4"/>
    <w:rsid w:val="4E984B80"/>
    <w:rsid w:val="4EB71E32"/>
    <w:rsid w:val="4EB73F3D"/>
    <w:rsid w:val="4EB75602"/>
    <w:rsid w:val="4EB95335"/>
    <w:rsid w:val="4ECC6159"/>
    <w:rsid w:val="4ED5689F"/>
    <w:rsid w:val="4EE419FD"/>
    <w:rsid w:val="4EEB038B"/>
    <w:rsid w:val="4EEF2567"/>
    <w:rsid w:val="4F00648F"/>
    <w:rsid w:val="4F2D5593"/>
    <w:rsid w:val="4F4F1E6C"/>
    <w:rsid w:val="4F6734AF"/>
    <w:rsid w:val="4F693A80"/>
    <w:rsid w:val="4F714AE4"/>
    <w:rsid w:val="4F792D92"/>
    <w:rsid w:val="4F7F0E49"/>
    <w:rsid w:val="4F8C6E38"/>
    <w:rsid w:val="4F952547"/>
    <w:rsid w:val="4F9C11AB"/>
    <w:rsid w:val="4FA377A2"/>
    <w:rsid w:val="4FAD38AB"/>
    <w:rsid w:val="4FAD676B"/>
    <w:rsid w:val="4FB43531"/>
    <w:rsid w:val="4FB80E06"/>
    <w:rsid w:val="4FBE7162"/>
    <w:rsid w:val="4FCE75E2"/>
    <w:rsid w:val="4FD364D8"/>
    <w:rsid w:val="4FF1474E"/>
    <w:rsid w:val="50006E2D"/>
    <w:rsid w:val="50125E3D"/>
    <w:rsid w:val="50211AFD"/>
    <w:rsid w:val="50297892"/>
    <w:rsid w:val="504B2E04"/>
    <w:rsid w:val="50724E15"/>
    <w:rsid w:val="508B2546"/>
    <w:rsid w:val="50A8253B"/>
    <w:rsid w:val="50A93EF1"/>
    <w:rsid w:val="50BB4B91"/>
    <w:rsid w:val="50C46753"/>
    <w:rsid w:val="50C50F8F"/>
    <w:rsid w:val="50C95B12"/>
    <w:rsid w:val="50CC731F"/>
    <w:rsid w:val="50CE603E"/>
    <w:rsid w:val="50E35563"/>
    <w:rsid w:val="50EB7458"/>
    <w:rsid w:val="510B6912"/>
    <w:rsid w:val="51217E0B"/>
    <w:rsid w:val="51237E3E"/>
    <w:rsid w:val="51283613"/>
    <w:rsid w:val="51314E02"/>
    <w:rsid w:val="513F0401"/>
    <w:rsid w:val="5147244E"/>
    <w:rsid w:val="51596C70"/>
    <w:rsid w:val="51927164"/>
    <w:rsid w:val="51977585"/>
    <w:rsid w:val="51A229CF"/>
    <w:rsid w:val="51A759CE"/>
    <w:rsid w:val="51B165B8"/>
    <w:rsid w:val="51B42C01"/>
    <w:rsid w:val="51B606DA"/>
    <w:rsid w:val="51D1435E"/>
    <w:rsid w:val="51EE4687"/>
    <w:rsid w:val="5204189E"/>
    <w:rsid w:val="521C7F46"/>
    <w:rsid w:val="522762D7"/>
    <w:rsid w:val="5249616C"/>
    <w:rsid w:val="529F4C9C"/>
    <w:rsid w:val="52A47DC0"/>
    <w:rsid w:val="52BF2FD2"/>
    <w:rsid w:val="52C62286"/>
    <w:rsid w:val="52CA7674"/>
    <w:rsid w:val="52DA15FD"/>
    <w:rsid w:val="52E7693F"/>
    <w:rsid w:val="52EE6944"/>
    <w:rsid w:val="52F9524E"/>
    <w:rsid w:val="52FF4F1D"/>
    <w:rsid w:val="52FF767E"/>
    <w:rsid w:val="53031B8A"/>
    <w:rsid w:val="530A5087"/>
    <w:rsid w:val="53300617"/>
    <w:rsid w:val="533B26D7"/>
    <w:rsid w:val="534268D9"/>
    <w:rsid w:val="535B0F56"/>
    <w:rsid w:val="535B6612"/>
    <w:rsid w:val="535F3EDA"/>
    <w:rsid w:val="53600104"/>
    <w:rsid w:val="53635089"/>
    <w:rsid w:val="53744426"/>
    <w:rsid w:val="53772781"/>
    <w:rsid w:val="537C15A1"/>
    <w:rsid w:val="538254BE"/>
    <w:rsid w:val="53861892"/>
    <w:rsid w:val="538F329D"/>
    <w:rsid w:val="53922AE1"/>
    <w:rsid w:val="539622D0"/>
    <w:rsid w:val="53963F2F"/>
    <w:rsid w:val="539E013A"/>
    <w:rsid w:val="53AE4E59"/>
    <w:rsid w:val="53B27DD0"/>
    <w:rsid w:val="53C21DA5"/>
    <w:rsid w:val="53D03154"/>
    <w:rsid w:val="53D66273"/>
    <w:rsid w:val="541F5C0C"/>
    <w:rsid w:val="542F165A"/>
    <w:rsid w:val="54403622"/>
    <w:rsid w:val="54471B54"/>
    <w:rsid w:val="54543C79"/>
    <w:rsid w:val="54725469"/>
    <w:rsid w:val="549459BA"/>
    <w:rsid w:val="549A7050"/>
    <w:rsid w:val="549F4CA5"/>
    <w:rsid w:val="54B06E89"/>
    <w:rsid w:val="54C8763E"/>
    <w:rsid w:val="54D810A7"/>
    <w:rsid w:val="54D91F12"/>
    <w:rsid w:val="54E24860"/>
    <w:rsid w:val="54FF3C4C"/>
    <w:rsid w:val="55017F84"/>
    <w:rsid w:val="55117C89"/>
    <w:rsid w:val="5529594A"/>
    <w:rsid w:val="553838C7"/>
    <w:rsid w:val="55401D6C"/>
    <w:rsid w:val="554F070D"/>
    <w:rsid w:val="555621DD"/>
    <w:rsid w:val="555D3B1E"/>
    <w:rsid w:val="55656F80"/>
    <w:rsid w:val="557939A9"/>
    <w:rsid w:val="557A1FB5"/>
    <w:rsid w:val="557B3B59"/>
    <w:rsid w:val="558979C6"/>
    <w:rsid w:val="558F2E48"/>
    <w:rsid w:val="55AD47CE"/>
    <w:rsid w:val="55B514D8"/>
    <w:rsid w:val="55BE4C30"/>
    <w:rsid w:val="55E31575"/>
    <w:rsid w:val="55E92281"/>
    <w:rsid w:val="55F95AD7"/>
    <w:rsid w:val="560D2069"/>
    <w:rsid w:val="560D493A"/>
    <w:rsid w:val="56497E00"/>
    <w:rsid w:val="565751FC"/>
    <w:rsid w:val="5679405A"/>
    <w:rsid w:val="568860F3"/>
    <w:rsid w:val="56894374"/>
    <w:rsid w:val="568C5A4B"/>
    <w:rsid w:val="569B62F5"/>
    <w:rsid w:val="569D5CCC"/>
    <w:rsid w:val="56C00271"/>
    <w:rsid w:val="56C01625"/>
    <w:rsid w:val="56C65BD3"/>
    <w:rsid w:val="56CA0498"/>
    <w:rsid w:val="57060A6B"/>
    <w:rsid w:val="57071445"/>
    <w:rsid w:val="570F628D"/>
    <w:rsid w:val="57106536"/>
    <w:rsid w:val="571421EF"/>
    <w:rsid w:val="571F02C5"/>
    <w:rsid w:val="5727472E"/>
    <w:rsid w:val="57283E0B"/>
    <w:rsid w:val="57292C34"/>
    <w:rsid w:val="574303F5"/>
    <w:rsid w:val="574A1DC1"/>
    <w:rsid w:val="57746489"/>
    <w:rsid w:val="57781F65"/>
    <w:rsid w:val="577A0392"/>
    <w:rsid w:val="578261FD"/>
    <w:rsid w:val="5793367D"/>
    <w:rsid w:val="57BB7F71"/>
    <w:rsid w:val="57CF40C1"/>
    <w:rsid w:val="57DF0E3B"/>
    <w:rsid w:val="57E667DC"/>
    <w:rsid w:val="57E8255B"/>
    <w:rsid w:val="57FB5A25"/>
    <w:rsid w:val="58035304"/>
    <w:rsid w:val="58133334"/>
    <w:rsid w:val="58204634"/>
    <w:rsid w:val="582C477D"/>
    <w:rsid w:val="58543C62"/>
    <w:rsid w:val="585B2DCC"/>
    <w:rsid w:val="58661C72"/>
    <w:rsid w:val="58912A97"/>
    <w:rsid w:val="58A27D89"/>
    <w:rsid w:val="58B63457"/>
    <w:rsid w:val="58BA28E3"/>
    <w:rsid w:val="58C81614"/>
    <w:rsid w:val="58CB127E"/>
    <w:rsid w:val="58D56CC3"/>
    <w:rsid w:val="58D97E3F"/>
    <w:rsid w:val="58DC1C16"/>
    <w:rsid w:val="58E65065"/>
    <w:rsid w:val="58ED3C74"/>
    <w:rsid w:val="58F330C2"/>
    <w:rsid w:val="58F42DB2"/>
    <w:rsid w:val="58FA08E8"/>
    <w:rsid w:val="593A5EFA"/>
    <w:rsid w:val="59427C64"/>
    <w:rsid w:val="59515CCD"/>
    <w:rsid w:val="59522196"/>
    <w:rsid w:val="59707BDF"/>
    <w:rsid w:val="59752023"/>
    <w:rsid w:val="59763CCB"/>
    <w:rsid w:val="59820838"/>
    <w:rsid w:val="5991709B"/>
    <w:rsid w:val="59AD4BD2"/>
    <w:rsid w:val="59B65248"/>
    <w:rsid w:val="59C5611F"/>
    <w:rsid w:val="59D340B2"/>
    <w:rsid w:val="59D4166E"/>
    <w:rsid w:val="59EC59BE"/>
    <w:rsid w:val="5A1248BF"/>
    <w:rsid w:val="5A141C10"/>
    <w:rsid w:val="5A153559"/>
    <w:rsid w:val="5A1F28BD"/>
    <w:rsid w:val="5A230F48"/>
    <w:rsid w:val="5A3571E7"/>
    <w:rsid w:val="5A3C2880"/>
    <w:rsid w:val="5A416AC1"/>
    <w:rsid w:val="5A4264D8"/>
    <w:rsid w:val="5A495E92"/>
    <w:rsid w:val="5A4B7B15"/>
    <w:rsid w:val="5A6D0190"/>
    <w:rsid w:val="5A6D3852"/>
    <w:rsid w:val="5A7240F6"/>
    <w:rsid w:val="5A897D75"/>
    <w:rsid w:val="5AA327F0"/>
    <w:rsid w:val="5AAE60D0"/>
    <w:rsid w:val="5ACE6DC6"/>
    <w:rsid w:val="5AD31961"/>
    <w:rsid w:val="5AD63805"/>
    <w:rsid w:val="5AD90D18"/>
    <w:rsid w:val="5AE34AD3"/>
    <w:rsid w:val="5AF62FE4"/>
    <w:rsid w:val="5AF9704F"/>
    <w:rsid w:val="5B0257A7"/>
    <w:rsid w:val="5B223F90"/>
    <w:rsid w:val="5B285CE9"/>
    <w:rsid w:val="5B301727"/>
    <w:rsid w:val="5B4E585F"/>
    <w:rsid w:val="5B52110F"/>
    <w:rsid w:val="5B5846C9"/>
    <w:rsid w:val="5B632C39"/>
    <w:rsid w:val="5B705D94"/>
    <w:rsid w:val="5B73358B"/>
    <w:rsid w:val="5B864AD4"/>
    <w:rsid w:val="5B8A5D6E"/>
    <w:rsid w:val="5B8D543C"/>
    <w:rsid w:val="5B91519F"/>
    <w:rsid w:val="5BA64951"/>
    <w:rsid w:val="5BAC25EB"/>
    <w:rsid w:val="5C1F6E31"/>
    <w:rsid w:val="5C272C70"/>
    <w:rsid w:val="5C411637"/>
    <w:rsid w:val="5C477482"/>
    <w:rsid w:val="5C48646E"/>
    <w:rsid w:val="5C545D10"/>
    <w:rsid w:val="5C555369"/>
    <w:rsid w:val="5C757E7F"/>
    <w:rsid w:val="5C7D6D25"/>
    <w:rsid w:val="5C987287"/>
    <w:rsid w:val="5CB43116"/>
    <w:rsid w:val="5CCD127A"/>
    <w:rsid w:val="5CD5324B"/>
    <w:rsid w:val="5CD765E0"/>
    <w:rsid w:val="5CE1390D"/>
    <w:rsid w:val="5CE7400F"/>
    <w:rsid w:val="5D030B06"/>
    <w:rsid w:val="5D1C428D"/>
    <w:rsid w:val="5D254C77"/>
    <w:rsid w:val="5D2B278E"/>
    <w:rsid w:val="5D763917"/>
    <w:rsid w:val="5D790367"/>
    <w:rsid w:val="5D852F87"/>
    <w:rsid w:val="5D8F2F40"/>
    <w:rsid w:val="5DA74947"/>
    <w:rsid w:val="5DBC6426"/>
    <w:rsid w:val="5DC14993"/>
    <w:rsid w:val="5E066CD2"/>
    <w:rsid w:val="5E0F4E7B"/>
    <w:rsid w:val="5E1E405F"/>
    <w:rsid w:val="5E26153F"/>
    <w:rsid w:val="5E3E346A"/>
    <w:rsid w:val="5E454C48"/>
    <w:rsid w:val="5E4577D3"/>
    <w:rsid w:val="5E47553D"/>
    <w:rsid w:val="5E723DA7"/>
    <w:rsid w:val="5E9F2932"/>
    <w:rsid w:val="5ED50624"/>
    <w:rsid w:val="5ED81592"/>
    <w:rsid w:val="5EDC3C7C"/>
    <w:rsid w:val="5EFF18D5"/>
    <w:rsid w:val="5F0258CC"/>
    <w:rsid w:val="5F0937D8"/>
    <w:rsid w:val="5F1437E3"/>
    <w:rsid w:val="5F2D5073"/>
    <w:rsid w:val="5F377091"/>
    <w:rsid w:val="5F476912"/>
    <w:rsid w:val="5F5B5684"/>
    <w:rsid w:val="5F62370B"/>
    <w:rsid w:val="5F6252AE"/>
    <w:rsid w:val="5F8800C7"/>
    <w:rsid w:val="5FAD001D"/>
    <w:rsid w:val="5FAE2505"/>
    <w:rsid w:val="5FD554D2"/>
    <w:rsid w:val="5FDA4D33"/>
    <w:rsid w:val="5FE254E8"/>
    <w:rsid w:val="5FE50461"/>
    <w:rsid w:val="5FFA6F16"/>
    <w:rsid w:val="601102AA"/>
    <w:rsid w:val="601345A6"/>
    <w:rsid w:val="601A2EBA"/>
    <w:rsid w:val="6020654D"/>
    <w:rsid w:val="60215D26"/>
    <w:rsid w:val="602F02AA"/>
    <w:rsid w:val="603A6D77"/>
    <w:rsid w:val="604212CD"/>
    <w:rsid w:val="604E7853"/>
    <w:rsid w:val="60524457"/>
    <w:rsid w:val="60591A3E"/>
    <w:rsid w:val="605B3923"/>
    <w:rsid w:val="60737E23"/>
    <w:rsid w:val="607C27C5"/>
    <w:rsid w:val="607F4F7D"/>
    <w:rsid w:val="60863BD5"/>
    <w:rsid w:val="60C842D7"/>
    <w:rsid w:val="60F34760"/>
    <w:rsid w:val="61132728"/>
    <w:rsid w:val="61236980"/>
    <w:rsid w:val="61370EED"/>
    <w:rsid w:val="61483DB4"/>
    <w:rsid w:val="616943B5"/>
    <w:rsid w:val="617044FB"/>
    <w:rsid w:val="61762179"/>
    <w:rsid w:val="61832854"/>
    <w:rsid w:val="618B0F77"/>
    <w:rsid w:val="61A822F9"/>
    <w:rsid w:val="61A96A35"/>
    <w:rsid w:val="61AF3D12"/>
    <w:rsid w:val="61B067D3"/>
    <w:rsid w:val="61B948EB"/>
    <w:rsid w:val="61BE322C"/>
    <w:rsid w:val="61C06846"/>
    <w:rsid w:val="61D96575"/>
    <w:rsid w:val="61E324A5"/>
    <w:rsid w:val="61F45D0A"/>
    <w:rsid w:val="61FD197B"/>
    <w:rsid w:val="620B40AD"/>
    <w:rsid w:val="622243A2"/>
    <w:rsid w:val="622E3EE6"/>
    <w:rsid w:val="622E4738"/>
    <w:rsid w:val="626323D0"/>
    <w:rsid w:val="62780FF4"/>
    <w:rsid w:val="628B3106"/>
    <w:rsid w:val="628D17BA"/>
    <w:rsid w:val="629038C3"/>
    <w:rsid w:val="62911344"/>
    <w:rsid w:val="62A90F28"/>
    <w:rsid w:val="62BB1735"/>
    <w:rsid w:val="62C47198"/>
    <w:rsid w:val="62C6574E"/>
    <w:rsid w:val="62DF6575"/>
    <w:rsid w:val="62EB31EC"/>
    <w:rsid w:val="62EC753E"/>
    <w:rsid w:val="62F12662"/>
    <w:rsid w:val="62F905F4"/>
    <w:rsid w:val="62FC3892"/>
    <w:rsid w:val="633330CC"/>
    <w:rsid w:val="63363EB7"/>
    <w:rsid w:val="638A735E"/>
    <w:rsid w:val="63A464DC"/>
    <w:rsid w:val="63AB1A91"/>
    <w:rsid w:val="63B44B67"/>
    <w:rsid w:val="63CB3A33"/>
    <w:rsid w:val="63CD076E"/>
    <w:rsid w:val="63DB3AFA"/>
    <w:rsid w:val="64037FC1"/>
    <w:rsid w:val="64837576"/>
    <w:rsid w:val="648E3A23"/>
    <w:rsid w:val="64C14E7B"/>
    <w:rsid w:val="650C50F9"/>
    <w:rsid w:val="650E5624"/>
    <w:rsid w:val="651D7306"/>
    <w:rsid w:val="65474D35"/>
    <w:rsid w:val="654870A0"/>
    <w:rsid w:val="6552358E"/>
    <w:rsid w:val="65537B65"/>
    <w:rsid w:val="655F2893"/>
    <w:rsid w:val="657D3011"/>
    <w:rsid w:val="658713A2"/>
    <w:rsid w:val="65A11F4C"/>
    <w:rsid w:val="65A20151"/>
    <w:rsid w:val="65A70B71"/>
    <w:rsid w:val="65C30B03"/>
    <w:rsid w:val="65EA7DC1"/>
    <w:rsid w:val="65F1746D"/>
    <w:rsid w:val="65F66288"/>
    <w:rsid w:val="660A04C6"/>
    <w:rsid w:val="660A3AE5"/>
    <w:rsid w:val="661159C2"/>
    <w:rsid w:val="661E073D"/>
    <w:rsid w:val="666D6FE3"/>
    <w:rsid w:val="66767360"/>
    <w:rsid w:val="668F585F"/>
    <w:rsid w:val="66A3772E"/>
    <w:rsid w:val="66A46773"/>
    <w:rsid w:val="66EF1BEE"/>
    <w:rsid w:val="670767B3"/>
    <w:rsid w:val="673F2C72"/>
    <w:rsid w:val="67456D79"/>
    <w:rsid w:val="674A63AC"/>
    <w:rsid w:val="67511747"/>
    <w:rsid w:val="67530DBD"/>
    <w:rsid w:val="675A6D1E"/>
    <w:rsid w:val="679B3AE9"/>
    <w:rsid w:val="679F57C4"/>
    <w:rsid w:val="67A057C4"/>
    <w:rsid w:val="67A33DD3"/>
    <w:rsid w:val="67C563CE"/>
    <w:rsid w:val="67DE53C1"/>
    <w:rsid w:val="67ED1B11"/>
    <w:rsid w:val="67F05BA3"/>
    <w:rsid w:val="680F3FE9"/>
    <w:rsid w:val="6813125A"/>
    <w:rsid w:val="681A6923"/>
    <w:rsid w:val="68407EDD"/>
    <w:rsid w:val="685516D6"/>
    <w:rsid w:val="685F260D"/>
    <w:rsid w:val="6872088B"/>
    <w:rsid w:val="687801F3"/>
    <w:rsid w:val="68804688"/>
    <w:rsid w:val="688B2BC8"/>
    <w:rsid w:val="689E3524"/>
    <w:rsid w:val="68A04E37"/>
    <w:rsid w:val="68AB1A2E"/>
    <w:rsid w:val="68AE7CF8"/>
    <w:rsid w:val="68B333B8"/>
    <w:rsid w:val="68B37B9F"/>
    <w:rsid w:val="68B6315F"/>
    <w:rsid w:val="68BB2474"/>
    <w:rsid w:val="68BD2B94"/>
    <w:rsid w:val="68E258A1"/>
    <w:rsid w:val="68EC4874"/>
    <w:rsid w:val="69086F7B"/>
    <w:rsid w:val="690F2EED"/>
    <w:rsid w:val="69247D62"/>
    <w:rsid w:val="692E75CA"/>
    <w:rsid w:val="69356BE4"/>
    <w:rsid w:val="693670D1"/>
    <w:rsid w:val="69431418"/>
    <w:rsid w:val="69734F61"/>
    <w:rsid w:val="69847A68"/>
    <w:rsid w:val="69B64F08"/>
    <w:rsid w:val="69CB10D0"/>
    <w:rsid w:val="69E07846"/>
    <w:rsid w:val="69E54585"/>
    <w:rsid w:val="6A1A084E"/>
    <w:rsid w:val="6A2011E5"/>
    <w:rsid w:val="6A215CA0"/>
    <w:rsid w:val="6A3C2EAA"/>
    <w:rsid w:val="6A4F0AFF"/>
    <w:rsid w:val="6A50267B"/>
    <w:rsid w:val="6A572334"/>
    <w:rsid w:val="6A7C6F17"/>
    <w:rsid w:val="6A904323"/>
    <w:rsid w:val="6AA728E2"/>
    <w:rsid w:val="6AA866F0"/>
    <w:rsid w:val="6AAD5E11"/>
    <w:rsid w:val="6AC13AB9"/>
    <w:rsid w:val="6ACA0DBF"/>
    <w:rsid w:val="6AD13ABB"/>
    <w:rsid w:val="6ADD3E44"/>
    <w:rsid w:val="6AED067B"/>
    <w:rsid w:val="6AFD2496"/>
    <w:rsid w:val="6AFF5C1B"/>
    <w:rsid w:val="6B001065"/>
    <w:rsid w:val="6B095F99"/>
    <w:rsid w:val="6B1F7528"/>
    <w:rsid w:val="6B2C7AEA"/>
    <w:rsid w:val="6B3314D2"/>
    <w:rsid w:val="6B403A04"/>
    <w:rsid w:val="6B4D3A49"/>
    <w:rsid w:val="6B5F004D"/>
    <w:rsid w:val="6B62463B"/>
    <w:rsid w:val="6B8776F9"/>
    <w:rsid w:val="6B90212A"/>
    <w:rsid w:val="6B96763C"/>
    <w:rsid w:val="6B976074"/>
    <w:rsid w:val="6BBB7487"/>
    <w:rsid w:val="6BBC1D22"/>
    <w:rsid w:val="6BCD5C74"/>
    <w:rsid w:val="6BFB0138"/>
    <w:rsid w:val="6BFD7789"/>
    <w:rsid w:val="6C0F21D5"/>
    <w:rsid w:val="6C24541E"/>
    <w:rsid w:val="6C344D3C"/>
    <w:rsid w:val="6C4504B1"/>
    <w:rsid w:val="6C5C00D6"/>
    <w:rsid w:val="6C786C77"/>
    <w:rsid w:val="6C7878B3"/>
    <w:rsid w:val="6C790F18"/>
    <w:rsid w:val="6C797AF0"/>
    <w:rsid w:val="6C867AAB"/>
    <w:rsid w:val="6C960F3B"/>
    <w:rsid w:val="6CB25261"/>
    <w:rsid w:val="6CF13215"/>
    <w:rsid w:val="6CF61EA1"/>
    <w:rsid w:val="6D1D2BCE"/>
    <w:rsid w:val="6D211CF4"/>
    <w:rsid w:val="6D2E0ACA"/>
    <w:rsid w:val="6D463774"/>
    <w:rsid w:val="6D5B28B0"/>
    <w:rsid w:val="6D621868"/>
    <w:rsid w:val="6D65469A"/>
    <w:rsid w:val="6D714693"/>
    <w:rsid w:val="6D7B3183"/>
    <w:rsid w:val="6D8D6725"/>
    <w:rsid w:val="6D9C2F10"/>
    <w:rsid w:val="6DA105C4"/>
    <w:rsid w:val="6DBF0705"/>
    <w:rsid w:val="6DC40400"/>
    <w:rsid w:val="6DEB6449"/>
    <w:rsid w:val="6E1D37EA"/>
    <w:rsid w:val="6E5508C9"/>
    <w:rsid w:val="6E5713D3"/>
    <w:rsid w:val="6E6140FE"/>
    <w:rsid w:val="6E7C56EF"/>
    <w:rsid w:val="6E9E614A"/>
    <w:rsid w:val="6EA62827"/>
    <w:rsid w:val="6EBB0EBA"/>
    <w:rsid w:val="6EC14738"/>
    <w:rsid w:val="6EC97B4B"/>
    <w:rsid w:val="6ECC4891"/>
    <w:rsid w:val="6EE17723"/>
    <w:rsid w:val="6EF91E6E"/>
    <w:rsid w:val="6F0313CA"/>
    <w:rsid w:val="6F054410"/>
    <w:rsid w:val="6F12410F"/>
    <w:rsid w:val="6F143370"/>
    <w:rsid w:val="6F2E2693"/>
    <w:rsid w:val="6F2F1D02"/>
    <w:rsid w:val="6F3702A6"/>
    <w:rsid w:val="6F39679C"/>
    <w:rsid w:val="6F422009"/>
    <w:rsid w:val="6F486B43"/>
    <w:rsid w:val="6F5821E9"/>
    <w:rsid w:val="6F620589"/>
    <w:rsid w:val="6F677334"/>
    <w:rsid w:val="6F8A4A0A"/>
    <w:rsid w:val="6F8E6691"/>
    <w:rsid w:val="6F926F48"/>
    <w:rsid w:val="6F9A0DC2"/>
    <w:rsid w:val="6FA724C0"/>
    <w:rsid w:val="6FAD7138"/>
    <w:rsid w:val="6FE00103"/>
    <w:rsid w:val="6FED026F"/>
    <w:rsid w:val="701D437B"/>
    <w:rsid w:val="702657D6"/>
    <w:rsid w:val="702C7543"/>
    <w:rsid w:val="702C7A97"/>
    <w:rsid w:val="70535634"/>
    <w:rsid w:val="70726C73"/>
    <w:rsid w:val="7078162C"/>
    <w:rsid w:val="70901DF0"/>
    <w:rsid w:val="70A236FA"/>
    <w:rsid w:val="70BA2B7E"/>
    <w:rsid w:val="70E035FF"/>
    <w:rsid w:val="70F136D4"/>
    <w:rsid w:val="70F57D72"/>
    <w:rsid w:val="70FD606C"/>
    <w:rsid w:val="71025D81"/>
    <w:rsid w:val="71060671"/>
    <w:rsid w:val="712533EC"/>
    <w:rsid w:val="713517A8"/>
    <w:rsid w:val="71383234"/>
    <w:rsid w:val="714E1979"/>
    <w:rsid w:val="71673F9B"/>
    <w:rsid w:val="716B1E44"/>
    <w:rsid w:val="717D06BD"/>
    <w:rsid w:val="71BB77C4"/>
    <w:rsid w:val="71E20153"/>
    <w:rsid w:val="71F070B4"/>
    <w:rsid w:val="721C7C83"/>
    <w:rsid w:val="722A535E"/>
    <w:rsid w:val="72310E6B"/>
    <w:rsid w:val="724442BA"/>
    <w:rsid w:val="724A7E11"/>
    <w:rsid w:val="724D696B"/>
    <w:rsid w:val="72576105"/>
    <w:rsid w:val="72587F6C"/>
    <w:rsid w:val="727B49DF"/>
    <w:rsid w:val="7284279E"/>
    <w:rsid w:val="72920F75"/>
    <w:rsid w:val="7296248F"/>
    <w:rsid w:val="7297440A"/>
    <w:rsid w:val="72B71F3B"/>
    <w:rsid w:val="730E6B3B"/>
    <w:rsid w:val="73481195"/>
    <w:rsid w:val="7349730C"/>
    <w:rsid w:val="73630DD3"/>
    <w:rsid w:val="73716ED3"/>
    <w:rsid w:val="73804F65"/>
    <w:rsid w:val="73807B82"/>
    <w:rsid w:val="73927DA8"/>
    <w:rsid w:val="73A3513F"/>
    <w:rsid w:val="73A66A49"/>
    <w:rsid w:val="73AB3D2F"/>
    <w:rsid w:val="73AB5F89"/>
    <w:rsid w:val="73AB637E"/>
    <w:rsid w:val="73B61F92"/>
    <w:rsid w:val="73BF3D53"/>
    <w:rsid w:val="73C70602"/>
    <w:rsid w:val="73CD36A7"/>
    <w:rsid w:val="73E82D35"/>
    <w:rsid w:val="73E9403A"/>
    <w:rsid w:val="73FD7457"/>
    <w:rsid w:val="741D578E"/>
    <w:rsid w:val="7420337B"/>
    <w:rsid w:val="74376E85"/>
    <w:rsid w:val="745C1D20"/>
    <w:rsid w:val="747E1801"/>
    <w:rsid w:val="74810702"/>
    <w:rsid w:val="748F004B"/>
    <w:rsid w:val="74A35919"/>
    <w:rsid w:val="74A57C4B"/>
    <w:rsid w:val="74AB43FE"/>
    <w:rsid w:val="74E0106B"/>
    <w:rsid w:val="74F07818"/>
    <w:rsid w:val="74F2464C"/>
    <w:rsid w:val="75011284"/>
    <w:rsid w:val="750B50F8"/>
    <w:rsid w:val="75435570"/>
    <w:rsid w:val="75441110"/>
    <w:rsid w:val="75581C92"/>
    <w:rsid w:val="756937A6"/>
    <w:rsid w:val="756E1C38"/>
    <w:rsid w:val="7572491F"/>
    <w:rsid w:val="75787FC9"/>
    <w:rsid w:val="75866F5E"/>
    <w:rsid w:val="758E0BA3"/>
    <w:rsid w:val="75B00FA4"/>
    <w:rsid w:val="75B45DFF"/>
    <w:rsid w:val="75E20B7D"/>
    <w:rsid w:val="75E33E80"/>
    <w:rsid w:val="75E44CAA"/>
    <w:rsid w:val="75E572F8"/>
    <w:rsid w:val="7624741C"/>
    <w:rsid w:val="76316E3E"/>
    <w:rsid w:val="763C19CF"/>
    <w:rsid w:val="76595C07"/>
    <w:rsid w:val="766A3814"/>
    <w:rsid w:val="766E0017"/>
    <w:rsid w:val="766E4EA8"/>
    <w:rsid w:val="76772AAD"/>
    <w:rsid w:val="76D138C1"/>
    <w:rsid w:val="76D24D3E"/>
    <w:rsid w:val="76D70B13"/>
    <w:rsid w:val="76D90CEF"/>
    <w:rsid w:val="76DB0BEA"/>
    <w:rsid w:val="76F319AA"/>
    <w:rsid w:val="76F7010B"/>
    <w:rsid w:val="770E390F"/>
    <w:rsid w:val="7732001F"/>
    <w:rsid w:val="775A028B"/>
    <w:rsid w:val="77706EEF"/>
    <w:rsid w:val="777906C9"/>
    <w:rsid w:val="77A26354"/>
    <w:rsid w:val="77D60771"/>
    <w:rsid w:val="77DE2FD8"/>
    <w:rsid w:val="77EB2EEA"/>
    <w:rsid w:val="78144E1F"/>
    <w:rsid w:val="783234F8"/>
    <w:rsid w:val="783A3050"/>
    <w:rsid w:val="78526E6F"/>
    <w:rsid w:val="78557A50"/>
    <w:rsid w:val="785C1FBF"/>
    <w:rsid w:val="786252CD"/>
    <w:rsid w:val="78694430"/>
    <w:rsid w:val="78715728"/>
    <w:rsid w:val="78761B5B"/>
    <w:rsid w:val="787C6235"/>
    <w:rsid w:val="787F7067"/>
    <w:rsid w:val="7880362F"/>
    <w:rsid w:val="78A052E1"/>
    <w:rsid w:val="78A83046"/>
    <w:rsid w:val="78B831EA"/>
    <w:rsid w:val="78C66D48"/>
    <w:rsid w:val="78E1295E"/>
    <w:rsid w:val="78F227FE"/>
    <w:rsid w:val="78F850A6"/>
    <w:rsid w:val="78FF080F"/>
    <w:rsid w:val="791F5947"/>
    <w:rsid w:val="791F7B85"/>
    <w:rsid w:val="795728B8"/>
    <w:rsid w:val="798A3C76"/>
    <w:rsid w:val="798F67E9"/>
    <w:rsid w:val="79943429"/>
    <w:rsid w:val="7998105A"/>
    <w:rsid w:val="79A55693"/>
    <w:rsid w:val="79B5371A"/>
    <w:rsid w:val="7A0E07E7"/>
    <w:rsid w:val="7A147790"/>
    <w:rsid w:val="7A2034DA"/>
    <w:rsid w:val="7A2709CD"/>
    <w:rsid w:val="7A37260E"/>
    <w:rsid w:val="7A376D56"/>
    <w:rsid w:val="7A3E45A5"/>
    <w:rsid w:val="7A427D64"/>
    <w:rsid w:val="7A4948A4"/>
    <w:rsid w:val="7A4F7F78"/>
    <w:rsid w:val="7A804666"/>
    <w:rsid w:val="7A893B99"/>
    <w:rsid w:val="7A980796"/>
    <w:rsid w:val="7A984624"/>
    <w:rsid w:val="7A9D3C6B"/>
    <w:rsid w:val="7AA40B71"/>
    <w:rsid w:val="7AAD04E7"/>
    <w:rsid w:val="7AB75E88"/>
    <w:rsid w:val="7AC259F7"/>
    <w:rsid w:val="7AD0650C"/>
    <w:rsid w:val="7AE76131"/>
    <w:rsid w:val="7AFB6536"/>
    <w:rsid w:val="7B002A85"/>
    <w:rsid w:val="7B121081"/>
    <w:rsid w:val="7B1F2BC5"/>
    <w:rsid w:val="7B4A3299"/>
    <w:rsid w:val="7B4D4648"/>
    <w:rsid w:val="7B7D7929"/>
    <w:rsid w:val="7B841B0E"/>
    <w:rsid w:val="7B861048"/>
    <w:rsid w:val="7B95754E"/>
    <w:rsid w:val="7B9C706E"/>
    <w:rsid w:val="7B9F205C"/>
    <w:rsid w:val="7BA55FC3"/>
    <w:rsid w:val="7BA92CD4"/>
    <w:rsid w:val="7BD35741"/>
    <w:rsid w:val="7BD400D4"/>
    <w:rsid w:val="7BD4262D"/>
    <w:rsid w:val="7BDF7C23"/>
    <w:rsid w:val="7BE26255"/>
    <w:rsid w:val="7BEB7F5D"/>
    <w:rsid w:val="7BF80823"/>
    <w:rsid w:val="7C0242FF"/>
    <w:rsid w:val="7C0B2A10"/>
    <w:rsid w:val="7C1666A5"/>
    <w:rsid w:val="7C30325F"/>
    <w:rsid w:val="7C3874BD"/>
    <w:rsid w:val="7C5070E4"/>
    <w:rsid w:val="7C55741F"/>
    <w:rsid w:val="7C807618"/>
    <w:rsid w:val="7CAE5A9D"/>
    <w:rsid w:val="7CBC30C6"/>
    <w:rsid w:val="7CD35E95"/>
    <w:rsid w:val="7CDA062C"/>
    <w:rsid w:val="7D0B2A17"/>
    <w:rsid w:val="7D101CB4"/>
    <w:rsid w:val="7D160944"/>
    <w:rsid w:val="7D190427"/>
    <w:rsid w:val="7D466F15"/>
    <w:rsid w:val="7D5E7849"/>
    <w:rsid w:val="7D6049F8"/>
    <w:rsid w:val="7D6623E7"/>
    <w:rsid w:val="7D7246CA"/>
    <w:rsid w:val="7D773241"/>
    <w:rsid w:val="7D921593"/>
    <w:rsid w:val="7D9475AC"/>
    <w:rsid w:val="7D9D7924"/>
    <w:rsid w:val="7DBA1CA3"/>
    <w:rsid w:val="7DC16B25"/>
    <w:rsid w:val="7DCD0287"/>
    <w:rsid w:val="7DDB3514"/>
    <w:rsid w:val="7DE51971"/>
    <w:rsid w:val="7DFB3DBD"/>
    <w:rsid w:val="7E087814"/>
    <w:rsid w:val="7E0B59D9"/>
    <w:rsid w:val="7E324E80"/>
    <w:rsid w:val="7E457734"/>
    <w:rsid w:val="7E474B33"/>
    <w:rsid w:val="7E4A003D"/>
    <w:rsid w:val="7E4D74B1"/>
    <w:rsid w:val="7E6A3B44"/>
    <w:rsid w:val="7E7A6445"/>
    <w:rsid w:val="7EAD7761"/>
    <w:rsid w:val="7ED01709"/>
    <w:rsid w:val="7ED9655E"/>
    <w:rsid w:val="7EE235AB"/>
    <w:rsid w:val="7EFD6049"/>
    <w:rsid w:val="7F17453D"/>
    <w:rsid w:val="7F1801F5"/>
    <w:rsid w:val="7F2D5DEA"/>
    <w:rsid w:val="7F2E4837"/>
    <w:rsid w:val="7F354BE6"/>
    <w:rsid w:val="7F3A2352"/>
    <w:rsid w:val="7F3C5E9D"/>
    <w:rsid w:val="7F3E2634"/>
    <w:rsid w:val="7F545F9B"/>
    <w:rsid w:val="7F671E0F"/>
    <w:rsid w:val="7F684A2E"/>
    <w:rsid w:val="7F6E443F"/>
    <w:rsid w:val="7FA30658"/>
    <w:rsid w:val="7FD43E8E"/>
    <w:rsid w:val="7FE1373C"/>
    <w:rsid w:val="7FE630FD"/>
    <w:rsid w:val="7FF31F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宋体"/>
      <w:lang w:val="en-US" w:eastAsia="en-US" w:bidi="ar-SA"/>
    </w:rPr>
  </w:style>
  <w:style w:type="paragraph" w:styleId="2">
    <w:name w:val="heading 1"/>
    <w:basedOn w:val="1"/>
    <w:next w:val="1"/>
    <w:link w:val="6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20"/>
    <w:qFormat/>
    <w:uiPriority w:val="0"/>
    <w:pPr>
      <w:keepNext/>
      <w:keepLines/>
      <w:spacing w:before="260" w:after="260" w:line="413" w:lineRule="auto"/>
      <w:outlineLvl w:val="2"/>
    </w:pPr>
    <w:rPr>
      <w:rFonts w:eastAsia="宋体" w:cs="Times New Roman"/>
      <w:b/>
      <w:bCs/>
      <w:sz w:val="32"/>
      <w:szCs w:val="32"/>
    </w:rPr>
  </w:style>
  <w:style w:type="paragraph" w:styleId="5">
    <w:name w:val="heading 4"/>
    <w:basedOn w:val="1"/>
    <w:next w:val="1"/>
    <w:link w:val="80"/>
    <w:qFormat/>
    <w:uiPriority w:val="0"/>
    <w:pPr>
      <w:keepNext/>
      <w:keepLines/>
      <w:spacing w:before="280" w:after="290" w:line="372" w:lineRule="auto"/>
      <w:outlineLvl w:val="3"/>
    </w:pPr>
    <w:rPr>
      <w:rFonts w:ascii="Arial" w:hAnsi="Arial" w:eastAsia="黑体" w:cs="Times New Roman"/>
      <w:b/>
      <w:bCs/>
      <w:sz w:val="28"/>
      <w:szCs w:val="28"/>
    </w:rPr>
  </w:style>
  <w:style w:type="paragraph" w:styleId="6">
    <w:name w:val="heading 5"/>
    <w:basedOn w:val="1"/>
    <w:next w:val="1"/>
    <w:link w:val="71"/>
    <w:qFormat/>
    <w:uiPriority w:val="0"/>
    <w:pPr>
      <w:keepNext/>
      <w:keepLines/>
      <w:spacing w:before="280" w:after="290" w:line="372" w:lineRule="auto"/>
      <w:outlineLvl w:val="4"/>
    </w:pPr>
    <w:rPr>
      <w:rFonts w:eastAsia="宋体" w:cs="Times New Roman"/>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spacing w:before="240" w:after="64" w:line="317" w:lineRule="auto"/>
      <w:outlineLvl w:val="6"/>
    </w:pPr>
    <w:rPr>
      <w:b/>
      <w:bCs/>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style>
  <w:style w:type="paragraph" w:styleId="10">
    <w:name w:val="table of authorities"/>
    <w:basedOn w:val="1"/>
    <w:next w:val="1"/>
    <w:qFormat/>
    <w:uiPriority w:val="99"/>
    <w:pPr>
      <w:ind w:left="420" w:leftChars="200"/>
    </w:pPr>
  </w:style>
  <w:style w:type="paragraph" w:styleId="11">
    <w:name w:val="List Number"/>
    <w:basedOn w:val="1"/>
    <w:qFormat/>
    <w:uiPriority w:val="0"/>
    <w:pPr>
      <w:numPr>
        <w:ilvl w:val="0"/>
        <w:numId w:val="1"/>
      </w:numPr>
    </w:pPr>
  </w:style>
  <w:style w:type="paragraph" w:styleId="12">
    <w:name w:val="Normal Indent"/>
    <w:basedOn w:val="1"/>
    <w:qFormat/>
    <w:uiPriority w:val="0"/>
    <w:pPr>
      <w:ind w:firstLine="420" w:firstLineChars="200"/>
    </w:pPr>
  </w:style>
  <w:style w:type="paragraph" w:styleId="13">
    <w:name w:val="caption"/>
    <w:basedOn w:val="1"/>
    <w:next w:val="1"/>
    <w:qFormat/>
    <w:uiPriority w:val="0"/>
    <w:pPr>
      <w:spacing w:before="152" w:after="160"/>
    </w:pPr>
    <w:rPr>
      <w:rFonts w:ascii="Arial" w:hAnsi="Arial" w:eastAsia="黑体" w:cs="Arial"/>
    </w:rPr>
  </w:style>
  <w:style w:type="paragraph" w:styleId="14">
    <w:name w:val="Document Map"/>
    <w:basedOn w:val="1"/>
    <w:qFormat/>
    <w:uiPriority w:val="0"/>
    <w:pPr>
      <w:shd w:val="clear" w:color="auto" w:fill="000080"/>
    </w:pPr>
    <w:rPr>
      <w:rFonts w:ascii="宋体" w:hAnsi="Courier New"/>
      <w:kern w:val="2"/>
      <w:sz w:val="21"/>
      <w:shd w:val="clear" w:color="auto" w:fill="000080"/>
    </w:rPr>
  </w:style>
  <w:style w:type="paragraph" w:styleId="15">
    <w:name w:val="annotation text"/>
    <w:basedOn w:val="1"/>
    <w:qFormat/>
    <w:uiPriority w:val="0"/>
    <w:pPr>
      <w:jc w:val="left"/>
    </w:pPr>
  </w:style>
  <w:style w:type="paragraph" w:styleId="16">
    <w:name w:val="Body Text 3"/>
    <w:basedOn w:val="1"/>
    <w:qFormat/>
    <w:uiPriority w:val="0"/>
    <w:pPr>
      <w:widowControl/>
      <w:adjustRightInd w:val="0"/>
      <w:snapToGrid w:val="0"/>
      <w:spacing w:line="360" w:lineRule="auto"/>
    </w:pPr>
    <w:rPr>
      <w:rFonts w:ascii="宋体" w:hAnsi="Courier New"/>
      <w:color w:val="000000"/>
    </w:rPr>
  </w:style>
  <w:style w:type="paragraph" w:styleId="17">
    <w:name w:val="Body Text"/>
    <w:basedOn w:val="1"/>
    <w:next w:val="1"/>
    <w:qFormat/>
    <w:uiPriority w:val="0"/>
    <w:rPr>
      <w:rFonts w:ascii="金山简黑体" w:eastAsia="金山简黑体"/>
      <w:b/>
      <w:spacing w:val="-8"/>
      <w:sz w:val="44"/>
    </w:rPr>
  </w:style>
  <w:style w:type="paragraph" w:styleId="18">
    <w:name w:val="Body Text Indent"/>
    <w:basedOn w:val="1"/>
    <w:qFormat/>
    <w:uiPriority w:val="0"/>
    <w:pPr>
      <w:spacing w:line="200" w:lineRule="exact"/>
      <w:ind w:firstLine="301"/>
    </w:pPr>
    <w:rPr>
      <w:spacing w:val="-4"/>
      <w:sz w:val="18"/>
    </w:rPr>
  </w:style>
  <w:style w:type="paragraph" w:styleId="19">
    <w:name w:val="List 2"/>
    <w:basedOn w:val="1"/>
    <w:qFormat/>
    <w:uiPriority w:val="0"/>
    <w:pPr>
      <w:ind w:left="100" w:leftChars="200" w:hanging="200" w:hangingChars="200"/>
    </w:pPr>
  </w:style>
  <w:style w:type="paragraph" w:styleId="20">
    <w:name w:val="Plain Text"/>
    <w:basedOn w:val="1"/>
    <w:next w:val="21"/>
    <w:link w:val="74"/>
    <w:qFormat/>
    <w:uiPriority w:val="0"/>
    <w:rPr>
      <w:rFonts w:ascii="宋体" w:hAnsi="Courier New" w:eastAsia="宋体" w:cs="Times New Roman"/>
      <w:kern w:val="2"/>
      <w:sz w:val="21"/>
      <w:lang w:eastAsia="zh-CN"/>
    </w:rPr>
  </w:style>
  <w:style w:type="paragraph" w:styleId="21">
    <w:name w:val="Date"/>
    <w:basedOn w:val="1"/>
    <w:next w:val="1"/>
    <w:link w:val="62"/>
    <w:qFormat/>
    <w:uiPriority w:val="0"/>
    <w:pPr>
      <w:ind w:left="100" w:leftChars="2500"/>
    </w:pPr>
    <w:rPr>
      <w:rFonts w:ascii="宋体" w:hAnsi="Courier New" w:eastAsia="宋体" w:cs="Times New Roman"/>
      <w:bCs/>
      <w:kern w:val="2"/>
      <w:sz w:val="24"/>
      <w:lang w:eastAsia="zh-CN"/>
    </w:rPr>
  </w:style>
  <w:style w:type="paragraph" w:styleId="22">
    <w:name w:val="Body Text Indent 2"/>
    <w:basedOn w:val="1"/>
    <w:qFormat/>
    <w:uiPriority w:val="0"/>
    <w:pPr>
      <w:ind w:firstLine="480" w:firstLineChars="200"/>
      <w:jc w:val="left"/>
    </w:pPr>
    <w:rPr>
      <w:rFonts w:hAnsi="宋体"/>
      <w:sz w:val="24"/>
      <w:szCs w:val="24"/>
    </w:rPr>
  </w:style>
  <w:style w:type="paragraph" w:styleId="23">
    <w:name w:val="Balloon Text"/>
    <w:basedOn w:val="1"/>
    <w:qFormat/>
    <w:uiPriority w:val="0"/>
    <w:rPr>
      <w:sz w:val="18"/>
      <w:szCs w:val="18"/>
    </w:rPr>
  </w:style>
  <w:style w:type="paragraph" w:styleId="24">
    <w:name w:val="footer"/>
    <w:basedOn w:val="1"/>
    <w:next w:val="1"/>
    <w:qFormat/>
    <w:uiPriority w:val="0"/>
    <w:pPr>
      <w:tabs>
        <w:tab w:val="center" w:pos="4153"/>
        <w:tab w:val="right" w:pos="8306"/>
      </w:tabs>
      <w:snapToGrid w:val="0"/>
      <w:jc w:val="left"/>
    </w:pPr>
    <w:rPr>
      <w:rFonts w:ascii="宋体" w:hAnsi="Courier New"/>
      <w:kern w:val="2"/>
      <w:sz w:val="18"/>
    </w:rPr>
  </w:style>
  <w:style w:type="paragraph" w:styleId="25">
    <w:name w:val="header"/>
    <w:basedOn w:val="1"/>
    <w:link w:val="75"/>
    <w:qFormat/>
    <w:uiPriority w:val="0"/>
    <w:pPr>
      <w:pBdr>
        <w:bottom w:val="single" w:color="auto" w:sz="6" w:space="1"/>
      </w:pBdr>
      <w:tabs>
        <w:tab w:val="center" w:pos="4153"/>
        <w:tab w:val="right" w:pos="8306"/>
      </w:tabs>
      <w:snapToGrid w:val="0"/>
      <w:jc w:val="center"/>
    </w:pPr>
    <w:rPr>
      <w:rFonts w:ascii="宋体" w:hAnsi="Courier New" w:eastAsia="宋体" w:cs="Times New Roman"/>
      <w:kern w:val="2"/>
      <w:sz w:val="18"/>
      <w:lang w:eastAsia="zh-CN"/>
    </w:rPr>
  </w:style>
  <w:style w:type="paragraph" w:styleId="26">
    <w:name w:val="toc 1"/>
    <w:basedOn w:val="1"/>
    <w:next w:val="1"/>
    <w:qFormat/>
    <w:uiPriority w:val="0"/>
    <w:pPr>
      <w:tabs>
        <w:tab w:val="right" w:leader="dot" w:pos="9072"/>
      </w:tabs>
    </w:pPr>
    <w:rPr>
      <w:sz w:val="24"/>
      <w:szCs w:val="24"/>
    </w:rPr>
  </w:style>
  <w:style w:type="paragraph" w:styleId="27">
    <w:name w:val="List"/>
    <w:basedOn w:val="1"/>
    <w:qFormat/>
    <w:uiPriority w:val="0"/>
    <w:pPr>
      <w:ind w:left="200" w:hanging="200" w:hangingChars="200"/>
    </w:pPr>
  </w:style>
  <w:style w:type="paragraph" w:styleId="28">
    <w:name w:val="Body Text Indent 3"/>
    <w:basedOn w:val="1"/>
    <w:qFormat/>
    <w:uiPriority w:val="0"/>
    <w:pPr>
      <w:ind w:firstLine="420" w:firstLineChars="200"/>
      <w:jc w:val="left"/>
    </w:pPr>
    <w:rPr>
      <w:rFonts w:hAnsi="宋体"/>
      <w:szCs w:val="24"/>
    </w:rPr>
  </w:style>
  <w:style w:type="paragraph" w:styleId="29">
    <w:name w:val="toc 2"/>
    <w:basedOn w:val="1"/>
    <w:next w:val="1"/>
    <w:qFormat/>
    <w:uiPriority w:val="0"/>
    <w:pPr>
      <w:tabs>
        <w:tab w:val="right" w:leader="dot" w:pos="9072"/>
      </w:tabs>
      <w:ind w:left="420" w:leftChars="200"/>
    </w:pPr>
  </w:style>
  <w:style w:type="paragraph" w:styleId="30">
    <w:name w:val="Body Text 2"/>
    <w:basedOn w:val="1"/>
    <w:qFormat/>
    <w:uiPriority w:val="0"/>
    <w:pPr>
      <w:spacing w:after="120" w:line="480" w:lineRule="auto"/>
    </w:pPr>
  </w:style>
  <w:style w:type="paragraph" w:styleId="31">
    <w:name w:val="List Continue 2"/>
    <w:basedOn w:val="1"/>
    <w:qFormat/>
    <w:uiPriority w:val="0"/>
    <w:pPr>
      <w:spacing w:after="120"/>
      <w:ind w:left="840" w:leftChars="400"/>
    </w:pPr>
  </w:style>
  <w:style w:type="paragraph" w:styleId="32">
    <w:name w:val="Normal (Web)"/>
    <w:basedOn w:val="1"/>
    <w:qFormat/>
    <w:uiPriority w:val="0"/>
    <w:pPr>
      <w:widowControl/>
      <w:spacing w:before="100" w:beforeAutospacing="1" w:after="100" w:afterAutospacing="1"/>
      <w:jc w:val="left"/>
    </w:pPr>
    <w:rPr>
      <w:rFonts w:hAnsi="宋体"/>
      <w:sz w:val="24"/>
      <w:szCs w:val="24"/>
    </w:rPr>
  </w:style>
  <w:style w:type="paragraph" w:styleId="33">
    <w:name w:val="index 1"/>
    <w:basedOn w:val="1"/>
    <w:next w:val="1"/>
    <w:qFormat/>
    <w:uiPriority w:val="0"/>
  </w:style>
  <w:style w:type="paragraph" w:styleId="34">
    <w:name w:val="Title"/>
    <w:basedOn w:val="1"/>
    <w:next w:val="1"/>
    <w:qFormat/>
    <w:uiPriority w:val="0"/>
    <w:pPr>
      <w:spacing w:before="240" w:after="60"/>
      <w:jc w:val="center"/>
      <w:outlineLvl w:val="0"/>
    </w:pPr>
    <w:rPr>
      <w:rFonts w:ascii="Cambria" w:hAnsi="Cambria" w:eastAsia="宋体"/>
      <w:b/>
      <w:bCs/>
      <w:kern w:val="2"/>
      <w:sz w:val="32"/>
      <w:szCs w:val="32"/>
      <w:lang w:eastAsia="zh-CN"/>
    </w:rPr>
  </w:style>
  <w:style w:type="paragraph" w:styleId="35">
    <w:name w:val="annotation subject"/>
    <w:basedOn w:val="15"/>
    <w:next w:val="15"/>
    <w:qFormat/>
    <w:uiPriority w:val="0"/>
    <w:rPr>
      <w:b/>
      <w:bCs/>
    </w:rPr>
  </w:style>
  <w:style w:type="paragraph" w:styleId="36">
    <w:name w:val="Body Text First Indent"/>
    <w:basedOn w:val="17"/>
    <w:qFormat/>
    <w:uiPriority w:val="0"/>
    <w:pPr>
      <w:spacing w:after="120"/>
      <w:ind w:firstLine="420" w:firstLineChars="100"/>
    </w:pPr>
    <w:rPr>
      <w:rFonts w:ascii="Times New Roman" w:eastAsia="宋体"/>
      <w:b w:val="0"/>
      <w:spacing w:val="0"/>
      <w:sz w:val="21"/>
      <w:szCs w:val="24"/>
    </w:rPr>
  </w:style>
  <w:style w:type="table" w:styleId="38">
    <w:name w:val="Table Grid"/>
    <w:basedOn w:val="3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FollowedHyperlink"/>
    <w:qFormat/>
    <w:uiPriority w:val="0"/>
    <w:rPr>
      <w:color w:val="800080"/>
      <w:u w:val="none"/>
    </w:rPr>
  </w:style>
  <w:style w:type="character" w:styleId="43">
    <w:name w:val="Emphasis"/>
    <w:basedOn w:val="39"/>
    <w:qFormat/>
    <w:uiPriority w:val="0"/>
    <w:rPr>
      <w:b/>
      <w:bCs/>
    </w:rPr>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0"/>
    <w:rPr>
      <w:color w:val="0000FF"/>
      <w:u w:val="non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39"/>
    <w:qFormat/>
    <w:uiPriority w:val="0"/>
    <w:rPr>
      <w:vanish/>
    </w:rPr>
  </w:style>
  <w:style w:type="character" w:styleId="52">
    <w:name w:val="HTML Keyboard"/>
    <w:basedOn w:val="39"/>
    <w:semiHidden/>
    <w:unhideWhenUsed/>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paragraph" w:customStyle="1" w:styleId="54">
    <w:name w:val="表格文字"/>
    <w:basedOn w:val="1"/>
    <w:qFormat/>
    <w:uiPriority w:val="0"/>
    <w:pPr>
      <w:spacing w:before="25" w:after="25"/>
      <w:jc w:val="left"/>
    </w:pPr>
    <w:rPr>
      <w:bCs/>
      <w:spacing w:val="10"/>
      <w:sz w:val="24"/>
    </w:rPr>
  </w:style>
  <w:style w:type="paragraph" w:customStyle="1" w:styleId="55">
    <w:name w:val="Default"/>
    <w:qFormat/>
    <w:uiPriority w:val="0"/>
    <w:pPr>
      <w:autoSpaceDE w:val="0"/>
      <w:autoSpaceDN w:val="0"/>
      <w:adjustRightInd w:val="0"/>
    </w:pPr>
    <w:rPr>
      <w:rFonts w:ascii="宋体" w:hAnsi="Calibri" w:eastAsia="Times New Roman" w:cs="宋体"/>
      <w:color w:val="000000"/>
      <w:sz w:val="24"/>
      <w:szCs w:val="24"/>
      <w:lang w:val="en-US" w:eastAsia="zh-CN" w:bidi="ar-SA"/>
    </w:rPr>
  </w:style>
  <w:style w:type="character" w:customStyle="1" w:styleId="56">
    <w:name w:val="font141"/>
    <w:qFormat/>
    <w:uiPriority w:val="0"/>
    <w:rPr>
      <w:rFonts w:hint="eastAsia" w:ascii="宋体" w:hAnsi="宋体" w:eastAsia="宋体" w:cs="宋体"/>
      <w:color w:val="000000"/>
      <w:sz w:val="20"/>
      <w:szCs w:val="20"/>
      <w:u w:val="none"/>
    </w:rPr>
  </w:style>
  <w:style w:type="character" w:customStyle="1" w:styleId="57">
    <w:name w:val="font51"/>
    <w:qFormat/>
    <w:uiPriority w:val="0"/>
    <w:rPr>
      <w:rFonts w:hint="eastAsia" w:ascii="宋体" w:hAnsi="宋体" w:eastAsia="宋体" w:cs="宋体"/>
      <w:b/>
      <w:color w:val="000000"/>
      <w:sz w:val="18"/>
      <w:szCs w:val="18"/>
    </w:rPr>
  </w:style>
  <w:style w:type="character" w:customStyle="1" w:styleId="58">
    <w:name w:val="標題 3 字元"/>
    <w:qFormat/>
    <w:uiPriority w:val="0"/>
    <w:rPr>
      <w:b/>
      <w:bCs/>
      <w:sz w:val="32"/>
      <w:szCs w:val="32"/>
    </w:rPr>
  </w:style>
  <w:style w:type="character" w:customStyle="1" w:styleId="59">
    <w:name w:val="普通文字 Char Char1"/>
    <w:qFormat/>
    <w:uiPriority w:val="0"/>
    <w:rPr>
      <w:rFonts w:ascii="宋体" w:hAnsi="Courier New" w:eastAsia="宋体"/>
      <w:kern w:val="2"/>
      <w:sz w:val="21"/>
      <w:lang w:val="en-US" w:eastAsia="zh-CN" w:bidi="ar-SA"/>
    </w:rPr>
  </w:style>
  <w:style w:type="character" w:customStyle="1" w:styleId="60">
    <w:name w:val="标题 3 Char Char"/>
    <w:qFormat/>
    <w:uiPriority w:val="0"/>
    <w:rPr>
      <w:rFonts w:eastAsia="宋体"/>
      <w:b/>
      <w:bCs/>
      <w:kern w:val="2"/>
      <w:sz w:val="32"/>
      <w:szCs w:val="32"/>
      <w:lang w:val="en-US" w:eastAsia="zh-CN" w:bidi="ar-SA"/>
    </w:rPr>
  </w:style>
  <w:style w:type="character" w:customStyle="1" w:styleId="61">
    <w:name w:val="标题 1 字符"/>
    <w:link w:val="2"/>
    <w:qFormat/>
    <w:uiPriority w:val="0"/>
    <w:rPr>
      <w:b/>
      <w:bCs/>
      <w:kern w:val="44"/>
      <w:sz w:val="44"/>
      <w:szCs w:val="44"/>
    </w:rPr>
  </w:style>
  <w:style w:type="character" w:customStyle="1" w:styleId="62">
    <w:name w:val="日期 字符"/>
    <w:link w:val="21"/>
    <w:qFormat/>
    <w:uiPriority w:val="0"/>
    <w:rPr>
      <w:rFonts w:ascii="宋体" w:hAnsi="Courier New" w:eastAsia="宋体"/>
      <w:bCs/>
      <w:kern w:val="2"/>
      <w:sz w:val="24"/>
      <w:lang w:val="en-US" w:eastAsia="zh-CN" w:bidi="ar-SA"/>
    </w:rPr>
  </w:style>
  <w:style w:type="character" w:customStyle="1" w:styleId="63">
    <w:name w:val="font151"/>
    <w:qFormat/>
    <w:uiPriority w:val="0"/>
    <w:rPr>
      <w:rFonts w:hint="eastAsia" w:ascii="宋体" w:hAnsi="宋体" w:eastAsia="宋体" w:cs="宋体"/>
      <w:color w:val="000000"/>
      <w:sz w:val="20"/>
      <w:szCs w:val="20"/>
      <w:u w:val="none"/>
    </w:rPr>
  </w:style>
  <w:style w:type="character" w:customStyle="1" w:styleId="64">
    <w:name w:val="font41"/>
    <w:basedOn w:val="39"/>
    <w:qFormat/>
    <w:uiPriority w:val="0"/>
    <w:rPr>
      <w:rFonts w:hint="eastAsia" w:ascii="宋体" w:hAnsi="宋体" w:eastAsia="宋体" w:cs="宋体"/>
      <w:color w:val="000000"/>
      <w:sz w:val="20"/>
      <w:szCs w:val="20"/>
      <w:u w:val="none"/>
    </w:rPr>
  </w:style>
  <w:style w:type="character" w:customStyle="1" w:styleId="65">
    <w:name w:val="font31"/>
    <w:qFormat/>
    <w:uiPriority w:val="0"/>
    <w:rPr>
      <w:rFonts w:hint="default" w:ascii="Arial" w:hAnsi="Arial" w:cs="Arial"/>
      <w:color w:val="000000"/>
      <w:sz w:val="20"/>
      <w:szCs w:val="20"/>
      <w:u w:val="none"/>
      <w:vertAlign w:val="superscript"/>
    </w:rPr>
  </w:style>
  <w:style w:type="character" w:customStyle="1" w:styleId="66">
    <w:name w:val="apple-style-span"/>
    <w:basedOn w:val="39"/>
    <w:qFormat/>
    <w:uiPriority w:val="0"/>
  </w:style>
  <w:style w:type="character" w:customStyle="1" w:styleId="67">
    <w:name w:val="font71"/>
    <w:qFormat/>
    <w:uiPriority w:val="0"/>
    <w:rPr>
      <w:rFonts w:hint="eastAsia" w:ascii="宋体" w:hAnsi="宋体" w:eastAsia="宋体" w:cs="宋体"/>
      <w:i/>
      <w:color w:val="000000"/>
      <w:sz w:val="18"/>
      <w:szCs w:val="18"/>
    </w:rPr>
  </w:style>
  <w:style w:type="character" w:customStyle="1" w:styleId="68">
    <w:name w:val="font91"/>
    <w:qFormat/>
    <w:uiPriority w:val="0"/>
    <w:rPr>
      <w:rFonts w:hint="eastAsia" w:ascii="宋体" w:hAnsi="宋体" w:eastAsia="宋体" w:cs="宋体"/>
      <w:color w:val="000000"/>
      <w:sz w:val="20"/>
      <w:szCs w:val="20"/>
    </w:rPr>
  </w:style>
  <w:style w:type="character" w:customStyle="1" w:styleId="69">
    <w:name w:val="marklong"/>
    <w:basedOn w:val="39"/>
    <w:qFormat/>
    <w:uiPriority w:val="0"/>
  </w:style>
  <w:style w:type="character" w:customStyle="1" w:styleId="70">
    <w:name w:val="font21"/>
    <w:qFormat/>
    <w:uiPriority w:val="0"/>
    <w:rPr>
      <w:rFonts w:hint="eastAsia" w:ascii="宋体" w:hAnsi="宋体" w:eastAsia="宋体" w:cs="宋体"/>
      <w:color w:val="000000"/>
      <w:sz w:val="18"/>
      <w:szCs w:val="18"/>
    </w:rPr>
  </w:style>
  <w:style w:type="character" w:customStyle="1" w:styleId="71">
    <w:name w:val="标题 5 字符"/>
    <w:link w:val="6"/>
    <w:qFormat/>
    <w:uiPriority w:val="0"/>
    <w:rPr>
      <w:b/>
      <w:bCs/>
      <w:sz w:val="28"/>
      <w:szCs w:val="28"/>
    </w:rPr>
  </w:style>
  <w:style w:type="character" w:customStyle="1" w:styleId="72">
    <w:name w:val="font01"/>
    <w:qFormat/>
    <w:uiPriority w:val="0"/>
    <w:rPr>
      <w:rFonts w:hint="eastAsia" w:ascii="宋体" w:hAnsi="宋体" w:eastAsia="宋体" w:cs="宋体"/>
      <w:color w:val="000000"/>
      <w:sz w:val="24"/>
      <w:szCs w:val="24"/>
      <w:u w:val="none"/>
      <w:vertAlign w:val="superscript"/>
    </w:rPr>
  </w:style>
  <w:style w:type="character" w:customStyle="1" w:styleId="73">
    <w:name w:val="contentheaderrev1"/>
    <w:qFormat/>
    <w:uiPriority w:val="0"/>
    <w:rPr>
      <w:rFonts w:hint="default" w:ascii="Arial" w:hAnsi="Arial" w:cs="Arial"/>
      <w:b/>
      <w:bCs/>
      <w:color w:val="FFFFFF"/>
      <w:sz w:val="18"/>
      <w:szCs w:val="18"/>
      <w:u w:val="none"/>
    </w:rPr>
  </w:style>
  <w:style w:type="character" w:customStyle="1" w:styleId="74">
    <w:name w:val="纯文本 字符"/>
    <w:link w:val="20"/>
    <w:qFormat/>
    <w:uiPriority w:val="0"/>
    <w:rPr>
      <w:rFonts w:ascii="宋体" w:hAnsi="Courier New" w:eastAsia="宋体"/>
      <w:kern w:val="2"/>
      <w:sz w:val="21"/>
      <w:lang w:val="en-US" w:eastAsia="zh-CN" w:bidi="ar-SA"/>
    </w:rPr>
  </w:style>
  <w:style w:type="character" w:customStyle="1" w:styleId="75">
    <w:name w:val="页眉 字符"/>
    <w:link w:val="25"/>
    <w:qFormat/>
    <w:uiPriority w:val="0"/>
    <w:rPr>
      <w:rFonts w:ascii="宋体" w:hAnsi="Courier New" w:eastAsia="宋体"/>
      <w:kern w:val="2"/>
      <w:sz w:val="18"/>
      <w:lang w:val="en-US" w:eastAsia="zh-CN" w:bidi="ar-SA"/>
    </w:rPr>
  </w:style>
  <w:style w:type="character" w:customStyle="1" w:styleId="76">
    <w:name w:val="font81"/>
    <w:qFormat/>
    <w:uiPriority w:val="0"/>
    <w:rPr>
      <w:rFonts w:hint="eastAsia" w:ascii="宋体" w:hAnsi="宋体" w:eastAsia="宋体" w:cs="宋体"/>
      <w:color w:val="000000"/>
      <w:sz w:val="20"/>
      <w:szCs w:val="20"/>
      <w:u w:val="none"/>
    </w:rPr>
  </w:style>
  <w:style w:type="character" w:customStyle="1" w:styleId="77">
    <w:name w:val="font101"/>
    <w:qFormat/>
    <w:uiPriority w:val="0"/>
    <w:rPr>
      <w:rFonts w:hint="default" w:ascii="Arial" w:hAnsi="Arial" w:cs="Arial"/>
      <w:b/>
      <w:color w:val="000000"/>
      <w:sz w:val="20"/>
      <w:szCs w:val="20"/>
      <w:u w:val="none"/>
    </w:rPr>
  </w:style>
  <w:style w:type="character" w:customStyle="1" w:styleId="78">
    <w:name w:val="font11"/>
    <w:qFormat/>
    <w:uiPriority w:val="0"/>
    <w:rPr>
      <w:rFonts w:hint="default" w:ascii="Times New Roman" w:hAnsi="Times New Roman" w:cs="Times New Roman"/>
      <w:color w:val="000000"/>
      <w:sz w:val="18"/>
      <w:szCs w:val="18"/>
    </w:rPr>
  </w:style>
  <w:style w:type="character" w:customStyle="1" w:styleId="79">
    <w:name w:val="font61"/>
    <w:qFormat/>
    <w:uiPriority w:val="0"/>
    <w:rPr>
      <w:rFonts w:hint="eastAsia" w:ascii="宋体" w:hAnsi="宋体" w:eastAsia="宋体" w:cs="宋体"/>
      <w:b/>
      <w:color w:val="000000"/>
      <w:sz w:val="18"/>
      <w:szCs w:val="18"/>
    </w:rPr>
  </w:style>
  <w:style w:type="character" w:customStyle="1" w:styleId="80">
    <w:name w:val="标题 4 字符"/>
    <w:link w:val="5"/>
    <w:qFormat/>
    <w:uiPriority w:val="0"/>
    <w:rPr>
      <w:rFonts w:ascii="Arial" w:hAnsi="Arial" w:eastAsia="黑体"/>
      <w:b/>
      <w:bCs/>
      <w:sz w:val="28"/>
      <w:szCs w:val="28"/>
    </w:rPr>
  </w:style>
  <w:style w:type="paragraph" w:customStyle="1" w:styleId="81">
    <w:name w:val="USE 4"/>
    <w:basedOn w:val="1"/>
    <w:qFormat/>
    <w:uiPriority w:val="0"/>
    <w:pPr>
      <w:widowControl/>
      <w:spacing w:line="360" w:lineRule="auto"/>
      <w:ind w:left="284" w:hanging="227"/>
      <w:jc w:val="left"/>
    </w:pPr>
    <w:rPr>
      <w:rFonts w:hAnsi="宋体"/>
      <w:sz w:val="24"/>
    </w:rPr>
  </w:style>
  <w:style w:type="paragraph" w:customStyle="1" w:styleId="82">
    <w:name w:val="地址 1"/>
    <w:next w:val="1"/>
    <w:qFormat/>
    <w:uiPriority w:val="0"/>
    <w:pPr>
      <w:jc w:val="center"/>
    </w:pPr>
    <w:rPr>
      <w:rFonts w:ascii="Arial" w:hAnsi="Arial" w:eastAsia="宋体" w:cs="Arial"/>
      <w:color w:val="CC3300"/>
      <w:kern w:val="28"/>
      <w:sz w:val="16"/>
      <w:szCs w:val="16"/>
      <w:lang w:val="en-US" w:eastAsia="en-US" w:bidi="ar-SA"/>
    </w:rPr>
  </w:style>
  <w:style w:type="paragraph" w:customStyle="1" w:styleId="83">
    <w:name w:val="Char Char1 Char Char Char Char"/>
    <w:basedOn w:val="1"/>
    <w:qFormat/>
    <w:uiPriority w:val="0"/>
    <w:pPr>
      <w:snapToGrid w:val="0"/>
      <w:spacing w:line="360" w:lineRule="auto"/>
      <w:ind w:firstLine="200" w:firstLineChars="200"/>
    </w:pPr>
    <w:rPr>
      <w:rFonts w:eastAsia="仿宋_GB2312"/>
      <w:sz w:val="24"/>
    </w:rPr>
  </w:style>
  <w:style w:type="paragraph" w:customStyle="1" w:styleId="84">
    <w:name w:val="样式 USE 1 + 行距: 单倍行距"/>
    <w:basedOn w:val="1"/>
    <w:qFormat/>
    <w:uiPriority w:val="0"/>
    <w:pPr>
      <w:widowControl/>
      <w:spacing w:line="180" w:lineRule="atLeast"/>
      <w:ind w:left="180"/>
      <w:jc w:val="left"/>
    </w:pPr>
    <w:rPr>
      <w:rFonts w:hAnsi="宋体"/>
      <w:b/>
      <w:bCs/>
      <w:sz w:val="24"/>
    </w:rPr>
  </w:style>
  <w:style w:type="paragraph" w:customStyle="1" w:styleId="85">
    <w:name w:val="Char1"/>
    <w:basedOn w:val="1"/>
    <w:qFormat/>
    <w:uiPriority w:val="0"/>
    <w:pPr>
      <w:tabs>
        <w:tab w:val="left" w:pos="360"/>
      </w:tabs>
    </w:pPr>
    <w:rPr>
      <w:sz w:val="24"/>
      <w:szCs w:val="24"/>
    </w:rPr>
  </w:style>
  <w:style w:type="paragraph" w:customStyle="1" w:styleId="86">
    <w:name w:val="WPSOffice手动目录 1"/>
    <w:qFormat/>
    <w:uiPriority w:val="0"/>
    <w:rPr>
      <w:rFonts w:ascii="Times New Roman" w:hAnsi="Times New Roman" w:eastAsia="宋体" w:cs="Times New Roman"/>
      <w:lang w:val="en-US" w:eastAsia="zh-CN" w:bidi="ar-SA"/>
    </w:rPr>
  </w:style>
  <w:style w:type="paragraph" w:styleId="87">
    <w:name w:val="List Paragraph"/>
    <w:basedOn w:val="1"/>
    <w:qFormat/>
    <w:uiPriority w:val="0"/>
    <w:pPr>
      <w:ind w:firstLine="420" w:firstLineChars="200"/>
    </w:pPr>
    <w:rPr>
      <w:szCs w:val="24"/>
    </w:rPr>
  </w:style>
  <w:style w:type="paragraph" w:customStyle="1" w:styleId="88">
    <w:name w:val="列出段落1"/>
    <w:basedOn w:val="1"/>
    <w:qFormat/>
    <w:uiPriority w:val="0"/>
    <w:pPr>
      <w:ind w:firstLine="420" w:firstLineChars="200"/>
    </w:pPr>
  </w:style>
  <w:style w:type="paragraph" w:customStyle="1" w:styleId="89">
    <w:name w:val="Char Char Char Char"/>
    <w:basedOn w:val="1"/>
    <w:qFormat/>
    <w:uiPriority w:val="0"/>
    <w:pPr>
      <w:widowControl/>
      <w:spacing w:after="160" w:line="240" w:lineRule="exact"/>
      <w:jc w:val="left"/>
    </w:pPr>
    <w:rPr>
      <w:rFonts w:ascii="Verdana" w:hAnsi="Verdana" w:eastAsia="仿宋_GB2312"/>
      <w:sz w:val="24"/>
    </w:rPr>
  </w:style>
  <w:style w:type="paragraph" w:customStyle="1" w:styleId="90">
    <w:name w:val="Char"/>
    <w:basedOn w:val="1"/>
    <w:qFormat/>
    <w:uiPriority w:val="0"/>
    <w:pPr>
      <w:tabs>
        <w:tab w:val="left" w:pos="720"/>
      </w:tabs>
      <w:ind w:left="720" w:hanging="720"/>
    </w:pPr>
    <w:rPr>
      <w:sz w:val="24"/>
      <w:szCs w:val="24"/>
    </w:rPr>
  </w:style>
  <w:style w:type="paragraph" w:customStyle="1" w:styleId="91">
    <w:name w:val="简单回函地址"/>
    <w:basedOn w:val="1"/>
    <w:qFormat/>
    <w:uiPriority w:val="0"/>
  </w:style>
  <w:style w:type="paragraph" w:customStyle="1" w:styleId="92">
    <w:name w:val="Char Char Char Char Char Char Char Char Char Char Char Char Char"/>
    <w:basedOn w:val="14"/>
    <w:qFormat/>
    <w:uiPriority w:val="0"/>
  </w:style>
  <w:style w:type="paragraph" w:customStyle="1" w:styleId="93">
    <w:name w:val="正文2"/>
    <w:basedOn w:val="1"/>
    <w:qFormat/>
    <w:uiPriority w:val="0"/>
    <w:pPr>
      <w:spacing w:before="156" w:line="360" w:lineRule="auto"/>
      <w:ind w:firstLine="510" w:firstLineChars="200"/>
    </w:pPr>
    <w:rPr>
      <w:sz w:val="24"/>
    </w:rPr>
  </w:style>
  <w:style w:type="paragraph" w:customStyle="1" w:styleId="94">
    <w:name w:val="Char Char Char Char Char Char Char"/>
    <w:basedOn w:val="1"/>
    <w:qFormat/>
    <w:uiPriority w:val="0"/>
    <w:pPr>
      <w:widowControl/>
      <w:spacing w:after="160" w:line="240" w:lineRule="exact"/>
      <w:jc w:val="left"/>
    </w:pPr>
    <w:rPr>
      <w:szCs w:val="24"/>
    </w:rPr>
  </w:style>
  <w:style w:type="paragraph" w:customStyle="1" w:styleId="95">
    <w:name w:val="表内文字"/>
    <w:basedOn w:val="1"/>
    <w:qFormat/>
    <w:uiPriority w:val="0"/>
    <w:pPr>
      <w:snapToGrid w:val="0"/>
      <w:spacing w:line="320" w:lineRule="exact"/>
      <w:jc w:val="center"/>
    </w:pPr>
    <w:rPr>
      <w:rFonts w:ascii="宋体" w:hAnsi="宋体"/>
      <w:b/>
      <w:sz w:val="24"/>
    </w:rPr>
  </w:style>
  <w:style w:type="paragraph" w:customStyle="1" w:styleId="96">
    <w:name w:val="USE 3"/>
    <w:basedOn w:val="1"/>
    <w:qFormat/>
    <w:uiPriority w:val="0"/>
    <w:pPr>
      <w:widowControl/>
      <w:spacing w:line="360" w:lineRule="auto"/>
      <w:ind w:left="530" w:hanging="170"/>
      <w:jc w:val="left"/>
    </w:pPr>
    <w:rPr>
      <w:rFonts w:hAnsi="宋体"/>
      <w:sz w:val="24"/>
    </w:rPr>
  </w:style>
  <w:style w:type="paragraph" w:customStyle="1" w:styleId="97">
    <w:name w:val="Char11"/>
    <w:basedOn w:val="1"/>
    <w:qFormat/>
    <w:uiPriority w:val="0"/>
    <w:rPr>
      <w:rFonts w:ascii="仿宋_GB2312" w:eastAsia="仿宋_GB2312"/>
      <w:b/>
      <w:sz w:val="32"/>
      <w:szCs w:val="32"/>
    </w:rPr>
  </w:style>
  <w:style w:type="paragraph" w:customStyle="1" w:styleId="98">
    <w:name w:val="标准书眉_偶数页"/>
    <w:basedOn w:val="1"/>
    <w:next w:val="1"/>
    <w:qFormat/>
    <w:uiPriority w:val="0"/>
    <w:pPr>
      <w:widowControl/>
      <w:tabs>
        <w:tab w:val="center" w:pos="4154"/>
        <w:tab w:val="right" w:pos="8306"/>
      </w:tabs>
      <w:spacing w:after="120"/>
      <w:jc w:val="left"/>
    </w:pPr>
    <w:rPr>
      <w:lang w:eastAsia="zh-CN"/>
    </w:rPr>
  </w:style>
  <w:style w:type="paragraph" w:customStyle="1" w:styleId="99">
    <w:name w:val="p0"/>
    <w:basedOn w:val="1"/>
    <w:qFormat/>
    <w:uiPriority w:val="0"/>
    <w:pPr>
      <w:widowControl/>
    </w:pPr>
    <w:rPr>
      <w:szCs w:val="21"/>
    </w:rPr>
  </w:style>
  <w:style w:type="paragraph" w:customStyle="1" w:styleId="100">
    <w:name w:val="p17"/>
    <w:basedOn w:val="1"/>
    <w:qFormat/>
    <w:uiPriority w:val="0"/>
    <w:pPr>
      <w:widowControl/>
    </w:pPr>
    <w:rPr>
      <w:rFonts w:ascii="宋体" w:hAnsi="宋体" w:eastAsia="宋体"/>
      <w:sz w:val="21"/>
      <w:szCs w:val="21"/>
      <w:lang w:eastAsia="zh-CN"/>
    </w:rPr>
  </w:style>
  <w:style w:type="paragraph" w:customStyle="1" w:styleId="101">
    <w:name w:val="List Paragraph11"/>
    <w:basedOn w:val="1"/>
    <w:qFormat/>
    <w:uiPriority w:val="0"/>
    <w:pPr>
      <w:ind w:firstLine="420" w:firstLineChars="200"/>
    </w:pPr>
    <w:rPr>
      <w:rFonts w:ascii="Calibri" w:hAnsi="Calibri"/>
      <w:szCs w:val="22"/>
    </w:rPr>
  </w:style>
  <w:style w:type="paragraph" w:customStyle="1" w:styleId="102">
    <w:name w:val="Char Char2 Char"/>
    <w:basedOn w:val="1"/>
    <w:qFormat/>
    <w:uiPriority w:val="0"/>
    <w:rPr>
      <w:rFonts w:hAnsi="宋体"/>
      <w:b/>
      <w:sz w:val="28"/>
      <w:szCs w:val="28"/>
    </w:rPr>
  </w:style>
  <w:style w:type="paragraph" w:customStyle="1" w:styleId="103">
    <w:name w:val="1"/>
    <w:basedOn w:val="1"/>
    <w:next w:val="20"/>
    <w:qFormat/>
    <w:uiPriority w:val="0"/>
  </w:style>
  <w:style w:type="paragraph" w:customStyle="1" w:styleId="104">
    <w:name w:val="USE 5"/>
    <w:basedOn w:val="1"/>
    <w:qFormat/>
    <w:uiPriority w:val="0"/>
    <w:pPr>
      <w:widowControl/>
      <w:spacing w:line="360" w:lineRule="auto"/>
      <w:ind w:left="397" w:hanging="340"/>
      <w:jc w:val="left"/>
    </w:pPr>
    <w:rPr>
      <w:rFonts w:hAnsi="宋体"/>
      <w:sz w:val="24"/>
    </w:rPr>
  </w:style>
  <w:style w:type="paragraph" w:customStyle="1" w:styleId="105">
    <w:name w:val="Char1 Char Char Char Char Char Char"/>
    <w:basedOn w:val="1"/>
    <w:qFormat/>
    <w:uiPriority w:val="0"/>
    <w:rPr>
      <w:rFonts w:ascii="Tahoma" w:hAnsi="Tahoma"/>
      <w:sz w:val="24"/>
    </w:rPr>
  </w:style>
  <w:style w:type="paragraph" w:customStyle="1" w:styleId="106">
    <w:name w:val="USE 2"/>
    <w:basedOn w:val="1"/>
    <w:qFormat/>
    <w:uiPriority w:val="0"/>
    <w:pPr>
      <w:widowControl/>
      <w:spacing w:line="360" w:lineRule="auto"/>
      <w:ind w:left="3836" w:hanging="3836"/>
      <w:jc w:val="left"/>
    </w:pPr>
    <w:rPr>
      <w:rFonts w:hAnsi="宋体"/>
      <w:sz w:val="24"/>
    </w:rPr>
  </w:style>
  <w:style w:type="paragraph" w:customStyle="1" w:styleId="107">
    <w:name w:val="正文1"/>
    <w:basedOn w:val="1"/>
    <w:qFormat/>
    <w:uiPriority w:val="0"/>
  </w:style>
  <w:style w:type="paragraph" w:customStyle="1" w:styleId="108">
    <w:name w:val="样式1"/>
    <w:basedOn w:val="1"/>
    <w:qFormat/>
    <w:uiPriority w:val="0"/>
    <w:pPr>
      <w:autoSpaceDE w:val="0"/>
      <w:autoSpaceDN w:val="0"/>
      <w:adjustRightInd w:val="0"/>
      <w:spacing w:line="440" w:lineRule="atLeast"/>
      <w:ind w:firstLine="601"/>
      <w:textAlignment w:val="baseline"/>
    </w:pPr>
    <w:rPr>
      <w:sz w:val="28"/>
    </w:rPr>
  </w:style>
  <w:style w:type="paragraph" w:styleId="109">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paragraph" w:customStyle="1" w:styleId="110">
    <w:name w:val="Char2"/>
    <w:basedOn w:val="1"/>
    <w:qFormat/>
    <w:uiPriority w:val="0"/>
    <w:pPr>
      <w:widowControl/>
      <w:spacing w:after="160" w:line="240" w:lineRule="exact"/>
      <w:jc w:val="left"/>
    </w:pPr>
    <w:rPr>
      <w:rFonts w:ascii="Verdana" w:hAnsi="Verdana"/>
    </w:rPr>
  </w:style>
  <w:style w:type="paragraph" w:customStyle="1" w:styleId="111">
    <w:name w:val="Char Char Char Char Char Char Char Char Char Char Char Char Char Char Char Char"/>
    <w:basedOn w:val="1"/>
    <w:qFormat/>
    <w:uiPriority w:val="0"/>
    <w:pPr>
      <w:tabs>
        <w:tab w:val="left" w:pos="360"/>
      </w:tabs>
      <w:spacing w:line="360" w:lineRule="auto"/>
      <w:ind w:left="482" w:firstLine="200" w:firstLineChars="200"/>
    </w:pPr>
    <w:rPr>
      <w:sz w:val="24"/>
      <w:szCs w:val="24"/>
    </w:rPr>
  </w:style>
  <w:style w:type="paragraph" w:customStyle="1" w:styleId="112">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修订1"/>
    <w:hidden/>
    <w:semiHidden/>
    <w:qFormat/>
    <w:uiPriority w:val="99"/>
    <w:rPr>
      <w:rFonts w:ascii="Times New Roman" w:hAnsi="Times New Roman" w:eastAsia="Times New Roman" w:cs="宋体"/>
      <w:lang w:val="en-US" w:eastAsia="en-US" w:bidi="ar-SA"/>
    </w:rPr>
  </w:style>
  <w:style w:type="character" w:customStyle="1" w:styleId="116">
    <w:name w:val="hover1"/>
    <w:basedOn w:val="39"/>
    <w:qFormat/>
    <w:uiPriority w:val="0"/>
    <w:rPr>
      <w:color w:val="2590EB"/>
    </w:rPr>
  </w:style>
  <w:style w:type="character" w:customStyle="1" w:styleId="117">
    <w:name w:val="hover2"/>
    <w:basedOn w:val="39"/>
    <w:qFormat/>
    <w:uiPriority w:val="0"/>
    <w:rPr>
      <w:color w:val="2590EB"/>
    </w:rPr>
  </w:style>
  <w:style w:type="character" w:customStyle="1" w:styleId="118">
    <w:name w:val="hover3"/>
    <w:basedOn w:val="39"/>
    <w:qFormat/>
    <w:uiPriority w:val="0"/>
  </w:style>
  <w:style w:type="paragraph" w:customStyle="1" w:styleId="119">
    <w:name w:val="正文首行缩进1"/>
    <w:basedOn w:val="1"/>
    <w:qFormat/>
    <w:uiPriority w:val="99"/>
    <w:pPr>
      <w:spacing w:after="120"/>
      <w:ind w:firstLine="420" w:firstLineChars="100"/>
    </w:pPr>
  </w:style>
  <w:style w:type="character" w:customStyle="1" w:styleId="120">
    <w:name w:val="标题 3 字符"/>
    <w:basedOn w:val="39"/>
    <w:link w:val="4"/>
    <w:qFormat/>
    <w:uiPriority w:val="0"/>
    <w:rPr>
      <w:b/>
      <w:szCs w:val="20"/>
      <w:lang w:val="zh-CN"/>
    </w:rPr>
  </w:style>
  <w:style w:type="character" w:customStyle="1" w:styleId="121">
    <w:name w:val="hover"/>
    <w:basedOn w:val="39"/>
    <w:qFormat/>
    <w:uiPriority w:val="0"/>
  </w:style>
  <w:style w:type="paragraph" w:customStyle="1" w:styleId="122">
    <w:name w:val="Revision"/>
    <w:hidden/>
    <w:unhideWhenUsed/>
    <w:qFormat/>
    <w:uiPriority w:val="99"/>
    <w:rPr>
      <w:rFonts w:ascii="Times New Roman" w:hAnsi="Times New Roman" w:eastAsia="Times New Roman" w:cs="宋体"/>
      <w:lang w:val="en-US" w:eastAsia="en-US" w:bidi="ar-SA"/>
    </w:rPr>
  </w:style>
  <w:style w:type="table" w:customStyle="1" w:styleId="1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广西建设工程机电设备招标中心</Company>
  <Pages>62</Pages>
  <Words>39349</Words>
  <Characters>43530</Characters>
  <Lines>349</Lines>
  <Paragraphs>98</Paragraphs>
  <TotalTime>37</TotalTime>
  <ScaleCrop>false</ScaleCrop>
  <LinksUpToDate>false</LinksUpToDate>
  <CharactersWithSpaces>46529</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2020-06-30T05:35:00Z</dcterms:created>
  <dc:creator>杨光义</dc:creator>
  <cp:lastModifiedBy>admn</cp:lastModifiedBy>
  <cp:lastPrinted>2025-07-17T00:34:00Z</cp:lastPrinted>
  <dcterms:modified xsi:type="dcterms:W3CDTF">2025-12-05T03:14:42Z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51C9399A111140EA87CA7AF5CD109A88_13</vt:lpwstr>
  </property>
  <property fmtid="{D5CDD505-2E9C-101B-9397-08002B2CF9AE}" pid="4" name="MSIP_Label_ff6dbec8-95a8-4638-9f5f-bd076536645c_Enabled">
    <vt:lpwstr>true</vt:lpwstr>
  </property>
  <property fmtid="{D5CDD505-2E9C-101B-9397-08002B2CF9AE}" pid="5" name="MSIP_Label_ff6dbec8-95a8-4638-9f5f-bd076536645c_SetDate">
    <vt:lpwstr>2024-05-27T05:09:55Z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2e8ee54c-90c9-46dd-8bec-d5f1012a4c48</vt:lpwstr>
  </property>
  <property fmtid="{D5CDD505-2E9C-101B-9397-08002B2CF9AE}" pid="10" name="MSIP_Label_ff6dbec8-95a8-4638-9f5f-bd076536645c_ContentBits">
    <vt:lpwstr>0</vt:lpwstr>
  </property>
  <property fmtid="{D5CDD505-2E9C-101B-9397-08002B2CF9AE}" pid="11" name="KSOTemplateDocerSaveRecord">
    <vt:lpwstr>eyJoZGlkIjoiYmM5M2I3NDQ1MTk4MmM0YzdhODdiMzI1ODkwYzMyOWUiLCJ1c2VySWQiOiI0MzIyMDkxMzcifQ==</vt:lpwstr>
  </property>
</Properties>
</file>